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65E" w:rsidRDefault="00A96E76">
      <w:pPr>
        <w:ind w:left="110"/>
        <w:rPr>
          <w:rFonts w:ascii="Times New Roman"/>
          <w:sz w:val="20"/>
        </w:rPr>
      </w:pPr>
      <w:r>
        <w:rPr>
          <w:rFonts w:ascii="Times New Roman"/>
          <w:position w:val="6"/>
          <w:sz w:val="20"/>
        </w:rPr>
      </w:r>
      <w:r>
        <w:rPr>
          <w:rFonts w:ascii="Times New Roman"/>
          <w:position w:val="6"/>
          <w:sz w:val="20"/>
        </w:rPr>
        <w:pict>
          <v:group id="_x0000_s1181" style="width:82.9pt;height:33.35pt;mso-position-horizontal-relative:char;mso-position-vertical-relative:line" coordsize="1658,6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04" type="#_x0000_t75" style="position:absolute;left:425;top:7;width:341;height:162">
              <v:imagedata r:id="rId7" o:title=""/>
            </v:shape>
            <v:shape id="_x0000_s1203" type="#_x0000_t75" style="position:absolute;left:807;top:7;width:116;height:162">
              <v:imagedata r:id="rId8" o:title=""/>
            </v:shape>
            <v:shape id="_x0000_s1202" type="#_x0000_t75" style="position:absolute;left:959;top:7;width:131;height:162">
              <v:imagedata r:id="rId9" o:title=""/>
            </v:shape>
            <v:shape id="_x0000_s1201" type="#_x0000_t75" style="position:absolute;left:1116;width:519;height:176">
              <v:imagedata r:id="rId10" o:title=""/>
            </v:shape>
            <v:shape id="_x0000_s1200" style="position:absolute;top:253;width:146;height:174" coordorigin=",253" coordsize="146,174" o:spt="100" adj="0,,0" path="m83,253l,253,,427r33,l33,376r50,l130,357r4,-11l33,346r,-62l134,284r-4,-12l83,253xm134,284r-51,l106,294r7,21l106,336,83,346r51,l146,314,134,284xe" fillcolor="#254392" stroked="f">
              <v:stroke joinstyle="round"/>
              <v:formulas/>
              <v:path arrowok="t" o:connecttype="segments"/>
            </v:shape>
            <v:shape id="_x0000_s1199" style="position:absolute;left:158;top:247;width:149;height:185" coordorigin="158,247" coordsize="149,185" o:spt="100" adj="0,,0" path="m185,374r-27,14l170,409r17,13l209,429r25,2l261,428r23,-10l300,401r-66,l219,400r-15,-5l192,387r-7,-13xm233,247r-24,3l187,259r-16,16l165,298r6,24l186,337r22,9l250,353r13,5l271,365r4,11l271,388r-9,8l249,400r-15,1l300,401r,l306,376r-6,-26l285,334r-23,-9l221,318r-12,-4l201,308r-3,-10l200,289r6,-7l218,277r16,-2l297,275r-8,-10l272,254r-19,-5l233,247xm297,275r-63,l247,277r12,4l268,287r7,8l302,281r-5,-6xe" fillcolor="#254392" stroked="f">
              <v:stroke joinstyle="round"/>
              <v:formulas/>
              <v:path arrowok="t" o:connecttype="segments"/>
            </v:shape>
            <v:shape id="_x0000_s1198" style="position:absolute;left:314;top:253;width:170;height:174" coordorigin="314,253" coordsize="170,174" o:spt="100" adj="0,,0" path="m353,253r-39,l314,254r67,101l381,427r32,l413,355r21,-30l396,325,353,253xm483,253r-40,l396,325r38,l483,254r,-1xe" fillcolor="#254392" stroked="f">
              <v:stroke joinstyle="round"/>
              <v:formulas/>
              <v:path arrowok="t" o:connecttype="segments"/>
            </v:shape>
            <v:shape id="_x0000_s1197" style="position:absolute;left:486;top:250;width:160;height:182" coordorigin="486,250" coordsize="160,182" o:spt="100" adj="0,,0" path="m579,250r-41,8l509,278r-17,29l486,341r6,33l508,403r29,21l579,431r18,-1l614,425r17,-9l645,404r-4,-4l579,400r-28,-5l533,381,522,363r-3,-22l523,319r10,-19l552,287r27,-6l636,281r6,-6l628,264r-16,-7l596,252r-17,-2xm623,382r-10,8l602,395r-11,4l579,400r62,l623,382xm636,281r-57,l590,282r11,3l612,290r9,6l636,281xe" fillcolor="#254392" stroked="f">
              <v:stroke joinstyle="round"/>
              <v:formulas/>
              <v:path arrowok="t" o:connecttype="segments"/>
            </v:shape>
            <v:line id="_x0000_s1196" style="position:absolute" from="671,392" to="704,392" strokecolor="#254392" strokeweight="3.6pt"/>
            <v:line id="_x0000_s1195" style="position:absolute" from="671,341" to="822,341" strokecolor="#254392" strokeweight="1.5pt"/>
            <v:line id="_x0000_s1194" style="position:absolute" from="671,290" to="704,290" strokecolor="#254392" strokeweight="3.6pt"/>
            <v:line id="_x0000_s1193" style="position:absolute" from="789,392" to="822,392" strokecolor="#254392" strokeweight="3.53pt"/>
            <v:line id="_x0000_s1192" style="position:absolute" from="789,290" to="822,290" strokecolor="#254392" strokeweight="3.67pt"/>
            <v:line id="_x0000_s1191" style="position:absolute" from="876,253" to="876,427" strokecolor="#254392" strokeweight=".58244mm"/>
            <v:shape id="_x0000_s1190" style="position:absolute;left:914;top:253;width:191;height:174" coordorigin="914,253" coordsize="191,174" o:spt="100" adj="0,,0" path="m1026,253r-34,l914,427r34,l963,394r126,l1076,364r-99,l1010,289r32,l1026,253xm1089,394r-34,l1070,427r34,l1089,394xm1042,289r-32,l1041,364r35,l1042,289xe" fillcolor="#254392" stroked="f">
              <v:stroke joinstyle="round"/>
              <v:formulas/>
              <v:path arrowok="t" o:connecttype="segments"/>
            </v:shape>
            <v:line id="_x0000_s1189" style="position:absolute" from="1160,283" to="1160,427" strokecolor="#254392" strokeweight=".58211mm"/>
            <v:line id="_x0000_s1188" style="position:absolute" from="1089,268" to="1232,268" strokecolor="#254392" strokeweight="1.5pt"/>
            <v:shape id="_x0000_s1187" style="position:absolute;left:1259;top:253;width:155;height:174" coordorigin="1259,253" coordsize="155,174" o:spt="100" adj="0,,0" path="m1341,253r-82,l1259,427r33,l1292,368r72,l1361,365r21,-8l1395,344r2,-6l1292,338r,-55l1397,283r-8,-13l1369,258r-28,-5xm1364,368r-41,l1374,427r39,l1413,424r-49,-56xm1397,283r-56,l1355,286r9,6l1370,301r1,10l1370,321r-6,9l1355,336r-14,2l1397,338r5,-10l1404,310r-4,-22l1397,283xe" fillcolor="#254392" stroked="f">
              <v:stroke joinstyle="round"/>
              <v:formulas/>
              <v:path arrowok="t" o:connecttype="segments"/>
            </v:shape>
            <v:shape id="_x0000_s1186" type="#_x0000_t75" style="position:absolute;left:1434;top:236;width:224;height:207">
              <v:imagedata r:id="rId11" o:title=""/>
            </v:shape>
            <v:shape id="_x0000_s1185" type="#_x0000_t75" style="position:absolute;left:194;top:509;width:747;height:153">
              <v:imagedata r:id="rId12" o:title=""/>
            </v:shape>
            <v:shape id="_x0000_s1184" type="#_x0000_t75" style="position:absolute;left:974;top:506;width:329;height:161">
              <v:imagedata r:id="rId13" o:title=""/>
            </v:shape>
            <v:shape id="_x0000_s1183" type="#_x0000_t75" style="position:absolute;left:1338;top:509;width:150;height:153">
              <v:imagedata r:id="rId14" o:title=""/>
            </v:shape>
            <v:shape id="_x0000_s1182" type="#_x0000_t75" style="position:absolute;left:1521;top:512;width:116;height:149">
              <v:imagedata r:id="rId15" o:title=""/>
            </v:shape>
            <w10:wrap type="none"/>
            <w10:anchorlock/>
          </v:group>
        </w:pict>
      </w:r>
      <w:r>
        <w:rPr>
          <w:rFonts w:ascii="Times New Roman"/>
          <w:spacing w:val="96"/>
          <w:position w:val="6"/>
          <w:sz w:val="20"/>
        </w:rPr>
        <w:t xml:space="preserve"> </w:t>
      </w:r>
      <w:r>
        <w:rPr>
          <w:rFonts w:ascii="Times New Roman"/>
          <w:noProof/>
          <w:spacing w:val="96"/>
          <w:sz w:val="20"/>
        </w:rPr>
        <w:drawing>
          <wp:inline distT="0" distB="0" distL="0" distR="0">
            <wp:extent cx="412604" cy="504825"/>
            <wp:effectExtent l="0" t="0" r="0" b="0"/>
            <wp:docPr id="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png"/>
                    <pic:cNvPicPr/>
                  </pic:nvPicPr>
                  <pic:blipFill>
                    <a:blip r:embed="rId16" cstate="print"/>
                    <a:stretch>
                      <a:fillRect/>
                    </a:stretch>
                  </pic:blipFill>
                  <pic:spPr>
                    <a:xfrm>
                      <a:off x="0" y="0"/>
                      <a:ext cx="412604" cy="504825"/>
                    </a:xfrm>
                    <a:prstGeom prst="rect">
                      <a:avLst/>
                    </a:prstGeom>
                  </pic:spPr>
                </pic:pic>
              </a:graphicData>
            </a:graphic>
          </wp:inline>
        </w:drawing>
      </w:r>
    </w:p>
    <w:p w:rsidR="0042065E" w:rsidRDefault="0042065E">
      <w:pPr>
        <w:pStyle w:val="BodyText"/>
        <w:rPr>
          <w:rFonts w:ascii="Times New Roman"/>
          <w:sz w:val="20"/>
        </w:rPr>
      </w:pPr>
    </w:p>
    <w:p w:rsidR="0042065E" w:rsidRDefault="0042065E">
      <w:pPr>
        <w:pStyle w:val="BodyText"/>
        <w:spacing w:before="3"/>
        <w:rPr>
          <w:rFonts w:ascii="Times New Roman"/>
          <w:sz w:val="21"/>
        </w:rPr>
      </w:pPr>
    </w:p>
    <w:p w:rsidR="0042065E" w:rsidRDefault="00A96E76">
      <w:pPr>
        <w:pStyle w:val="BodyText"/>
        <w:spacing w:before="57"/>
        <w:ind w:left="2260"/>
        <w:jc w:val="both"/>
      </w:pPr>
      <w:r>
        <w:pict>
          <v:group id="_x0000_s1174" style="position:absolute;left:0;text-align:left;margin-left:56.5pt;margin-top:-9.4pt;width:61.4pt;height:17.2pt;z-index:1120;mso-position-horizontal-relative:page" coordorigin="1130,-188" coordsize="1228,344">
            <v:shape id="_x0000_s1180" type="#_x0000_t75" style="position:absolute;left:1130;top:-188;width:186;height:128">
              <v:imagedata r:id="rId17" o:title=""/>
            </v:shape>
            <v:shape id="_x0000_s1179" type="#_x0000_t75" style="position:absolute;left:1361;top:-188;width:294;height:128">
              <v:imagedata r:id="rId18" o:title=""/>
            </v:shape>
            <v:shape id="_x0000_s1178" type="#_x0000_t75" style="position:absolute;left:1694;top:-188;width:407;height:147">
              <v:imagedata r:id="rId19" o:title=""/>
            </v:shape>
            <v:shape id="_x0000_s1177" type="#_x0000_t75" style="position:absolute;left:2143;top:-188;width:214;height:128">
              <v:imagedata r:id="rId20" o:title=""/>
            </v:shape>
            <v:shape id="_x0000_s1176" type="#_x0000_t75" style="position:absolute;left:1873;top:28;width:248;height:127">
              <v:imagedata r:id="rId21" o:title=""/>
            </v:shape>
            <v:shape id="_x0000_s1175" type="#_x0000_t75" style="position:absolute;left:2161;top:28;width:189;height:127">
              <v:imagedata r:id="rId22" o:title=""/>
            </v:shape>
            <w10:wrap anchorx="page"/>
          </v:group>
        </w:pict>
      </w:r>
      <w:r>
        <w:pict>
          <v:group id="_x0000_s1170" style="position:absolute;left:0;text-align:left;margin-left:57.15pt;margin-top:12.2pt;width:60.5pt;height:7.5pt;z-index:1144;mso-position-horizontal-relative:page" coordorigin="1143,244" coordsize="1210,150">
            <v:shape id="_x0000_s1173" type="#_x0000_t75" style="position:absolute;left:1143;top:244;width:642;height:150">
              <v:imagedata r:id="rId23" o:title=""/>
            </v:shape>
            <v:shape id="_x0000_s1172" type="#_x0000_t75" style="position:absolute;left:1832;top:244;width:181;height:127">
              <v:imagedata r:id="rId24" o:title=""/>
            </v:shape>
            <v:shape id="_x0000_s1171" type="#_x0000_t75" style="position:absolute;left:2047;top:244;width:306;height:127">
              <v:imagedata r:id="rId25" o:title=""/>
            </v:shape>
            <w10:wrap anchorx="page"/>
          </v:group>
        </w:pict>
      </w:r>
      <w:r>
        <w:t>March 5, 2018</w:t>
      </w:r>
    </w:p>
    <w:p w:rsidR="0042065E" w:rsidRDefault="00A96E76">
      <w:pPr>
        <w:pStyle w:val="BodyText"/>
        <w:spacing w:before="2"/>
        <w:rPr>
          <w:sz w:val="25"/>
        </w:rPr>
      </w:pPr>
      <w:r>
        <w:pict>
          <v:group id="_x0000_s1167" style="position:absolute;margin-left:40pt;margin-top:17.3pt;width:25.3pt;height:6.6pt;z-index:1048;mso-wrap-distance-left:0;mso-wrap-distance-right:0;mso-position-horizontal-relative:page" coordorigin="800,346" coordsize="506,132">
            <v:shape id="_x0000_s1169" type="#_x0000_t75" style="position:absolute;left:800;top:352;width:318;height:126">
              <v:imagedata r:id="rId26" o:title=""/>
            </v:shape>
            <v:shape id="_x0000_s1168" type="#_x0000_t75" style="position:absolute;left:1148;top:346;width:158;height:132">
              <v:imagedata r:id="rId27" o:title=""/>
            </v:shape>
            <w10:wrap type="topAndBottom" anchorx="page"/>
          </v:group>
        </w:pict>
      </w:r>
      <w:r>
        <w:pict>
          <v:group id="_x0000_s1164" style="position:absolute;margin-left:69.25pt;margin-top:17.3pt;width:48.05pt;height:6.6pt;z-index:1072;mso-wrap-distance-left:0;mso-wrap-distance-right:0;mso-position-horizontal-relative:page" coordorigin="1385,346" coordsize="961,132">
            <v:shape id="_x0000_s1166" type="#_x0000_t75" style="position:absolute;left:1385;top:346;width:170;height:132">
              <v:imagedata r:id="rId28" o:title=""/>
            </v:shape>
            <v:shape id="_x0000_s1165" type="#_x0000_t75" style="position:absolute;left:1619;top:352;width:726;height:126">
              <v:imagedata r:id="rId29" o:title=""/>
            </v:shape>
            <w10:wrap type="topAndBottom" anchorx="page"/>
          </v:group>
        </w:pict>
      </w:r>
    </w:p>
    <w:p w:rsidR="0042065E" w:rsidRDefault="00A96E76">
      <w:pPr>
        <w:pStyle w:val="BodyText"/>
        <w:spacing w:before="42"/>
        <w:ind w:left="2260"/>
        <w:jc w:val="both"/>
      </w:pPr>
      <w:r>
        <w:t>Demetrios Kouzoukas</w:t>
      </w:r>
    </w:p>
    <w:p w:rsidR="0042065E" w:rsidRDefault="00A96E76">
      <w:pPr>
        <w:pStyle w:val="BodyText"/>
        <w:spacing w:before="40" w:line="273" w:lineRule="auto"/>
        <w:ind w:left="2260" w:right="2614"/>
      </w:pPr>
      <w:r>
        <w:pict>
          <v:group id="_x0000_s1161" style="position:absolute;left:0;text-align:left;margin-left:73.75pt;margin-top:-12.7pt;width:43.55pt;height:6.45pt;z-index:1168;mso-position-horizontal-relative:page" coordorigin="1475,-254" coordsize="871,129">
            <v:shape id="_x0000_s1163" type="#_x0000_t75" style="position:absolute;left:1475;top:-254;width:273;height:129">
              <v:imagedata r:id="rId30" o:title=""/>
            </v:shape>
            <v:shape id="_x0000_s1162" type="#_x0000_t75" style="position:absolute;left:1779;top:-254;width:566;height:129">
              <v:imagedata r:id="rId31" o:title=""/>
            </v:shape>
            <w10:wrap anchorx="page"/>
          </v:group>
        </w:pict>
      </w:r>
      <w:r>
        <w:pict>
          <v:group id="_x0000_s1154" style="position:absolute;left:0;text-align:left;margin-left:64.9pt;margin-top:-1.85pt;width:53.15pt;height:17.2pt;z-index:1192;mso-position-horizontal-relative:page" coordorigin="1298,-37" coordsize="1063,344">
            <v:shape id="_x0000_s1160" type="#_x0000_t75" style="position:absolute;left:1298;top:-37;width:263;height:127">
              <v:imagedata r:id="rId32" o:title=""/>
            </v:shape>
            <v:shape id="_x0000_s1159" style="position:absolute;left:1604;top:-37;width:48;height:128" coordorigin="1604,-37" coordsize="48,128" o:spt="100" adj="0,,0" path="m1604,71r,14l1611,88r6,3l1640,91r12,-11l1652,79r-33,l1611,77r-7,-6xm1637,-37r-21,l1604,-26r,16l1605,-1r3,8l1615,17r10,14l1637,47r4,8l1641,73r-7,6l1652,79r,-17l1651,53r-3,-9l1641,33,1631,20,1619,4r-3,-6l1616,-20r6,-6l1649,-26r,-6l1643,-35r-6,-2xm1649,-26r-12,l1641,-23r8,4l1649,-26xe" fillcolor="#6a6d76" stroked="f">
              <v:stroke joinstyle="round"/>
              <v:formulas/>
              <v:path arrowok="t" o:connecttype="segments"/>
            </v:shape>
            <v:line id="_x0000_s1158" style="position:absolute" from="1665,80" to="1680,80" strokecolor="#6a6d76" strokeweight=".9pt"/>
            <v:shape id="_x0000_s1157" type="#_x0000_t75" style="position:absolute;left:1727;top:-35;width:374;height:146">
              <v:imagedata r:id="rId33" o:title=""/>
            </v:shape>
            <v:shape id="_x0000_s1156" type="#_x0000_t75" style="position:absolute;left:2147;top:-35;width:210;height:125">
              <v:imagedata r:id="rId34" o:title=""/>
            </v:shape>
            <v:shape id="_x0000_s1155" type="#_x0000_t75" style="position:absolute;left:1903;top:179;width:458;height:127">
              <v:imagedata r:id="rId35" o:title=""/>
            </v:shape>
            <w10:wrap anchorx="page"/>
          </v:group>
        </w:pict>
      </w:r>
      <w:r>
        <w:pict>
          <v:group id="_x0000_s1147" style="position:absolute;left:0;text-align:left;margin-left:63.75pt;margin-top:19.5pt;width:54.25pt;height:17.45pt;z-index:1216;mso-position-horizontal-relative:page" coordorigin="1275,390" coordsize="1085,349">
            <v:shape id="_x0000_s1153" type="#_x0000_t75" style="position:absolute;left:1275;top:390;width:263;height:137">
              <v:imagedata r:id="rId36" o:title=""/>
            </v:shape>
            <v:shape id="_x0000_s1152" style="position:absolute;left:1578;top:397;width:34;height:127" coordorigin="1578,397" coordsize="34,127" o:spt="100" adj="0,,0" path="m1578,509r,12l1581,521r5,2l1596,523r9,-6l1610,512r,-1l1581,511r-3,-2xm1611,397r-10,l1601,506r-6,5l1610,511r1,-5l1611,397xe" fillcolor="#6a6d76" stroked="f">
              <v:stroke joinstyle="round"/>
              <v:formulas/>
              <v:path arrowok="t" o:connecttype="segments"/>
            </v:shape>
            <v:line id="_x0000_s1151" style="position:absolute" from="1628,512" to="1641,512" strokecolor="#6a6d76" strokeweight=".9pt"/>
            <v:shape id="_x0000_s1150" type="#_x0000_t75" style="position:absolute;left:1685;top:395;width:416;height:147">
              <v:imagedata r:id="rId37" o:title=""/>
            </v:shape>
            <v:shape id="_x0000_s1149" type="#_x0000_t75" style="position:absolute;left:2147;top:397;width:210;height:125">
              <v:imagedata r:id="rId38" o:title=""/>
            </v:shape>
            <v:shape id="_x0000_s1148" type="#_x0000_t75" style="position:absolute;left:1634;top:611;width:726;height:128">
              <v:imagedata r:id="rId39" o:title=""/>
            </v:shape>
            <w10:wrap anchorx="page"/>
          </v:group>
        </w:pict>
      </w:r>
      <w:r>
        <w:t>Principal Deputy Administrator and Director, Center for Medicare Centers for Medicare and Medicaid Services</w:t>
      </w:r>
    </w:p>
    <w:p w:rsidR="0042065E" w:rsidRDefault="00A96E76">
      <w:pPr>
        <w:pStyle w:val="BodyText"/>
        <w:spacing w:before="3" w:line="276" w:lineRule="auto"/>
        <w:ind w:left="2260" w:right="5564"/>
      </w:pPr>
      <w:r>
        <w:pict>
          <v:group id="_x0000_s1134" style="position:absolute;left:0;text-align:left;margin-left:49.75pt;margin-top:8.4pt;width:68.35pt;height:29.25pt;z-index:1240;mso-position-horizontal-relative:page" coordorigin="995,168" coordsize="1367,585">
            <v:shape id="_x0000_s1146" type="#_x0000_t75" style="position:absolute;left:995;top:168;width:278;height:155">
              <v:imagedata r:id="rId40" o:title=""/>
            </v:shape>
            <v:shape id="_x0000_s1145" style="position:absolute;left:1317;top:175;width:56;height:125" coordorigin="1317,175" coordsize="56,125" o:spt="100" adj="0,,0" path="m1346,175r-29,l1317,300r11,l1328,252r10,l1340,250r12,l1350,247r9,-5l1360,241r-32,l1328,186r34,l1355,178r-9,-3xm1352,250r-12,l1359,300r14,l1352,250xm1362,186r-13,l1359,193r,38l1349,241r11,l1366,235r4,-10l1371,213r,-12l1367,190r-5,-4xe" fillcolor="#6a6d76" stroked="f">
              <v:stroke joinstyle="round"/>
              <v:formulas/>
              <v:path arrowok="t" o:connecttype="segments"/>
            </v:shape>
            <v:line id="_x0000_s1144" style="position:absolute" from="1385,291" to="1400,291" strokecolor="#6a6d76" strokeweight=".91pt"/>
            <v:shape id="_x0000_s1143" type="#_x0000_t75" style="position:absolute;left:1446;top:174;width:375;height:147">
              <v:imagedata r:id="rId41" o:title=""/>
            </v:shape>
            <v:shape id="_x0000_s1142" type="#_x0000_t75" style="position:absolute;left:1867;top:175;width:233;height:146">
              <v:imagedata r:id="rId42" o:title=""/>
            </v:shape>
            <v:shape id="_x0000_s1141" type="#_x0000_t75" style="position:absolute;left:2144;top:174;width:213;height:126">
              <v:imagedata r:id="rId43" o:title=""/>
            </v:shape>
            <v:shape id="_x0000_s1140" type="#_x0000_t75" style="position:absolute;left:1904;top:390;width:458;height:150">
              <v:imagedata r:id="rId44" o:title=""/>
            </v:shape>
            <v:shape id="_x0000_s1139" type="#_x0000_t75" style="position:absolute;left:1196;top:607;width:276;height:126">
              <v:imagedata r:id="rId45" o:title=""/>
            </v:shape>
            <v:shape id="_x0000_s1138" style="position:absolute;left:1509;top:607;width:34;height:126" coordorigin="1509,607" coordsize="34,126" o:spt="100" adj="0,,0" path="m1509,720r,12l1512,732r5,1l1527,733r9,-6l1541,723r,-2l1512,721r-3,-1xm1542,607r-10,l1532,717r-6,4l1541,721r1,-4l1542,607xe" fillcolor="#6a6d76" stroked="f">
              <v:stroke joinstyle="round"/>
              <v:formulas/>
              <v:path arrowok="t" o:connecttype="segments"/>
            </v:shape>
            <v:line id="_x0000_s1137" style="position:absolute" from="1559,723" to="1574,723" strokecolor="#6a6d76" strokeweight=".9pt"/>
            <v:shape id="_x0000_s1136" type="#_x0000_t75" style="position:absolute;left:1616;top:606;width:485;height:147">
              <v:imagedata r:id="rId46" o:title=""/>
            </v:shape>
            <v:shape id="_x0000_s1135" type="#_x0000_t75" style="position:absolute;left:2147;top:607;width:210;height:125">
              <v:imagedata r:id="rId34" o:title=""/>
            </v:shape>
            <w10:wrap anchorx="page"/>
          </v:group>
        </w:pict>
      </w:r>
      <w:r>
        <w:rPr>
          <w:noProof/>
        </w:rPr>
        <w:drawing>
          <wp:anchor distT="0" distB="0" distL="0" distR="0" simplePos="0" relativeHeight="1264" behindDoc="0" locked="0" layoutInCell="1" allowOverlap="1">
            <wp:simplePos x="0" y="0"/>
            <wp:positionH relativeFrom="page">
              <wp:posOffset>1223345</wp:posOffset>
            </wp:positionH>
            <wp:positionV relativeFrom="paragraph">
              <wp:posOffset>522704</wp:posOffset>
            </wp:positionV>
            <wp:extent cx="277197" cy="80137"/>
            <wp:effectExtent l="0" t="0" r="0" b="0"/>
            <wp:wrapNone/>
            <wp:docPr id="3"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1.png"/>
                    <pic:cNvPicPr/>
                  </pic:nvPicPr>
                  <pic:blipFill>
                    <a:blip r:embed="rId47" cstate="print"/>
                    <a:stretch>
                      <a:fillRect/>
                    </a:stretch>
                  </pic:blipFill>
                  <pic:spPr>
                    <a:xfrm>
                      <a:off x="0" y="0"/>
                      <a:ext cx="277197" cy="80137"/>
                    </a:xfrm>
                    <a:prstGeom prst="rect">
                      <a:avLst/>
                    </a:prstGeom>
                  </pic:spPr>
                </pic:pic>
              </a:graphicData>
            </a:graphic>
          </wp:anchor>
        </w:drawing>
      </w:r>
      <w:r>
        <w:t xml:space="preserve">200 Independence Avenue, </w:t>
      </w:r>
      <w:r>
        <w:t>SW Room 305H-02 / Mail Stop 301H Washington, DC 20201</w:t>
      </w:r>
    </w:p>
    <w:p w:rsidR="0042065E" w:rsidRDefault="0042065E">
      <w:pPr>
        <w:pStyle w:val="BodyText"/>
      </w:pPr>
    </w:p>
    <w:p w:rsidR="0042065E" w:rsidRDefault="0042065E">
      <w:pPr>
        <w:pStyle w:val="BodyText"/>
        <w:spacing w:before="9"/>
        <w:rPr>
          <w:sz w:val="19"/>
        </w:rPr>
      </w:pPr>
    </w:p>
    <w:p w:rsidR="0042065E" w:rsidRDefault="00A96E76">
      <w:pPr>
        <w:pStyle w:val="Heading1"/>
        <w:tabs>
          <w:tab w:val="left" w:pos="2980"/>
        </w:tabs>
        <w:spacing w:line="276" w:lineRule="auto"/>
        <w:ind w:left="2260" w:right="356"/>
        <w:jc w:val="left"/>
      </w:pPr>
      <w:r>
        <w:pict>
          <v:group id="_x0000_s1119" style="position:absolute;left:0;text-align:left;margin-left:42.15pt;margin-top:1.55pt;width:75.7pt;height:38.8pt;z-index:1288;mso-position-horizontal-relative:page" coordorigin="843,31" coordsize="1514,776">
            <v:shape id="_x0000_s1133" type="#_x0000_t75" style="position:absolute;left:843;top:31;width:267;height:127">
              <v:imagedata r:id="rId48" o:title=""/>
            </v:shape>
            <v:shape id="_x0000_s1132" type="#_x0000_t75" style="position:absolute;left:1151;top:31;width:102;height:126">
              <v:imagedata r:id="rId49" o:title=""/>
            </v:shape>
            <v:shape id="_x0000_s1131" type="#_x0000_t75" style="position:absolute;left:1286;top:31;width:489;height:150">
              <v:imagedata r:id="rId50" o:title=""/>
            </v:shape>
            <v:shape id="_x0000_s1130" type="#_x0000_t75" style="position:absolute;left:1821;top:33;width:231;height:146">
              <v:imagedata r:id="rId51" o:title=""/>
            </v:shape>
            <v:shape id="_x0000_s1129" type="#_x0000_t75" style="position:absolute;left:2099;top:31;width:258;height:126">
              <v:imagedata r:id="rId52" o:title=""/>
            </v:shape>
            <v:shape id="_x0000_s1128" type="#_x0000_t75" style="position:absolute;left:1290;top:247;width:309;height:127">
              <v:imagedata r:id="rId53" o:title=""/>
            </v:shape>
            <v:shape id="_x0000_s1127" style="position:absolute;left:1643;top:249;width:41;height:125" coordorigin="1643,249" coordsize="41,125" path="m1655,249r-12,l1643,373r40,l1683,363r-28,l1655,249xe" fillcolor="#6a6d76" stroked="f">
              <v:path arrowok="t"/>
            </v:shape>
            <v:line id="_x0000_s1126" style="position:absolute" from="1694,364" to="1707,364" strokecolor="#6a6d76" strokeweight=".9pt"/>
            <v:shape id="_x0000_s1125" type="#_x0000_t75" style="position:absolute;left:1754;top:247;width:347;height:147">
              <v:imagedata r:id="rId54" o:title=""/>
            </v:shape>
            <v:shape id="_x0000_s1124" type="#_x0000_t75" style="position:absolute;left:2147;top:249;width:210;height:125">
              <v:imagedata r:id="rId55" o:title=""/>
            </v:shape>
            <v:shape id="_x0000_s1123" type="#_x0000_t75" style="position:absolute;left:1154;top:458;width:207;height:137">
              <v:imagedata r:id="rId56" o:title=""/>
            </v:shape>
            <v:shape id="_x0000_s1122" type="#_x0000_t75" style="position:absolute;left:1406;top:463;width:695;height:150">
              <v:imagedata r:id="rId57" o:title=""/>
            </v:shape>
            <v:shape id="_x0000_s1121" type="#_x0000_t75" style="position:absolute;left:2147;top:465;width:210;height:124">
              <v:imagedata r:id="rId58" o:title=""/>
            </v:shape>
            <v:shape id="_x0000_s1120" type="#_x0000_t75" style="position:absolute;left:1623;top:679;width:732;height:128">
              <v:imagedata r:id="rId59" o:title=""/>
            </v:shape>
            <w10:wrap anchorx="page"/>
          </v:group>
        </w:pict>
      </w:r>
      <w:r>
        <w:t>Re:</w:t>
      </w:r>
      <w:r>
        <w:tab/>
        <w:t>Advance Notice of Methodological Changes for Calendar Year (CY)</w:t>
      </w:r>
      <w:r>
        <w:rPr>
          <w:spacing w:val="-27"/>
        </w:rPr>
        <w:t xml:space="preserve"> </w:t>
      </w:r>
      <w:r>
        <w:t>2019</w:t>
      </w:r>
      <w:r>
        <w:rPr>
          <w:spacing w:val="-3"/>
        </w:rPr>
        <w:t xml:space="preserve"> </w:t>
      </w:r>
      <w:r>
        <w:t>for</w:t>
      </w:r>
      <w:r>
        <w:t xml:space="preserve"> </w:t>
      </w:r>
      <w:r>
        <w:t>Medicare Advantage (MA) Capitation Rates, Part C and Part D Payment Policies and 2019 Draft Call Letter</w:t>
      </w:r>
      <w:r>
        <w:rPr>
          <w:spacing w:val="-12"/>
        </w:rPr>
        <w:t xml:space="preserve"> </w:t>
      </w:r>
      <w:r>
        <w:t>(CMS</w:t>
      </w:r>
      <w:r>
        <w:t>-2017-0163)</w:t>
      </w:r>
    </w:p>
    <w:p w:rsidR="0042065E" w:rsidRDefault="0042065E">
      <w:pPr>
        <w:pStyle w:val="BodyText"/>
        <w:spacing w:before="4"/>
        <w:rPr>
          <w:b/>
          <w:sz w:val="16"/>
        </w:rPr>
      </w:pPr>
    </w:p>
    <w:p w:rsidR="0042065E" w:rsidRDefault="00A96E76">
      <w:pPr>
        <w:pStyle w:val="BodyText"/>
        <w:ind w:left="2260"/>
        <w:jc w:val="both"/>
      </w:pPr>
      <w:r>
        <w:pict>
          <v:group id="_x0000_s1067" style="position:absolute;left:0;text-align:left;margin-left:40.45pt;margin-top:-1pt;width:77.45pt;height:147.15pt;z-index:1312;mso-position-horizontal-relative:page" coordorigin="809,-20" coordsize="1549,2943">
            <v:shape id="_x0000_s1118" type="#_x0000_t75" style="position:absolute;left:941;top:-14;width:342;height:150">
              <v:imagedata r:id="rId60" o:title=""/>
            </v:shape>
            <v:shape id="_x0000_s1117" style="position:absolute;left:1325;top:-13;width:41;height:125" coordorigin="1325,-13" coordsize="41,125" path="m1337,-13r-12,l1325,112r40,l1365,101r-28,l1337,-13xe" fillcolor="#6a6d76" stroked="f">
              <v:path arrowok="t"/>
            </v:shape>
            <v:line id="_x0000_s1116" style="position:absolute" from="1376,103" to="1391,103" strokecolor="#6a6d76" strokeweight=".9pt"/>
            <v:shape id="_x0000_s1115" type="#_x0000_t75" style="position:absolute;left:1433;top:-20;width:311;height:153">
              <v:imagedata r:id="rId61" o:title=""/>
            </v:shape>
            <v:shape id="_x0000_s1114" type="#_x0000_t75" style="position:absolute;left:1790;top:-13;width:231;height:146">
              <v:imagedata r:id="rId62" o:title=""/>
            </v:shape>
            <v:shape id="_x0000_s1113" type="#_x0000_t75" style="position:absolute;left:2068;top:-13;width:289;height:125">
              <v:imagedata r:id="rId63" o:title=""/>
            </v:shape>
            <v:shape id="_x0000_s1112" type="#_x0000_t75" style="position:absolute;left:1239;top:202;width:311;height:127">
              <v:imagedata r:id="rId64" o:title=""/>
            </v:shape>
            <v:shape id="_x0000_s1111" style="position:absolute;left:1596;top:203;width:54;height:125" coordorigin="1596,203" coordsize="54,125" o:spt="100" adj="0,,0" path="m1623,203r-27,l1596,328r15,l1627,326r12,-7l1641,317r-33,l1608,269r34,l1640,268r-14,-3l1638,260r-30,l1608,214r34,l1634,206r-11,-3xm1642,269r-13,l1638,278r,32l1628,317r13,l1648,309r2,-14l1650,277r-8,-8xm1642,214r-14,l1637,221r,30l1628,260r10,l1649,253r,-27l1646,218r-4,-4xe" fillcolor="#6a6d76" stroked="f">
              <v:stroke joinstyle="round"/>
              <v:formulas/>
              <v:path arrowok="t" o:connecttype="segments"/>
            </v:shape>
            <v:line id="_x0000_s1110" style="position:absolute" from="1662,319" to="1677,319" strokecolor="#6a6d76" strokeweight=".9pt"/>
            <v:shape id="_x0000_s1109" type="#_x0000_t75" style="position:absolute;left:1722;top:202;width:378;height:147">
              <v:imagedata r:id="rId65" o:title=""/>
            </v:shape>
            <v:shape id="_x0000_s1108" type="#_x0000_t75" style="position:absolute;left:2147;top:203;width:210;height:125">
              <v:imagedata r:id="rId55" o:title=""/>
            </v:shape>
            <v:shape id="_x0000_s1107" type="#_x0000_t75" style="position:absolute;left:1467;top:419;width:296;height:148">
              <v:imagedata r:id="rId66" o:title=""/>
            </v:shape>
            <v:shape id="_x0000_s1106" type="#_x0000_t75" style="position:absolute;left:1803;top:413;width:297;height:152">
              <v:imagedata r:id="rId67" o:title=""/>
            </v:shape>
            <v:shape id="_x0000_s1105" type="#_x0000_t75" style="position:absolute;left:2147;top:419;width:210;height:124">
              <v:imagedata r:id="rId68" o:title=""/>
            </v:shape>
            <v:shape id="_x0000_s1104" type="#_x0000_t75" style="position:absolute;left:1307;top:629;width:344;height:137">
              <v:imagedata r:id="rId69" o:title=""/>
            </v:shape>
            <v:shape id="_x0000_s1103" type="#_x0000_t75" style="position:absolute;left:1698;top:635;width:108;height:124">
              <v:imagedata r:id="rId70" o:title=""/>
            </v:shape>
            <v:shape id="_x0000_s1102" type="#_x0000_t75" style="position:absolute;left:1844;top:634;width:257;height:147">
              <v:imagedata r:id="rId71" o:title=""/>
            </v:shape>
            <v:shape id="_x0000_s1101" type="#_x0000_t75" style="position:absolute;left:2147;top:635;width:210;height:124">
              <v:imagedata r:id="rId58" o:title=""/>
            </v:shape>
            <v:shape id="_x0000_s1100" type="#_x0000_t75" style="position:absolute;left:899;top:851;width:296;height:149">
              <v:imagedata r:id="rId72" o:title=""/>
            </v:shape>
            <v:shape id="_x0000_s1099" type="#_x0000_t75" style="position:absolute;left:1238;top:851;width:302;height:149">
              <v:imagedata r:id="rId73" o:title=""/>
            </v:shape>
            <v:shape id="_x0000_s1098" type="#_x0000_t75" style="position:absolute;left:1586;top:851;width:231;height:146">
              <v:imagedata r:id="rId74" o:title=""/>
            </v:shape>
            <v:shape id="_x0000_s1097" type="#_x0000_t75" style="position:absolute;left:1864;top:850;width:279;height:147">
              <v:imagedata r:id="rId75" o:title=""/>
            </v:shape>
            <v:shape id="_x0000_s1096" type="#_x0000_t75" style="position:absolute;left:2183;top:851;width:174;height:126">
              <v:imagedata r:id="rId76" o:title=""/>
            </v:shape>
            <v:shape id="_x0000_s1095" type="#_x0000_t75" style="position:absolute;left:1215;top:1060;width:389;height:138">
              <v:imagedata r:id="rId77" o:title=""/>
            </v:shape>
            <v:shape id="_x0000_s1094" type="#_x0000_t75" style="position:absolute;left:1650;top:1067;width:450;height:149">
              <v:imagedata r:id="rId78" o:title=""/>
            </v:shape>
            <v:shape id="_x0000_s1093" type="#_x0000_t75" style="position:absolute;left:2147;top:1067;width:210;height:125">
              <v:imagedata r:id="rId55" o:title=""/>
            </v:shape>
            <v:shape id="_x0000_s1092" type="#_x0000_t75" style="position:absolute;left:1386;top:1282;width:342;height:150">
              <v:imagedata r:id="rId79" o:title=""/>
            </v:shape>
            <v:shape id="_x0000_s1091" type="#_x0000_t75" style="position:absolute;left:1766;top:1282;width:335;height:147">
              <v:imagedata r:id="rId80" o:title=""/>
            </v:shape>
            <v:shape id="_x0000_s1090" type="#_x0000_t75" style="position:absolute;left:2147;top:1283;width:210;height:125">
              <v:imagedata r:id="rId34" o:title=""/>
            </v:shape>
            <v:shape id="_x0000_s1089" type="#_x0000_t75" style="position:absolute;left:1509;top:1500;width:264;height:126">
              <v:imagedata r:id="rId81" o:title=""/>
            </v:shape>
            <v:shape id="_x0000_s1088" type="#_x0000_t75" style="position:absolute;left:1820;top:1498;width:281;height:147">
              <v:imagedata r:id="rId82" o:title=""/>
            </v:shape>
            <v:shape id="_x0000_s1087" type="#_x0000_t75" style="position:absolute;left:2147;top:1500;width:210;height:124">
              <v:imagedata r:id="rId68" o:title=""/>
            </v:shape>
            <v:shape id="_x0000_s1086" type="#_x0000_t75" style="position:absolute;left:966;top:1716;width:656;height:148">
              <v:imagedata r:id="rId83" o:title=""/>
            </v:shape>
            <v:shape id="_x0000_s1085" type="#_x0000_t75" style="position:absolute;left:1659;top:1714;width:689;height:147">
              <v:imagedata r:id="rId84" o:title=""/>
            </v:shape>
            <v:shape id="_x0000_s1084" type="#_x0000_t75" style="position:absolute;left:1846;top:1932;width:231;height:146">
              <v:imagedata r:id="rId85" o:title=""/>
            </v:shape>
            <v:shape id="_x0000_s1083" type="#_x0000_t75" style="position:absolute;left:2123;top:1930;width:234;height:128">
              <v:imagedata r:id="rId86" o:title=""/>
            </v:shape>
            <v:shape id="_x0000_s1082" type="#_x0000_t75" style="position:absolute;left:1073;top:2146;width:369;height:127">
              <v:imagedata r:id="rId87" o:title=""/>
            </v:shape>
            <v:shape id="_x0000_s1081" style="position:absolute;left:1490;top:2148;width:43;height:125" coordorigin="1490,2148" coordsize="43,125" path="m1532,2148r-42,l1490,2272r10,l1500,2217r29,l1529,2205r-29,l1500,2158r32,l1532,2148xe" fillcolor="#6a6d76" stroked="f">
              <v:path arrowok="t"/>
            </v:shape>
            <v:line id="_x0000_s1080" style="position:absolute" from="1535,2263" to="1548,2263" strokecolor="#6a6d76" strokeweight=".9pt"/>
            <v:shape id="_x0000_s1079" type="#_x0000_t75" style="position:absolute;left:1592;top:2146;width:509;height:147">
              <v:imagedata r:id="rId88" o:title=""/>
            </v:shape>
            <v:shape id="_x0000_s1078" type="#_x0000_t75" style="position:absolute;left:2147;top:2148;width:210;height:125">
              <v:imagedata r:id="rId55" o:title=""/>
            </v:shape>
            <v:shape id="_x0000_s1077" type="#_x0000_t75" style="position:absolute;left:809;top:2362;width:435;height:128">
              <v:imagedata r:id="rId89" o:title=""/>
            </v:shape>
            <v:shape id="_x0000_s1076" style="position:absolute;left:1290;top:2364;width:54;height:125" coordorigin="1290,2364" coordsize="54,125" o:spt="100" adj="0,,0" path="m1319,2364r-29,l1290,2488r15,l1321,2486r12,-6l1335,2478r-33,l1302,2430r33,l1334,2428r-14,-3l1332,2421r-30,l1302,2374r33,l1328,2367r-9,-3xm1335,2430r-12,l1332,2439r,31l1322,2478r13,l1341,2469r3,-14l1344,2437r-9,-7xm1335,2374r-13,l1331,2382r,30l1322,2421r10,l1343,2413r,-27l1340,2379r-5,-5xe" fillcolor="#6a6d76" stroked="f">
              <v:stroke joinstyle="round"/>
              <v:formulas/>
              <v:path arrowok="t" o:connecttype="segments"/>
            </v:shape>
            <v:line id="_x0000_s1075" style="position:absolute" from="1356,2479" to="1371,2479" strokecolor="#6a6d76" strokeweight=".9pt"/>
            <v:shape id="_x0000_s1074" type="#_x0000_t75" style="position:absolute;left:1413;top:2362;width:330;height:150">
              <v:imagedata r:id="rId90" o:title=""/>
            </v:shape>
            <v:shape id="_x0000_s1073" type="#_x0000_t75" style="position:absolute;left:1790;top:2364;width:231;height:146">
              <v:imagedata r:id="rId91" o:title=""/>
            </v:shape>
            <v:shape id="_x0000_s1072" type="#_x0000_t75" style="position:absolute;left:2068;top:2364;width:289;height:125">
              <v:imagedata r:id="rId63" o:title=""/>
            </v:shape>
            <v:shape id="_x0000_s1071" type="#_x0000_t75" style="position:absolute;left:1347;top:2578;width:327;height:150">
              <v:imagedata r:id="rId92" o:title=""/>
            </v:shape>
            <v:shape id="_x0000_s1070" type="#_x0000_t75" style="position:absolute;left:1718;top:2578;width:383;height:147">
              <v:imagedata r:id="rId93" o:title=""/>
            </v:shape>
            <v:shape id="_x0000_s1069" type="#_x0000_t75" style="position:absolute;left:2147;top:2580;width:210;height:124">
              <v:imagedata r:id="rId68" o:title=""/>
            </v:shape>
            <v:shape id="_x0000_s1068" type="#_x0000_t75" style="position:absolute;left:1975;top:2796;width:381;height:126">
              <v:imagedata r:id="rId94" o:title=""/>
            </v:shape>
            <w10:wrap anchorx="page"/>
          </v:group>
        </w:pict>
      </w:r>
      <w:r>
        <w:t>Dear Principal Deputy Administrator Kouzoukas:</w:t>
      </w:r>
    </w:p>
    <w:p w:rsidR="0042065E" w:rsidRDefault="0042065E">
      <w:pPr>
        <w:pStyle w:val="BodyText"/>
        <w:spacing w:before="8"/>
        <w:rPr>
          <w:sz w:val="19"/>
        </w:rPr>
      </w:pPr>
    </w:p>
    <w:p w:rsidR="0042065E" w:rsidRDefault="00A96E76">
      <w:pPr>
        <w:pStyle w:val="BodyText"/>
        <w:spacing w:line="276" w:lineRule="auto"/>
        <w:ind w:left="2260" w:right="109"/>
        <w:jc w:val="both"/>
      </w:pPr>
      <w:r>
        <w:t>The American Psychiatric Association (APA), the national medical specialty society representing over 37,800 psychiatric physicians and their pa</w:t>
      </w:r>
      <w:r>
        <w:t>tients, would like to take the opportunity to comment on the 2019 Draft Call Letter for Medicare Advantage (MA) and Part D</w:t>
      </w:r>
      <w:r>
        <w:rPr>
          <w:spacing w:val="-10"/>
        </w:rPr>
        <w:t xml:space="preserve"> </w:t>
      </w:r>
      <w:r>
        <w:t>plans,</w:t>
      </w:r>
      <w:r>
        <w:rPr>
          <w:spacing w:val="-10"/>
        </w:rPr>
        <w:t xml:space="preserve"> </w:t>
      </w:r>
      <w:r>
        <w:t>in</w:t>
      </w:r>
      <w:r>
        <w:rPr>
          <w:spacing w:val="-12"/>
        </w:rPr>
        <w:t xml:space="preserve"> </w:t>
      </w:r>
      <w:r>
        <w:t>the</w:t>
      </w:r>
      <w:r>
        <w:rPr>
          <w:spacing w:val="-10"/>
        </w:rPr>
        <w:t xml:space="preserve"> </w:t>
      </w:r>
      <w:r>
        <w:t>notice</w:t>
      </w:r>
      <w:r>
        <w:rPr>
          <w:spacing w:val="-10"/>
        </w:rPr>
        <w:t xml:space="preserve"> </w:t>
      </w:r>
      <w:r>
        <w:t>referenced</w:t>
      </w:r>
      <w:r>
        <w:rPr>
          <w:spacing w:val="-11"/>
        </w:rPr>
        <w:t xml:space="preserve"> </w:t>
      </w:r>
      <w:r>
        <w:t>above.</w:t>
      </w:r>
      <w:r>
        <w:rPr>
          <w:spacing w:val="31"/>
        </w:rPr>
        <w:t xml:space="preserve"> </w:t>
      </w:r>
      <w:r>
        <w:t>Our</w:t>
      </w:r>
      <w:r>
        <w:rPr>
          <w:spacing w:val="-11"/>
        </w:rPr>
        <w:t xml:space="preserve"> </w:t>
      </w:r>
      <w:r>
        <w:t>comments</w:t>
      </w:r>
      <w:r>
        <w:rPr>
          <w:spacing w:val="-10"/>
        </w:rPr>
        <w:t xml:space="preserve"> </w:t>
      </w:r>
      <w:r>
        <w:t>focus</w:t>
      </w:r>
      <w:r>
        <w:rPr>
          <w:spacing w:val="-11"/>
        </w:rPr>
        <w:t xml:space="preserve"> </w:t>
      </w:r>
      <w:r>
        <w:t>specifically</w:t>
      </w:r>
      <w:r>
        <w:rPr>
          <w:spacing w:val="-12"/>
        </w:rPr>
        <w:t xml:space="preserve"> </w:t>
      </w:r>
      <w:r>
        <w:t>on</w:t>
      </w:r>
      <w:r>
        <w:rPr>
          <w:spacing w:val="-11"/>
        </w:rPr>
        <w:t xml:space="preserve"> </w:t>
      </w:r>
      <w:r>
        <w:t>issues</w:t>
      </w:r>
      <w:r>
        <w:rPr>
          <w:spacing w:val="-10"/>
        </w:rPr>
        <w:t xml:space="preserve"> </w:t>
      </w:r>
      <w:r>
        <w:t>that</w:t>
      </w:r>
      <w:r>
        <w:rPr>
          <w:spacing w:val="-10"/>
        </w:rPr>
        <w:t xml:space="preserve"> </w:t>
      </w:r>
      <w:r>
        <w:t xml:space="preserve">impact the care of patients with mental health and substance use disorders (MH/SUDs), </w:t>
      </w:r>
      <w:r>
        <w:rPr>
          <w:spacing w:val="44"/>
        </w:rPr>
        <w:t xml:space="preserve"> </w:t>
      </w:r>
      <w:r>
        <w:t>particularly</w:t>
      </w:r>
    </w:p>
    <w:p w:rsidR="0042065E" w:rsidRDefault="00A96E76">
      <w:pPr>
        <w:pStyle w:val="BodyText"/>
        <w:spacing w:before="1" w:line="276" w:lineRule="auto"/>
        <w:ind w:left="2260" w:right="356"/>
      </w:pPr>
      <w:r>
        <w:t>(1) access to medication assisted treatment; (2) opioid potentiator drugs; (3) enforcement actions for provider directories to ensure network adequacy; and (4) quality measures.</w:t>
      </w:r>
    </w:p>
    <w:p w:rsidR="0042065E" w:rsidRDefault="0042065E">
      <w:pPr>
        <w:pStyle w:val="BodyText"/>
        <w:spacing w:before="4"/>
        <w:rPr>
          <w:sz w:val="16"/>
        </w:rPr>
      </w:pPr>
    </w:p>
    <w:p w:rsidR="0042065E" w:rsidRDefault="00A96E76">
      <w:pPr>
        <w:pStyle w:val="BodyText"/>
        <w:spacing w:line="276" w:lineRule="auto"/>
        <w:ind w:left="2260" w:right="108"/>
        <w:jc w:val="both"/>
      </w:pPr>
      <w:r>
        <w:pict>
          <v:group id="_x0000_s1061" style="position:absolute;left:0;text-align:left;margin-left:73.75pt;margin-top:17.1pt;width:43.7pt;height:17.75pt;z-index:1336;mso-position-horizontal-relative:page" coordorigin="1475,342" coordsize="874,355">
            <v:shape id="_x0000_s1066" type="#_x0000_t75" style="position:absolute;left:1493;top:353;width:575;height:127">
              <v:imagedata r:id="rId95" o:title=""/>
            </v:shape>
            <v:shape id="_x0000_s1065" style="position:absolute;left:2098;top:349;width:93;height:132" coordorigin="2098,349" coordsize="93,132" o:spt="100" adj="0,,0" path="m2125,461r-14,l2118,469r8,6l2136,479r11,2l2163,477r13,-8l2144,469r-12,-3l2125,461xm2111,349r-13,l2098,479r13,l2111,461r14,l2121,459r-7,-11l2111,433r3,-15l2121,407r2,-1l2111,406r,-57xm2176,397r-32,l2157,399r10,8l2174,418r3,15l2174,448r-7,11l2157,466r-13,3l2176,469r1,-1l2187,453r4,-20l2187,412r-10,-15l2176,397xm2147,385r-11,1l2126,391r-8,7l2111,406r12,l2132,399r12,-2l2176,397r-13,-9l2147,385xe" fillcolor="#254392" stroked="f">
              <v:stroke joinstyle="round"/>
              <v:formulas/>
              <v:path arrowok="t" o:connecttype="segments"/>
            </v:shape>
            <v:shape id="_x0000_s1064" type="#_x0000_t75" style="position:absolute;left:2219;top:342;width:129;height:166">
              <v:imagedata r:id="rId96" o:title=""/>
            </v:shape>
            <v:shape id="_x0000_s1063" type="#_x0000_t75" style="position:absolute;left:1475;top:568;width:273;height:129">
              <v:imagedata r:id="rId97" o:title=""/>
            </v:shape>
            <v:shape id="_x0000_s1062" type="#_x0000_t75" style="position:absolute;left:1779;top:568;width:566;height:129">
              <v:imagedata r:id="rId98" o:title=""/>
            </v:shape>
            <w10:wrap anchorx="page"/>
          </v:group>
        </w:pict>
      </w:r>
      <w:r>
        <w:pict>
          <v:group id="_x0000_s1043" style="position:absolute;left:0;text-align:left;margin-left:38.85pt;margin-top:39.25pt;width:79.3pt;height:60.4pt;z-index:1360;mso-position-horizontal-relative:page" coordorigin="777,785" coordsize="1586,1208">
            <v:shape id="_x0000_s1060" type="#_x0000_t75" style="position:absolute;left:1160;top:785;width:389;height:128">
              <v:imagedata r:id="rId99" o:title=""/>
            </v:shape>
            <v:shape id="_x0000_s1059" type="#_x0000_t75" style="position:absolute;left:1595;top:785;width:506;height:147">
              <v:imagedata r:id="rId100" o:title=""/>
            </v:shape>
            <v:shape id="_x0000_s1058" type="#_x0000_t75" style="position:absolute;left:2147;top:787;width:210;height:124">
              <v:imagedata r:id="rId68" o:title=""/>
            </v:shape>
            <v:shape id="_x0000_s1057" type="#_x0000_t75" style="position:absolute;left:1966;top:1001;width:398;height:150">
              <v:imagedata r:id="rId101" o:title=""/>
            </v:shape>
            <v:shape id="_x0000_s1056" type="#_x0000_t75" style="position:absolute;left:777;top:1219;width:318;height:126">
              <v:imagedata r:id="rId102" o:title=""/>
            </v:shape>
            <v:shape id="_x0000_s1055" type="#_x0000_t75" style="position:absolute;left:1136;top:1216;width:278;height:152">
              <v:imagedata r:id="rId103" o:title=""/>
            </v:shape>
            <v:shape id="_x0000_s1054" style="position:absolute;left:1458;top:1219;width:58;height:125" coordorigin="1458,1219" coordsize="58,125" o:spt="100" adj="0,,0" path="m1487,1219r-29,l1458,1343r12,l1470,1295r9,l1481,1294r13,l1493,1291r12,-5l1506,1285r-36,l1470,1229r34,l1502,1228r-6,-6l1487,1219xm1494,1294r-13,l1502,1343r13,l1494,1294xm1504,1229r-14,l1500,1237r,37l1491,1285r15,l1512,1274r,-30l1509,1234r-5,-5xe" fillcolor="#6a6d76" stroked="f">
              <v:stroke joinstyle="round"/>
              <v:formulas/>
              <v:path arrowok="t" o:connecttype="segments"/>
            </v:shape>
            <v:line id="_x0000_s1053" style="position:absolute" from="1527,1334" to="1541,1334" strokecolor="#6a6d76" strokeweight=".9pt"/>
            <v:shape id="_x0000_s1052" type="#_x0000_t75" style="position:absolute;left:1587;top:1219;width:513;height:146">
              <v:imagedata r:id="rId104" o:title=""/>
            </v:shape>
            <v:shape id="_x0000_s1051" type="#_x0000_t75" style="position:absolute;left:2147;top:1219;width:210;height:125">
              <v:imagedata r:id="rId105" o:title=""/>
            </v:shape>
            <v:shape id="_x0000_s1050" type="#_x0000_t75" style="position:absolute;left:1698;top:1433;width:662;height:150">
              <v:imagedata r:id="rId106" o:title=""/>
            </v:shape>
            <v:shape id="_x0000_s1049" type="#_x0000_t75" style="position:absolute;left:1352;top:1643;width:207;height:138">
              <v:imagedata r:id="rId107" o:title=""/>
            </v:shape>
            <v:shape id="_x0000_s1048" style="position:absolute;left:1601;top:1651;width:33;height:127" coordorigin="1601,1651" coordsize="33,127" o:spt="100" adj="0,,0" path="m1601,1763r,12l1604,1775r3,2l1617,1777r6,-3l1628,1771r4,-5l1633,1765r-29,l1601,1763xm1634,1651r-11,l1623,1760r-6,5l1633,1765r1,-5l1634,1651xe" fillcolor="#6a6d76" stroked="f">
              <v:stroke joinstyle="round"/>
              <v:formulas/>
              <v:path arrowok="t" o:connecttype="segments"/>
            </v:shape>
            <v:line id="_x0000_s1047" style="position:absolute" from="1650,1766" to="1664,1766" strokecolor="#6a6d76" strokeweight=".9pt"/>
            <v:shape id="_x0000_s1046" type="#_x0000_t75" style="position:absolute;left:1707;top:1649;width:393;height:150">
              <v:imagedata r:id="rId108" o:title=""/>
            </v:shape>
            <v:shape id="_x0000_s1045" type="#_x0000_t75" style="position:absolute;left:2147;top:1651;width:210;height:125">
              <v:imagedata r:id="rId109" o:title=""/>
            </v:shape>
            <v:shape id="_x0000_s1044" type="#_x0000_t75" style="position:absolute;left:1925;top:1865;width:438;height:128">
              <v:imagedata r:id="rId110" o:title=""/>
            </v:shape>
            <w10:wrap anchorx="page"/>
          </v:group>
        </w:pict>
      </w:r>
      <w:r>
        <w:t xml:space="preserve">The APA welcomes the opportunity to provide comments </w:t>
      </w:r>
      <w:r>
        <w:t>to the Centers for Medicare and Medicaid Services (CMS) on these critical issues. It is important for CMS to ensure the receipt of well-rounded expert opinions on the subject matter included in this Draft Call Letter, and we remind the agency that collecti</w:t>
      </w:r>
      <w:r>
        <w:t>ng expert opinions takes time. For future draft call letters, we request that the public be offered a comment period greater than 30 days.</w:t>
      </w:r>
    </w:p>
    <w:p w:rsidR="0042065E" w:rsidRDefault="0042065E">
      <w:pPr>
        <w:pStyle w:val="BodyText"/>
        <w:spacing w:before="4"/>
        <w:rPr>
          <w:sz w:val="25"/>
        </w:rPr>
      </w:pPr>
    </w:p>
    <w:p w:rsidR="0042065E" w:rsidRDefault="00A96E76">
      <w:pPr>
        <w:pStyle w:val="Heading1"/>
        <w:numPr>
          <w:ilvl w:val="0"/>
          <w:numId w:val="2"/>
        </w:numPr>
        <w:tabs>
          <w:tab w:val="left" w:pos="2980"/>
          <w:tab w:val="left" w:pos="2981"/>
        </w:tabs>
        <w:jc w:val="both"/>
      </w:pPr>
      <w:r>
        <w:pict>
          <v:group id="_x0000_s1036" style="position:absolute;left:0;text-align:left;margin-left:58.35pt;margin-top:32.8pt;width:59.8pt;height:17.45pt;z-index:1384;mso-position-horizontal-relative:page" coordorigin="1167,656" coordsize="1196,349">
            <v:shape id="_x0000_s1042" type="#_x0000_t75" style="position:absolute;left:1208;top:656;width:206;height:137">
              <v:imagedata r:id="rId111" o:title=""/>
            </v:shape>
            <v:shape id="_x0000_s1041" type="#_x0000_t75" style="position:absolute;left:1461;top:661;width:284;height:147">
              <v:imagedata r:id="rId112" o:title=""/>
            </v:shape>
            <v:shape id="_x0000_s1040" type="#_x0000_t75" style="position:absolute;left:1791;top:662;width:231;height:146">
              <v:imagedata r:id="rId113" o:title=""/>
            </v:shape>
            <v:shape id="_x0000_s1039" type="#_x0000_t75" style="position:absolute;left:2069;top:661;width:288;height:126">
              <v:imagedata r:id="rId114" o:title=""/>
            </v:shape>
            <v:shape id="_x0000_s1038" type="#_x0000_t75" style="position:absolute;left:1167;top:877;width:176;height:128">
              <v:imagedata r:id="rId115" o:title=""/>
            </v:shape>
            <v:shape id="_x0000_s1037" type="#_x0000_t75" style="position:absolute;left:1373;top:877;width:990;height:128">
              <v:imagedata r:id="rId116" o:title=""/>
            </v:shape>
            <w10:wrap anchorx="page"/>
          </v:group>
        </w:pict>
      </w:r>
      <w:r>
        <w:t>Access to Medication Assisted</w:t>
      </w:r>
      <w:r>
        <w:rPr>
          <w:spacing w:val="-11"/>
        </w:rPr>
        <w:t xml:space="preserve"> </w:t>
      </w:r>
      <w:r>
        <w:t>Treatment</w:t>
      </w:r>
    </w:p>
    <w:p w:rsidR="0042065E" w:rsidRDefault="00A96E76">
      <w:pPr>
        <w:pStyle w:val="BodyText"/>
        <w:spacing w:before="10"/>
        <w:rPr>
          <w:b/>
          <w:sz w:val="10"/>
        </w:rPr>
      </w:pPr>
      <w:r>
        <w:pict>
          <v:group id="_x0000_s1030" style="position:absolute;margin-left:52.5pt;margin-top:8.55pt;width:64.55pt;height:6.6pt;z-index:1096;mso-wrap-distance-left:0;mso-wrap-distance-right:0;mso-position-horizontal-relative:page" coordorigin="1050,171" coordsize="1291,132">
            <v:shape id="_x0000_s1035" type="#_x0000_t75" style="position:absolute;left:1050;top:171;width:233;height:132">
              <v:imagedata r:id="rId117" o:title=""/>
            </v:shape>
            <v:shape id="_x0000_s1034" style="position:absolute;left:1316;top:207;width:140;height:95" coordorigin="1316,207" coordsize="140,95" o:spt="100" adj="0,,0" path="m1329,210r-13,l1316,302r13,l1329,233r7,-8l1329,225r,-15xm1386,221r-16,l1379,230r,72l1392,302r,-72l1399,225r-11,l1386,221xm1448,221r-15,l1442,230r,72l1455,302r,-57l1453,229r-5,-8xm1374,207r-31,l1335,216r-6,9l1336,225r4,-4l1386,221r-3,-5l1374,207xm1421,207r-17,l1395,216r-7,9l1399,225r5,-4l1448,221r-2,-3l1435,210r-14,-3xe" fillcolor="#254392" stroked="f">
              <v:stroke joinstyle="round"/>
              <v:formulas/>
              <v:path arrowok="t" o:connecttype="segments"/>
            </v:shape>
            <v:shape id="_x0000_s1033" style="position:absolute;left:1487;top:174;width:15;height:128" coordorigin="1487,174" coordsize="15,128" o:spt="100" adj="0,,0" path="m1502,174r-15,l1487,189r15,l1502,174xm1500,210r-13,l1487,302r13,l1500,210xe" fillcolor="#254392" stroked="f">
              <v:stroke joinstyle="round"/>
              <v:formulas/>
              <v:path arrowok="t" o:connecttype="segments"/>
            </v:shape>
            <v:shape id="_x0000_s1032" style="position:absolute;left:1533;top:207;width:82;height:95" coordorigin="1533,207" coordsize="82,95" o:spt="100" adj="0,,0" path="m1547,210r-14,l1533,302r14,l1547,249r2,-12l1555,228r5,-3l1547,225r,-15xm1607,221r-17,l1601,231r,71l1614,302r,-57l1612,229r-5,-8xm1578,207r-15,l1553,216r-6,9l1560,225r4,-2l1575,221r32,l1605,218r-11,-8l1578,207xe" fillcolor="#254392" stroked="f">
              <v:stroke joinstyle="round"/>
              <v:formulas/>
              <v:path arrowok="t" o:connecttype="segments"/>
            </v:shape>
            <v:shape id="_x0000_s1031" type="#_x0000_t75" style="position:absolute;left:1644;top:174;width:696;height:129">
              <v:imagedata r:id="rId118" o:title=""/>
            </v:shape>
            <w10:wrap type="topAndBottom" anchorx="page"/>
          </v:group>
        </w:pict>
      </w:r>
    </w:p>
    <w:p w:rsidR="0042065E" w:rsidRDefault="00A96E76">
      <w:pPr>
        <w:spacing w:before="15" w:line="276" w:lineRule="auto"/>
        <w:ind w:left="2260" w:right="107"/>
        <w:jc w:val="both"/>
      </w:pPr>
      <w:r>
        <w:rPr>
          <w:b/>
        </w:rPr>
        <w:t>The APA supports efforts to minimize barriers to medication as</w:t>
      </w:r>
      <w:r>
        <w:rPr>
          <w:b/>
        </w:rPr>
        <w:t>sisted treatment (MAT) by easing</w:t>
      </w:r>
      <w:r>
        <w:rPr>
          <w:b/>
          <w:spacing w:val="-10"/>
        </w:rPr>
        <w:t xml:space="preserve"> </w:t>
      </w:r>
      <w:r>
        <w:rPr>
          <w:b/>
        </w:rPr>
        <w:t>prior</w:t>
      </w:r>
      <w:r>
        <w:rPr>
          <w:b/>
          <w:spacing w:val="-12"/>
        </w:rPr>
        <w:t xml:space="preserve"> </w:t>
      </w:r>
      <w:r>
        <w:rPr>
          <w:b/>
        </w:rPr>
        <w:t>authorization</w:t>
      </w:r>
      <w:r>
        <w:rPr>
          <w:b/>
          <w:spacing w:val="-13"/>
        </w:rPr>
        <w:t xml:space="preserve"> </w:t>
      </w:r>
      <w:r>
        <w:rPr>
          <w:b/>
        </w:rPr>
        <w:t>requirements</w:t>
      </w:r>
      <w:r>
        <w:rPr>
          <w:b/>
          <w:spacing w:val="-11"/>
        </w:rPr>
        <w:t xml:space="preserve"> </w:t>
      </w:r>
      <w:r>
        <w:rPr>
          <w:b/>
        </w:rPr>
        <w:t>and</w:t>
      </w:r>
      <w:r>
        <w:rPr>
          <w:b/>
          <w:spacing w:val="-11"/>
        </w:rPr>
        <w:t xml:space="preserve"> </w:t>
      </w:r>
      <w:r>
        <w:rPr>
          <w:b/>
        </w:rPr>
        <w:t>making</w:t>
      </w:r>
      <w:r>
        <w:rPr>
          <w:b/>
          <w:spacing w:val="-12"/>
        </w:rPr>
        <w:t xml:space="preserve"> </w:t>
      </w:r>
      <w:r>
        <w:rPr>
          <w:b/>
        </w:rPr>
        <w:t>available</w:t>
      </w:r>
      <w:r>
        <w:rPr>
          <w:b/>
          <w:spacing w:val="-11"/>
        </w:rPr>
        <w:t xml:space="preserve"> </w:t>
      </w:r>
      <w:r>
        <w:rPr>
          <w:b/>
        </w:rPr>
        <w:t>all</w:t>
      </w:r>
      <w:r>
        <w:rPr>
          <w:b/>
          <w:spacing w:val="-11"/>
        </w:rPr>
        <w:t xml:space="preserve"> </w:t>
      </w:r>
      <w:r>
        <w:rPr>
          <w:b/>
        </w:rPr>
        <w:t>FDA-approved</w:t>
      </w:r>
      <w:r>
        <w:rPr>
          <w:b/>
          <w:spacing w:val="-13"/>
        </w:rPr>
        <w:t xml:space="preserve"> </w:t>
      </w:r>
      <w:r>
        <w:rPr>
          <w:b/>
        </w:rPr>
        <w:t>medications for treating substance use disorders, including long-acting buprenorphine formulations that reduce the risk of relapse and improve adherence</w:t>
      </w:r>
      <w:r>
        <w:rPr>
          <w:b/>
        </w:rPr>
        <w:t>. The APA also supports the CMS position that benefit designs that would substantially discourage enrollment by beneficiaries who need</w:t>
      </w:r>
      <w:r>
        <w:rPr>
          <w:b/>
          <w:spacing w:val="-12"/>
        </w:rPr>
        <w:t xml:space="preserve"> </w:t>
      </w:r>
      <w:r>
        <w:rPr>
          <w:b/>
        </w:rPr>
        <w:t>these</w:t>
      </w:r>
      <w:r>
        <w:rPr>
          <w:b/>
          <w:spacing w:val="-12"/>
        </w:rPr>
        <w:t xml:space="preserve"> </w:t>
      </w:r>
      <w:r>
        <w:rPr>
          <w:b/>
        </w:rPr>
        <w:t>therapies</w:t>
      </w:r>
      <w:r>
        <w:rPr>
          <w:b/>
          <w:spacing w:val="-13"/>
        </w:rPr>
        <w:t xml:space="preserve"> </w:t>
      </w:r>
      <w:r>
        <w:rPr>
          <w:b/>
        </w:rPr>
        <w:t>will</w:t>
      </w:r>
      <w:r>
        <w:rPr>
          <w:b/>
          <w:spacing w:val="-11"/>
        </w:rPr>
        <w:t xml:space="preserve"> </w:t>
      </w:r>
      <w:r>
        <w:rPr>
          <w:b/>
        </w:rPr>
        <w:t>not</w:t>
      </w:r>
      <w:r>
        <w:rPr>
          <w:b/>
          <w:spacing w:val="-11"/>
        </w:rPr>
        <w:t xml:space="preserve"> </w:t>
      </w:r>
      <w:r>
        <w:rPr>
          <w:b/>
        </w:rPr>
        <w:t>be</w:t>
      </w:r>
      <w:r>
        <w:rPr>
          <w:b/>
          <w:spacing w:val="-12"/>
        </w:rPr>
        <w:t xml:space="preserve"> </w:t>
      </w:r>
      <w:r>
        <w:rPr>
          <w:b/>
        </w:rPr>
        <w:t>approved.</w:t>
      </w:r>
      <w:r>
        <w:rPr>
          <w:b/>
          <w:spacing w:val="26"/>
        </w:rPr>
        <w:t xml:space="preserve"> </w:t>
      </w:r>
      <w:r>
        <w:rPr>
          <w:b/>
        </w:rPr>
        <w:t>We</w:t>
      </w:r>
      <w:r>
        <w:rPr>
          <w:b/>
          <w:spacing w:val="-15"/>
        </w:rPr>
        <w:t xml:space="preserve"> </w:t>
      </w:r>
      <w:r>
        <w:rPr>
          <w:b/>
        </w:rPr>
        <w:t>continue</w:t>
      </w:r>
      <w:r>
        <w:rPr>
          <w:b/>
          <w:spacing w:val="-12"/>
        </w:rPr>
        <w:t xml:space="preserve"> </w:t>
      </w:r>
      <w:r>
        <w:rPr>
          <w:b/>
        </w:rPr>
        <w:t>to</w:t>
      </w:r>
      <w:r>
        <w:rPr>
          <w:b/>
          <w:spacing w:val="-12"/>
        </w:rPr>
        <w:t xml:space="preserve"> </w:t>
      </w:r>
      <w:r>
        <w:rPr>
          <w:b/>
        </w:rPr>
        <w:t>expect</w:t>
      </w:r>
      <w:r>
        <w:rPr>
          <w:b/>
          <w:spacing w:val="-14"/>
        </w:rPr>
        <w:t xml:space="preserve"> </w:t>
      </w:r>
      <w:r>
        <w:rPr>
          <w:b/>
        </w:rPr>
        <w:t>Part</w:t>
      </w:r>
      <w:r>
        <w:rPr>
          <w:b/>
          <w:spacing w:val="-14"/>
        </w:rPr>
        <w:t xml:space="preserve"> </w:t>
      </w:r>
      <w:r>
        <w:rPr>
          <w:b/>
        </w:rPr>
        <w:t>D</w:t>
      </w:r>
      <w:r>
        <w:rPr>
          <w:b/>
          <w:spacing w:val="-12"/>
        </w:rPr>
        <w:t xml:space="preserve"> </w:t>
      </w:r>
      <w:r>
        <w:rPr>
          <w:b/>
        </w:rPr>
        <w:t>sponsors</w:t>
      </w:r>
      <w:r>
        <w:rPr>
          <w:b/>
          <w:spacing w:val="-13"/>
        </w:rPr>
        <w:t xml:space="preserve"> </w:t>
      </w:r>
      <w:r>
        <w:rPr>
          <w:b/>
        </w:rPr>
        <w:t>to</w:t>
      </w:r>
      <w:r>
        <w:rPr>
          <w:b/>
          <w:spacing w:val="-12"/>
        </w:rPr>
        <w:t xml:space="preserve"> </w:t>
      </w:r>
      <w:r>
        <w:rPr>
          <w:b/>
        </w:rPr>
        <w:t xml:space="preserve">include products in preferred formulary tiers, and to avoid placing generic drugs indicated for MAT in brand tiers. </w:t>
      </w:r>
      <w:r>
        <w:t>It is imperative to ensure that Medicare beneficiaries have appropriate access to medication-assisted treatment (MAT). As CMS has previously</w:t>
      </w:r>
      <w:r>
        <w:t xml:space="preserve"> noted in call letter guidance, the</w:t>
      </w:r>
      <w:r>
        <w:rPr>
          <w:spacing w:val="-3"/>
        </w:rPr>
        <w:t xml:space="preserve"> </w:t>
      </w:r>
      <w:r>
        <w:t>agency</w:t>
      </w:r>
      <w:r>
        <w:rPr>
          <w:spacing w:val="-4"/>
        </w:rPr>
        <w:t xml:space="preserve"> </w:t>
      </w:r>
      <w:r>
        <w:t>will</w:t>
      </w:r>
      <w:r>
        <w:rPr>
          <w:spacing w:val="-3"/>
        </w:rPr>
        <w:t xml:space="preserve"> </w:t>
      </w:r>
      <w:r>
        <w:t>closely</w:t>
      </w:r>
      <w:r>
        <w:rPr>
          <w:spacing w:val="-4"/>
        </w:rPr>
        <w:t xml:space="preserve"> </w:t>
      </w:r>
      <w:r>
        <w:t>scrutinize</w:t>
      </w:r>
      <w:r>
        <w:rPr>
          <w:spacing w:val="-3"/>
        </w:rPr>
        <w:t xml:space="preserve"> </w:t>
      </w:r>
      <w:r>
        <w:t>formulary</w:t>
      </w:r>
      <w:r>
        <w:rPr>
          <w:spacing w:val="-3"/>
        </w:rPr>
        <w:t xml:space="preserve"> </w:t>
      </w:r>
      <w:r>
        <w:t>and</w:t>
      </w:r>
      <w:r>
        <w:rPr>
          <w:spacing w:val="-4"/>
        </w:rPr>
        <w:t xml:space="preserve"> </w:t>
      </w:r>
      <w:r>
        <w:t>benefit</w:t>
      </w:r>
      <w:r>
        <w:rPr>
          <w:spacing w:val="-3"/>
        </w:rPr>
        <w:t xml:space="preserve"> </w:t>
      </w:r>
      <w:r>
        <w:t>submissions</w:t>
      </w:r>
      <w:r>
        <w:rPr>
          <w:spacing w:val="-5"/>
        </w:rPr>
        <w:t xml:space="preserve"> </w:t>
      </w:r>
      <w:r>
        <w:t>with</w:t>
      </w:r>
      <w:r>
        <w:rPr>
          <w:spacing w:val="-6"/>
        </w:rPr>
        <w:t xml:space="preserve"> </w:t>
      </w:r>
      <w:r>
        <w:t>respect</w:t>
      </w:r>
      <w:r>
        <w:rPr>
          <w:spacing w:val="-6"/>
        </w:rPr>
        <w:t xml:space="preserve"> </w:t>
      </w:r>
      <w:r>
        <w:t>to</w:t>
      </w:r>
      <w:r>
        <w:rPr>
          <w:spacing w:val="-2"/>
        </w:rPr>
        <w:t xml:space="preserve"> </w:t>
      </w:r>
      <w:r>
        <w:t>formulary inclusion,</w:t>
      </w:r>
      <w:r>
        <w:rPr>
          <w:spacing w:val="-10"/>
        </w:rPr>
        <w:t xml:space="preserve"> </w:t>
      </w:r>
      <w:r>
        <w:t>utilization</w:t>
      </w:r>
      <w:r>
        <w:rPr>
          <w:spacing w:val="-14"/>
        </w:rPr>
        <w:t xml:space="preserve"> </w:t>
      </w:r>
      <w:r>
        <w:t>management</w:t>
      </w:r>
      <w:r>
        <w:rPr>
          <w:spacing w:val="-11"/>
        </w:rPr>
        <w:t xml:space="preserve"> </w:t>
      </w:r>
      <w:r>
        <w:t>criteria,</w:t>
      </w:r>
      <w:r>
        <w:rPr>
          <w:spacing w:val="-10"/>
        </w:rPr>
        <w:t xml:space="preserve"> </w:t>
      </w:r>
      <w:r>
        <w:t>and</w:t>
      </w:r>
      <w:r>
        <w:rPr>
          <w:spacing w:val="-11"/>
        </w:rPr>
        <w:t xml:space="preserve"> </w:t>
      </w:r>
      <w:r>
        <w:t>cost-sharing</w:t>
      </w:r>
      <w:r>
        <w:rPr>
          <w:spacing w:val="-11"/>
        </w:rPr>
        <w:t xml:space="preserve"> </w:t>
      </w:r>
      <w:r>
        <w:t>for</w:t>
      </w:r>
      <w:r>
        <w:rPr>
          <w:spacing w:val="-11"/>
        </w:rPr>
        <w:t xml:space="preserve"> </w:t>
      </w:r>
      <w:r>
        <w:t>Part</w:t>
      </w:r>
      <w:r>
        <w:rPr>
          <w:spacing w:val="-13"/>
        </w:rPr>
        <w:t xml:space="preserve"> </w:t>
      </w:r>
      <w:r>
        <w:t>D</w:t>
      </w:r>
      <w:r>
        <w:rPr>
          <w:spacing w:val="-10"/>
        </w:rPr>
        <w:t xml:space="preserve"> </w:t>
      </w:r>
      <w:r>
        <w:t>drugs</w:t>
      </w:r>
      <w:r>
        <w:rPr>
          <w:spacing w:val="-10"/>
        </w:rPr>
        <w:t xml:space="preserve"> </w:t>
      </w:r>
      <w:r>
        <w:t>indicated</w:t>
      </w:r>
      <w:r>
        <w:rPr>
          <w:spacing w:val="-12"/>
        </w:rPr>
        <w:t xml:space="preserve"> </w:t>
      </w:r>
      <w:r>
        <w:t>for</w:t>
      </w:r>
      <w:r>
        <w:rPr>
          <w:spacing w:val="-13"/>
        </w:rPr>
        <w:t xml:space="preserve"> </w:t>
      </w:r>
      <w:r>
        <w:t>MAT.</w:t>
      </w:r>
    </w:p>
    <w:p w:rsidR="0042065E" w:rsidRDefault="0042065E">
      <w:pPr>
        <w:spacing w:line="276" w:lineRule="auto"/>
        <w:jc w:val="both"/>
        <w:sectPr w:rsidR="0042065E">
          <w:type w:val="continuous"/>
          <w:pgSz w:w="12240" w:h="15840"/>
          <w:pgMar w:top="780" w:right="880" w:bottom="280" w:left="620" w:header="720" w:footer="720" w:gutter="0"/>
          <w:cols w:space="720"/>
        </w:sectPr>
      </w:pPr>
    </w:p>
    <w:p w:rsidR="0042065E" w:rsidRDefault="0042065E">
      <w:pPr>
        <w:pStyle w:val="BodyText"/>
        <w:rPr>
          <w:sz w:val="20"/>
        </w:rPr>
      </w:pPr>
    </w:p>
    <w:p w:rsidR="0042065E" w:rsidRDefault="0042065E">
      <w:pPr>
        <w:pStyle w:val="BodyText"/>
        <w:rPr>
          <w:sz w:val="20"/>
        </w:rPr>
      </w:pPr>
    </w:p>
    <w:p w:rsidR="0042065E" w:rsidRDefault="0042065E">
      <w:pPr>
        <w:pStyle w:val="BodyText"/>
        <w:rPr>
          <w:sz w:val="20"/>
        </w:rPr>
      </w:pPr>
    </w:p>
    <w:p w:rsidR="0042065E" w:rsidRDefault="0042065E">
      <w:pPr>
        <w:pStyle w:val="BodyText"/>
        <w:rPr>
          <w:sz w:val="20"/>
        </w:rPr>
      </w:pPr>
    </w:p>
    <w:p w:rsidR="0042065E" w:rsidRDefault="0042065E">
      <w:pPr>
        <w:pStyle w:val="BodyText"/>
        <w:spacing w:before="9"/>
        <w:rPr>
          <w:sz w:val="18"/>
        </w:rPr>
      </w:pPr>
    </w:p>
    <w:p w:rsidR="0042065E" w:rsidRDefault="00A96E76">
      <w:pPr>
        <w:pStyle w:val="Heading1"/>
        <w:numPr>
          <w:ilvl w:val="0"/>
          <w:numId w:val="2"/>
        </w:numPr>
        <w:tabs>
          <w:tab w:val="left" w:pos="831"/>
          <w:tab w:val="left" w:pos="832"/>
        </w:tabs>
        <w:ind w:left="831" w:hanging="723"/>
        <w:jc w:val="both"/>
      </w:pPr>
      <w:r>
        <w:t>Opioid Potentiator</w:t>
      </w:r>
      <w:r>
        <w:rPr>
          <w:spacing w:val="-15"/>
        </w:rPr>
        <w:t xml:space="preserve"> </w:t>
      </w:r>
      <w:r>
        <w:t>Drugs</w:t>
      </w:r>
    </w:p>
    <w:p w:rsidR="0042065E" w:rsidRDefault="0042065E">
      <w:pPr>
        <w:pStyle w:val="BodyText"/>
        <w:spacing w:before="6"/>
        <w:rPr>
          <w:b/>
          <w:sz w:val="28"/>
        </w:rPr>
      </w:pPr>
    </w:p>
    <w:p w:rsidR="0042065E" w:rsidRDefault="00A96E76">
      <w:pPr>
        <w:pStyle w:val="BodyText"/>
        <w:spacing w:line="276" w:lineRule="auto"/>
        <w:ind w:left="108" w:right="469"/>
        <w:jc w:val="both"/>
      </w:pPr>
      <w:r>
        <w:t>The Draft Call Letter requests public comment about the potential overuse of gabapentin and pregabalin with opioids,</w:t>
      </w:r>
      <w:r>
        <w:rPr>
          <w:spacing w:val="-8"/>
        </w:rPr>
        <w:t xml:space="preserve"> </w:t>
      </w:r>
      <w:r>
        <w:t>whether</w:t>
      </w:r>
      <w:r>
        <w:rPr>
          <w:spacing w:val="-8"/>
        </w:rPr>
        <w:t xml:space="preserve"> </w:t>
      </w:r>
      <w:r>
        <w:t>an</w:t>
      </w:r>
      <w:r>
        <w:rPr>
          <w:spacing w:val="-6"/>
        </w:rPr>
        <w:t xml:space="preserve"> </w:t>
      </w:r>
      <w:r>
        <w:t>additional</w:t>
      </w:r>
      <w:r>
        <w:rPr>
          <w:spacing w:val="-6"/>
        </w:rPr>
        <w:t xml:space="preserve"> </w:t>
      </w:r>
      <w:r>
        <w:t>flag</w:t>
      </w:r>
      <w:r>
        <w:rPr>
          <w:spacing w:val="-6"/>
        </w:rPr>
        <w:t xml:space="preserve"> </w:t>
      </w:r>
      <w:r>
        <w:t>would</w:t>
      </w:r>
      <w:r>
        <w:rPr>
          <w:spacing w:val="-7"/>
        </w:rPr>
        <w:t xml:space="preserve"> </w:t>
      </w:r>
      <w:r>
        <w:t>be</w:t>
      </w:r>
      <w:r>
        <w:rPr>
          <w:spacing w:val="-5"/>
        </w:rPr>
        <w:t xml:space="preserve"> </w:t>
      </w:r>
      <w:r>
        <w:t>useful</w:t>
      </w:r>
      <w:r>
        <w:rPr>
          <w:spacing w:val="-6"/>
        </w:rPr>
        <w:t xml:space="preserve"> </w:t>
      </w:r>
      <w:r>
        <w:t>for</w:t>
      </w:r>
      <w:r>
        <w:rPr>
          <w:spacing w:val="-8"/>
        </w:rPr>
        <w:t xml:space="preserve"> </w:t>
      </w:r>
      <w:r>
        <w:t>Part</w:t>
      </w:r>
      <w:r>
        <w:rPr>
          <w:spacing w:val="-8"/>
        </w:rPr>
        <w:t xml:space="preserve"> </w:t>
      </w:r>
      <w:r>
        <w:t>D</w:t>
      </w:r>
      <w:r>
        <w:rPr>
          <w:spacing w:val="-5"/>
        </w:rPr>
        <w:t xml:space="preserve"> </w:t>
      </w:r>
      <w:r>
        <w:t>sponsors,</w:t>
      </w:r>
      <w:r>
        <w:rPr>
          <w:spacing w:val="-6"/>
        </w:rPr>
        <w:t xml:space="preserve"> </w:t>
      </w:r>
      <w:r>
        <w:t>and</w:t>
      </w:r>
      <w:r>
        <w:rPr>
          <w:spacing w:val="-6"/>
        </w:rPr>
        <w:t xml:space="preserve"> </w:t>
      </w:r>
      <w:r>
        <w:t>how</w:t>
      </w:r>
      <w:r>
        <w:rPr>
          <w:spacing w:val="-5"/>
        </w:rPr>
        <w:t xml:space="preserve"> </w:t>
      </w:r>
      <w:r>
        <w:t>the</w:t>
      </w:r>
      <w:r>
        <w:rPr>
          <w:spacing w:val="-5"/>
        </w:rPr>
        <w:t xml:space="preserve"> </w:t>
      </w:r>
      <w:r>
        <w:t>case</w:t>
      </w:r>
      <w:r>
        <w:rPr>
          <w:spacing w:val="-8"/>
        </w:rPr>
        <w:t xml:space="preserve"> </w:t>
      </w:r>
      <w:r>
        <w:t>management</w:t>
      </w:r>
      <w:r>
        <w:rPr>
          <w:spacing w:val="-6"/>
        </w:rPr>
        <w:t xml:space="preserve"> </w:t>
      </w:r>
      <w:r>
        <w:t xml:space="preserve">approach could help with gabapentin/pregabalin-opioid misuse and with other potentiators. CMS also requests comments regarding other potentiator drugs that might be added to the Overutilization Monitoring Systems (OMS) and the utility of adding such drugs </w:t>
      </w:r>
      <w:r>
        <w:t>that may increase the risk for overdose when used with</w:t>
      </w:r>
      <w:r>
        <w:rPr>
          <w:spacing w:val="-33"/>
        </w:rPr>
        <w:t xml:space="preserve"> </w:t>
      </w:r>
      <w:r>
        <w:t>opioids.</w:t>
      </w:r>
    </w:p>
    <w:p w:rsidR="0042065E" w:rsidRDefault="0042065E">
      <w:pPr>
        <w:pStyle w:val="BodyText"/>
        <w:spacing w:before="2"/>
        <w:rPr>
          <w:sz w:val="25"/>
        </w:rPr>
      </w:pPr>
    </w:p>
    <w:p w:rsidR="0042065E" w:rsidRDefault="00A96E76">
      <w:pPr>
        <w:pStyle w:val="Heading1"/>
        <w:spacing w:line="276" w:lineRule="auto"/>
        <w:ind w:right="470"/>
      </w:pPr>
      <w:r>
        <w:pict>
          <v:line id="_x0000_s1029" style="position:absolute;left:0;text-align:left;z-index:-12592;mso-position-horizontal-relative:page" from="108.4pt,.05pt" to="108.4pt,61.85pt" strokeweight=".72pt">
            <w10:wrap anchorx="page"/>
          </v:line>
        </w:pict>
      </w:r>
      <w:r>
        <w:t>The APA supports monitoring for misuse and obtaining more information about the risks, prior to including an additional utilization flag that could impede beneficiary access to treatment. Th</w:t>
      </w:r>
      <w:r>
        <w:t>ere has been a shift in using gabapentin and pregabalin for patients with pain as we are reducing our reliance on hydrocodone and oxycodone. These have been helpful for individuals with co-occurring pain and opioid use disorder.</w:t>
      </w:r>
    </w:p>
    <w:p w:rsidR="0042065E" w:rsidRDefault="0042065E">
      <w:pPr>
        <w:pStyle w:val="BodyText"/>
        <w:spacing w:before="2"/>
        <w:rPr>
          <w:b/>
          <w:sz w:val="25"/>
        </w:rPr>
      </w:pPr>
    </w:p>
    <w:p w:rsidR="0042065E" w:rsidRDefault="00A96E76">
      <w:pPr>
        <w:pStyle w:val="ListParagraph"/>
        <w:numPr>
          <w:ilvl w:val="0"/>
          <w:numId w:val="2"/>
        </w:numPr>
        <w:tabs>
          <w:tab w:val="left" w:pos="879"/>
          <w:tab w:val="left" w:pos="880"/>
        </w:tabs>
        <w:ind w:left="879" w:hanging="771"/>
        <w:jc w:val="both"/>
        <w:rPr>
          <w:b/>
        </w:rPr>
      </w:pPr>
      <w:r>
        <w:rPr>
          <w:b/>
        </w:rPr>
        <w:t>Enforcement Actions for Pr</w:t>
      </w:r>
      <w:r>
        <w:rPr>
          <w:b/>
        </w:rPr>
        <w:t>ovider Directories to Ensure Network</w:t>
      </w:r>
      <w:r>
        <w:rPr>
          <w:b/>
          <w:spacing w:val="-28"/>
        </w:rPr>
        <w:t xml:space="preserve"> </w:t>
      </w:r>
      <w:r>
        <w:rPr>
          <w:b/>
        </w:rPr>
        <w:t>Adequacy</w:t>
      </w:r>
    </w:p>
    <w:p w:rsidR="0042065E" w:rsidRDefault="0042065E">
      <w:pPr>
        <w:pStyle w:val="BodyText"/>
        <w:spacing w:before="8"/>
        <w:rPr>
          <w:b/>
          <w:sz w:val="28"/>
        </w:rPr>
      </w:pPr>
    </w:p>
    <w:p w:rsidR="0042065E" w:rsidRDefault="00A96E76">
      <w:pPr>
        <w:pStyle w:val="BodyText"/>
        <w:spacing w:line="276" w:lineRule="auto"/>
        <w:ind w:left="108" w:right="468"/>
        <w:jc w:val="both"/>
      </w:pPr>
      <w:r>
        <w:t>CMS</w:t>
      </w:r>
      <w:r>
        <w:rPr>
          <w:spacing w:val="-12"/>
        </w:rPr>
        <w:t xml:space="preserve"> </w:t>
      </w:r>
      <w:r>
        <w:t>recognizes</w:t>
      </w:r>
      <w:r>
        <w:rPr>
          <w:spacing w:val="-11"/>
        </w:rPr>
        <w:t xml:space="preserve"> </w:t>
      </w:r>
      <w:r>
        <w:t>that</w:t>
      </w:r>
      <w:r>
        <w:rPr>
          <w:spacing w:val="-11"/>
        </w:rPr>
        <w:t xml:space="preserve"> </w:t>
      </w:r>
      <w:r>
        <w:t>accurate</w:t>
      </w:r>
      <w:r>
        <w:rPr>
          <w:spacing w:val="-11"/>
        </w:rPr>
        <w:t xml:space="preserve"> </w:t>
      </w:r>
      <w:r>
        <w:t>provider</w:t>
      </w:r>
      <w:r>
        <w:rPr>
          <w:spacing w:val="-11"/>
        </w:rPr>
        <w:t xml:space="preserve"> </w:t>
      </w:r>
      <w:r>
        <w:t>directories</w:t>
      </w:r>
      <w:r>
        <w:rPr>
          <w:spacing w:val="-11"/>
        </w:rPr>
        <w:t xml:space="preserve"> </w:t>
      </w:r>
      <w:r>
        <w:t>are</w:t>
      </w:r>
      <w:r>
        <w:rPr>
          <w:spacing w:val="-11"/>
        </w:rPr>
        <w:t xml:space="preserve"> </w:t>
      </w:r>
      <w:r>
        <w:t>important</w:t>
      </w:r>
      <w:r>
        <w:rPr>
          <w:spacing w:val="-11"/>
        </w:rPr>
        <w:t xml:space="preserve"> </w:t>
      </w:r>
      <w:r>
        <w:t>to</w:t>
      </w:r>
      <w:r>
        <w:rPr>
          <w:spacing w:val="-10"/>
        </w:rPr>
        <w:t xml:space="preserve"> </w:t>
      </w:r>
      <w:r>
        <w:t>consumers’</w:t>
      </w:r>
      <w:r>
        <w:rPr>
          <w:spacing w:val="-11"/>
        </w:rPr>
        <w:t xml:space="preserve"> </w:t>
      </w:r>
      <w:r>
        <w:t>ability</w:t>
      </w:r>
      <w:r>
        <w:rPr>
          <w:spacing w:val="-11"/>
        </w:rPr>
        <w:t xml:space="preserve"> </w:t>
      </w:r>
      <w:r>
        <w:t>to</w:t>
      </w:r>
      <w:r>
        <w:rPr>
          <w:spacing w:val="-12"/>
        </w:rPr>
        <w:t xml:space="preserve"> </w:t>
      </w:r>
      <w:r>
        <w:t>make</w:t>
      </w:r>
      <w:r>
        <w:rPr>
          <w:spacing w:val="-11"/>
        </w:rPr>
        <w:t xml:space="preserve"> </w:t>
      </w:r>
      <w:r>
        <w:t>informed</w:t>
      </w:r>
      <w:r>
        <w:rPr>
          <w:spacing w:val="-12"/>
        </w:rPr>
        <w:t xml:space="preserve"> </w:t>
      </w:r>
      <w:r>
        <w:t>decisions as well as their ability to access care. To that end, CMS has mandated that dual Medicare/Medicaid plans submit network information annually to CMS for review. This is to ensure that Medicare/Medicaid plans maintain a network of providers that is</w:t>
      </w:r>
      <w:r>
        <w:t xml:space="preserve"> sufficient in number, variety, and geographic distribution to meet the needs of enrollees. The APA applauds these efforts and the use of quantitative measures, rather than a “reasonableness” standard, to determine whether a network is indeed sufficient. I</w:t>
      </w:r>
      <w:r>
        <w:t>n addition to the current data reporting points,  it is essential that CMS also review other appropriate network performance measures, such as out of network utilization, volume of claims made by providers, and emergency room</w:t>
      </w:r>
      <w:r>
        <w:rPr>
          <w:spacing w:val="-24"/>
        </w:rPr>
        <w:t xml:space="preserve"> </w:t>
      </w:r>
      <w:r>
        <w:t>utilization.</w:t>
      </w:r>
    </w:p>
    <w:p w:rsidR="0042065E" w:rsidRDefault="0042065E">
      <w:pPr>
        <w:pStyle w:val="BodyText"/>
        <w:spacing w:before="4"/>
        <w:rPr>
          <w:sz w:val="16"/>
        </w:rPr>
      </w:pPr>
    </w:p>
    <w:p w:rsidR="0042065E" w:rsidRDefault="00A96E76">
      <w:pPr>
        <w:pStyle w:val="BodyText"/>
        <w:spacing w:line="273" w:lineRule="auto"/>
        <w:ind w:left="108" w:right="468"/>
        <w:jc w:val="both"/>
        <w:rPr>
          <w:sz w:val="14"/>
        </w:rPr>
      </w:pPr>
      <w:r>
        <w:t>The APA also app</w:t>
      </w:r>
      <w:r>
        <w:t xml:space="preserve">lauds CMS’s plans to monitor provider directories for accuracy and initiate appropriate compliance and/or enforcement actions, and to assess civil penalties for violations. On January 31, 2018, CMS announced results from the second of its three studies of </w:t>
      </w:r>
      <w:r>
        <w:t>provider directories and found that 52.2 percent of provider directory locations listed in the online directories were inaccurate — an increase from 45.1 percent reported in CMS’s first study dated January 13, 2017.</w:t>
      </w:r>
      <w:r>
        <w:rPr>
          <w:position w:val="8"/>
          <w:sz w:val="14"/>
        </w:rPr>
        <w:t>1</w:t>
      </w:r>
    </w:p>
    <w:p w:rsidR="0042065E" w:rsidRDefault="00A96E76">
      <w:pPr>
        <w:pStyle w:val="BodyText"/>
        <w:spacing w:before="202" w:line="276" w:lineRule="auto"/>
        <w:ind w:left="108" w:right="467"/>
        <w:jc w:val="both"/>
      </w:pPr>
      <w:r>
        <w:t>Errors like those identified in the 201</w:t>
      </w:r>
      <w:r>
        <w:t>7 report, included: (a) the provider not being at the listed location, (b) incorrect</w:t>
      </w:r>
      <w:r>
        <w:rPr>
          <w:spacing w:val="-4"/>
        </w:rPr>
        <w:t xml:space="preserve"> </w:t>
      </w:r>
      <w:r>
        <w:t>phone</w:t>
      </w:r>
      <w:r>
        <w:rPr>
          <w:spacing w:val="-4"/>
        </w:rPr>
        <w:t xml:space="preserve"> </w:t>
      </w:r>
      <w:r>
        <w:t>numbers,</w:t>
      </w:r>
      <w:r>
        <w:rPr>
          <w:spacing w:val="-9"/>
        </w:rPr>
        <w:t xml:space="preserve"> </w:t>
      </w:r>
      <w:r>
        <w:t>and</w:t>
      </w:r>
      <w:r>
        <w:rPr>
          <w:spacing w:val="-5"/>
        </w:rPr>
        <w:t xml:space="preserve"> </w:t>
      </w:r>
      <w:r>
        <w:t>(c)</w:t>
      </w:r>
      <w:r>
        <w:rPr>
          <w:spacing w:val="-6"/>
        </w:rPr>
        <w:t xml:space="preserve"> </w:t>
      </w:r>
      <w:r>
        <w:t>the</w:t>
      </w:r>
      <w:r>
        <w:rPr>
          <w:spacing w:val="-7"/>
        </w:rPr>
        <w:t xml:space="preserve"> </w:t>
      </w:r>
      <w:r>
        <w:t>provider</w:t>
      </w:r>
      <w:r>
        <w:rPr>
          <w:spacing w:val="-4"/>
        </w:rPr>
        <w:t xml:space="preserve"> </w:t>
      </w:r>
      <w:r>
        <w:t>not</w:t>
      </w:r>
      <w:r>
        <w:rPr>
          <w:spacing w:val="-6"/>
        </w:rPr>
        <w:t xml:space="preserve"> </w:t>
      </w:r>
      <w:r>
        <w:t>accepting</w:t>
      </w:r>
      <w:r>
        <w:rPr>
          <w:spacing w:val="-5"/>
        </w:rPr>
        <w:t xml:space="preserve"> </w:t>
      </w:r>
      <w:r>
        <w:t>new</w:t>
      </w:r>
      <w:r>
        <w:rPr>
          <w:spacing w:val="-6"/>
        </w:rPr>
        <w:t xml:space="preserve"> </w:t>
      </w:r>
      <w:r>
        <w:t>patients</w:t>
      </w:r>
      <w:r>
        <w:rPr>
          <w:spacing w:val="-4"/>
        </w:rPr>
        <w:t xml:space="preserve"> </w:t>
      </w:r>
      <w:r>
        <w:t>when</w:t>
      </w:r>
      <w:r>
        <w:rPr>
          <w:spacing w:val="-7"/>
        </w:rPr>
        <w:t xml:space="preserve"> </w:t>
      </w:r>
      <w:r>
        <w:t>the</w:t>
      </w:r>
      <w:r>
        <w:rPr>
          <w:spacing w:val="-4"/>
        </w:rPr>
        <w:t xml:space="preserve"> </w:t>
      </w:r>
      <w:r>
        <w:t>directory</w:t>
      </w:r>
      <w:r>
        <w:rPr>
          <w:spacing w:val="-4"/>
        </w:rPr>
        <w:t xml:space="preserve"> </w:t>
      </w:r>
      <w:r>
        <w:t>indicated</w:t>
      </w:r>
      <w:r>
        <w:rPr>
          <w:spacing w:val="-5"/>
        </w:rPr>
        <w:t xml:space="preserve"> </w:t>
      </w:r>
      <w:r>
        <w:t>that</w:t>
      </w:r>
      <w:r>
        <w:rPr>
          <w:spacing w:val="-6"/>
        </w:rPr>
        <w:t xml:space="preserve"> </w:t>
      </w:r>
      <w:r>
        <w:t>they were. CMS identified several common reasons for directory inaccuracie</w:t>
      </w:r>
      <w:r>
        <w:t>s, including: group practices appearing to provide care at the group level rather than at the provider level; general lack of internal audit and testing of directory</w:t>
      </w:r>
      <w:r>
        <w:rPr>
          <w:spacing w:val="-12"/>
        </w:rPr>
        <w:t xml:space="preserve"> </w:t>
      </w:r>
      <w:r>
        <w:t>accuracy</w:t>
      </w:r>
      <w:r>
        <w:rPr>
          <w:spacing w:val="-14"/>
        </w:rPr>
        <w:t xml:space="preserve"> </w:t>
      </w:r>
      <w:r>
        <w:t>among</w:t>
      </w:r>
      <w:r>
        <w:rPr>
          <w:spacing w:val="-16"/>
        </w:rPr>
        <w:t xml:space="preserve"> </w:t>
      </w:r>
      <w:r>
        <w:t>many</w:t>
      </w:r>
      <w:r>
        <w:rPr>
          <w:spacing w:val="-14"/>
        </w:rPr>
        <w:t xml:space="preserve"> </w:t>
      </w:r>
      <w:r>
        <w:t>Medicare</w:t>
      </w:r>
      <w:r>
        <w:rPr>
          <w:spacing w:val="-13"/>
        </w:rPr>
        <w:t xml:space="preserve"> </w:t>
      </w:r>
      <w:r>
        <w:t>Advantage</w:t>
      </w:r>
      <w:r>
        <w:rPr>
          <w:spacing w:val="-15"/>
        </w:rPr>
        <w:t xml:space="preserve"> </w:t>
      </w:r>
      <w:r>
        <w:t>organizations</w:t>
      </w:r>
      <w:r>
        <w:rPr>
          <w:spacing w:val="-15"/>
        </w:rPr>
        <w:t xml:space="preserve"> </w:t>
      </w:r>
      <w:r>
        <w:t>(MAOs);</w:t>
      </w:r>
      <w:r>
        <w:rPr>
          <w:spacing w:val="-14"/>
        </w:rPr>
        <w:t xml:space="preserve"> </w:t>
      </w:r>
      <w:r>
        <w:t>and</w:t>
      </w:r>
      <w:r>
        <w:rPr>
          <w:spacing w:val="-14"/>
        </w:rPr>
        <w:t xml:space="preserve"> </w:t>
      </w:r>
      <w:r>
        <w:t>instances</w:t>
      </w:r>
      <w:r>
        <w:rPr>
          <w:spacing w:val="-12"/>
        </w:rPr>
        <w:t xml:space="preserve"> </w:t>
      </w:r>
      <w:r>
        <w:t>in</w:t>
      </w:r>
      <w:r>
        <w:rPr>
          <w:spacing w:val="-16"/>
        </w:rPr>
        <w:t xml:space="preserve"> </w:t>
      </w:r>
      <w:r>
        <w:t>which</w:t>
      </w:r>
      <w:r>
        <w:rPr>
          <w:spacing w:val="-14"/>
        </w:rPr>
        <w:t xml:space="preserve"> </w:t>
      </w:r>
      <w:r>
        <w:t>calls</w:t>
      </w:r>
      <w:r>
        <w:rPr>
          <w:spacing w:val="-13"/>
        </w:rPr>
        <w:t xml:space="preserve"> </w:t>
      </w:r>
      <w:r>
        <w:t>to</w:t>
      </w:r>
      <w:r>
        <w:rPr>
          <w:spacing w:val="-14"/>
        </w:rPr>
        <w:t xml:space="preserve"> </w:t>
      </w:r>
      <w:r>
        <w:t>various providers’ offices resulted in determinations that the provider had retired or was deceased. In its report, CMS concluded that plans are not adequately maintaining the accuracy of their directories, which is a problem widespread</w:t>
      </w:r>
      <w:r>
        <w:rPr>
          <w:spacing w:val="8"/>
        </w:rPr>
        <w:t xml:space="preserve"> </w:t>
      </w:r>
      <w:r>
        <w:t>throughout</w:t>
      </w:r>
      <w:r>
        <w:rPr>
          <w:spacing w:val="9"/>
        </w:rPr>
        <w:t xml:space="preserve"> </w:t>
      </w:r>
      <w:r>
        <w:t>the</w:t>
      </w:r>
      <w:r>
        <w:rPr>
          <w:spacing w:val="12"/>
        </w:rPr>
        <w:t xml:space="preserve"> </w:t>
      </w:r>
      <w:r>
        <w:t>i</w:t>
      </w:r>
      <w:r>
        <w:t>ndustry,</w:t>
      </w:r>
      <w:r>
        <w:rPr>
          <w:spacing w:val="11"/>
        </w:rPr>
        <w:t xml:space="preserve"> </w:t>
      </w:r>
      <w:r>
        <w:t>and</w:t>
      </w:r>
      <w:r>
        <w:rPr>
          <w:spacing w:val="8"/>
        </w:rPr>
        <w:t xml:space="preserve"> </w:t>
      </w:r>
      <w:r>
        <w:t>that</w:t>
      </w:r>
      <w:r>
        <w:rPr>
          <w:spacing w:val="9"/>
        </w:rPr>
        <w:t xml:space="preserve"> </w:t>
      </w:r>
      <w:r>
        <w:t>the</w:t>
      </w:r>
      <w:r>
        <w:rPr>
          <w:spacing w:val="12"/>
        </w:rPr>
        <w:t xml:space="preserve"> </w:t>
      </w:r>
      <w:r>
        <w:t>plans</w:t>
      </w:r>
      <w:r>
        <w:rPr>
          <w:spacing w:val="11"/>
        </w:rPr>
        <w:t xml:space="preserve"> </w:t>
      </w:r>
      <w:r>
        <w:t>are</w:t>
      </w:r>
      <w:r>
        <w:rPr>
          <w:spacing w:val="9"/>
        </w:rPr>
        <w:t xml:space="preserve"> </w:t>
      </w:r>
      <w:r>
        <w:t>in</w:t>
      </w:r>
      <w:r>
        <w:rPr>
          <w:spacing w:val="7"/>
        </w:rPr>
        <w:t xml:space="preserve"> </w:t>
      </w:r>
      <w:r>
        <w:t>the</w:t>
      </w:r>
      <w:r>
        <w:rPr>
          <w:spacing w:val="9"/>
        </w:rPr>
        <w:t xml:space="preserve"> </w:t>
      </w:r>
      <w:r>
        <w:t>best</w:t>
      </w:r>
      <w:r>
        <w:rPr>
          <w:spacing w:val="9"/>
        </w:rPr>
        <w:t xml:space="preserve"> </w:t>
      </w:r>
      <w:r>
        <w:t>position</w:t>
      </w:r>
      <w:r>
        <w:rPr>
          <w:spacing w:val="10"/>
        </w:rPr>
        <w:t xml:space="preserve"> </w:t>
      </w:r>
      <w:r>
        <w:t>to</w:t>
      </w:r>
      <w:r>
        <w:rPr>
          <w:spacing w:val="8"/>
        </w:rPr>
        <w:t xml:space="preserve"> </w:t>
      </w:r>
      <w:r>
        <w:t>ensure</w:t>
      </w:r>
      <w:r>
        <w:rPr>
          <w:spacing w:val="9"/>
        </w:rPr>
        <w:t xml:space="preserve"> </w:t>
      </w:r>
      <w:r>
        <w:t>the</w:t>
      </w:r>
      <w:r>
        <w:rPr>
          <w:spacing w:val="9"/>
        </w:rPr>
        <w:t xml:space="preserve"> </w:t>
      </w:r>
      <w:r>
        <w:t>accuracy</w:t>
      </w:r>
      <w:r>
        <w:rPr>
          <w:spacing w:val="10"/>
        </w:rPr>
        <w:t xml:space="preserve"> </w:t>
      </w:r>
      <w:r>
        <w:t>of</w:t>
      </w:r>
      <w:r>
        <w:rPr>
          <w:spacing w:val="11"/>
        </w:rPr>
        <w:t xml:space="preserve"> </w:t>
      </w:r>
      <w:r>
        <w:t>their</w:t>
      </w:r>
    </w:p>
    <w:p w:rsidR="0042065E" w:rsidRDefault="00A96E76">
      <w:pPr>
        <w:pStyle w:val="BodyText"/>
        <w:spacing w:before="9"/>
        <w:rPr>
          <w:sz w:val="27"/>
        </w:rPr>
      </w:pPr>
      <w:r>
        <w:pict>
          <v:line id="_x0000_s1028" style="position:absolute;z-index:1408;mso-wrap-distance-left:0;mso-wrap-distance-right:0;mso-position-horizontal-relative:page" from="2in,19.2pt" to="288.05pt,19.2pt" strokeweight=".21169mm">
            <w10:wrap type="topAndBottom" anchorx="page"/>
          </v:line>
        </w:pict>
      </w:r>
    </w:p>
    <w:p w:rsidR="0042065E" w:rsidRDefault="00A96E76">
      <w:pPr>
        <w:spacing w:before="72" w:line="276" w:lineRule="auto"/>
        <w:ind w:left="288" w:right="151" w:hanging="89"/>
        <w:rPr>
          <w:rFonts w:ascii="Corbel"/>
          <w:sz w:val="20"/>
        </w:rPr>
      </w:pPr>
      <w:r>
        <w:rPr>
          <w:position w:val="7"/>
          <w:sz w:val="13"/>
        </w:rPr>
        <w:t xml:space="preserve">1 </w:t>
      </w:r>
      <w:r>
        <w:rPr>
          <w:sz w:val="20"/>
        </w:rPr>
        <w:t xml:space="preserve">Centers for Medicare and Medicaid Services. Online provider directory review report. U.S. Department of Health and Human Services. </w:t>
      </w:r>
      <w:hyperlink r:id="rId119">
        <w:r>
          <w:rPr>
            <w:color w:val="0000FF"/>
            <w:sz w:val="20"/>
            <w:u w:val="single" w:color="0000FF"/>
          </w:rPr>
          <w:t>https://www.cms.gov/Medicare/Health-</w:t>
        </w:r>
      </w:hyperlink>
      <w:r>
        <w:rPr>
          <w:color w:val="0000FF"/>
          <w:sz w:val="20"/>
          <w:u w:val="single" w:color="0000FF"/>
        </w:rPr>
        <w:t xml:space="preserve"> </w:t>
      </w:r>
      <w:hyperlink r:id="rId120">
        <w:r>
          <w:rPr>
            <w:color w:val="0000FF"/>
            <w:sz w:val="20"/>
            <w:u w:val="single" w:color="0000FF"/>
          </w:rPr>
          <w:t>Plans/ManagedCareMarketing/Downloads/Provider_Directory_Review_Industry_Report_Round_2_Updated_1</w:t>
        </w:r>
        <w:r>
          <w:rPr>
            <w:color w:val="0000FF"/>
            <w:sz w:val="20"/>
            <w:u w:val="single" w:color="0000FF"/>
          </w:rPr>
          <w:t>-31-18.pdf</w:t>
        </w:r>
        <w:r>
          <w:rPr>
            <w:rFonts w:ascii="Corbel"/>
            <w:sz w:val="20"/>
          </w:rPr>
          <w:t>.</w:t>
        </w:r>
      </w:hyperlink>
    </w:p>
    <w:p w:rsidR="0042065E" w:rsidRDefault="0042065E">
      <w:pPr>
        <w:spacing w:line="276" w:lineRule="auto"/>
        <w:rPr>
          <w:rFonts w:ascii="Corbel"/>
          <w:sz w:val="20"/>
        </w:rPr>
        <w:sectPr w:rsidR="0042065E">
          <w:headerReference w:type="default" r:id="rId121"/>
          <w:pgSz w:w="12240" w:h="15840"/>
          <w:pgMar w:top="940" w:right="520" w:bottom="280" w:left="1060" w:header="727" w:footer="0" w:gutter="0"/>
          <w:pgNumType w:start="3"/>
          <w:cols w:space="720"/>
        </w:sectPr>
      </w:pPr>
    </w:p>
    <w:p w:rsidR="0042065E" w:rsidRDefault="0042065E">
      <w:pPr>
        <w:pStyle w:val="BodyText"/>
        <w:rPr>
          <w:rFonts w:ascii="Corbel"/>
          <w:sz w:val="20"/>
        </w:rPr>
      </w:pPr>
    </w:p>
    <w:p w:rsidR="0042065E" w:rsidRDefault="0042065E">
      <w:pPr>
        <w:pStyle w:val="BodyText"/>
        <w:rPr>
          <w:rFonts w:ascii="Corbel"/>
          <w:sz w:val="20"/>
        </w:rPr>
      </w:pPr>
    </w:p>
    <w:p w:rsidR="0042065E" w:rsidRDefault="0042065E">
      <w:pPr>
        <w:pStyle w:val="BodyText"/>
        <w:rPr>
          <w:rFonts w:ascii="Corbel"/>
          <w:sz w:val="20"/>
        </w:rPr>
      </w:pPr>
    </w:p>
    <w:p w:rsidR="0042065E" w:rsidRDefault="0042065E">
      <w:pPr>
        <w:pStyle w:val="BodyText"/>
        <w:rPr>
          <w:rFonts w:ascii="Corbel"/>
          <w:sz w:val="20"/>
        </w:rPr>
      </w:pPr>
    </w:p>
    <w:p w:rsidR="0042065E" w:rsidRDefault="0042065E">
      <w:pPr>
        <w:pStyle w:val="BodyText"/>
        <w:spacing w:before="9"/>
        <w:rPr>
          <w:rFonts w:ascii="Corbel"/>
          <w:sz w:val="18"/>
        </w:rPr>
      </w:pPr>
    </w:p>
    <w:p w:rsidR="0042065E" w:rsidRDefault="00A96E76">
      <w:pPr>
        <w:pStyle w:val="Heading1"/>
        <w:spacing w:line="276" w:lineRule="auto"/>
        <w:ind w:right="471"/>
      </w:pPr>
      <w:r>
        <w:rPr>
          <w:b w:val="0"/>
        </w:rPr>
        <w:t xml:space="preserve">plan documents. </w:t>
      </w:r>
      <w:r>
        <w:t>The APA agrees, and recommends that CMS put the burden on the plans to prove that their directories are accurate. Plans should be required to submit documentation showing they have performed audits or other testing of the accuracy of their provider directo</w:t>
      </w:r>
      <w:r>
        <w:t>ries.</w:t>
      </w:r>
    </w:p>
    <w:p w:rsidR="0042065E" w:rsidRDefault="0042065E">
      <w:pPr>
        <w:pStyle w:val="BodyText"/>
        <w:spacing w:before="4"/>
        <w:rPr>
          <w:b/>
          <w:sz w:val="16"/>
        </w:rPr>
      </w:pPr>
    </w:p>
    <w:p w:rsidR="0042065E" w:rsidRDefault="00A96E76">
      <w:pPr>
        <w:pStyle w:val="ListParagraph"/>
        <w:numPr>
          <w:ilvl w:val="0"/>
          <w:numId w:val="2"/>
        </w:numPr>
        <w:tabs>
          <w:tab w:val="left" w:pos="879"/>
          <w:tab w:val="left" w:pos="880"/>
        </w:tabs>
        <w:ind w:left="879" w:hanging="771"/>
        <w:jc w:val="both"/>
        <w:rPr>
          <w:b/>
        </w:rPr>
      </w:pPr>
      <w:r>
        <w:rPr>
          <w:b/>
        </w:rPr>
        <w:t>2019 CMS Display</w:t>
      </w:r>
      <w:r>
        <w:rPr>
          <w:b/>
          <w:spacing w:val="-13"/>
        </w:rPr>
        <w:t xml:space="preserve"> </w:t>
      </w:r>
      <w:r>
        <w:rPr>
          <w:b/>
        </w:rPr>
        <w:t>Measures</w:t>
      </w:r>
    </w:p>
    <w:p w:rsidR="0042065E" w:rsidRDefault="00A96E76">
      <w:pPr>
        <w:pStyle w:val="BodyText"/>
        <w:spacing w:before="40" w:line="276" w:lineRule="auto"/>
        <w:ind w:left="108" w:right="470"/>
        <w:jc w:val="both"/>
      </w:pPr>
      <w:r>
        <w:t>We are pleased to learn that quality measures are being considered for development that address APA priority areas. Given the evolution of the national quality landscape and fluctuating gaps in care, we appreciate the oppor</w:t>
      </w:r>
      <w:r>
        <w:t>tunity to provide our unique expertise to assist in the improvement of patient care.</w:t>
      </w:r>
    </w:p>
    <w:p w:rsidR="0042065E" w:rsidRDefault="0042065E">
      <w:pPr>
        <w:pStyle w:val="BodyText"/>
        <w:spacing w:before="4"/>
        <w:rPr>
          <w:sz w:val="16"/>
        </w:rPr>
      </w:pPr>
    </w:p>
    <w:p w:rsidR="0042065E" w:rsidRDefault="00A96E76">
      <w:pPr>
        <w:pStyle w:val="Heading1"/>
      </w:pPr>
      <w:r>
        <w:rPr>
          <w:u w:val="single"/>
        </w:rPr>
        <w:t>Potential Modifications to Existing Star Ratings Measures</w:t>
      </w:r>
    </w:p>
    <w:p w:rsidR="0042065E" w:rsidRDefault="0042065E">
      <w:pPr>
        <w:pStyle w:val="BodyText"/>
        <w:spacing w:before="1"/>
        <w:rPr>
          <w:b/>
          <w:sz w:val="15"/>
        </w:rPr>
      </w:pPr>
    </w:p>
    <w:p w:rsidR="0042065E" w:rsidRDefault="00A96E76">
      <w:pPr>
        <w:pStyle w:val="BodyText"/>
        <w:spacing w:before="56" w:line="276" w:lineRule="auto"/>
        <w:ind w:left="108" w:right="468"/>
        <w:jc w:val="both"/>
      </w:pPr>
      <w:r>
        <w:rPr>
          <w:b/>
          <w:i/>
        </w:rPr>
        <w:t xml:space="preserve">Antipsychotic Use in Persons with Dementia: </w:t>
      </w:r>
      <w:r>
        <w:t xml:space="preserve">This measure examines the rates of inappropriate antipsychotic prescriptions for patients with dementia. Like other quality measures implemented by CMS, this measure is intended to reduce </w:t>
      </w:r>
      <w:r>
        <w:rPr>
          <w:i/>
        </w:rPr>
        <w:t xml:space="preserve">inappropriate </w:t>
      </w:r>
      <w:r>
        <w:t xml:space="preserve">prescribing practices for this patient population. As </w:t>
      </w:r>
      <w:r>
        <w:t>such, the measure exclusions consist of patients with schizophrenia, Tourette’s Syndrome, Huntington’s Disease, and bipolar disorders, but not schizoaffective disorder. However, the literature regarding the use of antipsychotics to treat schizoaffective di</w:t>
      </w:r>
      <w:r>
        <w:t>sorder indicates both the efficacy and the safety of these medications in older adults. We share the limited list of citations below, supporting the use of antipsychotics in patients with schizoaffective disorder, including older adults.</w:t>
      </w:r>
    </w:p>
    <w:p w:rsidR="0042065E" w:rsidRDefault="0042065E">
      <w:pPr>
        <w:pStyle w:val="BodyText"/>
        <w:spacing w:before="2"/>
        <w:rPr>
          <w:sz w:val="25"/>
        </w:rPr>
      </w:pPr>
    </w:p>
    <w:p w:rsidR="0042065E" w:rsidRDefault="00A96E76">
      <w:pPr>
        <w:pStyle w:val="ListParagraph"/>
        <w:numPr>
          <w:ilvl w:val="0"/>
          <w:numId w:val="1"/>
        </w:numPr>
        <w:tabs>
          <w:tab w:val="left" w:pos="561"/>
        </w:tabs>
        <w:spacing w:line="273" w:lineRule="auto"/>
        <w:ind w:right="466"/>
        <w:rPr>
          <w:sz w:val="14"/>
        </w:rPr>
      </w:pPr>
      <w:r>
        <w:t xml:space="preserve">Glick </w:t>
      </w:r>
      <w:r>
        <w:rPr>
          <w:i/>
        </w:rPr>
        <w:t xml:space="preserve">et al. </w:t>
      </w:r>
      <w:r>
        <w:t>performed a post-hoc analysis examining the efficacy, safety, and tolerability of aripiprazole in patients</w:t>
      </w:r>
      <w:r>
        <w:rPr>
          <w:spacing w:val="-16"/>
        </w:rPr>
        <w:t xml:space="preserve"> </w:t>
      </w:r>
      <w:r>
        <w:t>with</w:t>
      </w:r>
      <w:r>
        <w:rPr>
          <w:spacing w:val="-14"/>
        </w:rPr>
        <w:t xml:space="preserve"> </w:t>
      </w:r>
      <w:r>
        <w:t>schizoaffective</w:t>
      </w:r>
      <w:r>
        <w:rPr>
          <w:spacing w:val="-13"/>
        </w:rPr>
        <w:t xml:space="preserve"> </w:t>
      </w:r>
      <w:r>
        <w:t>disorder</w:t>
      </w:r>
      <w:r>
        <w:rPr>
          <w:spacing w:val="-14"/>
        </w:rPr>
        <w:t xml:space="preserve"> </w:t>
      </w:r>
      <w:r>
        <w:t>and</w:t>
      </w:r>
      <w:r>
        <w:rPr>
          <w:spacing w:val="-15"/>
        </w:rPr>
        <w:t xml:space="preserve"> </w:t>
      </w:r>
      <w:r>
        <w:t>found</w:t>
      </w:r>
      <w:r>
        <w:rPr>
          <w:spacing w:val="-15"/>
        </w:rPr>
        <w:t xml:space="preserve"> </w:t>
      </w:r>
      <w:r>
        <w:t>significantly</w:t>
      </w:r>
      <w:r>
        <w:rPr>
          <w:spacing w:val="-13"/>
        </w:rPr>
        <w:t xml:space="preserve"> </w:t>
      </w:r>
      <w:r>
        <w:t>greater</w:t>
      </w:r>
      <w:r>
        <w:rPr>
          <w:spacing w:val="-16"/>
        </w:rPr>
        <w:t xml:space="preserve"> </w:t>
      </w:r>
      <w:r>
        <w:t>improvement</w:t>
      </w:r>
      <w:r>
        <w:rPr>
          <w:spacing w:val="-13"/>
        </w:rPr>
        <w:t xml:space="preserve"> </w:t>
      </w:r>
      <w:r>
        <w:t>from</w:t>
      </w:r>
      <w:r>
        <w:rPr>
          <w:spacing w:val="-15"/>
        </w:rPr>
        <w:t xml:space="preserve"> </w:t>
      </w:r>
      <w:r>
        <w:t>baseline</w:t>
      </w:r>
      <w:r>
        <w:rPr>
          <w:spacing w:val="-16"/>
        </w:rPr>
        <w:t xml:space="preserve"> </w:t>
      </w:r>
      <w:r>
        <w:t>to</w:t>
      </w:r>
      <w:r>
        <w:rPr>
          <w:spacing w:val="-15"/>
        </w:rPr>
        <w:t xml:space="preserve"> </w:t>
      </w:r>
      <w:r>
        <w:t>endpoint with aripiprazole, as compared with a placebo, on</w:t>
      </w:r>
      <w:r>
        <w:t xml:space="preserve"> the Positive and Negative Syndrome Scale (PANSS), both overall and with respective to positive</w:t>
      </w:r>
      <w:r>
        <w:rPr>
          <w:spacing w:val="-21"/>
        </w:rPr>
        <w:t xml:space="preserve"> </w:t>
      </w:r>
      <w:r>
        <w:t>symptoms.</w:t>
      </w:r>
      <w:r>
        <w:rPr>
          <w:position w:val="8"/>
          <w:sz w:val="14"/>
        </w:rPr>
        <w:t>2</w:t>
      </w:r>
    </w:p>
    <w:p w:rsidR="0042065E" w:rsidRDefault="0042065E">
      <w:pPr>
        <w:pStyle w:val="BodyText"/>
        <w:spacing w:before="4"/>
        <w:rPr>
          <w:sz w:val="25"/>
        </w:rPr>
      </w:pPr>
    </w:p>
    <w:p w:rsidR="0042065E" w:rsidRDefault="00A96E76">
      <w:pPr>
        <w:pStyle w:val="ListParagraph"/>
        <w:numPr>
          <w:ilvl w:val="0"/>
          <w:numId w:val="1"/>
        </w:numPr>
        <w:tabs>
          <w:tab w:val="left" w:pos="561"/>
        </w:tabs>
        <w:spacing w:before="1" w:line="276" w:lineRule="auto"/>
        <w:ind w:right="469"/>
        <w:rPr>
          <w:sz w:val="14"/>
        </w:rPr>
      </w:pPr>
      <w:r>
        <w:t xml:space="preserve">Zisook </w:t>
      </w:r>
      <w:r>
        <w:rPr>
          <w:i/>
        </w:rPr>
        <w:t xml:space="preserve">et al. </w:t>
      </w:r>
      <w:r>
        <w:t>found in their study of augmenting antipsychotic use with a selective serotonin reuptake inhibitor (SSRI) in patients with suicidal id</w:t>
      </w:r>
      <w:r>
        <w:t>eation that 41 percent of patients were diagnosed with schizoaffective</w:t>
      </w:r>
      <w:r>
        <w:rPr>
          <w:spacing w:val="-10"/>
        </w:rPr>
        <w:t xml:space="preserve"> </w:t>
      </w:r>
      <w:r>
        <w:t>disorder.</w:t>
      </w:r>
      <w:r>
        <w:rPr>
          <w:spacing w:val="-11"/>
        </w:rPr>
        <w:t xml:space="preserve"> </w:t>
      </w:r>
      <w:r>
        <w:t>Of</w:t>
      </w:r>
      <w:r>
        <w:rPr>
          <w:spacing w:val="-13"/>
        </w:rPr>
        <w:t xml:space="preserve"> </w:t>
      </w:r>
      <w:r>
        <w:t>that</w:t>
      </w:r>
      <w:r>
        <w:rPr>
          <w:spacing w:val="-10"/>
        </w:rPr>
        <w:t xml:space="preserve"> </w:t>
      </w:r>
      <w:r>
        <w:t>subgroup,</w:t>
      </w:r>
      <w:r>
        <w:rPr>
          <w:spacing w:val="-13"/>
        </w:rPr>
        <w:t xml:space="preserve"> </w:t>
      </w:r>
      <w:r>
        <w:t>10</w:t>
      </w:r>
      <w:r>
        <w:rPr>
          <w:spacing w:val="-10"/>
        </w:rPr>
        <w:t xml:space="preserve"> </w:t>
      </w:r>
      <w:r>
        <w:t>percent</w:t>
      </w:r>
      <w:r>
        <w:rPr>
          <w:spacing w:val="-12"/>
        </w:rPr>
        <w:t xml:space="preserve"> </w:t>
      </w:r>
      <w:r>
        <w:t>were</w:t>
      </w:r>
      <w:r>
        <w:rPr>
          <w:spacing w:val="-13"/>
        </w:rPr>
        <w:t xml:space="preserve"> </w:t>
      </w:r>
      <w:r>
        <w:t>taking</w:t>
      </w:r>
      <w:r>
        <w:rPr>
          <w:spacing w:val="-12"/>
        </w:rPr>
        <w:t xml:space="preserve"> </w:t>
      </w:r>
      <w:r>
        <w:t>first</w:t>
      </w:r>
      <w:r>
        <w:rPr>
          <w:spacing w:val="-10"/>
        </w:rPr>
        <w:t xml:space="preserve"> </w:t>
      </w:r>
      <w:r>
        <w:t>generation</w:t>
      </w:r>
      <w:r>
        <w:rPr>
          <w:spacing w:val="-14"/>
        </w:rPr>
        <w:t xml:space="preserve"> </w:t>
      </w:r>
      <w:r>
        <w:t>antipsychotics,</w:t>
      </w:r>
      <w:r>
        <w:rPr>
          <w:spacing w:val="-12"/>
        </w:rPr>
        <w:t xml:space="preserve"> </w:t>
      </w:r>
      <w:r>
        <w:t>71</w:t>
      </w:r>
      <w:r>
        <w:rPr>
          <w:spacing w:val="-12"/>
        </w:rPr>
        <w:t xml:space="preserve"> </w:t>
      </w:r>
      <w:r>
        <w:t>percent taking second generation antipsychotics, and 19 percent were on both—an indicator of its p</w:t>
      </w:r>
      <w:r>
        <w:t>ervasiveness as a</w:t>
      </w:r>
      <w:r>
        <w:rPr>
          <w:spacing w:val="-3"/>
        </w:rPr>
        <w:t xml:space="preserve"> </w:t>
      </w:r>
      <w:r>
        <w:t>therapy.</w:t>
      </w:r>
      <w:r>
        <w:rPr>
          <w:position w:val="8"/>
          <w:sz w:val="14"/>
        </w:rPr>
        <w:t>3</w:t>
      </w:r>
    </w:p>
    <w:p w:rsidR="0042065E" w:rsidRDefault="0042065E">
      <w:pPr>
        <w:pStyle w:val="BodyText"/>
        <w:spacing w:before="2"/>
        <w:rPr>
          <w:sz w:val="25"/>
        </w:rPr>
      </w:pPr>
    </w:p>
    <w:p w:rsidR="0042065E" w:rsidRDefault="00A96E76">
      <w:pPr>
        <w:pStyle w:val="ListParagraph"/>
        <w:numPr>
          <w:ilvl w:val="0"/>
          <w:numId w:val="1"/>
        </w:numPr>
        <w:tabs>
          <w:tab w:val="left" w:pos="561"/>
        </w:tabs>
        <w:spacing w:line="276" w:lineRule="auto"/>
        <w:ind w:right="469"/>
      </w:pPr>
      <w:r>
        <w:t xml:space="preserve">Talaslahti </w:t>
      </w:r>
      <w:r>
        <w:rPr>
          <w:i/>
        </w:rPr>
        <w:t>et al</w:t>
      </w:r>
      <w:r>
        <w:t>. found the use of atypical antipsychotics increased while the use of typical antipsychotics (haloperidol,</w:t>
      </w:r>
      <w:r>
        <w:rPr>
          <w:spacing w:val="-9"/>
        </w:rPr>
        <w:t xml:space="preserve"> </w:t>
      </w:r>
      <w:r>
        <w:t>loxapine,</w:t>
      </w:r>
      <w:r>
        <w:rPr>
          <w:spacing w:val="-8"/>
        </w:rPr>
        <w:t xml:space="preserve"> </w:t>
      </w:r>
      <w:r>
        <w:t>thioridazine,</w:t>
      </w:r>
      <w:r>
        <w:rPr>
          <w:spacing w:val="-8"/>
        </w:rPr>
        <w:t xml:space="preserve"> </w:t>
      </w:r>
      <w:r>
        <w:t>molindone,</w:t>
      </w:r>
      <w:r>
        <w:rPr>
          <w:spacing w:val="-11"/>
        </w:rPr>
        <w:t xml:space="preserve"> </w:t>
      </w:r>
      <w:r>
        <w:t>etc.)</w:t>
      </w:r>
      <w:r>
        <w:rPr>
          <w:spacing w:val="-9"/>
        </w:rPr>
        <w:t xml:space="preserve"> </w:t>
      </w:r>
      <w:r>
        <w:t>decreased</w:t>
      </w:r>
      <w:r>
        <w:rPr>
          <w:spacing w:val="-10"/>
        </w:rPr>
        <w:t xml:space="preserve"> </w:t>
      </w:r>
      <w:r>
        <w:t>in</w:t>
      </w:r>
      <w:r>
        <w:rPr>
          <w:spacing w:val="-10"/>
        </w:rPr>
        <w:t xml:space="preserve"> </w:t>
      </w:r>
      <w:r>
        <w:t>older</w:t>
      </w:r>
      <w:r>
        <w:rPr>
          <w:spacing w:val="-11"/>
        </w:rPr>
        <w:t xml:space="preserve"> </w:t>
      </w:r>
      <w:r>
        <w:t>outpatients</w:t>
      </w:r>
      <w:r>
        <w:rPr>
          <w:spacing w:val="-9"/>
        </w:rPr>
        <w:t xml:space="preserve"> </w:t>
      </w:r>
      <w:r>
        <w:t>with</w:t>
      </w:r>
      <w:r>
        <w:rPr>
          <w:spacing w:val="-9"/>
        </w:rPr>
        <w:t xml:space="preserve"> </w:t>
      </w:r>
      <w:r>
        <w:t>schizophrenia</w:t>
      </w:r>
      <w:r>
        <w:rPr>
          <w:spacing w:val="-9"/>
        </w:rPr>
        <w:t xml:space="preserve"> </w:t>
      </w:r>
      <w:r>
        <w:t>from 1998-2003 according to the Finnish Hospital Discharge Register, and this included a subgroup of schizoaffective</w:t>
      </w:r>
      <w:r>
        <w:rPr>
          <w:spacing w:val="26"/>
        </w:rPr>
        <w:t xml:space="preserve"> </w:t>
      </w:r>
      <w:r>
        <w:t>patients.</w:t>
      </w:r>
      <w:r>
        <w:rPr>
          <w:spacing w:val="25"/>
        </w:rPr>
        <w:t xml:space="preserve"> </w:t>
      </w:r>
      <w:r>
        <w:t>Among</w:t>
      </w:r>
      <w:r>
        <w:rPr>
          <w:spacing w:val="22"/>
        </w:rPr>
        <w:t xml:space="preserve"> </w:t>
      </w:r>
      <w:r>
        <w:t>other</w:t>
      </w:r>
      <w:r>
        <w:rPr>
          <w:spacing w:val="25"/>
        </w:rPr>
        <w:t xml:space="preserve"> </w:t>
      </w:r>
      <w:r>
        <w:t>reasons,</w:t>
      </w:r>
      <w:r>
        <w:rPr>
          <w:spacing w:val="26"/>
        </w:rPr>
        <w:t xml:space="preserve"> </w:t>
      </w:r>
      <w:r>
        <w:t>one</w:t>
      </w:r>
      <w:r>
        <w:rPr>
          <w:spacing w:val="24"/>
        </w:rPr>
        <w:t xml:space="preserve"> </w:t>
      </w:r>
      <w:r>
        <w:t>explanation</w:t>
      </w:r>
      <w:r>
        <w:rPr>
          <w:spacing w:val="25"/>
        </w:rPr>
        <w:t xml:space="preserve"> </w:t>
      </w:r>
      <w:r>
        <w:t>for</w:t>
      </w:r>
      <w:r>
        <w:rPr>
          <w:spacing w:val="26"/>
        </w:rPr>
        <w:t xml:space="preserve"> </w:t>
      </w:r>
      <w:r>
        <w:t>this</w:t>
      </w:r>
      <w:r>
        <w:rPr>
          <w:spacing w:val="26"/>
        </w:rPr>
        <w:t xml:space="preserve"> </w:t>
      </w:r>
      <w:r>
        <w:t>change</w:t>
      </w:r>
      <w:r>
        <w:rPr>
          <w:spacing w:val="26"/>
        </w:rPr>
        <w:t xml:space="preserve"> </w:t>
      </w:r>
      <w:r>
        <w:t>could</w:t>
      </w:r>
      <w:r>
        <w:rPr>
          <w:spacing w:val="24"/>
        </w:rPr>
        <w:t xml:space="preserve"> </w:t>
      </w:r>
      <w:r>
        <w:t>be</w:t>
      </w:r>
      <w:r>
        <w:rPr>
          <w:spacing w:val="26"/>
        </w:rPr>
        <w:t xml:space="preserve"> </w:t>
      </w:r>
      <w:r>
        <w:t>due</w:t>
      </w:r>
      <w:r>
        <w:rPr>
          <w:spacing w:val="26"/>
        </w:rPr>
        <w:t xml:space="preserve"> </w:t>
      </w:r>
      <w:r>
        <w:t>to</w:t>
      </w:r>
      <w:r>
        <w:rPr>
          <w:spacing w:val="27"/>
        </w:rPr>
        <w:t xml:space="preserve"> </w:t>
      </w:r>
      <w:r>
        <w:t>atypical</w:t>
      </w:r>
    </w:p>
    <w:p w:rsidR="0042065E" w:rsidRDefault="0042065E">
      <w:pPr>
        <w:pStyle w:val="BodyText"/>
        <w:rPr>
          <w:sz w:val="20"/>
        </w:rPr>
      </w:pPr>
    </w:p>
    <w:p w:rsidR="0042065E" w:rsidRDefault="0042065E">
      <w:pPr>
        <w:pStyle w:val="BodyText"/>
        <w:rPr>
          <w:sz w:val="20"/>
        </w:rPr>
      </w:pPr>
    </w:p>
    <w:p w:rsidR="0042065E" w:rsidRDefault="00A96E76">
      <w:pPr>
        <w:pStyle w:val="BodyText"/>
        <w:rPr>
          <w:sz w:val="15"/>
        </w:rPr>
      </w:pPr>
      <w:r>
        <w:pict>
          <v:line id="_x0000_s1027" style="position:absolute;z-index:1456;mso-wrap-distance-left:0;mso-wrap-distance-right:0;mso-position-horizontal-relative:page" from="2in,11.45pt" to="288.05pt,11.45pt" strokeweight=".6pt">
            <w10:wrap type="topAndBottom" anchorx="page"/>
          </v:line>
        </w:pict>
      </w:r>
    </w:p>
    <w:p w:rsidR="0042065E" w:rsidRDefault="00A96E76">
      <w:pPr>
        <w:spacing w:before="70"/>
        <w:ind w:left="469" w:right="151" w:hanging="89"/>
        <w:rPr>
          <w:sz w:val="20"/>
        </w:rPr>
      </w:pPr>
      <w:r>
        <w:rPr>
          <w:position w:val="7"/>
          <w:sz w:val="13"/>
        </w:rPr>
        <w:t xml:space="preserve">2 </w:t>
      </w:r>
      <w:r>
        <w:rPr>
          <w:sz w:val="20"/>
        </w:rPr>
        <w:t>Glick ID, Mankoski R, Eudicone JM, Marcus RN,</w:t>
      </w:r>
      <w:r>
        <w:rPr>
          <w:sz w:val="20"/>
        </w:rPr>
        <w:t xml:space="preserve"> Tran Q-V, Assunção-Talbott S. 2009. “The efficacy, safety, and tolerability of aripiprazole for the treatment of schizoaffective disorder: results from a pooled analysis of a sub-population of subjects from two randomized, double-blind, placebo-controlled</w:t>
      </w:r>
      <w:r>
        <w:rPr>
          <w:sz w:val="20"/>
        </w:rPr>
        <w:t xml:space="preserve">, pivotal trials.” </w:t>
      </w:r>
      <w:r>
        <w:rPr>
          <w:i/>
          <w:sz w:val="20"/>
        </w:rPr>
        <w:t>Journal of Affect Disorders</w:t>
      </w:r>
      <w:r>
        <w:rPr>
          <w:sz w:val="20"/>
        </w:rPr>
        <w:t>. May 2009: 18:26.</w:t>
      </w:r>
    </w:p>
    <w:p w:rsidR="0042065E" w:rsidRDefault="00A96E76">
      <w:pPr>
        <w:ind w:left="469" w:right="259" w:hanging="89"/>
        <w:rPr>
          <w:sz w:val="20"/>
        </w:rPr>
      </w:pPr>
      <w:r>
        <w:rPr>
          <w:position w:val="7"/>
          <w:sz w:val="13"/>
        </w:rPr>
        <w:t xml:space="preserve">3 </w:t>
      </w:r>
      <w:r>
        <w:rPr>
          <w:sz w:val="20"/>
        </w:rPr>
        <w:t>Zisook S, Kasckow JW, Lanouette NM, Golshan S, Fellows I, Vahia I, et al. 2010. “Augmentation with citalopram for suicidal ideation in How to move bar above footnots to left border?-aged an</w:t>
      </w:r>
      <w:r>
        <w:rPr>
          <w:sz w:val="20"/>
        </w:rPr>
        <w:t xml:space="preserve">d older outpatients with schizophrenia and schizoaffective disorder who have subthreshold depressive symptoms: a randomized controlled trial.” </w:t>
      </w:r>
      <w:r>
        <w:rPr>
          <w:i/>
          <w:sz w:val="20"/>
        </w:rPr>
        <w:t>Journal of Clinical Psychiatry</w:t>
      </w:r>
      <w:r>
        <w:rPr>
          <w:sz w:val="20"/>
        </w:rPr>
        <w:t>. 71(7); 915:22.</w:t>
      </w:r>
    </w:p>
    <w:p w:rsidR="0042065E" w:rsidRDefault="0042065E">
      <w:pPr>
        <w:rPr>
          <w:sz w:val="20"/>
        </w:rPr>
        <w:sectPr w:rsidR="0042065E">
          <w:pgSz w:w="12240" w:h="15840"/>
          <w:pgMar w:top="940" w:right="520" w:bottom="280" w:left="1060" w:header="727" w:footer="0" w:gutter="0"/>
          <w:cols w:space="720"/>
        </w:sectPr>
      </w:pPr>
    </w:p>
    <w:p w:rsidR="0042065E" w:rsidRDefault="0042065E">
      <w:pPr>
        <w:pStyle w:val="BodyText"/>
        <w:rPr>
          <w:sz w:val="20"/>
        </w:rPr>
      </w:pPr>
    </w:p>
    <w:p w:rsidR="0042065E" w:rsidRDefault="0042065E">
      <w:pPr>
        <w:pStyle w:val="BodyText"/>
        <w:rPr>
          <w:sz w:val="20"/>
        </w:rPr>
      </w:pPr>
    </w:p>
    <w:p w:rsidR="0042065E" w:rsidRDefault="0042065E">
      <w:pPr>
        <w:pStyle w:val="BodyText"/>
        <w:rPr>
          <w:sz w:val="20"/>
        </w:rPr>
      </w:pPr>
    </w:p>
    <w:p w:rsidR="0042065E" w:rsidRDefault="0042065E">
      <w:pPr>
        <w:pStyle w:val="BodyText"/>
        <w:rPr>
          <w:sz w:val="20"/>
        </w:rPr>
      </w:pPr>
    </w:p>
    <w:p w:rsidR="0042065E" w:rsidRDefault="0042065E">
      <w:pPr>
        <w:pStyle w:val="BodyText"/>
        <w:spacing w:before="9"/>
        <w:rPr>
          <w:sz w:val="18"/>
        </w:rPr>
      </w:pPr>
    </w:p>
    <w:p w:rsidR="0042065E" w:rsidRDefault="00A96E76">
      <w:pPr>
        <w:pStyle w:val="BodyText"/>
        <w:spacing w:line="271" w:lineRule="auto"/>
        <w:ind w:left="560" w:right="394"/>
        <w:rPr>
          <w:sz w:val="14"/>
        </w:rPr>
      </w:pPr>
      <w:r>
        <w:t>antipsychotics lacking the Parkinsonian side-effects of the typical antipsychotics, making them a safer option for pharmacotherapy.</w:t>
      </w:r>
      <w:r>
        <w:rPr>
          <w:position w:val="8"/>
          <w:sz w:val="14"/>
        </w:rPr>
        <w:t>4</w:t>
      </w:r>
    </w:p>
    <w:p w:rsidR="0042065E" w:rsidRDefault="0042065E">
      <w:pPr>
        <w:pStyle w:val="BodyText"/>
        <w:spacing w:before="10"/>
        <w:rPr>
          <w:sz w:val="25"/>
        </w:rPr>
      </w:pPr>
    </w:p>
    <w:p w:rsidR="0042065E" w:rsidRDefault="00A96E76">
      <w:pPr>
        <w:pStyle w:val="ListParagraph"/>
        <w:numPr>
          <w:ilvl w:val="1"/>
          <w:numId w:val="1"/>
        </w:numPr>
        <w:tabs>
          <w:tab w:val="left" w:pos="561"/>
        </w:tabs>
        <w:spacing w:line="273" w:lineRule="auto"/>
        <w:ind w:right="469"/>
        <w:rPr>
          <w:sz w:val="14"/>
        </w:rPr>
      </w:pPr>
      <w:r>
        <w:t>The</w:t>
      </w:r>
      <w:r>
        <w:rPr>
          <w:spacing w:val="-3"/>
        </w:rPr>
        <w:t xml:space="preserve"> </w:t>
      </w:r>
      <w:r>
        <w:t>Joshi</w:t>
      </w:r>
      <w:r>
        <w:rPr>
          <w:spacing w:val="-3"/>
        </w:rPr>
        <w:t xml:space="preserve"> </w:t>
      </w:r>
      <w:r>
        <w:rPr>
          <w:i/>
        </w:rPr>
        <w:t>et</w:t>
      </w:r>
      <w:r>
        <w:rPr>
          <w:i/>
          <w:spacing w:val="-4"/>
        </w:rPr>
        <w:t xml:space="preserve"> </w:t>
      </w:r>
      <w:r>
        <w:rPr>
          <w:i/>
        </w:rPr>
        <w:t>al.</w:t>
      </w:r>
      <w:r>
        <w:rPr>
          <w:i/>
          <w:spacing w:val="-3"/>
        </w:rPr>
        <w:t xml:space="preserve"> </w:t>
      </w:r>
      <w:r>
        <w:t>study</w:t>
      </w:r>
      <w:r>
        <w:rPr>
          <w:spacing w:val="-3"/>
        </w:rPr>
        <w:t xml:space="preserve"> </w:t>
      </w:r>
      <w:r>
        <w:t>found</w:t>
      </w:r>
      <w:r>
        <w:rPr>
          <w:spacing w:val="-3"/>
        </w:rPr>
        <w:t xml:space="preserve"> </w:t>
      </w:r>
      <w:r>
        <w:t>in</w:t>
      </w:r>
      <w:r>
        <w:rPr>
          <w:spacing w:val="-3"/>
        </w:rPr>
        <w:t xml:space="preserve"> </w:t>
      </w:r>
      <w:r>
        <w:t>a</w:t>
      </w:r>
      <w:r>
        <w:rPr>
          <w:spacing w:val="-3"/>
        </w:rPr>
        <w:t xml:space="preserve"> </w:t>
      </w:r>
      <w:r>
        <w:t>large</w:t>
      </w:r>
      <w:r>
        <w:rPr>
          <w:spacing w:val="-3"/>
        </w:rPr>
        <w:t xml:space="preserve"> </w:t>
      </w:r>
      <w:r>
        <w:t>schizoaffective</w:t>
      </w:r>
      <w:r>
        <w:rPr>
          <w:spacing w:val="-4"/>
        </w:rPr>
        <w:t xml:space="preserve"> </w:t>
      </w:r>
      <w:r>
        <w:t>mixed-age</w:t>
      </w:r>
      <w:r>
        <w:rPr>
          <w:spacing w:val="-3"/>
        </w:rPr>
        <w:t xml:space="preserve"> </w:t>
      </w:r>
      <w:r>
        <w:t>population</w:t>
      </w:r>
      <w:r>
        <w:rPr>
          <w:spacing w:val="-5"/>
        </w:rPr>
        <w:t xml:space="preserve"> </w:t>
      </w:r>
      <w:r>
        <w:t>(2,713</w:t>
      </w:r>
      <w:r>
        <w:rPr>
          <w:spacing w:val="-4"/>
        </w:rPr>
        <w:t xml:space="preserve"> </w:t>
      </w:r>
      <w:r>
        <w:t>people)</w:t>
      </w:r>
      <w:r>
        <w:rPr>
          <w:spacing w:val="-4"/>
        </w:rPr>
        <w:t xml:space="preserve"> </w:t>
      </w:r>
      <w:r>
        <w:t>that</w:t>
      </w:r>
      <w:r>
        <w:rPr>
          <w:spacing w:val="-4"/>
        </w:rPr>
        <w:t xml:space="preserve"> </w:t>
      </w:r>
      <w:r>
        <w:t>64.4</w:t>
      </w:r>
      <w:r>
        <w:rPr>
          <w:spacing w:val="-3"/>
        </w:rPr>
        <w:t xml:space="preserve"> </w:t>
      </w:r>
      <w:r>
        <w:t xml:space="preserve">percent of patients </w:t>
      </w:r>
      <w:r>
        <w:t>were on antipsychotics at baseline, and at a later follow-up, 74.8 percent of patients were on antipsychotics, leading the authors to determine that antipsychotics are considered the “cornerstone of treatment” for schizoaffective</w:t>
      </w:r>
      <w:r>
        <w:rPr>
          <w:spacing w:val="-5"/>
        </w:rPr>
        <w:t xml:space="preserve"> </w:t>
      </w:r>
      <w:r>
        <w:t>disorder.</w:t>
      </w:r>
      <w:r>
        <w:rPr>
          <w:position w:val="8"/>
          <w:sz w:val="14"/>
        </w:rPr>
        <w:t>5</w:t>
      </w:r>
    </w:p>
    <w:p w:rsidR="0042065E" w:rsidRDefault="0042065E">
      <w:pPr>
        <w:pStyle w:val="BodyText"/>
        <w:spacing w:before="4"/>
        <w:rPr>
          <w:sz w:val="25"/>
        </w:rPr>
      </w:pPr>
    </w:p>
    <w:p w:rsidR="0042065E" w:rsidRDefault="00A96E76">
      <w:pPr>
        <w:pStyle w:val="BodyText"/>
        <w:spacing w:before="1" w:line="276" w:lineRule="auto"/>
        <w:ind w:left="108" w:right="468"/>
        <w:jc w:val="both"/>
      </w:pPr>
      <w:r>
        <w:rPr>
          <w:b/>
        </w:rPr>
        <w:t>With the evide</w:t>
      </w:r>
      <w:r>
        <w:rPr>
          <w:b/>
        </w:rPr>
        <w:t xml:space="preserve">nce supporting the use of antipsychotics for these patients, we recommend that CMS add schizoaffective disorder to the list of diagnostic conditions excluded from this measure. </w:t>
      </w:r>
      <w:r>
        <w:t>It is necessary for the measure developers to retest the quality measure to det</w:t>
      </w:r>
      <w:r>
        <w:t>ermine the rate of improvement when all these conditions are excluded. Retesting this measure is also highly recommended because a diagnosis of schizoaffective disorder is often used when the clinician is uncertain whether a patient has schizophrenia or bi</w:t>
      </w:r>
      <w:r>
        <w:t>polar disorder. Consequently, the data collected is substantially inaccurate and should not be relied upon to illustrate the degree of quality care administered to Medicare Part D beneficiaries. The data source for this measure is pharmacy claims, which ge</w:t>
      </w:r>
      <w:r>
        <w:t>nerally provide only the principal diagnosis. Clinical information (in the form of a diagnosis code) that would justify antipsychotic use in patients with dementia is not reflected. Therefore,</w:t>
      </w:r>
      <w:r>
        <w:rPr>
          <w:spacing w:val="-16"/>
        </w:rPr>
        <w:t xml:space="preserve"> </w:t>
      </w:r>
      <w:r>
        <w:t>the</w:t>
      </w:r>
      <w:r>
        <w:rPr>
          <w:spacing w:val="-14"/>
        </w:rPr>
        <w:t xml:space="preserve"> </w:t>
      </w:r>
      <w:r>
        <w:t>justification</w:t>
      </w:r>
      <w:r>
        <w:rPr>
          <w:spacing w:val="-17"/>
        </w:rPr>
        <w:t xml:space="preserve"> </w:t>
      </w:r>
      <w:r>
        <w:t>for</w:t>
      </w:r>
      <w:r>
        <w:rPr>
          <w:spacing w:val="-14"/>
        </w:rPr>
        <w:t xml:space="preserve"> </w:t>
      </w:r>
      <w:r>
        <w:t>appropriately</w:t>
      </w:r>
      <w:r>
        <w:rPr>
          <w:spacing w:val="-13"/>
        </w:rPr>
        <w:t xml:space="preserve"> </w:t>
      </w:r>
      <w:r>
        <w:t>prescribing</w:t>
      </w:r>
      <w:r>
        <w:rPr>
          <w:spacing w:val="-15"/>
        </w:rPr>
        <w:t xml:space="preserve"> </w:t>
      </w:r>
      <w:r>
        <w:t>an</w:t>
      </w:r>
      <w:r>
        <w:rPr>
          <w:spacing w:val="-15"/>
        </w:rPr>
        <w:t xml:space="preserve"> </w:t>
      </w:r>
      <w:r>
        <w:t>antipsychoti</w:t>
      </w:r>
      <w:r>
        <w:t>c</w:t>
      </w:r>
      <w:r>
        <w:rPr>
          <w:spacing w:val="-13"/>
        </w:rPr>
        <w:t xml:space="preserve"> </w:t>
      </w:r>
      <w:r>
        <w:t>outside</w:t>
      </w:r>
      <w:r>
        <w:rPr>
          <w:spacing w:val="-14"/>
        </w:rPr>
        <w:t xml:space="preserve"> </w:t>
      </w:r>
      <w:r>
        <w:t>the</w:t>
      </w:r>
      <w:r>
        <w:rPr>
          <w:spacing w:val="-13"/>
        </w:rPr>
        <w:t xml:space="preserve"> </w:t>
      </w:r>
      <w:r>
        <w:t>exclusion</w:t>
      </w:r>
      <w:r>
        <w:rPr>
          <w:spacing w:val="-15"/>
        </w:rPr>
        <w:t xml:space="preserve"> </w:t>
      </w:r>
      <w:r>
        <w:t>criteria</w:t>
      </w:r>
      <w:r>
        <w:rPr>
          <w:spacing w:val="-15"/>
        </w:rPr>
        <w:t xml:space="preserve"> </w:t>
      </w:r>
      <w:r>
        <w:t>is</w:t>
      </w:r>
      <w:r>
        <w:rPr>
          <w:spacing w:val="-14"/>
        </w:rPr>
        <w:t xml:space="preserve"> </w:t>
      </w:r>
      <w:r>
        <w:t>not</w:t>
      </w:r>
      <w:r>
        <w:rPr>
          <w:spacing w:val="-13"/>
        </w:rPr>
        <w:t xml:space="preserve"> </w:t>
      </w:r>
      <w:r>
        <w:t>easily determined.</w:t>
      </w:r>
      <w:r>
        <w:rPr>
          <w:spacing w:val="23"/>
        </w:rPr>
        <w:t xml:space="preserve"> </w:t>
      </w:r>
      <w:r>
        <w:t>The</w:t>
      </w:r>
      <w:r>
        <w:rPr>
          <w:spacing w:val="-13"/>
        </w:rPr>
        <w:t xml:space="preserve"> </w:t>
      </w:r>
      <w:r>
        <w:t>unintended</w:t>
      </w:r>
      <w:r>
        <w:rPr>
          <w:spacing w:val="-14"/>
        </w:rPr>
        <w:t xml:space="preserve"> </w:t>
      </w:r>
      <w:r>
        <w:t>consequence</w:t>
      </w:r>
      <w:r>
        <w:rPr>
          <w:spacing w:val="-13"/>
        </w:rPr>
        <w:t xml:space="preserve"> </w:t>
      </w:r>
      <w:r>
        <w:t>is</w:t>
      </w:r>
      <w:r>
        <w:rPr>
          <w:spacing w:val="-14"/>
        </w:rPr>
        <w:t xml:space="preserve"> </w:t>
      </w:r>
      <w:r>
        <w:t>that</w:t>
      </w:r>
      <w:r>
        <w:rPr>
          <w:spacing w:val="-14"/>
        </w:rPr>
        <w:t xml:space="preserve"> </w:t>
      </w:r>
      <w:r>
        <w:t>the</w:t>
      </w:r>
      <w:r>
        <w:rPr>
          <w:spacing w:val="-13"/>
        </w:rPr>
        <w:t xml:space="preserve"> </w:t>
      </w:r>
      <w:r>
        <w:t>rating</w:t>
      </w:r>
      <w:r>
        <w:rPr>
          <w:spacing w:val="-15"/>
        </w:rPr>
        <w:t xml:space="preserve"> </w:t>
      </w:r>
      <w:r>
        <w:t>system</w:t>
      </w:r>
      <w:r>
        <w:rPr>
          <w:spacing w:val="-13"/>
        </w:rPr>
        <w:t xml:space="preserve"> </w:t>
      </w:r>
      <w:r>
        <w:t>incorrectly</w:t>
      </w:r>
      <w:r>
        <w:rPr>
          <w:spacing w:val="-13"/>
        </w:rPr>
        <w:t xml:space="preserve"> </w:t>
      </w:r>
      <w:r>
        <w:t>displays</w:t>
      </w:r>
      <w:r>
        <w:rPr>
          <w:spacing w:val="-13"/>
        </w:rPr>
        <w:t xml:space="preserve"> </w:t>
      </w:r>
      <w:r>
        <w:t>the</w:t>
      </w:r>
      <w:r>
        <w:rPr>
          <w:spacing w:val="-14"/>
        </w:rPr>
        <w:t xml:space="preserve"> </w:t>
      </w:r>
      <w:r>
        <w:t>administration</w:t>
      </w:r>
      <w:r>
        <w:rPr>
          <w:spacing w:val="-15"/>
        </w:rPr>
        <w:t xml:space="preserve"> </w:t>
      </w:r>
      <w:r>
        <w:t>of</w:t>
      </w:r>
      <w:r>
        <w:rPr>
          <w:spacing w:val="-16"/>
        </w:rPr>
        <w:t xml:space="preserve"> </w:t>
      </w:r>
      <w:r>
        <w:t>poor quality care, when in fact the care was</w:t>
      </w:r>
      <w:r>
        <w:rPr>
          <w:spacing w:val="-12"/>
        </w:rPr>
        <w:t xml:space="preserve"> </w:t>
      </w:r>
      <w:r>
        <w:t>appropriate.</w:t>
      </w:r>
    </w:p>
    <w:p w:rsidR="0042065E" w:rsidRDefault="0042065E">
      <w:pPr>
        <w:pStyle w:val="BodyText"/>
        <w:spacing w:before="5"/>
        <w:rPr>
          <w:sz w:val="25"/>
        </w:rPr>
      </w:pPr>
    </w:p>
    <w:p w:rsidR="0042065E" w:rsidRDefault="00A96E76">
      <w:pPr>
        <w:spacing w:line="276" w:lineRule="auto"/>
        <w:ind w:left="108" w:right="469"/>
        <w:jc w:val="both"/>
      </w:pPr>
      <w:r>
        <w:rPr>
          <w:b/>
        </w:rPr>
        <w:t>The</w:t>
      </w:r>
      <w:r>
        <w:rPr>
          <w:b/>
          <w:spacing w:val="-3"/>
        </w:rPr>
        <w:t xml:space="preserve"> </w:t>
      </w:r>
      <w:r>
        <w:rPr>
          <w:b/>
        </w:rPr>
        <w:t>APA</w:t>
      </w:r>
      <w:r>
        <w:rPr>
          <w:b/>
          <w:spacing w:val="-4"/>
        </w:rPr>
        <w:t xml:space="preserve"> </w:t>
      </w:r>
      <w:r>
        <w:rPr>
          <w:b/>
        </w:rPr>
        <w:t>strongly</w:t>
      </w:r>
      <w:r>
        <w:rPr>
          <w:b/>
          <w:spacing w:val="-4"/>
        </w:rPr>
        <w:t xml:space="preserve"> </w:t>
      </w:r>
      <w:r>
        <w:rPr>
          <w:b/>
        </w:rPr>
        <w:t>recommends</w:t>
      </w:r>
      <w:r>
        <w:rPr>
          <w:b/>
          <w:spacing w:val="-2"/>
        </w:rPr>
        <w:t xml:space="preserve"> </w:t>
      </w:r>
      <w:r>
        <w:rPr>
          <w:b/>
        </w:rPr>
        <w:t>that</w:t>
      </w:r>
      <w:r>
        <w:rPr>
          <w:b/>
          <w:spacing w:val="-2"/>
        </w:rPr>
        <w:t xml:space="preserve"> </w:t>
      </w:r>
      <w:r>
        <w:rPr>
          <w:b/>
        </w:rPr>
        <w:t>the</w:t>
      </w:r>
      <w:r>
        <w:rPr>
          <w:b/>
          <w:spacing w:val="-5"/>
        </w:rPr>
        <w:t xml:space="preserve"> </w:t>
      </w:r>
      <w:r>
        <w:rPr>
          <w:b/>
        </w:rPr>
        <w:t>raw</w:t>
      </w:r>
      <w:r>
        <w:rPr>
          <w:b/>
          <w:spacing w:val="-4"/>
        </w:rPr>
        <w:t xml:space="preserve"> </w:t>
      </w:r>
      <w:r>
        <w:rPr>
          <w:b/>
        </w:rPr>
        <w:t>measure</w:t>
      </w:r>
      <w:r>
        <w:rPr>
          <w:b/>
          <w:spacing w:val="-3"/>
        </w:rPr>
        <w:t xml:space="preserve"> </w:t>
      </w:r>
      <w:r>
        <w:rPr>
          <w:b/>
        </w:rPr>
        <w:t>data</w:t>
      </w:r>
      <w:r>
        <w:rPr>
          <w:b/>
          <w:spacing w:val="-3"/>
        </w:rPr>
        <w:t xml:space="preserve"> </w:t>
      </w:r>
      <w:r>
        <w:rPr>
          <w:b/>
        </w:rPr>
        <w:t>be</w:t>
      </w:r>
      <w:r>
        <w:rPr>
          <w:b/>
          <w:spacing w:val="-4"/>
        </w:rPr>
        <w:t xml:space="preserve"> </w:t>
      </w:r>
      <w:r>
        <w:rPr>
          <w:b/>
        </w:rPr>
        <w:t>subject</w:t>
      </w:r>
      <w:r>
        <w:rPr>
          <w:b/>
          <w:spacing w:val="-4"/>
        </w:rPr>
        <w:t xml:space="preserve"> </w:t>
      </w:r>
      <w:r>
        <w:rPr>
          <w:b/>
        </w:rPr>
        <w:t>to</w:t>
      </w:r>
      <w:r>
        <w:rPr>
          <w:b/>
          <w:spacing w:val="-3"/>
        </w:rPr>
        <w:t xml:space="preserve"> </w:t>
      </w:r>
      <w:r>
        <w:rPr>
          <w:b/>
        </w:rPr>
        <w:t>risk</w:t>
      </w:r>
      <w:r>
        <w:rPr>
          <w:b/>
          <w:spacing w:val="-5"/>
        </w:rPr>
        <w:t xml:space="preserve"> </w:t>
      </w:r>
      <w:r>
        <w:rPr>
          <w:b/>
        </w:rPr>
        <w:t>adjustment</w:t>
      </w:r>
      <w:r>
        <w:rPr>
          <w:b/>
          <w:spacing w:val="-4"/>
        </w:rPr>
        <w:t xml:space="preserve"> </w:t>
      </w:r>
      <w:r>
        <w:rPr>
          <w:b/>
        </w:rPr>
        <w:t>before</w:t>
      </w:r>
      <w:r>
        <w:rPr>
          <w:b/>
          <w:spacing w:val="-5"/>
        </w:rPr>
        <w:t xml:space="preserve"> </w:t>
      </w:r>
      <w:r>
        <w:rPr>
          <w:b/>
        </w:rPr>
        <w:t>consumers</w:t>
      </w:r>
      <w:r>
        <w:rPr>
          <w:b/>
          <w:spacing w:val="-2"/>
        </w:rPr>
        <w:t xml:space="preserve"> </w:t>
      </w:r>
      <w:r>
        <w:rPr>
          <w:b/>
        </w:rPr>
        <w:t xml:space="preserve">and others use the Star Ratings or the data to evaluate the quality of care administered. </w:t>
      </w:r>
      <w:r>
        <w:t>This is critical to avoid penalizing</w:t>
      </w:r>
      <w:r>
        <w:rPr>
          <w:spacing w:val="-3"/>
        </w:rPr>
        <w:t xml:space="preserve"> </w:t>
      </w:r>
      <w:r>
        <w:t>the</w:t>
      </w:r>
      <w:r>
        <w:rPr>
          <w:spacing w:val="-2"/>
        </w:rPr>
        <w:t xml:space="preserve"> </w:t>
      </w:r>
      <w:r>
        <w:t>wrongful</w:t>
      </w:r>
      <w:r>
        <w:rPr>
          <w:spacing w:val="-2"/>
        </w:rPr>
        <w:t xml:space="preserve"> </w:t>
      </w:r>
      <w:r>
        <w:t>assignment</w:t>
      </w:r>
      <w:r>
        <w:rPr>
          <w:spacing w:val="-4"/>
        </w:rPr>
        <w:t xml:space="preserve"> </w:t>
      </w:r>
      <w:r>
        <w:t>of</w:t>
      </w:r>
      <w:r>
        <w:rPr>
          <w:spacing w:val="-2"/>
        </w:rPr>
        <w:t xml:space="preserve"> </w:t>
      </w:r>
      <w:r>
        <w:t>poor</w:t>
      </w:r>
      <w:r>
        <w:rPr>
          <w:spacing w:val="-2"/>
        </w:rPr>
        <w:t xml:space="preserve"> </w:t>
      </w:r>
      <w:r>
        <w:t>care</w:t>
      </w:r>
      <w:r>
        <w:rPr>
          <w:spacing w:val="-2"/>
        </w:rPr>
        <w:t xml:space="preserve"> </w:t>
      </w:r>
      <w:r>
        <w:t>quality</w:t>
      </w:r>
      <w:r>
        <w:rPr>
          <w:spacing w:val="-2"/>
        </w:rPr>
        <w:t xml:space="preserve"> </w:t>
      </w:r>
      <w:r>
        <w:t>ratings</w:t>
      </w:r>
      <w:r>
        <w:rPr>
          <w:spacing w:val="-5"/>
        </w:rPr>
        <w:t xml:space="preserve"> </w:t>
      </w:r>
      <w:r>
        <w:t>to</w:t>
      </w:r>
      <w:r>
        <w:rPr>
          <w:spacing w:val="-3"/>
        </w:rPr>
        <w:t xml:space="preserve"> </w:t>
      </w:r>
      <w:r>
        <w:t>plans</w:t>
      </w:r>
      <w:r>
        <w:rPr>
          <w:spacing w:val="-2"/>
        </w:rPr>
        <w:t xml:space="preserve"> </w:t>
      </w:r>
      <w:r>
        <w:t>that</w:t>
      </w:r>
      <w:r>
        <w:rPr>
          <w:spacing w:val="-2"/>
        </w:rPr>
        <w:t xml:space="preserve"> </w:t>
      </w:r>
      <w:r>
        <w:t>cover</w:t>
      </w:r>
      <w:r>
        <w:rPr>
          <w:spacing w:val="-2"/>
        </w:rPr>
        <w:t xml:space="preserve"> </w:t>
      </w:r>
      <w:r>
        <w:t>the</w:t>
      </w:r>
      <w:r>
        <w:rPr>
          <w:spacing w:val="-4"/>
        </w:rPr>
        <w:t xml:space="preserve"> </w:t>
      </w:r>
      <w:r>
        <w:t>costs</w:t>
      </w:r>
      <w:r>
        <w:rPr>
          <w:spacing w:val="-4"/>
        </w:rPr>
        <w:t xml:space="preserve"> </w:t>
      </w:r>
      <w:r>
        <w:t>of</w:t>
      </w:r>
      <w:r>
        <w:rPr>
          <w:spacing w:val="-2"/>
        </w:rPr>
        <w:t xml:space="preserve"> </w:t>
      </w:r>
      <w:r>
        <w:t>antipsychotics</w:t>
      </w:r>
      <w:r>
        <w:rPr>
          <w:spacing w:val="-2"/>
        </w:rPr>
        <w:t xml:space="preserve"> </w:t>
      </w:r>
      <w:r>
        <w:t>for patients who need</w:t>
      </w:r>
      <w:r>
        <w:rPr>
          <w:spacing w:val="-3"/>
        </w:rPr>
        <w:t xml:space="preserve"> </w:t>
      </w:r>
      <w:r>
        <w:t>them.</w:t>
      </w:r>
    </w:p>
    <w:p w:rsidR="0042065E" w:rsidRDefault="0042065E">
      <w:pPr>
        <w:pStyle w:val="BodyText"/>
        <w:spacing w:before="2"/>
        <w:rPr>
          <w:sz w:val="25"/>
        </w:rPr>
      </w:pPr>
    </w:p>
    <w:p w:rsidR="0042065E" w:rsidRDefault="00A96E76">
      <w:pPr>
        <w:spacing w:line="276" w:lineRule="auto"/>
        <w:ind w:left="108" w:right="469"/>
        <w:jc w:val="both"/>
      </w:pPr>
      <w:r>
        <w:rPr>
          <w:b/>
          <w:i/>
        </w:rPr>
        <w:t xml:space="preserve">Use of Opioids from Multiple Providers and/or at High Dosage in Persons without Cancer: </w:t>
      </w:r>
      <w:r>
        <w:t>This is a set of three measures focused on reducing dangerous opioid prescribing practices.</w:t>
      </w:r>
    </w:p>
    <w:p w:rsidR="0042065E" w:rsidRDefault="0042065E">
      <w:pPr>
        <w:pStyle w:val="BodyText"/>
        <w:spacing w:before="2"/>
        <w:rPr>
          <w:sz w:val="25"/>
        </w:rPr>
      </w:pPr>
    </w:p>
    <w:p w:rsidR="0042065E" w:rsidRDefault="00A96E76">
      <w:pPr>
        <w:pStyle w:val="ListParagraph"/>
        <w:numPr>
          <w:ilvl w:val="1"/>
          <w:numId w:val="2"/>
        </w:numPr>
        <w:tabs>
          <w:tab w:val="left" w:pos="1100"/>
          <w:tab w:val="left" w:pos="1101"/>
        </w:tabs>
        <w:spacing w:line="259" w:lineRule="auto"/>
        <w:ind w:right="467" w:firstLine="0"/>
        <w:jc w:val="both"/>
      </w:pPr>
      <w:r>
        <w:rPr>
          <w:b/>
          <w:i/>
        </w:rPr>
        <w:t>Use of Opioi</w:t>
      </w:r>
      <w:r>
        <w:rPr>
          <w:b/>
          <w:i/>
        </w:rPr>
        <w:t xml:space="preserve">ds at High Dosage in Persons without Cancer (OHD): </w:t>
      </w:r>
      <w:r>
        <w:t>This measure focuses on</w:t>
      </w:r>
      <w:r>
        <w:rPr>
          <w:spacing w:val="-32"/>
        </w:rPr>
        <w:t xml:space="preserve"> </w:t>
      </w:r>
      <w:r>
        <w:t>identifying plans that prescribe opioid medications for the treatment of pain management. It captures the proportion of patients receiving prescriptions for opioids with a daily dos</w:t>
      </w:r>
      <w:r>
        <w:t>age greater than 120 mg morphine milligram equivalents (MME) for 90 consecutive days or</w:t>
      </w:r>
      <w:r>
        <w:rPr>
          <w:spacing w:val="-16"/>
        </w:rPr>
        <w:t xml:space="preserve"> </w:t>
      </w:r>
      <w:r>
        <w:t>longer.</w:t>
      </w:r>
    </w:p>
    <w:p w:rsidR="0042065E" w:rsidRDefault="0042065E">
      <w:pPr>
        <w:pStyle w:val="BodyText"/>
        <w:spacing w:before="9"/>
        <w:rPr>
          <w:sz w:val="23"/>
        </w:rPr>
      </w:pPr>
    </w:p>
    <w:p w:rsidR="0042065E" w:rsidRDefault="00A96E76">
      <w:pPr>
        <w:pStyle w:val="ListParagraph"/>
        <w:numPr>
          <w:ilvl w:val="1"/>
          <w:numId w:val="2"/>
        </w:numPr>
        <w:tabs>
          <w:tab w:val="left" w:pos="1100"/>
          <w:tab w:val="left" w:pos="1101"/>
        </w:tabs>
        <w:spacing w:line="259" w:lineRule="auto"/>
        <w:ind w:right="469" w:firstLine="0"/>
        <w:jc w:val="both"/>
      </w:pPr>
      <w:r>
        <w:rPr>
          <w:b/>
          <w:i/>
        </w:rPr>
        <w:t xml:space="preserve">Use of Opioids from Multiple Providers in Persons without Cancer: </w:t>
      </w:r>
      <w:r>
        <w:t>This measure looks at the proportion of patients receiving prescriptions for opioids from four or more prescribers AND four or more pharmacies.</w:t>
      </w:r>
    </w:p>
    <w:p w:rsidR="0042065E" w:rsidRDefault="0042065E">
      <w:pPr>
        <w:pStyle w:val="BodyText"/>
        <w:rPr>
          <w:sz w:val="20"/>
        </w:rPr>
      </w:pPr>
    </w:p>
    <w:p w:rsidR="0042065E" w:rsidRDefault="00A96E76">
      <w:pPr>
        <w:pStyle w:val="BodyText"/>
        <w:spacing w:before="10"/>
        <w:rPr>
          <w:sz w:val="11"/>
        </w:rPr>
      </w:pPr>
      <w:r>
        <w:pict>
          <v:line id="_x0000_s1026" style="position:absolute;z-index:1480;mso-wrap-distance-left:0;mso-wrap-distance-right:0;mso-position-horizontal-relative:page" from="2in,9.5pt" to="288.05pt,9.5pt" strokeweight=".21169mm">
            <w10:wrap type="topAndBottom" anchorx="page"/>
          </v:line>
        </w:pict>
      </w:r>
    </w:p>
    <w:p w:rsidR="0042065E" w:rsidRDefault="00A96E76">
      <w:pPr>
        <w:spacing w:before="72"/>
        <w:ind w:left="288" w:right="535" w:hanging="180"/>
        <w:rPr>
          <w:sz w:val="20"/>
        </w:rPr>
      </w:pPr>
      <w:r>
        <w:rPr>
          <w:position w:val="7"/>
          <w:sz w:val="13"/>
        </w:rPr>
        <w:t xml:space="preserve">4 </w:t>
      </w:r>
      <w:r>
        <w:rPr>
          <w:sz w:val="20"/>
        </w:rPr>
        <w:t>Talaslahti T, Alanen H-M, Hakko H, Isohanni M, Häkkinen U, Leinonen E. 2013. “Change in antipsychotic usage</w:t>
      </w:r>
      <w:r>
        <w:rPr>
          <w:sz w:val="20"/>
        </w:rPr>
        <w:t xml:space="preserve"> pattern and risk of relapse in older patients with schizophrenia.” </w:t>
      </w:r>
      <w:r>
        <w:rPr>
          <w:i/>
          <w:sz w:val="20"/>
        </w:rPr>
        <w:t>International Journal of Geriatric Psychiatry</w:t>
      </w:r>
      <w:r>
        <w:rPr>
          <w:sz w:val="20"/>
        </w:rPr>
        <w:t>. 28(12): 1305:11.</w:t>
      </w:r>
    </w:p>
    <w:p w:rsidR="0042065E" w:rsidRDefault="00A96E76">
      <w:pPr>
        <w:ind w:left="288" w:right="426" w:hanging="180"/>
        <w:jc w:val="both"/>
        <w:rPr>
          <w:sz w:val="20"/>
        </w:rPr>
      </w:pPr>
      <w:r>
        <w:rPr>
          <w:position w:val="7"/>
          <w:sz w:val="13"/>
        </w:rPr>
        <w:t xml:space="preserve">5 </w:t>
      </w:r>
      <w:r>
        <w:rPr>
          <w:sz w:val="20"/>
        </w:rPr>
        <w:t>Joshi K, Lin J, Lingohr-Smith M, Fu D-J, Muser E. 2016. “Treatment patterns and antipsychotic medication adherence among c</w:t>
      </w:r>
      <w:r>
        <w:rPr>
          <w:sz w:val="20"/>
        </w:rPr>
        <w:t xml:space="preserve">ommercially insured patients with schizoaffective disorder in the United States.” </w:t>
      </w:r>
      <w:r>
        <w:rPr>
          <w:i/>
          <w:sz w:val="20"/>
        </w:rPr>
        <w:t>Journal of Clinical Psychopharmacology</w:t>
      </w:r>
      <w:r>
        <w:rPr>
          <w:sz w:val="20"/>
        </w:rPr>
        <w:t>. 36(5): 429.</w:t>
      </w:r>
    </w:p>
    <w:p w:rsidR="0042065E" w:rsidRDefault="0042065E">
      <w:pPr>
        <w:jc w:val="both"/>
        <w:rPr>
          <w:sz w:val="20"/>
        </w:rPr>
        <w:sectPr w:rsidR="0042065E">
          <w:pgSz w:w="12240" w:h="15840"/>
          <w:pgMar w:top="940" w:right="520" w:bottom="280" w:left="1060" w:header="727" w:footer="0" w:gutter="0"/>
          <w:cols w:space="720"/>
        </w:sectPr>
      </w:pPr>
    </w:p>
    <w:p w:rsidR="0042065E" w:rsidRDefault="0042065E">
      <w:pPr>
        <w:pStyle w:val="BodyText"/>
        <w:rPr>
          <w:sz w:val="20"/>
        </w:rPr>
      </w:pPr>
    </w:p>
    <w:p w:rsidR="0042065E" w:rsidRDefault="0042065E">
      <w:pPr>
        <w:pStyle w:val="BodyText"/>
        <w:rPr>
          <w:sz w:val="20"/>
        </w:rPr>
      </w:pPr>
    </w:p>
    <w:p w:rsidR="0042065E" w:rsidRDefault="0042065E">
      <w:pPr>
        <w:pStyle w:val="BodyText"/>
        <w:rPr>
          <w:sz w:val="20"/>
        </w:rPr>
      </w:pPr>
    </w:p>
    <w:p w:rsidR="0042065E" w:rsidRDefault="0042065E">
      <w:pPr>
        <w:pStyle w:val="BodyText"/>
        <w:rPr>
          <w:sz w:val="20"/>
        </w:rPr>
      </w:pPr>
    </w:p>
    <w:p w:rsidR="0042065E" w:rsidRDefault="0042065E">
      <w:pPr>
        <w:pStyle w:val="BodyText"/>
        <w:spacing w:before="9"/>
        <w:rPr>
          <w:sz w:val="18"/>
        </w:rPr>
      </w:pPr>
    </w:p>
    <w:p w:rsidR="0042065E" w:rsidRDefault="00A96E76">
      <w:pPr>
        <w:pStyle w:val="ListParagraph"/>
        <w:numPr>
          <w:ilvl w:val="1"/>
          <w:numId w:val="2"/>
        </w:numPr>
        <w:tabs>
          <w:tab w:val="left" w:pos="1100"/>
          <w:tab w:val="left" w:pos="1101"/>
        </w:tabs>
        <w:spacing w:line="259" w:lineRule="auto"/>
        <w:ind w:right="467" w:firstLine="0"/>
        <w:jc w:val="both"/>
      </w:pPr>
      <w:r>
        <w:rPr>
          <w:b/>
          <w:i/>
        </w:rPr>
        <w:t>Use</w:t>
      </w:r>
      <w:r>
        <w:rPr>
          <w:b/>
          <w:i/>
          <w:spacing w:val="-5"/>
        </w:rPr>
        <w:t xml:space="preserve"> </w:t>
      </w:r>
      <w:r>
        <w:rPr>
          <w:b/>
          <w:i/>
        </w:rPr>
        <w:t>of</w:t>
      </w:r>
      <w:r>
        <w:rPr>
          <w:b/>
          <w:i/>
          <w:spacing w:val="-9"/>
        </w:rPr>
        <w:t xml:space="preserve"> </w:t>
      </w:r>
      <w:r>
        <w:rPr>
          <w:b/>
          <w:i/>
        </w:rPr>
        <w:t>Opioids</w:t>
      </w:r>
      <w:r>
        <w:rPr>
          <w:b/>
          <w:i/>
          <w:spacing w:val="-7"/>
        </w:rPr>
        <w:t xml:space="preserve"> </w:t>
      </w:r>
      <w:r>
        <w:rPr>
          <w:b/>
          <w:i/>
        </w:rPr>
        <w:t>at</w:t>
      </w:r>
      <w:r>
        <w:rPr>
          <w:b/>
          <w:i/>
          <w:spacing w:val="-6"/>
        </w:rPr>
        <w:t xml:space="preserve"> </w:t>
      </w:r>
      <w:r>
        <w:rPr>
          <w:b/>
          <w:i/>
        </w:rPr>
        <w:t>High</w:t>
      </w:r>
      <w:r>
        <w:rPr>
          <w:b/>
          <w:i/>
          <w:spacing w:val="-5"/>
        </w:rPr>
        <w:t xml:space="preserve"> </w:t>
      </w:r>
      <w:r>
        <w:rPr>
          <w:b/>
          <w:i/>
        </w:rPr>
        <w:t>Dosage</w:t>
      </w:r>
      <w:r>
        <w:rPr>
          <w:b/>
          <w:i/>
          <w:spacing w:val="-7"/>
        </w:rPr>
        <w:t xml:space="preserve"> </w:t>
      </w:r>
      <w:r>
        <w:rPr>
          <w:b/>
          <w:i/>
        </w:rPr>
        <w:t>and</w:t>
      </w:r>
      <w:r>
        <w:rPr>
          <w:b/>
          <w:i/>
          <w:spacing w:val="-3"/>
        </w:rPr>
        <w:t xml:space="preserve"> </w:t>
      </w:r>
      <w:r>
        <w:rPr>
          <w:b/>
          <w:i/>
        </w:rPr>
        <w:t>from</w:t>
      </w:r>
      <w:r>
        <w:rPr>
          <w:b/>
          <w:i/>
          <w:spacing w:val="-7"/>
        </w:rPr>
        <w:t xml:space="preserve"> </w:t>
      </w:r>
      <w:r>
        <w:rPr>
          <w:b/>
          <w:i/>
        </w:rPr>
        <w:t>Multiple</w:t>
      </w:r>
      <w:r>
        <w:rPr>
          <w:b/>
          <w:i/>
          <w:spacing w:val="-7"/>
        </w:rPr>
        <w:t xml:space="preserve"> </w:t>
      </w:r>
      <w:r>
        <w:rPr>
          <w:b/>
          <w:i/>
        </w:rPr>
        <w:t>Providers</w:t>
      </w:r>
      <w:r>
        <w:rPr>
          <w:b/>
          <w:i/>
          <w:spacing w:val="-7"/>
        </w:rPr>
        <w:t xml:space="preserve"> </w:t>
      </w:r>
      <w:r>
        <w:rPr>
          <w:b/>
          <w:i/>
        </w:rPr>
        <w:t>in</w:t>
      </w:r>
      <w:r>
        <w:rPr>
          <w:b/>
          <w:i/>
          <w:spacing w:val="-5"/>
        </w:rPr>
        <w:t xml:space="preserve"> </w:t>
      </w:r>
      <w:r>
        <w:rPr>
          <w:b/>
          <w:i/>
        </w:rPr>
        <w:t>Persons</w:t>
      </w:r>
      <w:r>
        <w:rPr>
          <w:b/>
          <w:i/>
          <w:spacing w:val="-10"/>
        </w:rPr>
        <w:t xml:space="preserve"> </w:t>
      </w:r>
      <w:r>
        <w:rPr>
          <w:b/>
          <w:i/>
        </w:rPr>
        <w:t>without</w:t>
      </w:r>
      <w:r>
        <w:rPr>
          <w:b/>
          <w:i/>
          <w:spacing w:val="-9"/>
        </w:rPr>
        <w:t xml:space="preserve"> </w:t>
      </w:r>
      <w:r>
        <w:rPr>
          <w:b/>
          <w:i/>
        </w:rPr>
        <w:t>Cancer:</w:t>
      </w:r>
      <w:r>
        <w:rPr>
          <w:b/>
          <w:i/>
          <w:spacing w:val="44"/>
        </w:rPr>
        <w:t xml:space="preserve"> </w:t>
      </w:r>
      <w:r>
        <w:t>This</w:t>
      </w:r>
      <w:r>
        <w:rPr>
          <w:spacing w:val="-7"/>
        </w:rPr>
        <w:t xml:space="preserve"> </w:t>
      </w:r>
      <w:r>
        <w:t>measure combines the rates of the previous two measures: individuals receiving prescriptions for opioids with a daily dosage greater than 120 MME for 90 consecutive days or longer, AND who received opioid prescriptions from four or more prescribers AND fou</w:t>
      </w:r>
      <w:r>
        <w:t>r or more</w:t>
      </w:r>
      <w:r>
        <w:rPr>
          <w:spacing w:val="-13"/>
        </w:rPr>
        <w:t xml:space="preserve"> </w:t>
      </w:r>
      <w:r>
        <w:t>pharmacies.</w:t>
      </w:r>
    </w:p>
    <w:p w:rsidR="0042065E" w:rsidRDefault="0042065E">
      <w:pPr>
        <w:pStyle w:val="BodyText"/>
      </w:pPr>
    </w:p>
    <w:p w:rsidR="0042065E" w:rsidRDefault="0042065E">
      <w:pPr>
        <w:pStyle w:val="BodyText"/>
        <w:spacing w:before="8"/>
        <w:rPr>
          <w:sz w:val="19"/>
        </w:rPr>
      </w:pPr>
    </w:p>
    <w:p w:rsidR="0042065E" w:rsidRDefault="00A96E76">
      <w:pPr>
        <w:pStyle w:val="BodyText"/>
        <w:spacing w:line="276" w:lineRule="auto"/>
        <w:ind w:left="108" w:right="472"/>
        <w:jc w:val="both"/>
      </w:pPr>
      <w:r>
        <w:t>The</w:t>
      </w:r>
      <w:r>
        <w:rPr>
          <w:spacing w:val="-13"/>
        </w:rPr>
        <w:t xml:space="preserve"> </w:t>
      </w:r>
      <w:r>
        <w:t>details</w:t>
      </w:r>
      <w:r>
        <w:rPr>
          <w:spacing w:val="-16"/>
        </w:rPr>
        <w:t xml:space="preserve"> </w:t>
      </w:r>
      <w:r>
        <w:t>of</w:t>
      </w:r>
      <w:r>
        <w:rPr>
          <w:spacing w:val="-14"/>
        </w:rPr>
        <w:t xml:space="preserve"> </w:t>
      </w:r>
      <w:r>
        <w:t>the</w:t>
      </w:r>
      <w:r>
        <w:rPr>
          <w:spacing w:val="-16"/>
        </w:rPr>
        <w:t xml:space="preserve"> </w:t>
      </w:r>
      <w:r>
        <w:t>first</w:t>
      </w:r>
      <w:r>
        <w:rPr>
          <w:spacing w:val="-16"/>
        </w:rPr>
        <w:t xml:space="preserve"> </w:t>
      </w:r>
      <w:r>
        <w:t>and</w:t>
      </w:r>
      <w:r>
        <w:rPr>
          <w:spacing w:val="-15"/>
        </w:rPr>
        <w:t xml:space="preserve"> </w:t>
      </w:r>
      <w:r>
        <w:t>third</w:t>
      </w:r>
      <w:r>
        <w:rPr>
          <w:spacing w:val="-15"/>
        </w:rPr>
        <w:t xml:space="preserve"> </w:t>
      </w:r>
      <w:r>
        <w:t>measures</w:t>
      </w:r>
      <w:r>
        <w:rPr>
          <w:spacing w:val="-13"/>
        </w:rPr>
        <w:t xml:space="preserve"> </w:t>
      </w:r>
      <w:r>
        <w:t>are</w:t>
      </w:r>
      <w:r>
        <w:rPr>
          <w:spacing w:val="-16"/>
        </w:rPr>
        <w:t xml:space="preserve"> </w:t>
      </w:r>
      <w:r>
        <w:t>misaligned</w:t>
      </w:r>
      <w:r>
        <w:rPr>
          <w:spacing w:val="-14"/>
        </w:rPr>
        <w:t xml:space="preserve"> </w:t>
      </w:r>
      <w:r>
        <w:t>with</w:t>
      </w:r>
      <w:r>
        <w:rPr>
          <w:spacing w:val="-17"/>
        </w:rPr>
        <w:t xml:space="preserve"> </w:t>
      </w:r>
      <w:r>
        <w:t>the</w:t>
      </w:r>
      <w:r>
        <w:rPr>
          <w:spacing w:val="-16"/>
        </w:rPr>
        <w:t xml:space="preserve"> </w:t>
      </w:r>
      <w:r>
        <w:t>2016</w:t>
      </w:r>
      <w:r>
        <w:rPr>
          <w:spacing w:val="-13"/>
        </w:rPr>
        <w:t xml:space="preserve"> </w:t>
      </w:r>
      <w:r>
        <w:t>Centers</w:t>
      </w:r>
      <w:r>
        <w:rPr>
          <w:spacing w:val="-14"/>
        </w:rPr>
        <w:t xml:space="preserve"> </w:t>
      </w:r>
      <w:r>
        <w:t>for</w:t>
      </w:r>
      <w:r>
        <w:rPr>
          <w:spacing w:val="-14"/>
        </w:rPr>
        <w:t xml:space="preserve"> </w:t>
      </w:r>
      <w:r>
        <w:t>Disease</w:t>
      </w:r>
      <w:r>
        <w:rPr>
          <w:spacing w:val="-16"/>
        </w:rPr>
        <w:t xml:space="preserve"> </w:t>
      </w:r>
      <w:r>
        <w:t>Control</w:t>
      </w:r>
      <w:r>
        <w:rPr>
          <w:spacing w:val="-14"/>
        </w:rPr>
        <w:t xml:space="preserve"> </w:t>
      </w:r>
      <w:r>
        <w:t>and</w:t>
      </w:r>
      <w:r>
        <w:rPr>
          <w:spacing w:val="-17"/>
        </w:rPr>
        <w:t xml:space="preserve"> </w:t>
      </w:r>
      <w:r>
        <w:t>Prevention (CDC) Guideline for Prescribing Opioids for Chronic Pain. We recommend aligning these quality measures with others recently open for CMS public comment, reflecting the CDC guideline recommendations that specify “90 consecutive</w:t>
      </w:r>
      <w:r>
        <w:rPr>
          <w:spacing w:val="-2"/>
        </w:rPr>
        <w:t xml:space="preserve"> </w:t>
      </w:r>
      <w:r>
        <w:t>days</w:t>
      </w:r>
      <w:r>
        <w:rPr>
          <w:spacing w:val="-4"/>
        </w:rPr>
        <w:t xml:space="preserve"> </w:t>
      </w:r>
      <w:r>
        <w:t>with</w:t>
      </w:r>
      <w:r>
        <w:rPr>
          <w:spacing w:val="-5"/>
        </w:rPr>
        <w:t xml:space="preserve"> </w:t>
      </w:r>
      <w:r>
        <w:t>high-dos</w:t>
      </w:r>
      <w:r>
        <w:t>e</w:t>
      </w:r>
      <w:r>
        <w:rPr>
          <w:spacing w:val="-1"/>
        </w:rPr>
        <w:t xml:space="preserve"> </w:t>
      </w:r>
      <w:r>
        <w:t>usage</w:t>
      </w:r>
      <w:r>
        <w:rPr>
          <w:spacing w:val="-2"/>
        </w:rPr>
        <w:t xml:space="preserve"> </w:t>
      </w:r>
      <w:r>
        <w:t>is</w:t>
      </w:r>
      <w:r>
        <w:rPr>
          <w:spacing w:val="-2"/>
        </w:rPr>
        <w:t xml:space="preserve"> </w:t>
      </w:r>
      <w:r>
        <w:t>defined</w:t>
      </w:r>
      <w:r>
        <w:rPr>
          <w:spacing w:val="-2"/>
        </w:rPr>
        <w:t xml:space="preserve"> </w:t>
      </w:r>
      <w:r>
        <w:t>as</w:t>
      </w:r>
      <w:r>
        <w:rPr>
          <w:spacing w:val="-2"/>
        </w:rPr>
        <w:t xml:space="preserve"> </w:t>
      </w:r>
      <w:r>
        <w:t>at</w:t>
      </w:r>
      <w:r>
        <w:rPr>
          <w:spacing w:val="-4"/>
        </w:rPr>
        <w:t xml:space="preserve"> </w:t>
      </w:r>
      <w:r>
        <w:t>least</w:t>
      </w:r>
      <w:r>
        <w:rPr>
          <w:spacing w:val="-4"/>
        </w:rPr>
        <w:t xml:space="preserve"> </w:t>
      </w:r>
      <w:r>
        <w:t>90</w:t>
      </w:r>
      <w:r>
        <w:rPr>
          <w:spacing w:val="-5"/>
        </w:rPr>
        <w:t xml:space="preserve"> </w:t>
      </w:r>
      <w:r>
        <w:t>milligrams</w:t>
      </w:r>
      <w:r>
        <w:rPr>
          <w:spacing w:val="-5"/>
        </w:rPr>
        <w:t xml:space="preserve"> </w:t>
      </w:r>
      <w:r>
        <w:t>morphine</w:t>
      </w:r>
      <w:r>
        <w:rPr>
          <w:spacing w:val="-2"/>
        </w:rPr>
        <w:t xml:space="preserve"> </w:t>
      </w:r>
      <w:r>
        <w:t>equivalent</w:t>
      </w:r>
      <w:r>
        <w:rPr>
          <w:spacing w:val="-2"/>
        </w:rPr>
        <w:t xml:space="preserve"> </w:t>
      </w:r>
      <w:r>
        <w:t>dosage</w:t>
      </w:r>
      <w:r>
        <w:rPr>
          <w:spacing w:val="-2"/>
        </w:rPr>
        <w:t xml:space="preserve"> </w:t>
      </w:r>
      <w:r>
        <w:t>per</w:t>
      </w:r>
      <w:r>
        <w:rPr>
          <w:spacing w:val="-5"/>
        </w:rPr>
        <w:t xml:space="preserve"> </w:t>
      </w:r>
      <w:r>
        <w:t>day.”</w:t>
      </w:r>
    </w:p>
    <w:p w:rsidR="0042065E" w:rsidRDefault="0042065E">
      <w:pPr>
        <w:pStyle w:val="BodyText"/>
        <w:spacing w:before="4"/>
        <w:rPr>
          <w:sz w:val="16"/>
        </w:rPr>
      </w:pPr>
    </w:p>
    <w:p w:rsidR="0042065E" w:rsidRDefault="00A96E76">
      <w:pPr>
        <w:spacing w:before="1" w:line="276" w:lineRule="auto"/>
        <w:ind w:left="108" w:right="467"/>
        <w:jc w:val="both"/>
      </w:pPr>
      <w:r>
        <w:rPr>
          <w:b/>
        </w:rPr>
        <w:t xml:space="preserve">We are extremely concerned that the modifications to all of the measures in this measure set would exclude patients prescribed buprenorphine for the treatment of opioid use </w:t>
      </w:r>
      <w:r>
        <w:rPr>
          <w:b/>
        </w:rPr>
        <w:t>disorder (OUD). We urge CMS to withdraw this</w:t>
      </w:r>
      <w:r>
        <w:rPr>
          <w:b/>
          <w:spacing w:val="-8"/>
        </w:rPr>
        <w:t xml:space="preserve"> </w:t>
      </w:r>
      <w:r>
        <w:rPr>
          <w:b/>
        </w:rPr>
        <w:t>modification.</w:t>
      </w:r>
      <w:r>
        <w:rPr>
          <w:b/>
          <w:spacing w:val="32"/>
        </w:rPr>
        <w:t xml:space="preserve"> </w:t>
      </w:r>
      <w:r>
        <w:t>Patients</w:t>
      </w:r>
      <w:r>
        <w:rPr>
          <w:spacing w:val="-12"/>
        </w:rPr>
        <w:t xml:space="preserve"> </w:t>
      </w:r>
      <w:r>
        <w:t>receiving</w:t>
      </w:r>
      <w:r>
        <w:rPr>
          <w:spacing w:val="-10"/>
        </w:rPr>
        <w:t xml:space="preserve"> </w:t>
      </w:r>
      <w:r>
        <w:t>buprenorphine</w:t>
      </w:r>
      <w:r>
        <w:rPr>
          <w:spacing w:val="-8"/>
        </w:rPr>
        <w:t xml:space="preserve"> </w:t>
      </w:r>
      <w:r>
        <w:t>for</w:t>
      </w:r>
      <w:r>
        <w:rPr>
          <w:spacing w:val="-9"/>
        </w:rPr>
        <w:t xml:space="preserve"> </w:t>
      </w:r>
      <w:r>
        <w:t>MAT</w:t>
      </w:r>
      <w:r>
        <w:rPr>
          <w:spacing w:val="-9"/>
        </w:rPr>
        <w:t xml:space="preserve"> </w:t>
      </w:r>
      <w:r>
        <w:t>could</w:t>
      </w:r>
      <w:r>
        <w:rPr>
          <w:spacing w:val="-10"/>
        </w:rPr>
        <w:t xml:space="preserve"> </w:t>
      </w:r>
      <w:r>
        <w:t>also</w:t>
      </w:r>
      <w:r>
        <w:rPr>
          <w:spacing w:val="-8"/>
        </w:rPr>
        <w:t xml:space="preserve"> </w:t>
      </w:r>
      <w:r>
        <w:t>receive</w:t>
      </w:r>
      <w:r>
        <w:rPr>
          <w:spacing w:val="-8"/>
        </w:rPr>
        <w:t xml:space="preserve"> </w:t>
      </w:r>
      <w:r>
        <w:t>separate</w:t>
      </w:r>
      <w:r>
        <w:rPr>
          <w:spacing w:val="-9"/>
        </w:rPr>
        <w:t xml:space="preserve"> </w:t>
      </w:r>
      <w:r>
        <w:t>prescriptions</w:t>
      </w:r>
      <w:r>
        <w:rPr>
          <w:spacing w:val="-9"/>
        </w:rPr>
        <w:t xml:space="preserve"> </w:t>
      </w:r>
      <w:r>
        <w:t>for</w:t>
      </w:r>
      <w:r>
        <w:rPr>
          <w:spacing w:val="-12"/>
        </w:rPr>
        <w:t xml:space="preserve"> </w:t>
      </w:r>
      <w:r>
        <w:t>opioids for pain management after procedures or for other conditions, particularly from providers who may be u</w:t>
      </w:r>
      <w:r>
        <w:t>naware of the MAT. Buprenorphine blocks the therapeutic effects of other opioids. Because of this neurochemical complication,</w:t>
      </w:r>
      <w:r>
        <w:rPr>
          <w:spacing w:val="-5"/>
        </w:rPr>
        <w:t xml:space="preserve"> </w:t>
      </w:r>
      <w:r>
        <w:t>opioids</w:t>
      </w:r>
      <w:r>
        <w:rPr>
          <w:spacing w:val="-3"/>
        </w:rPr>
        <w:t xml:space="preserve"> </w:t>
      </w:r>
      <w:r>
        <w:t>prescribed</w:t>
      </w:r>
      <w:r>
        <w:rPr>
          <w:spacing w:val="-4"/>
        </w:rPr>
        <w:t xml:space="preserve"> </w:t>
      </w:r>
      <w:r>
        <w:t>for</w:t>
      </w:r>
      <w:r>
        <w:rPr>
          <w:spacing w:val="-6"/>
        </w:rPr>
        <w:t xml:space="preserve"> </w:t>
      </w:r>
      <w:r>
        <w:t>those</w:t>
      </w:r>
      <w:r>
        <w:rPr>
          <w:spacing w:val="-3"/>
        </w:rPr>
        <w:t xml:space="preserve"> </w:t>
      </w:r>
      <w:r>
        <w:t>who</w:t>
      </w:r>
      <w:r>
        <w:rPr>
          <w:spacing w:val="-2"/>
        </w:rPr>
        <w:t xml:space="preserve"> </w:t>
      </w:r>
      <w:r>
        <w:t>are</w:t>
      </w:r>
      <w:r>
        <w:rPr>
          <w:spacing w:val="-3"/>
        </w:rPr>
        <w:t xml:space="preserve"> </w:t>
      </w:r>
      <w:r>
        <w:t>also</w:t>
      </w:r>
      <w:r>
        <w:rPr>
          <w:spacing w:val="-2"/>
        </w:rPr>
        <w:t xml:space="preserve"> </w:t>
      </w:r>
      <w:r>
        <w:t>treated</w:t>
      </w:r>
      <w:r>
        <w:rPr>
          <w:spacing w:val="-6"/>
        </w:rPr>
        <w:t xml:space="preserve"> </w:t>
      </w:r>
      <w:r>
        <w:t>with</w:t>
      </w:r>
      <w:r>
        <w:rPr>
          <w:spacing w:val="-6"/>
        </w:rPr>
        <w:t xml:space="preserve"> </w:t>
      </w:r>
      <w:r>
        <w:t>MAT-indicated</w:t>
      </w:r>
      <w:r>
        <w:rPr>
          <w:spacing w:val="-4"/>
        </w:rPr>
        <w:t xml:space="preserve"> </w:t>
      </w:r>
      <w:r>
        <w:t>buprenorphine</w:t>
      </w:r>
      <w:r>
        <w:rPr>
          <w:spacing w:val="-5"/>
        </w:rPr>
        <w:t xml:space="preserve"> </w:t>
      </w:r>
      <w:r>
        <w:t>will</w:t>
      </w:r>
      <w:r>
        <w:rPr>
          <w:spacing w:val="-4"/>
        </w:rPr>
        <w:t xml:space="preserve"> </w:t>
      </w:r>
      <w:r>
        <w:t>not</w:t>
      </w:r>
      <w:r>
        <w:rPr>
          <w:spacing w:val="-5"/>
        </w:rPr>
        <w:t xml:space="preserve"> </w:t>
      </w:r>
      <w:r>
        <w:t>be</w:t>
      </w:r>
      <w:r>
        <w:rPr>
          <w:spacing w:val="-3"/>
        </w:rPr>
        <w:t xml:space="preserve"> </w:t>
      </w:r>
      <w:r>
        <w:t>as effective as for other patients, and their pain will not be relieved, regardless of the prescribed dose. Patients receiving opioids for pain may also become noncompliant with their MAT. Both situations increase the risk of an opioid overdose for these p</w:t>
      </w:r>
      <w:r>
        <w:t xml:space="preserve">atients. Providers need to be aware of this possibility </w:t>
      </w:r>
      <w:r>
        <w:rPr>
          <w:spacing w:val="2"/>
        </w:rPr>
        <w:t xml:space="preserve">so </w:t>
      </w:r>
      <w:r>
        <w:t>that these patients can be closely monitored.  Consequently, these patients should be included in this</w:t>
      </w:r>
      <w:r>
        <w:rPr>
          <w:spacing w:val="-32"/>
        </w:rPr>
        <w:t xml:space="preserve"> </w:t>
      </w:r>
      <w:r>
        <w:t>measure.</w:t>
      </w:r>
    </w:p>
    <w:p w:rsidR="0042065E" w:rsidRDefault="0042065E">
      <w:pPr>
        <w:pStyle w:val="BodyText"/>
      </w:pPr>
    </w:p>
    <w:p w:rsidR="0042065E" w:rsidRDefault="0042065E">
      <w:pPr>
        <w:pStyle w:val="BodyText"/>
        <w:spacing w:before="7"/>
        <w:rPr>
          <w:sz w:val="19"/>
        </w:rPr>
      </w:pPr>
    </w:p>
    <w:p w:rsidR="0042065E" w:rsidRDefault="00A96E76">
      <w:pPr>
        <w:pStyle w:val="Heading1"/>
      </w:pPr>
      <w:r>
        <w:rPr>
          <w:u w:val="single"/>
        </w:rPr>
        <w:t>Potential New Measures for 2020 and Beyond</w:t>
      </w:r>
    </w:p>
    <w:p w:rsidR="0042065E" w:rsidRDefault="0042065E">
      <w:pPr>
        <w:pStyle w:val="BodyText"/>
        <w:spacing w:before="1"/>
        <w:rPr>
          <w:b/>
          <w:sz w:val="24"/>
        </w:rPr>
      </w:pPr>
    </w:p>
    <w:p w:rsidR="0042065E" w:rsidRDefault="00A96E76">
      <w:pPr>
        <w:pStyle w:val="BodyText"/>
        <w:spacing w:before="56" w:line="276" w:lineRule="auto"/>
        <w:ind w:left="108" w:right="467"/>
        <w:jc w:val="both"/>
      </w:pPr>
      <w:r>
        <w:rPr>
          <w:b/>
          <w:i/>
        </w:rPr>
        <w:t>Follow-up</w:t>
      </w:r>
      <w:r>
        <w:rPr>
          <w:b/>
          <w:i/>
          <w:spacing w:val="-8"/>
        </w:rPr>
        <w:t xml:space="preserve"> </w:t>
      </w:r>
      <w:r>
        <w:rPr>
          <w:b/>
          <w:i/>
        </w:rPr>
        <w:t>after</w:t>
      </w:r>
      <w:r>
        <w:rPr>
          <w:b/>
          <w:i/>
          <w:spacing w:val="-8"/>
        </w:rPr>
        <w:t xml:space="preserve"> </w:t>
      </w:r>
      <w:r>
        <w:rPr>
          <w:b/>
          <w:i/>
        </w:rPr>
        <w:t>Emergency</w:t>
      </w:r>
      <w:r>
        <w:rPr>
          <w:b/>
          <w:i/>
          <w:spacing w:val="-9"/>
        </w:rPr>
        <w:t xml:space="preserve"> </w:t>
      </w:r>
      <w:r>
        <w:rPr>
          <w:b/>
          <w:i/>
        </w:rPr>
        <w:t>Department</w:t>
      </w:r>
      <w:r>
        <w:rPr>
          <w:b/>
          <w:i/>
          <w:spacing w:val="-9"/>
        </w:rPr>
        <w:t xml:space="preserve"> </w:t>
      </w:r>
      <w:r>
        <w:rPr>
          <w:b/>
          <w:i/>
        </w:rPr>
        <w:t>Vi</w:t>
      </w:r>
      <w:r>
        <w:rPr>
          <w:b/>
          <w:i/>
        </w:rPr>
        <w:t>sit</w:t>
      </w:r>
      <w:r>
        <w:rPr>
          <w:b/>
          <w:i/>
          <w:spacing w:val="-9"/>
        </w:rPr>
        <w:t xml:space="preserve"> </w:t>
      </w:r>
      <w:r>
        <w:rPr>
          <w:b/>
          <w:i/>
        </w:rPr>
        <w:t>for</w:t>
      </w:r>
      <w:r>
        <w:rPr>
          <w:b/>
          <w:i/>
          <w:spacing w:val="-10"/>
        </w:rPr>
        <w:t xml:space="preserve"> </w:t>
      </w:r>
      <w:r>
        <w:rPr>
          <w:b/>
          <w:i/>
        </w:rPr>
        <w:t>Patients</w:t>
      </w:r>
      <w:r>
        <w:rPr>
          <w:b/>
          <w:i/>
          <w:spacing w:val="-9"/>
        </w:rPr>
        <w:t xml:space="preserve"> </w:t>
      </w:r>
      <w:r>
        <w:rPr>
          <w:b/>
          <w:i/>
        </w:rPr>
        <w:t>with</w:t>
      </w:r>
      <w:r>
        <w:rPr>
          <w:b/>
          <w:i/>
          <w:spacing w:val="-5"/>
        </w:rPr>
        <w:t xml:space="preserve"> </w:t>
      </w:r>
      <w:r>
        <w:rPr>
          <w:b/>
          <w:i/>
        </w:rPr>
        <w:t>Multiple</w:t>
      </w:r>
      <w:r>
        <w:rPr>
          <w:b/>
          <w:i/>
          <w:spacing w:val="-9"/>
        </w:rPr>
        <w:t xml:space="preserve"> </w:t>
      </w:r>
      <w:r>
        <w:rPr>
          <w:b/>
          <w:i/>
        </w:rPr>
        <w:t>Chronic</w:t>
      </w:r>
      <w:r>
        <w:rPr>
          <w:b/>
          <w:i/>
          <w:spacing w:val="-9"/>
        </w:rPr>
        <w:t xml:space="preserve"> </w:t>
      </w:r>
      <w:r>
        <w:rPr>
          <w:b/>
          <w:i/>
        </w:rPr>
        <w:t>Conditions:</w:t>
      </w:r>
      <w:r>
        <w:rPr>
          <w:b/>
          <w:i/>
          <w:spacing w:val="32"/>
        </w:rPr>
        <w:t xml:space="preserve"> </w:t>
      </w:r>
      <w:r>
        <w:t>Given</w:t>
      </w:r>
      <w:r>
        <w:rPr>
          <w:spacing w:val="-10"/>
        </w:rPr>
        <w:t xml:space="preserve"> </w:t>
      </w:r>
      <w:r>
        <w:t>the</w:t>
      </w:r>
      <w:r>
        <w:rPr>
          <w:spacing w:val="-9"/>
        </w:rPr>
        <w:t xml:space="preserve"> </w:t>
      </w:r>
      <w:r>
        <w:t>high</w:t>
      </w:r>
      <w:r>
        <w:rPr>
          <w:spacing w:val="-7"/>
        </w:rPr>
        <w:t xml:space="preserve"> </w:t>
      </w:r>
      <w:r>
        <w:t>rates of patients with mental health disorders and medical comorbidities, this measure attempts to close the gap related to breaks in care. The APA supports the goal of improving ongoing and continuous psychiatric and medical/physical care, which can posit</w:t>
      </w:r>
      <w:r>
        <w:t>ively impact patient outcomes. However, we reserve our opinion of this measure for addition for 2020 and beyond. We request that the measure specifications include a well-defined attribution model that will appropriately assign the measure action and relat</w:t>
      </w:r>
      <w:r>
        <w:t>ed outcomes to the appropriate provider (impacting the health plan payments). We also have concerns about the source of the data informing the quality of care administered in this measure. In particular, collecting this data through claims would be problem</w:t>
      </w:r>
      <w:r>
        <w:t>atic. International Classification of Disease (ICD) coding does not allow psychiatric conditions to be the primary</w:t>
      </w:r>
      <w:r>
        <w:rPr>
          <w:spacing w:val="-8"/>
        </w:rPr>
        <w:t xml:space="preserve"> </w:t>
      </w:r>
      <w:r>
        <w:t>diagnosis</w:t>
      </w:r>
      <w:r>
        <w:rPr>
          <w:spacing w:val="-11"/>
        </w:rPr>
        <w:t xml:space="preserve"> </w:t>
      </w:r>
      <w:r>
        <w:t>when</w:t>
      </w:r>
      <w:r>
        <w:rPr>
          <w:spacing w:val="-7"/>
        </w:rPr>
        <w:t xml:space="preserve"> </w:t>
      </w:r>
      <w:r>
        <w:t>beneficiaries</w:t>
      </w:r>
      <w:r>
        <w:rPr>
          <w:spacing w:val="-9"/>
        </w:rPr>
        <w:t xml:space="preserve"> </w:t>
      </w:r>
      <w:r>
        <w:t>arrive</w:t>
      </w:r>
      <w:r>
        <w:rPr>
          <w:spacing w:val="-8"/>
        </w:rPr>
        <w:t xml:space="preserve"> </w:t>
      </w:r>
      <w:r>
        <w:t>in</w:t>
      </w:r>
      <w:r>
        <w:rPr>
          <w:spacing w:val="-8"/>
        </w:rPr>
        <w:t xml:space="preserve"> </w:t>
      </w:r>
      <w:r>
        <w:t>an</w:t>
      </w:r>
      <w:r>
        <w:rPr>
          <w:spacing w:val="-10"/>
        </w:rPr>
        <w:t xml:space="preserve"> </w:t>
      </w:r>
      <w:r>
        <w:t>emergency</w:t>
      </w:r>
      <w:r>
        <w:rPr>
          <w:spacing w:val="-8"/>
        </w:rPr>
        <w:t xml:space="preserve"> </w:t>
      </w:r>
      <w:r>
        <w:t>department</w:t>
      </w:r>
      <w:r>
        <w:rPr>
          <w:spacing w:val="-9"/>
        </w:rPr>
        <w:t xml:space="preserve"> </w:t>
      </w:r>
      <w:r>
        <w:t>with</w:t>
      </w:r>
      <w:r>
        <w:rPr>
          <w:spacing w:val="-7"/>
        </w:rPr>
        <w:t xml:space="preserve"> </w:t>
      </w:r>
      <w:r>
        <w:t>physical</w:t>
      </w:r>
      <w:r>
        <w:rPr>
          <w:spacing w:val="-9"/>
        </w:rPr>
        <w:t xml:space="preserve"> </w:t>
      </w:r>
      <w:r>
        <w:t>symptoms</w:t>
      </w:r>
      <w:r>
        <w:rPr>
          <w:spacing w:val="-9"/>
        </w:rPr>
        <w:t xml:space="preserve"> </w:t>
      </w:r>
      <w:r>
        <w:t>(e.g.,</w:t>
      </w:r>
      <w:r>
        <w:rPr>
          <w:spacing w:val="-9"/>
        </w:rPr>
        <w:t xml:space="preserve"> </w:t>
      </w:r>
      <w:r>
        <w:t>overdose, lacerations, etc.) resulting from a su</w:t>
      </w:r>
      <w:r>
        <w:t>icide attempt. Therefore, it would be difficult to accurately capture data to track appropriate follow-up psychiatric</w:t>
      </w:r>
      <w:r>
        <w:rPr>
          <w:spacing w:val="-8"/>
        </w:rPr>
        <w:t xml:space="preserve"> </w:t>
      </w:r>
      <w:r>
        <w:t>care.</w:t>
      </w:r>
    </w:p>
    <w:p w:rsidR="0042065E" w:rsidRDefault="0042065E">
      <w:pPr>
        <w:pStyle w:val="BodyText"/>
        <w:spacing w:before="4"/>
        <w:rPr>
          <w:sz w:val="25"/>
        </w:rPr>
      </w:pPr>
    </w:p>
    <w:p w:rsidR="0042065E" w:rsidRDefault="00A96E76">
      <w:pPr>
        <w:pStyle w:val="BodyText"/>
        <w:spacing w:line="276" w:lineRule="auto"/>
        <w:ind w:left="108" w:right="467"/>
        <w:jc w:val="both"/>
      </w:pPr>
      <w:r>
        <w:rPr>
          <w:b/>
          <w:i/>
        </w:rPr>
        <w:t xml:space="preserve">Opioid Overuse: </w:t>
      </w:r>
      <w:r>
        <w:t>The plan by the National Committee for Quality Assurance (NCQA) to develop a measure that addresses</w:t>
      </w:r>
      <w:r>
        <w:rPr>
          <w:spacing w:val="-10"/>
        </w:rPr>
        <w:t xml:space="preserve"> </w:t>
      </w:r>
      <w:r>
        <w:t>health</w:t>
      </w:r>
      <w:r>
        <w:rPr>
          <w:spacing w:val="-11"/>
        </w:rPr>
        <w:t xml:space="preserve"> </w:t>
      </w:r>
      <w:r>
        <w:t>plan</w:t>
      </w:r>
      <w:r>
        <w:rPr>
          <w:spacing w:val="-12"/>
        </w:rPr>
        <w:t xml:space="preserve"> </w:t>
      </w:r>
      <w:r>
        <w:t>mem</w:t>
      </w:r>
      <w:r>
        <w:t>bers</w:t>
      </w:r>
      <w:r>
        <w:rPr>
          <w:spacing w:val="-10"/>
        </w:rPr>
        <w:t xml:space="preserve"> </w:t>
      </w:r>
      <w:r>
        <w:t>who</w:t>
      </w:r>
      <w:r>
        <w:rPr>
          <w:spacing w:val="-12"/>
        </w:rPr>
        <w:t xml:space="preserve"> </w:t>
      </w:r>
      <w:r>
        <w:t>were</w:t>
      </w:r>
      <w:r>
        <w:rPr>
          <w:spacing w:val="-10"/>
        </w:rPr>
        <w:t xml:space="preserve"> </w:t>
      </w:r>
      <w:r>
        <w:t>previously</w:t>
      </w:r>
      <w:r>
        <w:rPr>
          <w:spacing w:val="-12"/>
        </w:rPr>
        <w:t xml:space="preserve"> </w:t>
      </w:r>
      <w:r>
        <w:t>“naïve”</w:t>
      </w:r>
      <w:r>
        <w:rPr>
          <w:spacing w:val="-9"/>
        </w:rPr>
        <w:t xml:space="preserve"> </w:t>
      </w:r>
      <w:r>
        <w:t>to</w:t>
      </w:r>
      <w:r>
        <w:rPr>
          <w:spacing w:val="-9"/>
        </w:rPr>
        <w:t xml:space="preserve"> </w:t>
      </w:r>
      <w:r>
        <w:t>opioids</w:t>
      </w:r>
      <w:r>
        <w:rPr>
          <w:spacing w:val="-10"/>
        </w:rPr>
        <w:t xml:space="preserve"> </w:t>
      </w:r>
      <w:r>
        <w:t>who</w:t>
      </w:r>
      <w:r>
        <w:rPr>
          <w:spacing w:val="-9"/>
        </w:rPr>
        <w:t xml:space="preserve"> </w:t>
      </w:r>
      <w:r>
        <w:t>become</w:t>
      </w:r>
      <w:r>
        <w:rPr>
          <w:spacing w:val="-10"/>
        </w:rPr>
        <w:t xml:space="preserve"> </w:t>
      </w:r>
      <w:r>
        <w:t>long-term</w:t>
      </w:r>
      <w:r>
        <w:rPr>
          <w:spacing w:val="-12"/>
        </w:rPr>
        <w:t xml:space="preserve"> </w:t>
      </w:r>
      <w:r>
        <w:t>or</w:t>
      </w:r>
      <w:r>
        <w:rPr>
          <w:spacing w:val="-13"/>
        </w:rPr>
        <w:t xml:space="preserve"> </w:t>
      </w:r>
      <w:r>
        <w:t>“chronic”</w:t>
      </w:r>
      <w:r>
        <w:rPr>
          <w:spacing w:val="-12"/>
        </w:rPr>
        <w:t xml:space="preserve"> </w:t>
      </w:r>
      <w:r>
        <w:t>users is</w:t>
      </w:r>
      <w:r>
        <w:rPr>
          <w:spacing w:val="-10"/>
        </w:rPr>
        <w:t xml:space="preserve"> </w:t>
      </w:r>
      <w:r>
        <w:t>interesting.</w:t>
      </w:r>
      <w:r>
        <w:rPr>
          <w:spacing w:val="33"/>
        </w:rPr>
        <w:t xml:space="preserve"> </w:t>
      </w:r>
      <w:r>
        <w:t>Considering</w:t>
      </w:r>
      <w:r>
        <w:rPr>
          <w:spacing w:val="-10"/>
        </w:rPr>
        <w:t xml:space="preserve"> </w:t>
      </w:r>
      <w:r>
        <w:t>the</w:t>
      </w:r>
      <w:r>
        <w:rPr>
          <w:spacing w:val="-9"/>
        </w:rPr>
        <w:t xml:space="preserve"> </w:t>
      </w:r>
      <w:r>
        <w:t>national</w:t>
      </w:r>
      <w:r>
        <w:rPr>
          <w:spacing w:val="-12"/>
        </w:rPr>
        <w:t xml:space="preserve"> </w:t>
      </w:r>
      <w:r>
        <w:t>opioid</w:t>
      </w:r>
      <w:r>
        <w:rPr>
          <w:spacing w:val="-10"/>
        </w:rPr>
        <w:t xml:space="preserve"> </w:t>
      </w:r>
      <w:r>
        <w:t>epidemic,</w:t>
      </w:r>
      <w:r>
        <w:rPr>
          <w:spacing w:val="-9"/>
        </w:rPr>
        <w:t xml:space="preserve"> </w:t>
      </w:r>
      <w:r>
        <w:t>it</w:t>
      </w:r>
      <w:r>
        <w:rPr>
          <w:spacing w:val="-9"/>
        </w:rPr>
        <w:t xml:space="preserve"> </w:t>
      </w:r>
      <w:r>
        <w:t>is</w:t>
      </w:r>
      <w:r>
        <w:rPr>
          <w:spacing w:val="-10"/>
        </w:rPr>
        <w:t xml:space="preserve"> </w:t>
      </w:r>
      <w:r>
        <w:t>a</w:t>
      </w:r>
      <w:r>
        <w:rPr>
          <w:spacing w:val="-9"/>
        </w:rPr>
        <w:t xml:space="preserve"> </w:t>
      </w:r>
      <w:r>
        <w:t>subject</w:t>
      </w:r>
      <w:r>
        <w:rPr>
          <w:spacing w:val="-8"/>
        </w:rPr>
        <w:t xml:space="preserve"> </w:t>
      </w:r>
      <w:r>
        <w:t>deserving</w:t>
      </w:r>
      <w:r>
        <w:rPr>
          <w:spacing w:val="-10"/>
        </w:rPr>
        <w:t xml:space="preserve"> </w:t>
      </w:r>
      <w:r>
        <w:t>of</w:t>
      </w:r>
      <w:r>
        <w:rPr>
          <w:spacing w:val="-9"/>
        </w:rPr>
        <w:t xml:space="preserve"> </w:t>
      </w:r>
      <w:r>
        <w:t>quality</w:t>
      </w:r>
      <w:r>
        <w:rPr>
          <w:spacing w:val="-8"/>
        </w:rPr>
        <w:t xml:space="preserve"> </w:t>
      </w:r>
      <w:r>
        <w:t>measure</w:t>
      </w:r>
      <w:r>
        <w:rPr>
          <w:spacing w:val="-8"/>
        </w:rPr>
        <w:t xml:space="preserve"> </w:t>
      </w:r>
      <w:r>
        <w:t>development. However, since the details of this measure and the specifications are under refinement, we are uncertain why determining the definitions of “opioid naïve” and “chronic use” would impact and improve the quality of care</w:t>
      </w:r>
      <w:r>
        <w:rPr>
          <w:spacing w:val="47"/>
        </w:rPr>
        <w:t xml:space="preserve"> </w:t>
      </w:r>
      <w:r>
        <w:t>at</w:t>
      </w:r>
    </w:p>
    <w:p w:rsidR="0042065E" w:rsidRDefault="0042065E">
      <w:pPr>
        <w:spacing w:line="276" w:lineRule="auto"/>
        <w:jc w:val="both"/>
        <w:sectPr w:rsidR="0042065E">
          <w:pgSz w:w="12240" w:h="15840"/>
          <w:pgMar w:top="940" w:right="520" w:bottom="280" w:left="1060" w:header="727" w:footer="0" w:gutter="0"/>
          <w:cols w:space="720"/>
        </w:sectPr>
      </w:pPr>
    </w:p>
    <w:p w:rsidR="0042065E" w:rsidRDefault="0042065E">
      <w:pPr>
        <w:pStyle w:val="BodyText"/>
        <w:rPr>
          <w:sz w:val="20"/>
        </w:rPr>
      </w:pPr>
    </w:p>
    <w:p w:rsidR="0042065E" w:rsidRDefault="0042065E">
      <w:pPr>
        <w:pStyle w:val="BodyText"/>
        <w:rPr>
          <w:sz w:val="20"/>
        </w:rPr>
      </w:pPr>
    </w:p>
    <w:p w:rsidR="0042065E" w:rsidRDefault="0042065E">
      <w:pPr>
        <w:pStyle w:val="BodyText"/>
        <w:rPr>
          <w:sz w:val="20"/>
        </w:rPr>
      </w:pPr>
    </w:p>
    <w:p w:rsidR="0042065E" w:rsidRDefault="0042065E">
      <w:pPr>
        <w:pStyle w:val="BodyText"/>
        <w:rPr>
          <w:sz w:val="20"/>
        </w:rPr>
      </w:pPr>
    </w:p>
    <w:p w:rsidR="0042065E" w:rsidRDefault="0042065E">
      <w:pPr>
        <w:pStyle w:val="BodyText"/>
        <w:spacing w:before="9"/>
        <w:rPr>
          <w:sz w:val="18"/>
        </w:rPr>
      </w:pPr>
    </w:p>
    <w:p w:rsidR="0042065E" w:rsidRDefault="00A96E76">
      <w:pPr>
        <w:pStyle w:val="BodyText"/>
        <w:spacing w:line="273" w:lineRule="auto"/>
        <w:ind w:left="108" w:right="468"/>
        <w:jc w:val="both"/>
      </w:pPr>
      <w:r>
        <w:t>the</w:t>
      </w:r>
      <w:r>
        <w:rPr>
          <w:spacing w:val="-1"/>
        </w:rPr>
        <w:t xml:space="preserve"> </w:t>
      </w:r>
      <w:r>
        <w:t>health</w:t>
      </w:r>
      <w:r>
        <w:rPr>
          <w:spacing w:val="-1"/>
        </w:rPr>
        <w:t xml:space="preserve"> </w:t>
      </w:r>
      <w:r>
        <w:t>plan</w:t>
      </w:r>
      <w:r>
        <w:rPr>
          <w:spacing w:val="-2"/>
        </w:rPr>
        <w:t xml:space="preserve"> </w:t>
      </w:r>
      <w:r>
        <w:t>level.</w:t>
      </w:r>
      <w:r>
        <w:rPr>
          <w:spacing w:val="-2"/>
        </w:rPr>
        <w:t xml:space="preserve"> </w:t>
      </w:r>
      <w:r>
        <w:t>If</w:t>
      </w:r>
      <w:r>
        <w:rPr>
          <w:spacing w:val="-1"/>
        </w:rPr>
        <w:t xml:space="preserve"> </w:t>
      </w:r>
      <w:r>
        <w:t>NCQA</w:t>
      </w:r>
      <w:r>
        <w:rPr>
          <w:spacing w:val="-1"/>
        </w:rPr>
        <w:t xml:space="preserve"> </w:t>
      </w:r>
      <w:r>
        <w:t>were</w:t>
      </w:r>
      <w:r>
        <w:rPr>
          <w:spacing w:val="-3"/>
        </w:rPr>
        <w:t xml:space="preserve"> </w:t>
      </w:r>
      <w:r>
        <w:t>to</w:t>
      </w:r>
      <w:r>
        <w:rPr>
          <w:spacing w:val="-2"/>
        </w:rPr>
        <w:t xml:space="preserve"> </w:t>
      </w:r>
      <w:r>
        <w:t>move</w:t>
      </w:r>
      <w:r>
        <w:rPr>
          <w:spacing w:val="-1"/>
        </w:rPr>
        <w:t xml:space="preserve"> </w:t>
      </w:r>
      <w:r>
        <w:t>forward</w:t>
      </w:r>
      <w:r>
        <w:rPr>
          <w:spacing w:val="-7"/>
        </w:rPr>
        <w:t xml:space="preserve"> </w:t>
      </w:r>
      <w:r>
        <w:t>and</w:t>
      </w:r>
      <w:r>
        <w:rPr>
          <w:spacing w:val="-2"/>
        </w:rPr>
        <w:t xml:space="preserve"> </w:t>
      </w:r>
      <w:r>
        <w:t>develop</w:t>
      </w:r>
      <w:r>
        <w:rPr>
          <w:spacing w:val="-2"/>
        </w:rPr>
        <w:t xml:space="preserve"> </w:t>
      </w:r>
      <w:r>
        <w:t>this</w:t>
      </w:r>
      <w:r>
        <w:rPr>
          <w:spacing w:val="-1"/>
        </w:rPr>
        <w:t xml:space="preserve"> </w:t>
      </w:r>
      <w:r>
        <w:t>quality</w:t>
      </w:r>
      <w:r>
        <w:rPr>
          <w:spacing w:val="-3"/>
        </w:rPr>
        <w:t xml:space="preserve"> </w:t>
      </w:r>
      <w:r>
        <w:t>measure,</w:t>
      </w:r>
      <w:r>
        <w:rPr>
          <w:spacing w:val="-4"/>
        </w:rPr>
        <w:t xml:space="preserve"> </w:t>
      </w:r>
      <w:r>
        <w:t>we</w:t>
      </w:r>
      <w:r>
        <w:rPr>
          <w:spacing w:val="-3"/>
        </w:rPr>
        <w:t xml:space="preserve"> </w:t>
      </w:r>
      <w:r>
        <w:t>would</w:t>
      </w:r>
      <w:r>
        <w:rPr>
          <w:spacing w:val="-3"/>
        </w:rPr>
        <w:t xml:space="preserve"> </w:t>
      </w:r>
      <w:r>
        <w:t>be</w:t>
      </w:r>
      <w:r>
        <w:rPr>
          <w:spacing w:val="-1"/>
        </w:rPr>
        <w:t xml:space="preserve"> </w:t>
      </w:r>
      <w:r>
        <w:t>e</w:t>
      </w:r>
      <w:r>
        <w:rPr>
          <w:spacing w:val="-3"/>
        </w:rPr>
        <w:t xml:space="preserve"> </w:t>
      </w:r>
      <w:r>
        <w:t>interested in reviewing the rationale, the specifications, and the test</w:t>
      </w:r>
      <w:r>
        <w:rPr>
          <w:spacing w:val="-16"/>
        </w:rPr>
        <w:t xml:space="preserve"> </w:t>
      </w:r>
      <w:r>
        <w:t>data.</w:t>
      </w:r>
    </w:p>
    <w:p w:rsidR="0042065E" w:rsidRDefault="0042065E">
      <w:pPr>
        <w:pStyle w:val="BodyText"/>
        <w:spacing w:before="7"/>
        <w:rPr>
          <w:sz w:val="25"/>
        </w:rPr>
      </w:pPr>
    </w:p>
    <w:p w:rsidR="0042065E" w:rsidRDefault="00A96E76">
      <w:pPr>
        <w:pStyle w:val="BodyText"/>
        <w:spacing w:line="276" w:lineRule="auto"/>
        <w:ind w:left="108" w:right="467"/>
        <w:jc w:val="both"/>
      </w:pPr>
      <w:r>
        <w:rPr>
          <w:b/>
          <w:i/>
        </w:rPr>
        <w:t>Measure Concept: Concurrent Prescription of Opioids and Central Nervous System (</w:t>
      </w:r>
      <w:r>
        <w:rPr>
          <w:b/>
          <w:i/>
        </w:rPr>
        <w:t xml:space="preserve">CNS) Depressants: </w:t>
      </w:r>
      <w:r>
        <w:t>NCQA’s consideration in testing this measure concept will aid in monitoring unsafe prescribing practices or prescriber error. As with the other measures previously described being considered for development, the APA reserves supporting th</w:t>
      </w:r>
      <w:r>
        <w:t>em until the specifications, test data, and other appropriate details that promote development of this measure are shared. We request a close examination of potentially harmful unintended consequences that could negatively impact the patient and the prescr</w:t>
      </w:r>
      <w:r>
        <w:t>iber. Understanding that this is being developed to measure the</w:t>
      </w:r>
      <w:r>
        <w:rPr>
          <w:spacing w:val="-10"/>
        </w:rPr>
        <w:t xml:space="preserve"> </w:t>
      </w:r>
      <w:r>
        <w:t>quality</w:t>
      </w:r>
      <w:r>
        <w:rPr>
          <w:spacing w:val="-12"/>
        </w:rPr>
        <w:t xml:space="preserve"> </w:t>
      </w:r>
      <w:r>
        <w:t>of</w:t>
      </w:r>
      <w:r>
        <w:rPr>
          <w:spacing w:val="-13"/>
        </w:rPr>
        <w:t xml:space="preserve"> </w:t>
      </w:r>
      <w:r>
        <w:t>care</w:t>
      </w:r>
      <w:r>
        <w:rPr>
          <w:spacing w:val="-10"/>
        </w:rPr>
        <w:t xml:space="preserve"> </w:t>
      </w:r>
      <w:r>
        <w:t>at</w:t>
      </w:r>
      <w:r>
        <w:rPr>
          <w:spacing w:val="-10"/>
        </w:rPr>
        <w:t xml:space="preserve"> </w:t>
      </w:r>
      <w:r>
        <w:t>the</w:t>
      </w:r>
      <w:r>
        <w:rPr>
          <w:spacing w:val="-13"/>
        </w:rPr>
        <w:t xml:space="preserve"> </w:t>
      </w:r>
      <w:r>
        <w:t>health</w:t>
      </w:r>
      <w:r>
        <w:rPr>
          <w:spacing w:val="-11"/>
        </w:rPr>
        <w:t xml:space="preserve"> </w:t>
      </w:r>
      <w:r>
        <w:t>plan-level,</w:t>
      </w:r>
      <w:r>
        <w:rPr>
          <w:spacing w:val="-13"/>
        </w:rPr>
        <w:t xml:space="preserve"> </w:t>
      </w:r>
      <w:r>
        <w:t>we</w:t>
      </w:r>
      <w:r>
        <w:rPr>
          <w:spacing w:val="-10"/>
        </w:rPr>
        <w:t xml:space="preserve"> </w:t>
      </w:r>
      <w:r>
        <w:t>understand</w:t>
      </w:r>
      <w:r>
        <w:rPr>
          <w:spacing w:val="-11"/>
        </w:rPr>
        <w:t xml:space="preserve"> </w:t>
      </w:r>
      <w:r>
        <w:t>that</w:t>
      </w:r>
      <w:r>
        <w:rPr>
          <w:spacing w:val="-10"/>
        </w:rPr>
        <w:t xml:space="preserve"> </w:t>
      </w:r>
      <w:r>
        <w:t>it</w:t>
      </w:r>
      <w:r>
        <w:rPr>
          <w:spacing w:val="-10"/>
        </w:rPr>
        <w:t xml:space="preserve"> </w:t>
      </w:r>
      <w:r>
        <w:t>also</w:t>
      </w:r>
      <w:r>
        <w:rPr>
          <w:spacing w:val="-9"/>
        </w:rPr>
        <w:t xml:space="preserve"> </w:t>
      </w:r>
      <w:r>
        <w:t>impacts</w:t>
      </w:r>
      <w:r>
        <w:rPr>
          <w:spacing w:val="-10"/>
        </w:rPr>
        <w:t xml:space="preserve"> </w:t>
      </w:r>
      <w:r>
        <w:t>direct</w:t>
      </w:r>
      <w:r>
        <w:rPr>
          <w:spacing w:val="-10"/>
        </w:rPr>
        <w:t xml:space="preserve"> </w:t>
      </w:r>
      <w:r>
        <w:t>care</w:t>
      </w:r>
      <w:r>
        <w:rPr>
          <w:spacing w:val="-10"/>
        </w:rPr>
        <w:t xml:space="preserve"> </w:t>
      </w:r>
      <w:r>
        <w:t>provided</w:t>
      </w:r>
      <w:r>
        <w:rPr>
          <w:spacing w:val="-11"/>
        </w:rPr>
        <w:t xml:space="preserve"> </w:t>
      </w:r>
      <w:r>
        <w:t>at</w:t>
      </w:r>
      <w:r>
        <w:rPr>
          <w:spacing w:val="-13"/>
        </w:rPr>
        <w:t xml:space="preserve"> </w:t>
      </w:r>
      <w:r>
        <w:t>the</w:t>
      </w:r>
      <w:r>
        <w:rPr>
          <w:spacing w:val="-10"/>
        </w:rPr>
        <w:t xml:space="preserve"> </w:t>
      </w:r>
      <w:r>
        <w:t>physician level. We also request that data sources used to measure concurrently prescribed medications appropriately illustrate</w:t>
      </w:r>
      <w:r>
        <w:rPr>
          <w:spacing w:val="-10"/>
        </w:rPr>
        <w:t xml:space="preserve"> </w:t>
      </w:r>
      <w:r>
        <w:t>the</w:t>
      </w:r>
      <w:r>
        <w:rPr>
          <w:spacing w:val="-9"/>
        </w:rPr>
        <w:t xml:space="preserve"> </w:t>
      </w:r>
      <w:r>
        <w:t>provider-patient</w:t>
      </w:r>
      <w:r>
        <w:rPr>
          <w:spacing w:val="-9"/>
        </w:rPr>
        <w:t xml:space="preserve"> </w:t>
      </w:r>
      <w:r>
        <w:t>encounter.</w:t>
      </w:r>
      <w:r>
        <w:rPr>
          <w:spacing w:val="-12"/>
        </w:rPr>
        <w:t xml:space="preserve"> </w:t>
      </w:r>
      <w:r>
        <w:t>There</w:t>
      </w:r>
      <w:r>
        <w:rPr>
          <w:spacing w:val="-11"/>
        </w:rPr>
        <w:t xml:space="preserve"> </w:t>
      </w:r>
      <w:r>
        <w:t>could</w:t>
      </w:r>
      <w:r>
        <w:rPr>
          <w:spacing w:val="-10"/>
        </w:rPr>
        <w:t xml:space="preserve"> </w:t>
      </w:r>
      <w:r>
        <w:t>be</w:t>
      </w:r>
      <w:r>
        <w:rPr>
          <w:spacing w:val="-8"/>
        </w:rPr>
        <w:t xml:space="preserve"> </w:t>
      </w:r>
      <w:r>
        <w:t>justifiable</w:t>
      </w:r>
      <w:r>
        <w:rPr>
          <w:spacing w:val="-11"/>
        </w:rPr>
        <w:t xml:space="preserve"> </w:t>
      </w:r>
      <w:r>
        <w:t>therapeutic</w:t>
      </w:r>
      <w:r>
        <w:rPr>
          <w:spacing w:val="-10"/>
        </w:rPr>
        <w:t xml:space="preserve"> </w:t>
      </w:r>
      <w:r>
        <w:t>rationale</w:t>
      </w:r>
      <w:r>
        <w:rPr>
          <w:spacing w:val="-11"/>
        </w:rPr>
        <w:t xml:space="preserve"> </w:t>
      </w:r>
      <w:r>
        <w:t>behind</w:t>
      </w:r>
      <w:r>
        <w:rPr>
          <w:spacing w:val="-10"/>
        </w:rPr>
        <w:t xml:space="preserve"> </w:t>
      </w:r>
      <w:r>
        <w:t>the</w:t>
      </w:r>
      <w:r>
        <w:rPr>
          <w:spacing w:val="-9"/>
        </w:rPr>
        <w:t xml:space="preserve"> </w:t>
      </w:r>
      <w:r>
        <w:t>practice,</w:t>
      </w:r>
      <w:r>
        <w:rPr>
          <w:spacing w:val="-8"/>
        </w:rPr>
        <w:t xml:space="preserve"> </w:t>
      </w:r>
      <w:r>
        <w:t>and it should not be assum</w:t>
      </w:r>
      <w:r>
        <w:t>ed that concurrent prescriptions automatically point to poor</w:t>
      </w:r>
      <w:r>
        <w:rPr>
          <w:spacing w:val="-25"/>
        </w:rPr>
        <w:t xml:space="preserve"> </w:t>
      </w:r>
      <w:r>
        <w:t>care.</w:t>
      </w:r>
    </w:p>
    <w:p w:rsidR="0042065E" w:rsidRDefault="0042065E">
      <w:pPr>
        <w:pStyle w:val="BodyText"/>
        <w:spacing w:before="2"/>
        <w:rPr>
          <w:sz w:val="25"/>
        </w:rPr>
      </w:pPr>
    </w:p>
    <w:p w:rsidR="0042065E" w:rsidRDefault="00A96E76">
      <w:pPr>
        <w:pStyle w:val="BodyText"/>
        <w:spacing w:line="276" w:lineRule="auto"/>
        <w:ind w:left="108" w:right="467"/>
        <w:jc w:val="both"/>
      </w:pPr>
      <w:r>
        <w:rPr>
          <w:b/>
          <w:i/>
        </w:rPr>
        <w:t xml:space="preserve">Assessment of Care for People with Multiple High-Risk Chronic Conditions: </w:t>
      </w:r>
      <w:r>
        <w:t>This measure includes modifications to</w:t>
      </w:r>
      <w:r>
        <w:rPr>
          <w:spacing w:val="-6"/>
        </w:rPr>
        <w:t xml:space="preserve"> </w:t>
      </w:r>
      <w:r>
        <w:t>an</w:t>
      </w:r>
      <w:r>
        <w:rPr>
          <w:spacing w:val="-9"/>
        </w:rPr>
        <w:t xml:space="preserve"> </w:t>
      </w:r>
      <w:r>
        <w:t>existing</w:t>
      </w:r>
      <w:r>
        <w:rPr>
          <w:spacing w:val="-11"/>
        </w:rPr>
        <w:t xml:space="preserve"> </w:t>
      </w:r>
      <w:r>
        <w:t>measure</w:t>
      </w:r>
      <w:r>
        <w:rPr>
          <w:spacing w:val="-7"/>
        </w:rPr>
        <w:t xml:space="preserve"> </w:t>
      </w:r>
      <w:r>
        <w:t>used</w:t>
      </w:r>
      <w:r>
        <w:rPr>
          <w:spacing w:val="-9"/>
        </w:rPr>
        <w:t xml:space="preserve"> </w:t>
      </w:r>
      <w:r>
        <w:t>in</w:t>
      </w:r>
      <w:r>
        <w:rPr>
          <w:spacing w:val="-9"/>
        </w:rPr>
        <w:t xml:space="preserve"> </w:t>
      </w:r>
      <w:r>
        <w:t>other</w:t>
      </w:r>
      <w:r>
        <w:rPr>
          <w:spacing w:val="-8"/>
        </w:rPr>
        <w:t xml:space="preserve"> </w:t>
      </w:r>
      <w:r>
        <w:t>programs,</w:t>
      </w:r>
      <w:r>
        <w:rPr>
          <w:spacing w:val="-8"/>
        </w:rPr>
        <w:t xml:space="preserve"> </w:t>
      </w:r>
      <w:r>
        <w:t>and</w:t>
      </w:r>
      <w:r>
        <w:rPr>
          <w:spacing w:val="-9"/>
        </w:rPr>
        <w:t xml:space="preserve"> </w:t>
      </w:r>
      <w:r>
        <w:t>now</w:t>
      </w:r>
      <w:r>
        <w:rPr>
          <w:spacing w:val="-7"/>
        </w:rPr>
        <w:t xml:space="preserve"> </w:t>
      </w:r>
      <w:r>
        <w:t>is</w:t>
      </w:r>
      <w:r>
        <w:rPr>
          <w:spacing w:val="-9"/>
        </w:rPr>
        <w:t xml:space="preserve"> </w:t>
      </w:r>
      <w:r>
        <w:t>under</w:t>
      </w:r>
      <w:r>
        <w:rPr>
          <w:spacing w:val="-10"/>
        </w:rPr>
        <w:t xml:space="preserve"> </w:t>
      </w:r>
      <w:r>
        <w:t>consideration</w:t>
      </w:r>
      <w:r>
        <w:rPr>
          <w:spacing w:val="-9"/>
        </w:rPr>
        <w:t xml:space="preserve"> </w:t>
      </w:r>
      <w:r>
        <w:t>for</w:t>
      </w:r>
      <w:r>
        <w:rPr>
          <w:spacing w:val="-8"/>
        </w:rPr>
        <w:t xml:space="preserve"> </w:t>
      </w:r>
      <w:r>
        <w:t>potential</w:t>
      </w:r>
      <w:r>
        <w:rPr>
          <w:spacing w:val="-8"/>
        </w:rPr>
        <w:t xml:space="preserve"> </w:t>
      </w:r>
      <w:r>
        <w:t>use</w:t>
      </w:r>
      <w:r>
        <w:rPr>
          <w:spacing w:val="-7"/>
        </w:rPr>
        <w:t xml:space="preserve"> </w:t>
      </w:r>
      <w:r>
        <w:t>by</w:t>
      </w:r>
      <w:r>
        <w:rPr>
          <w:spacing w:val="-10"/>
        </w:rPr>
        <w:t xml:space="preserve"> </w:t>
      </w:r>
      <w:r>
        <w:t>MA</w:t>
      </w:r>
      <w:r>
        <w:rPr>
          <w:spacing w:val="-9"/>
        </w:rPr>
        <w:t xml:space="preserve"> </w:t>
      </w:r>
      <w:r>
        <w:t>plans.</w:t>
      </w:r>
      <w:r>
        <w:rPr>
          <w:spacing w:val="-8"/>
        </w:rPr>
        <w:t xml:space="preserve"> </w:t>
      </w:r>
      <w:r>
        <w:t>The modifications expand from four indicators (medication review, functional status, pain assessment, and advanced care planning) to six (physical assessment, cognitive functioning, pain assessment, fall risk assessment, goals of care</w:t>
      </w:r>
      <w:r>
        <w:rPr>
          <w:spacing w:val="-13"/>
        </w:rPr>
        <w:t xml:space="preserve"> </w:t>
      </w:r>
      <w:r>
        <w:t>discussed,</w:t>
      </w:r>
      <w:r>
        <w:rPr>
          <w:spacing w:val="-13"/>
        </w:rPr>
        <w:t xml:space="preserve"> </w:t>
      </w:r>
      <w:r>
        <w:t>and</w:t>
      </w:r>
      <w:r>
        <w:rPr>
          <w:spacing w:val="-14"/>
        </w:rPr>
        <w:t xml:space="preserve"> </w:t>
      </w:r>
      <w:r>
        <w:t>advanc</w:t>
      </w:r>
      <w:r>
        <w:t>ed</w:t>
      </w:r>
      <w:r>
        <w:rPr>
          <w:spacing w:val="-13"/>
        </w:rPr>
        <w:t xml:space="preserve"> </w:t>
      </w:r>
      <w:r>
        <w:t>care</w:t>
      </w:r>
      <w:r>
        <w:rPr>
          <w:spacing w:val="-13"/>
        </w:rPr>
        <w:t xml:space="preserve"> </w:t>
      </w:r>
      <w:r>
        <w:t>planning).</w:t>
      </w:r>
      <w:r>
        <w:rPr>
          <w:spacing w:val="25"/>
        </w:rPr>
        <w:t xml:space="preserve"> </w:t>
      </w:r>
      <w:r>
        <w:t>We</w:t>
      </w:r>
      <w:r>
        <w:rPr>
          <w:spacing w:val="-12"/>
        </w:rPr>
        <w:t xml:space="preserve"> </w:t>
      </w:r>
      <w:r>
        <w:t>will</w:t>
      </w:r>
      <w:r>
        <w:rPr>
          <w:spacing w:val="-16"/>
        </w:rPr>
        <w:t xml:space="preserve"> </w:t>
      </w:r>
      <w:r>
        <w:t>be</w:t>
      </w:r>
      <w:r>
        <w:rPr>
          <w:spacing w:val="-12"/>
        </w:rPr>
        <w:t xml:space="preserve"> </w:t>
      </w:r>
      <w:r>
        <w:t>very</w:t>
      </w:r>
      <w:r>
        <w:rPr>
          <w:spacing w:val="-12"/>
        </w:rPr>
        <w:t xml:space="preserve"> </w:t>
      </w:r>
      <w:r>
        <w:t>interested</w:t>
      </w:r>
      <w:r>
        <w:rPr>
          <w:spacing w:val="-14"/>
        </w:rPr>
        <w:t xml:space="preserve"> </w:t>
      </w:r>
      <w:r>
        <w:t>to</w:t>
      </w:r>
      <w:r>
        <w:rPr>
          <w:spacing w:val="-12"/>
        </w:rPr>
        <w:t xml:space="preserve"> </w:t>
      </w:r>
      <w:r>
        <w:t>learn</w:t>
      </w:r>
      <w:r>
        <w:rPr>
          <w:spacing w:val="-17"/>
        </w:rPr>
        <w:t xml:space="preserve"> </w:t>
      </w:r>
      <w:r>
        <w:t>how</w:t>
      </w:r>
      <w:r>
        <w:rPr>
          <w:spacing w:val="-12"/>
        </w:rPr>
        <w:t xml:space="preserve"> </w:t>
      </w:r>
      <w:r>
        <w:t>the</w:t>
      </w:r>
      <w:r>
        <w:rPr>
          <w:spacing w:val="-15"/>
        </w:rPr>
        <w:t xml:space="preserve"> </w:t>
      </w:r>
      <w:r>
        <w:t>two</w:t>
      </w:r>
      <w:r>
        <w:rPr>
          <w:spacing w:val="-12"/>
        </w:rPr>
        <w:t xml:space="preserve"> </w:t>
      </w:r>
      <w:r>
        <w:t>additional</w:t>
      </w:r>
      <w:r>
        <w:rPr>
          <w:spacing w:val="-13"/>
        </w:rPr>
        <w:t xml:space="preserve"> </w:t>
      </w:r>
      <w:r>
        <w:t>indicators would</w:t>
      </w:r>
      <w:r>
        <w:rPr>
          <w:spacing w:val="-14"/>
        </w:rPr>
        <w:t xml:space="preserve"> </w:t>
      </w:r>
      <w:r>
        <w:t>enrich</w:t>
      </w:r>
      <w:r>
        <w:rPr>
          <w:spacing w:val="-13"/>
        </w:rPr>
        <w:t xml:space="preserve"> </w:t>
      </w:r>
      <w:r>
        <w:t>the</w:t>
      </w:r>
      <w:r>
        <w:rPr>
          <w:spacing w:val="-12"/>
        </w:rPr>
        <w:t xml:space="preserve"> </w:t>
      </w:r>
      <w:r>
        <w:t>data.</w:t>
      </w:r>
      <w:r>
        <w:rPr>
          <w:spacing w:val="25"/>
        </w:rPr>
        <w:t xml:space="preserve"> </w:t>
      </w:r>
      <w:r>
        <w:t>Due</w:t>
      </w:r>
      <w:r>
        <w:rPr>
          <w:spacing w:val="-15"/>
        </w:rPr>
        <w:t xml:space="preserve"> </w:t>
      </w:r>
      <w:r>
        <w:t>to</w:t>
      </w:r>
      <w:r>
        <w:rPr>
          <w:spacing w:val="-11"/>
        </w:rPr>
        <w:t xml:space="preserve"> </w:t>
      </w:r>
      <w:r>
        <w:t>the</w:t>
      </w:r>
      <w:r>
        <w:rPr>
          <w:spacing w:val="-13"/>
        </w:rPr>
        <w:t xml:space="preserve"> </w:t>
      </w:r>
      <w:r>
        <w:t>provision</w:t>
      </w:r>
      <w:r>
        <w:rPr>
          <w:spacing w:val="-16"/>
        </w:rPr>
        <w:t xml:space="preserve"> </w:t>
      </w:r>
      <w:r>
        <w:t>of</w:t>
      </w:r>
      <w:r>
        <w:rPr>
          <w:spacing w:val="-12"/>
        </w:rPr>
        <w:t xml:space="preserve"> </w:t>
      </w:r>
      <w:r>
        <w:t>limited</w:t>
      </w:r>
      <w:r>
        <w:rPr>
          <w:spacing w:val="-16"/>
        </w:rPr>
        <w:t xml:space="preserve"> </w:t>
      </w:r>
      <w:r>
        <w:t>details</w:t>
      </w:r>
      <w:r>
        <w:rPr>
          <w:spacing w:val="-13"/>
        </w:rPr>
        <w:t xml:space="preserve"> </w:t>
      </w:r>
      <w:r>
        <w:t>on</w:t>
      </w:r>
      <w:r>
        <w:rPr>
          <w:spacing w:val="-14"/>
        </w:rPr>
        <w:t xml:space="preserve"> </w:t>
      </w:r>
      <w:r>
        <w:t>these</w:t>
      </w:r>
      <w:r>
        <w:rPr>
          <w:spacing w:val="-15"/>
        </w:rPr>
        <w:t xml:space="preserve"> </w:t>
      </w:r>
      <w:r>
        <w:t>measure</w:t>
      </w:r>
      <w:r>
        <w:rPr>
          <w:spacing w:val="-12"/>
        </w:rPr>
        <w:t xml:space="preserve"> </w:t>
      </w:r>
      <w:r>
        <w:t>updates,</w:t>
      </w:r>
      <w:r>
        <w:rPr>
          <w:spacing w:val="-13"/>
        </w:rPr>
        <w:t xml:space="preserve"> </w:t>
      </w:r>
      <w:r>
        <w:t>the</w:t>
      </w:r>
      <w:r>
        <w:rPr>
          <w:spacing w:val="-13"/>
        </w:rPr>
        <w:t xml:space="preserve"> </w:t>
      </w:r>
      <w:r>
        <w:t>APA</w:t>
      </w:r>
      <w:r>
        <w:rPr>
          <w:spacing w:val="-13"/>
        </w:rPr>
        <w:t xml:space="preserve"> </w:t>
      </w:r>
      <w:r>
        <w:t>reserves</w:t>
      </w:r>
      <w:r>
        <w:rPr>
          <w:spacing w:val="-12"/>
        </w:rPr>
        <w:t xml:space="preserve"> </w:t>
      </w:r>
      <w:r>
        <w:t>support for</w:t>
      </w:r>
      <w:r>
        <w:rPr>
          <w:spacing w:val="-12"/>
        </w:rPr>
        <w:t xml:space="preserve"> </w:t>
      </w:r>
      <w:r>
        <w:t>measure</w:t>
      </w:r>
      <w:r>
        <w:rPr>
          <w:spacing w:val="-8"/>
        </w:rPr>
        <w:t xml:space="preserve"> </w:t>
      </w:r>
      <w:r>
        <w:t>implementation</w:t>
      </w:r>
      <w:r>
        <w:rPr>
          <w:spacing w:val="-10"/>
        </w:rPr>
        <w:t xml:space="preserve"> </w:t>
      </w:r>
      <w:r>
        <w:t>until</w:t>
      </w:r>
      <w:r>
        <w:rPr>
          <w:spacing w:val="-9"/>
        </w:rPr>
        <w:t xml:space="preserve"> </w:t>
      </w:r>
      <w:r>
        <w:t>testing</w:t>
      </w:r>
      <w:r>
        <w:rPr>
          <w:spacing w:val="-10"/>
        </w:rPr>
        <w:t xml:space="preserve"> </w:t>
      </w:r>
      <w:r>
        <w:t>is</w:t>
      </w:r>
      <w:r>
        <w:rPr>
          <w:spacing w:val="-12"/>
        </w:rPr>
        <w:t xml:space="preserve"> </w:t>
      </w:r>
      <w:r>
        <w:t>finalized</w:t>
      </w:r>
      <w:r>
        <w:rPr>
          <w:spacing w:val="-10"/>
        </w:rPr>
        <w:t xml:space="preserve"> </w:t>
      </w:r>
      <w:r>
        <w:t>and</w:t>
      </w:r>
      <w:r>
        <w:rPr>
          <w:spacing w:val="-10"/>
        </w:rPr>
        <w:t xml:space="preserve"> </w:t>
      </w:r>
      <w:r>
        <w:t>that</w:t>
      </w:r>
      <w:r>
        <w:rPr>
          <w:spacing w:val="-9"/>
        </w:rPr>
        <w:t xml:space="preserve"> </w:t>
      </w:r>
      <w:r>
        <w:t>data</w:t>
      </w:r>
      <w:r>
        <w:rPr>
          <w:spacing w:val="-11"/>
        </w:rPr>
        <w:t xml:space="preserve"> </w:t>
      </w:r>
      <w:r>
        <w:t>is</w:t>
      </w:r>
      <w:r>
        <w:rPr>
          <w:spacing w:val="-10"/>
        </w:rPr>
        <w:t xml:space="preserve"> </w:t>
      </w:r>
      <w:r>
        <w:t>shared.</w:t>
      </w:r>
      <w:r>
        <w:rPr>
          <w:spacing w:val="-12"/>
        </w:rPr>
        <w:t xml:space="preserve"> </w:t>
      </w:r>
      <w:r>
        <w:t>We</w:t>
      </w:r>
      <w:r>
        <w:rPr>
          <w:spacing w:val="-11"/>
        </w:rPr>
        <w:t xml:space="preserve"> </w:t>
      </w:r>
      <w:r>
        <w:t>also</w:t>
      </w:r>
      <w:r>
        <w:rPr>
          <w:spacing w:val="-8"/>
        </w:rPr>
        <w:t xml:space="preserve"> </w:t>
      </w:r>
      <w:r>
        <w:t>suggest</w:t>
      </w:r>
      <w:r>
        <w:rPr>
          <w:spacing w:val="-8"/>
        </w:rPr>
        <w:t xml:space="preserve"> </w:t>
      </w:r>
      <w:r>
        <w:t>this</w:t>
      </w:r>
      <w:r>
        <w:rPr>
          <w:spacing w:val="-11"/>
        </w:rPr>
        <w:t xml:space="preserve"> </w:t>
      </w:r>
      <w:r>
        <w:t>measure</w:t>
      </w:r>
      <w:r>
        <w:rPr>
          <w:spacing w:val="-10"/>
        </w:rPr>
        <w:t xml:space="preserve"> </w:t>
      </w:r>
      <w:r>
        <w:t>specify the use of standardized evaluative tools. The APA questions the value of including follow-up measures linked to the indicators that address functional, cognitive, pain, and care goals. While th</w:t>
      </w:r>
      <w:r>
        <w:t>ese measures are intended to demonstrate quality at the health plan-level, it is the performance of the clinicians and the outcomes of patients that is being</w:t>
      </w:r>
      <w:r>
        <w:rPr>
          <w:spacing w:val="-2"/>
        </w:rPr>
        <w:t xml:space="preserve"> </w:t>
      </w:r>
      <w:r>
        <w:t>monitored.</w:t>
      </w:r>
    </w:p>
    <w:p w:rsidR="0042065E" w:rsidRDefault="0042065E">
      <w:pPr>
        <w:pStyle w:val="BodyText"/>
        <w:spacing w:before="2"/>
        <w:rPr>
          <w:sz w:val="25"/>
        </w:rPr>
      </w:pPr>
    </w:p>
    <w:p w:rsidR="0042065E" w:rsidRDefault="00A96E76">
      <w:pPr>
        <w:pStyle w:val="BodyText"/>
        <w:spacing w:line="276" w:lineRule="auto"/>
        <w:ind w:left="108" w:right="466"/>
        <w:jc w:val="both"/>
      </w:pPr>
      <w:r>
        <w:rPr>
          <w:b/>
          <w:i/>
        </w:rPr>
        <w:t xml:space="preserve">Depression Screening and Follow-Up for Adolescents and Adults: </w:t>
      </w:r>
      <w:r>
        <w:t>This measure was adapte</w:t>
      </w:r>
      <w:r>
        <w:t>d from the provider- level measure. It examines the percentage of patients age 12 and older who were screened for depression using a standardized assessment tool (such as the PHQ-9) and if positive, whether they received appropriate follow-up care within 3</w:t>
      </w:r>
      <w:r>
        <w:t>0 days. As the measure is currently specified at the provider level, it presents a list of standardized screening tools recommended for use but does not mandate that measure  users  are  limited  to  the  tools listed. The APA is interested in learning how</w:t>
      </w:r>
      <w:r>
        <w:t xml:space="preserve"> the measure specified this way allows for robust national results at the plan level, and whether plans would specify which tool should be used to collect this information.</w:t>
      </w:r>
    </w:p>
    <w:p w:rsidR="0042065E" w:rsidRDefault="0042065E">
      <w:pPr>
        <w:pStyle w:val="BodyText"/>
        <w:spacing w:before="4"/>
        <w:rPr>
          <w:sz w:val="25"/>
        </w:rPr>
      </w:pPr>
    </w:p>
    <w:p w:rsidR="0042065E" w:rsidRDefault="00A96E76">
      <w:pPr>
        <w:pStyle w:val="BodyText"/>
        <w:spacing w:line="276" w:lineRule="auto"/>
        <w:ind w:left="108" w:right="466"/>
        <w:jc w:val="both"/>
      </w:pPr>
      <w:r>
        <w:rPr>
          <w:b/>
          <w:i/>
        </w:rPr>
        <w:t xml:space="preserve">Unhealthy Alcohol Use Screening and Follow-Up: </w:t>
      </w:r>
      <w:r>
        <w:t>NCQA adapted this plan-level measur</w:t>
      </w:r>
      <w:r>
        <w:t>e from a measure originally specified at the provider-level. The APA is interested in viewing the testing data of this measure to determine appropriateness at the plan-level. Given the choice to use one of several standardized screening tools to satisfy th</w:t>
      </w:r>
      <w:r>
        <w:t>is measure, the APA is interested in learning how the measure, as specified, would provide robust national results at the plan level.</w:t>
      </w:r>
    </w:p>
    <w:p w:rsidR="0042065E" w:rsidRDefault="0042065E">
      <w:pPr>
        <w:pStyle w:val="BodyText"/>
        <w:spacing w:before="4"/>
        <w:rPr>
          <w:sz w:val="16"/>
        </w:rPr>
      </w:pPr>
    </w:p>
    <w:p w:rsidR="0042065E" w:rsidRDefault="00A96E76">
      <w:pPr>
        <w:pStyle w:val="BodyText"/>
        <w:spacing w:line="276" w:lineRule="auto"/>
        <w:ind w:left="108" w:right="467"/>
        <w:jc w:val="both"/>
      </w:pPr>
      <w:r>
        <w:rPr>
          <w:b/>
          <w:i/>
        </w:rPr>
        <w:t xml:space="preserve">Readmissions from Post-Acute Care: </w:t>
      </w:r>
      <w:r>
        <w:t>NCQA plans to develop a measure that evaluates acute care facility readmissions</w:t>
      </w:r>
      <w:r>
        <w:rPr>
          <w:spacing w:val="-14"/>
        </w:rPr>
        <w:t xml:space="preserve"> </w:t>
      </w:r>
      <w:r>
        <w:t>among</w:t>
      </w:r>
      <w:r>
        <w:rPr>
          <w:spacing w:val="-15"/>
        </w:rPr>
        <w:t xml:space="preserve"> </w:t>
      </w:r>
      <w:r>
        <w:t>Medicare</w:t>
      </w:r>
      <w:r>
        <w:rPr>
          <w:spacing w:val="-14"/>
        </w:rPr>
        <w:t xml:space="preserve"> </w:t>
      </w:r>
      <w:r>
        <w:t>beneficiaries</w:t>
      </w:r>
      <w:r>
        <w:rPr>
          <w:spacing w:val="-13"/>
        </w:rPr>
        <w:t xml:space="preserve"> </w:t>
      </w:r>
      <w:r>
        <w:t>during</w:t>
      </w:r>
      <w:r>
        <w:rPr>
          <w:spacing w:val="-15"/>
        </w:rPr>
        <w:t xml:space="preserve"> </w:t>
      </w:r>
      <w:r>
        <w:t>or</w:t>
      </w:r>
      <w:r>
        <w:rPr>
          <w:spacing w:val="-19"/>
        </w:rPr>
        <w:t xml:space="preserve"> </w:t>
      </w:r>
      <w:r>
        <w:t>after</w:t>
      </w:r>
      <w:r>
        <w:rPr>
          <w:spacing w:val="-13"/>
        </w:rPr>
        <w:t xml:space="preserve"> </w:t>
      </w:r>
      <w:r>
        <w:t>a</w:t>
      </w:r>
      <w:r>
        <w:rPr>
          <w:spacing w:val="-14"/>
        </w:rPr>
        <w:t xml:space="preserve"> </w:t>
      </w:r>
      <w:r>
        <w:t>skilled</w:t>
      </w:r>
      <w:r>
        <w:rPr>
          <w:spacing w:val="-14"/>
        </w:rPr>
        <w:t xml:space="preserve"> </w:t>
      </w:r>
      <w:r>
        <w:t>nursing</w:t>
      </w:r>
      <w:r>
        <w:rPr>
          <w:spacing w:val="-15"/>
        </w:rPr>
        <w:t xml:space="preserve"> </w:t>
      </w:r>
      <w:r>
        <w:t>facility</w:t>
      </w:r>
      <w:r>
        <w:rPr>
          <w:spacing w:val="-13"/>
        </w:rPr>
        <w:t xml:space="preserve"> </w:t>
      </w:r>
      <w:r>
        <w:t>(SNF)</w:t>
      </w:r>
      <w:r>
        <w:rPr>
          <w:spacing w:val="-14"/>
        </w:rPr>
        <w:t xml:space="preserve"> </w:t>
      </w:r>
      <w:r>
        <w:t>stay.</w:t>
      </w:r>
      <w:r>
        <w:rPr>
          <w:spacing w:val="-14"/>
        </w:rPr>
        <w:t xml:space="preserve"> </w:t>
      </w:r>
      <w:r>
        <w:t>Like</w:t>
      </w:r>
      <w:r>
        <w:rPr>
          <w:spacing w:val="-15"/>
        </w:rPr>
        <w:t xml:space="preserve"> </w:t>
      </w:r>
      <w:r>
        <w:t>other</w:t>
      </w:r>
      <w:r>
        <w:rPr>
          <w:spacing w:val="-16"/>
        </w:rPr>
        <w:t xml:space="preserve"> </w:t>
      </w:r>
      <w:r>
        <w:t>measures</w:t>
      </w:r>
    </w:p>
    <w:p w:rsidR="0042065E" w:rsidRDefault="0042065E">
      <w:pPr>
        <w:spacing w:line="276" w:lineRule="auto"/>
        <w:jc w:val="both"/>
        <w:sectPr w:rsidR="0042065E">
          <w:pgSz w:w="12240" w:h="15840"/>
          <w:pgMar w:top="940" w:right="520" w:bottom="280" w:left="1060" w:header="727" w:footer="0" w:gutter="0"/>
          <w:cols w:space="720"/>
        </w:sectPr>
      </w:pPr>
    </w:p>
    <w:p w:rsidR="0042065E" w:rsidRDefault="0042065E">
      <w:pPr>
        <w:pStyle w:val="BodyText"/>
        <w:rPr>
          <w:sz w:val="20"/>
        </w:rPr>
      </w:pPr>
      <w:bookmarkStart w:id="0" w:name="_GoBack"/>
    </w:p>
    <w:p w:rsidR="0042065E" w:rsidRDefault="0042065E">
      <w:pPr>
        <w:pStyle w:val="BodyText"/>
        <w:rPr>
          <w:sz w:val="20"/>
        </w:rPr>
      </w:pPr>
    </w:p>
    <w:p w:rsidR="0042065E" w:rsidRDefault="0042065E">
      <w:pPr>
        <w:pStyle w:val="BodyText"/>
        <w:rPr>
          <w:sz w:val="20"/>
        </w:rPr>
      </w:pPr>
    </w:p>
    <w:p w:rsidR="0042065E" w:rsidRDefault="0042065E">
      <w:pPr>
        <w:pStyle w:val="BodyText"/>
        <w:rPr>
          <w:sz w:val="20"/>
        </w:rPr>
      </w:pPr>
    </w:p>
    <w:p w:rsidR="0042065E" w:rsidRDefault="0042065E">
      <w:pPr>
        <w:pStyle w:val="BodyText"/>
        <w:spacing w:before="9"/>
        <w:rPr>
          <w:sz w:val="18"/>
        </w:rPr>
      </w:pPr>
    </w:p>
    <w:p w:rsidR="0042065E" w:rsidRDefault="00A96E76">
      <w:pPr>
        <w:pStyle w:val="BodyText"/>
        <w:spacing w:line="276" w:lineRule="auto"/>
        <w:ind w:left="108" w:right="467"/>
        <w:jc w:val="both"/>
      </w:pPr>
      <w:r>
        <w:t>included in this Draft Call Letter, the APA does not support the measure at the present time. However, given the concerns we have previously voiced to CMS, this measure could help examine the effects of broad, sweeping limitations</w:t>
      </w:r>
      <w:r>
        <w:rPr>
          <w:spacing w:val="-4"/>
        </w:rPr>
        <w:t xml:space="preserve"> </w:t>
      </w:r>
      <w:r>
        <w:t>(imposed</w:t>
      </w:r>
      <w:r>
        <w:rPr>
          <w:spacing w:val="-5"/>
        </w:rPr>
        <w:t xml:space="preserve"> </w:t>
      </w:r>
      <w:r>
        <w:t>by</w:t>
      </w:r>
      <w:r>
        <w:rPr>
          <w:spacing w:val="-4"/>
        </w:rPr>
        <w:t xml:space="preserve"> </w:t>
      </w:r>
      <w:r>
        <w:t>CMS)</w:t>
      </w:r>
      <w:r>
        <w:rPr>
          <w:spacing w:val="-2"/>
        </w:rPr>
        <w:t xml:space="preserve"> </w:t>
      </w:r>
      <w:r>
        <w:t>on</w:t>
      </w:r>
      <w:r>
        <w:rPr>
          <w:spacing w:val="-5"/>
        </w:rPr>
        <w:t xml:space="preserve"> </w:t>
      </w:r>
      <w:r>
        <w:t>psych</w:t>
      </w:r>
      <w:r>
        <w:t>otropic</w:t>
      </w:r>
      <w:r>
        <w:rPr>
          <w:spacing w:val="-2"/>
        </w:rPr>
        <w:t xml:space="preserve"> </w:t>
      </w:r>
      <w:r>
        <w:t>prescribing</w:t>
      </w:r>
      <w:r>
        <w:rPr>
          <w:spacing w:val="-3"/>
        </w:rPr>
        <w:t xml:space="preserve"> </w:t>
      </w:r>
      <w:r>
        <w:t>practices</w:t>
      </w:r>
      <w:r>
        <w:rPr>
          <w:spacing w:val="-3"/>
        </w:rPr>
        <w:t xml:space="preserve"> </w:t>
      </w:r>
      <w:r>
        <w:t>for</w:t>
      </w:r>
      <w:r>
        <w:rPr>
          <w:spacing w:val="-2"/>
        </w:rPr>
        <w:t xml:space="preserve"> </w:t>
      </w:r>
      <w:r>
        <w:t>patients</w:t>
      </w:r>
      <w:r>
        <w:rPr>
          <w:spacing w:val="-2"/>
        </w:rPr>
        <w:t xml:space="preserve"> </w:t>
      </w:r>
      <w:r>
        <w:t>in</w:t>
      </w:r>
      <w:r>
        <w:rPr>
          <w:spacing w:val="-6"/>
        </w:rPr>
        <w:t xml:space="preserve"> </w:t>
      </w:r>
      <w:r>
        <w:t>SNFs</w:t>
      </w:r>
      <w:r>
        <w:rPr>
          <w:spacing w:val="-2"/>
        </w:rPr>
        <w:t xml:space="preserve"> </w:t>
      </w:r>
      <w:r>
        <w:t>and</w:t>
      </w:r>
      <w:r>
        <w:rPr>
          <w:spacing w:val="-5"/>
        </w:rPr>
        <w:t xml:space="preserve"> </w:t>
      </w:r>
      <w:r>
        <w:t>other</w:t>
      </w:r>
      <w:r>
        <w:rPr>
          <w:spacing w:val="-5"/>
        </w:rPr>
        <w:t xml:space="preserve"> </w:t>
      </w:r>
      <w:r>
        <w:t>long-term</w:t>
      </w:r>
      <w:r>
        <w:rPr>
          <w:spacing w:val="-5"/>
        </w:rPr>
        <w:t xml:space="preserve"> </w:t>
      </w:r>
      <w:r>
        <w:t>care settings. Acknowledging this possibility, the APA supports further development and testing at the plan level and possibly the facility</w:t>
      </w:r>
      <w:r>
        <w:rPr>
          <w:spacing w:val="-10"/>
        </w:rPr>
        <w:t xml:space="preserve"> </w:t>
      </w:r>
      <w:r>
        <w:t>level.</w:t>
      </w:r>
    </w:p>
    <w:p w:rsidR="0042065E" w:rsidRDefault="0042065E">
      <w:pPr>
        <w:pStyle w:val="BodyText"/>
        <w:spacing w:before="4"/>
        <w:rPr>
          <w:sz w:val="25"/>
        </w:rPr>
      </w:pPr>
    </w:p>
    <w:p w:rsidR="0042065E" w:rsidRDefault="00A96E76">
      <w:pPr>
        <w:pStyle w:val="BodyText"/>
        <w:spacing w:before="1" w:line="276" w:lineRule="auto"/>
        <w:ind w:left="108" w:right="467"/>
        <w:jc w:val="both"/>
      </w:pPr>
      <w:r>
        <w:rPr>
          <w:b/>
          <w:i/>
        </w:rPr>
        <w:t xml:space="preserve">Anxiety: </w:t>
      </w:r>
      <w:r>
        <w:t>NCQA is considering developing HEDIS (Healthcare Effectiveness Data and Information Set) quality measures that assess care for those with anxiety disorders. While limited details are available on this measure (set), measuring this diagnostic condition does</w:t>
      </w:r>
      <w:r>
        <w:t xml:space="preserve"> align with APA priorities. Given its prevalence in mental health specialty care settings, among others, this measure could have benefits at the primary care settings. As such, the APA would be interested in learning more as the measure is further consider</w:t>
      </w:r>
      <w:r>
        <w:t>ed for development.</w:t>
      </w:r>
    </w:p>
    <w:p w:rsidR="0042065E" w:rsidRDefault="0042065E">
      <w:pPr>
        <w:pStyle w:val="BodyText"/>
        <w:spacing w:before="1"/>
      </w:pPr>
    </w:p>
    <w:p w:rsidR="0042065E" w:rsidRDefault="00A96E76">
      <w:pPr>
        <w:pStyle w:val="BodyText"/>
        <w:ind w:left="108" w:right="471"/>
        <w:jc w:val="both"/>
      </w:pPr>
      <w:r>
        <w:t>We welcome the opportunity to discuss these issues further. If you have any questions, or if we can be of</w:t>
      </w:r>
      <w:r>
        <w:rPr>
          <w:spacing w:val="-31"/>
        </w:rPr>
        <w:t xml:space="preserve"> </w:t>
      </w:r>
      <w:r>
        <w:t xml:space="preserve">further assistance, please contact Debra Lansey, M.P.A., APA Associate Director for Payment Policy, at </w:t>
      </w:r>
      <w:hyperlink r:id="rId122">
        <w:r>
          <w:rPr>
            <w:color w:val="0000FF"/>
            <w:u w:val="single" w:color="0000FF"/>
          </w:rPr>
          <w:t xml:space="preserve">DLansey@psych.org </w:t>
        </w:r>
      </w:hyperlink>
      <w:r>
        <w:t>or (202)</w:t>
      </w:r>
      <w:r>
        <w:rPr>
          <w:spacing w:val="-11"/>
        </w:rPr>
        <w:t xml:space="preserve"> </w:t>
      </w:r>
      <w:r>
        <w:t>609-7123.</w:t>
      </w:r>
    </w:p>
    <w:p w:rsidR="0042065E" w:rsidRDefault="0042065E">
      <w:pPr>
        <w:pStyle w:val="BodyText"/>
        <w:spacing w:before="2"/>
        <w:rPr>
          <w:sz w:val="17"/>
        </w:rPr>
      </w:pPr>
    </w:p>
    <w:p w:rsidR="0042065E" w:rsidRDefault="00A96E76">
      <w:pPr>
        <w:pStyle w:val="BodyText"/>
        <w:spacing w:before="57"/>
        <w:ind w:left="108"/>
      </w:pPr>
      <w:r>
        <w:t>Sincerely,</w:t>
      </w:r>
    </w:p>
    <w:p w:rsidR="0042065E" w:rsidRDefault="00A96E76">
      <w:pPr>
        <w:pStyle w:val="BodyText"/>
        <w:spacing w:before="10"/>
        <w:rPr>
          <w:sz w:val="18"/>
        </w:rPr>
      </w:pPr>
      <w:r>
        <w:rPr>
          <w:noProof/>
        </w:rPr>
        <w:drawing>
          <wp:anchor distT="0" distB="0" distL="0" distR="0" simplePos="0" relativeHeight="1504" behindDoc="0" locked="0" layoutInCell="1" allowOverlap="1">
            <wp:simplePos x="0" y="0"/>
            <wp:positionH relativeFrom="page">
              <wp:posOffset>742950</wp:posOffset>
            </wp:positionH>
            <wp:positionV relativeFrom="paragraph">
              <wp:posOffset>171093</wp:posOffset>
            </wp:positionV>
            <wp:extent cx="2269747" cy="451770"/>
            <wp:effectExtent l="0" t="0" r="0" b="0"/>
            <wp:wrapTopAndBottom/>
            <wp:docPr id="5" name="image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3.png"/>
                    <pic:cNvPicPr/>
                  </pic:nvPicPr>
                  <pic:blipFill>
                    <a:blip r:embed="rId123" cstate="print"/>
                    <a:stretch>
                      <a:fillRect/>
                    </a:stretch>
                  </pic:blipFill>
                  <pic:spPr>
                    <a:xfrm>
                      <a:off x="0" y="0"/>
                      <a:ext cx="2269747" cy="451770"/>
                    </a:xfrm>
                    <a:prstGeom prst="rect">
                      <a:avLst/>
                    </a:prstGeom>
                  </pic:spPr>
                </pic:pic>
              </a:graphicData>
            </a:graphic>
          </wp:anchor>
        </w:drawing>
      </w:r>
    </w:p>
    <w:p w:rsidR="0042065E" w:rsidRDefault="0042065E">
      <w:pPr>
        <w:pStyle w:val="BodyText"/>
        <w:spacing w:before="3"/>
        <w:rPr>
          <w:sz w:val="20"/>
        </w:rPr>
      </w:pPr>
    </w:p>
    <w:p w:rsidR="0042065E" w:rsidRDefault="00A96E76">
      <w:pPr>
        <w:pStyle w:val="BodyText"/>
        <w:ind w:left="108"/>
      </w:pPr>
      <w:r>
        <w:t>Saul Levin, M.D., M.P.A., FRCP-E</w:t>
      </w:r>
    </w:p>
    <w:p w:rsidR="0042065E" w:rsidRDefault="00A96E76">
      <w:pPr>
        <w:pStyle w:val="BodyText"/>
        <w:ind w:left="108"/>
      </w:pPr>
      <w:r>
        <w:t>CEO and Medical Director</w:t>
      </w:r>
      <w:bookmarkEnd w:id="0"/>
    </w:p>
    <w:sectPr w:rsidR="0042065E">
      <w:pgSz w:w="12240" w:h="15840"/>
      <w:pgMar w:top="940" w:right="520" w:bottom="280" w:left="1060" w:header="72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96E76">
      <w:r>
        <w:separator/>
      </w:r>
    </w:p>
  </w:endnote>
  <w:endnote w:type="continuationSeparator" w:id="0">
    <w:p w:rsidR="00000000" w:rsidRDefault="00A96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96E76">
      <w:r>
        <w:separator/>
      </w:r>
    </w:p>
  </w:footnote>
  <w:footnote w:type="continuationSeparator" w:id="0">
    <w:p w:rsidR="00000000" w:rsidRDefault="00A96E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65E" w:rsidRDefault="00A96E76">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72.9pt;margin-top:35.35pt;width:9.55pt;height:13.15pt;z-index:-251658752;mso-position-horizontal-relative:page;mso-position-vertical-relative:page" filled="f" stroked="f">
          <v:textbox inset="0,0,0,0">
            <w:txbxContent>
              <w:p w:rsidR="0042065E" w:rsidRDefault="00A96E76">
                <w:pPr>
                  <w:spacing w:before="12"/>
                  <w:ind w:left="40"/>
                  <w:rPr>
                    <w:rFonts w:ascii="Arial"/>
                    <w:sz w:val="20"/>
                  </w:rPr>
                </w:pPr>
                <w:r>
                  <w:fldChar w:fldCharType="begin"/>
                </w:r>
                <w:r>
                  <w:rPr>
                    <w:rFonts w:ascii="Arial"/>
                    <w:w w:val="99"/>
                    <w:sz w:val="20"/>
                  </w:rPr>
                  <w:instrText xml:space="preserve"> PAGE </w:instrText>
                </w:r>
                <w:r>
                  <w:fldChar w:fldCharType="separate"/>
                </w:r>
                <w:r>
                  <w:rPr>
                    <w:rFonts w:ascii="Arial"/>
                    <w:noProof/>
                    <w:w w:val="99"/>
                    <w:sz w:val="20"/>
                  </w:rPr>
                  <w:t>8</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44EF9"/>
    <w:multiLevelType w:val="hybridMultilevel"/>
    <w:tmpl w:val="BF302A4E"/>
    <w:lvl w:ilvl="0" w:tplc="7C40410E">
      <w:numFmt w:val="bullet"/>
      <w:lvlText w:val=""/>
      <w:lvlJc w:val="left"/>
      <w:pPr>
        <w:ind w:left="560" w:hanging="452"/>
      </w:pPr>
      <w:rPr>
        <w:rFonts w:ascii="Symbol" w:eastAsia="Symbol" w:hAnsi="Symbol" w:cs="Symbol" w:hint="default"/>
        <w:w w:val="100"/>
        <w:sz w:val="22"/>
        <w:szCs w:val="22"/>
      </w:rPr>
    </w:lvl>
    <w:lvl w:ilvl="1" w:tplc="29BA46BE">
      <w:numFmt w:val="bullet"/>
      <w:lvlText w:val=""/>
      <w:lvlJc w:val="left"/>
      <w:pPr>
        <w:ind w:left="560" w:hanging="272"/>
      </w:pPr>
      <w:rPr>
        <w:rFonts w:ascii="Symbol" w:eastAsia="Symbol" w:hAnsi="Symbol" w:cs="Symbol" w:hint="default"/>
        <w:w w:val="100"/>
        <w:sz w:val="22"/>
        <w:szCs w:val="22"/>
      </w:rPr>
    </w:lvl>
    <w:lvl w:ilvl="2" w:tplc="68CCF190">
      <w:numFmt w:val="bullet"/>
      <w:lvlText w:val="•"/>
      <w:lvlJc w:val="left"/>
      <w:pPr>
        <w:ind w:left="2580" w:hanging="272"/>
      </w:pPr>
      <w:rPr>
        <w:rFonts w:hint="default"/>
      </w:rPr>
    </w:lvl>
    <w:lvl w:ilvl="3" w:tplc="EBA26430">
      <w:numFmt w:val="bullet"/>
      <w:lvlText w:val="•"/>
      <w:lvlJc w:val="left"/>
      <w:pPr>
        <w:ind w:left="3590" w:hanging="272"/>
      </w:pPr>
      <w:rPr>
        <w:rFonts w:hint="default"/>
      </w:rPr>
    </w:lvl>
    <w:lvl w:ilvl="4" w:tplc="18C6B59A">
      <w:numFmt w:val="bullet"/>
      <w:lvlText w:val="•"/>
      <w:lvlJc w:val="left"/>
      <w:pPr>
        <w:ind w:left="4600" w:hanging="272"/>
      </w:pPr>
      <w:rPr>
        <w:rFonts w:hint="default"/>
      </w:rPr>
    </w:lvl>
    <w:lvl w:ilvl="5" w:tplc="68367DA2">
      <w:numFmt w:val="bullet"/>
      <w:lvlText w:val="•"/>
      <w:lvlJc w:val="left"/>
      <w:pPr>
        <w:ind w:left="5610" w:hanging="272"/>
      </w:pPr>
      <w:rPr>
        <w:rFonts w:hint="default"/>
      </w:rPr>
    </w:lvl>
    <w:lvl w:ilvl="6" w:tplc="21E0E52A">
      <w:numFmt w:val="bullet"/>
      <w:lvlText w:val="•"/>
      <w:lvlJc w:val="left"/>
      <w:pPr>
        <w:ind w:left="6620" w:hanging="272"/>
      </w:pPr>
      <w:rPr>
        <w:rFonts w:hint="default"/>
      </w:rPr>
    </w:lvl>
    <w:lvl w:ilvl="7" w:tplc="11C03E24">
      <w:numFmt w:val="bullet"/>
      <w:lvlText w:val="•"/>
      <w:lvlJc w:val="left"/>
      <w:pPr>
        <w:ind w:left="7630" w:hanging="272"/>
      </w:pPr>
      <w:rPr>
        <w:rFonts w:hint="default"/>
      </w:rPr>
    </w:lvl>
    <w:lvl w:ilvl="8" w:tplc="7FA444F2">
      <w:numFmt w:val="bullet"/>
      <w:lvlText w:val="•"/>
      <w:lvlJc w:val="left"/>
      <w:pPr>
        <w:ind w:left="8640" w:hanging="272"/>
      </w:pPr>
      <w:rPr>
        <w:rFonts w:hint="default"/>
      </w:rPr>
    </w:lvl>
  </w:abstractNum>
  <w:abstractNum w:abstractNumId="1" w15:restartNumberingAfterBreak="0">
    <w:nsid w:val="46AE3FA9"/>
    <w:multiLevelType w:val="hybridMultilevel"/>
    <w:tmpl w:val="0A54AD3E"/>
    <w:lvl w:ilvl="0" w:tplc="B1EC446A">
      <w:start w:val="1"/>
      <w:numFmt w:val="upperRoman"/>
      <w:lvlText w:val="%1."/>
      <w:lvlJc w:val="left"/>
      <w:pPr>
        <w:ind w:left="2980" w:hanging="720"/>
        <w:jc w:val="right"/>
      </w:pPr>
      <w:rPr>
        <w:rFonts w:ascii="Calibri" w:eastAsia="Calibri" w:hAnsi="Calibri" w:cs="Calibri" w:hint="default"/>
        <w:b/>
        <w:bCs/>
        <w:spacing w:val="0"/>
        <w:w w:val="100"/>
        <w:sz w:val="22"/>
        <w:szCs w:val="22"/>
      </w:rPr>
    </w:lvl>
    <w:lvl w:ilvl="1" w:tplc="1D103960">
      <w:start w:val="1"/>
      <w:numFmt w:val="decimal"/>
      <w:lvlText w:val="%2."/>
      <w:lvlJc w:val="left"/>
      <w:pPr>
        <w:ind w:left="380" w:hanging="720"/>
        <w:jc w:val="left"/>
      </w:pPr>
      <w:rPr>
        <w:rFonts w:ascii="Calibri" w:eastAsia="Calibri" w:hAnsi="Calibri" w:cs="Calibri" w:hint="default"/>
        <w:b/>
        <w:bCs/>
        <w:i/>
        <w:w w:val="100"/>
        <w:sz w:val="22"/>
        <w:szCs w:val="22"/>
      </w:rPr>
    </w:lvl>
    <w:lvl w:ilvl="2" w:tplc="72A0F2F4">
      <w:numFmt w:val="bullet"/>
      <w:lvlText w:val="•"/>
      <w:lvlJc w:val="left"/>
      <w:pPr>
        <w:ind w:left="3793" w:hanging="720"/>
      </w:pPr>
      <w:rPr>
        <w:rFonts w:hint="default"/>
      </w:rPr>
    </w:lvl>
    <w:lvl w:ilvl="3" w:tplc="182485A8">
      <w:numFmt w:val="bullet"/>
      <w:lvlText w:val="•"/>
      <w:lvlJc w:val="left"/>
      <w:pPr>
        <w:ind w:left="4606" w:hanging="720"/>
      </w:pPr>
      <w:rPr>
        <w:rFonts w:hint="default"/>
      </w:rPr>
    </w:lvl>
    <w:lvl w:ilvl="4" w:tplc="05107762">
      <w:numFmt w:val="bullet"/>
      <w:lvlText w:val="•"/>
      <w:lvlJc w:val="left"/>
      <w:pPr>
        <w:ind w:left="5420" w:hanging="720"/>
      </w:pPr>
      <w:rPr>
        <w:rFonts w:hint="default"/>
      </w:rPr>
    </w:lvl>
    <w:lvl w:ilvl="5" w:tplc="8D64BE98">
      <w:numFmt w:val="bullet"/>
      <w:lvlText w:val="•"/>
      <w:lvlJc w:val="left"/>
      <w:pPr>
        <w:ind w:left="6233" w:hanging="720"/>
      </w:pPr>
      <w:rPr>
        <w:rFonts w:hint="default"/>
      </w:rPr>
    </w:lvl>
    <w:lvl w:ilvl="6" w:tplc="5C50C6BA">
      <w:numFmt w:val="bullet"/>
      <w:lvlText w:val="•"/>
      <w:lvlJc w:val="left"/>
      <w:pPr>
        <w:ind w:left="7046" w:hanging="720"/>
      </w:pPr>
      <w:rPr>
        <w:rFonts w:hint="default"/>
      </w:rPr>
    </w:lvl>
    <w:lvl w:ilvl="7" w:tplc="5CACB8C8">
      <w:numFmt w:val="bullet"/>
      <w:lvlText w:val="•"/>
      <w:lvlJc w:val="left"/>
      <w:pPr>
        <w:ind w:left="7860" w:hanging="720"/>
      </w:pPr>
      <w:rPr>
        <w:rFonts w:hint="default"/>
      </w:rPr>
    </w:lvl>
    <w:lvl w:ilvl="8" w:tplc="6832B244">
      <w:numFmt w:val="bullet"/>
      <w:lvlText w:val="•"/>
      <w:lvlJc w:val="left"/>
      <w:pPr>
        <w:ind w:left="8673" w:hanging="7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42065E"/>
    <w:rsid w:val="0042065E"/>
    <w:rsid w:val="00A96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EF920817-91AA-4650-811F-BDC06F3A7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8"/>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560" w:hanging="452"/>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117" Type="http://schemas.openxmlformats.org/officeDocument/2006/relationships/image" Target="media/image111.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image" Target="media/image78.png"/><Relationship Id="rId89" Type="http://schemas.openxmlformats.org/officeDocument/2006/relationships/image" Target="media/image83.png"/><Relationship Id="rId112" Type="http://schemas.openxmlformats.org/officeDocument/2006/relationships/image" Target="media/image106.png"/><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image" Target="media/image68.png"/><Relationship Id="rId79" Type="http://schemas.openxmlformats.org/officeDocument/2006/relationships/image" Target="media/image73.png"/><Relationship Id="rId102" Type="http://schemas.openxmlformats.org/officeDocument/2006/relationships/image" Target="media/image96.png"/><Relationship Id="rId123" Type="http://schemas.openxmlformats.org/officeDocument/2006/relationships/image" Target="media/image113.png"/><Relationship Id="rId5" Type="http://schemas.openxmlformats.org/officeDocument/2006/relationships/footnotes" Target="footnotes.xml"/><Relationship Id="rId61" Type="http://schemas.openxmlformats.org/officeDocument/2006/relationships/image" Target="media/image55.png"/><Relationship Id="rId82" Type="http://schemas.openxmlformats.org/officeDocument/2006/relationships/image" Target="media/image76.png"/><Relationship Id="rId90" Type="http://schemas.openxmlformats.org/officeDocument/2006/relationships/image" Target="media/image84.png"/><Relationship Id="rId95" Type="http://schemas.openxmlformats.org/officeDocument/2006/relationships/image" Target="media/image89.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image" Target="media/image71.png"/><Relationship Id="rId100" Type="http://schemas.openxmlformats.org/officeDocument/2006/relationships/image" Target="media/image94.png"/><Relationship Id="rId105" Type="http://schemas.openxmlformats.org/officeDocument/2006/relationships/image" Target="media/image99.png"/><Relationship Id="rId113" Type="http://schemas.openxmlformats.org/officeDocument/2006/relationships/image" Target="media/image107.png"/><Relationship Id="rId118" Type="http://schemas.openxmlformats.org/officeDocument/2006/relationships/image" Target="media/image112.png"/><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80" Type="http://schemas.openxmlformats.org/officeDocument/2006/relationships/image" Target="media/image74.png"/><Relationship Id="rId85" Type="http://schemas.openxmlformats.org/officeDocument/2006/relationships/image" Target="media/image79.png"/><Relationship Id="rId93" Type="http://schemas.openxmlformats.org/officeDocument/2006/relationships/image" Target="media/image87.png"/><Relationship Id="rId98" Type="http://schemas.openxmlformats.org/officeDocument/2006/relationships/image" Target="media/image92.png"/><Relationship Id="rId12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103" Type="http://schemas.openxmlformats.org/officeDocument/2006/relationships/image" Target="media/image97.png"/><Relationship Id="rId108" Type="http://schemas.openxmlformats.org/officeDocument/2006/relationships/image" Target="media/image102.png"/><Relationship Id="rId116" Type="http://schemas.openxmlformats.org/officeDocument/2006/relationships/image" Target="media/image110.png"/><Relationship Id="rId124"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83" Type="http://schemas.openxmlformats.org/officeDocument/2006/relationships/image" Target="media/image77.png"/><Relationship Id="rId88" Type="http://schemas.openxmlformats.org/officeDocument/2006/relationships/image" Target="media/image82.png"/><Relationship Id="rId91" Type="http://schemas.openxmlformats.org/officeDocument/2006/relationships/image" Target="media/image85.png"/><Relationship Id="rId96" Type="http://schemas.openxmlformats.org/officeDocument/2006/relationships/image" Target="media/image90.png"/><Relationship Id="rId111" Type="http://schemas.openxmlformats.org/officeDocument/2006/relationships/image" Target="media/image10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6" Type="http://schemas.openxmlformats.org/officeDocument/2006/relationships/image" Target="media/image100.png"/><Relationship Id="rId114" Type="http://schemas.openxmlformats.org/officeDocument/2006/relationships/image" Target="media/image108.png"/><Relationship Id="rId119" Type="http://schemas.openxmlformats.org/officeDocument/2006/relationships/hyperlink" Target="https://www.cms.gov/Medicare/Health-Plans/ManagedCareMarketing/Downloads/Provider_Directory_Review_Industry_Report_Round_2_Updated_1-31-18.pdf" TargetMode="Externa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image" Target="media/image72.png"/><Relationship Id="rId81" Type="http://schemas.openxmlformats.org/officeDocument/2006/relationships/image" Target="media/image75.png"/><Relationship Id="rId86" Type="http://schemas.openxmlformats.org/officeDocument/2006/relationships/image" Target="media/image80.png"/><Relationship Id="rId94" Type="http://schemas.openxmlformats.org/officeDocument/2006/relationships/image" Target="media/image88.png"/><Relationship Id="rId99" Type="http://schemas.openxmlformats.org/officeDocument/2006/relationships/image" Target="media/image93.png"/><Relationship Id="rId101" Type="http://schemas.openxmlformats.org/officeDocument/2006/relationships/image" Target="media/image95.png"/><Relationship Id="rId122" Type="http://schemas.openxmlformats.org/officeDocument/2006/relationships/hyperlink" Target="mailto:DLansey@psych.org"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109" Type="http://schemas.openxmlformats.org/officeDocument/2006/relationships/image" Target="media/image10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image" Target="media/image70.png"/><Relationship Id="rId97" Type="http://schemas.openxmlformats.org/officeDocument/2006/relationships/image" Target="media/image91.png"/><Relationship Id="rId104" Type="http://schemas.openxmlformats.org/officeDocument/2006/relationships/image" Target="media/image98.png"/><Relationship Id="rId120" Type="http://schemas.openxmlformats.org/officeDocument/2006/relationships/hyperlink" Target="https://www.cms.gov/Medicare/Health-Plans/ManagedCareMarketing/Downloads/Provider_Directory_Review_Industry_Report_Round_2_Updated_1-31-18.pdf" TargetMode="External"/><Relationship Id="rId125"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image" Target="media/image65.png"/><Relationship Id="rId92" Type="http://schemas.openxmlformats.org/officeDocument/2006/relationships/image" Target="media/image86.png"/><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 Id="rId87" Type="http://schemas.openxmlformats.org/officeDocument/2006/relationships/image" Target="media/image81.png"/><Relationship Id="rId110" Type="http://schemas.openxmlformats.org/officeDocument/2006/relationships/image" Target="media/image104.png"/><Relationship Id="rId115" Type="http://schemas.openxmlformats.org/officeDocument/2006/relationships/image" Target="media/image10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3284</Words>
  <Characters>19117</Characters>
  <Application>Microsoft Office Word</Application>
  <DocSecurity>0</DocSecurity>
  <Lines>329</Lines>
  <Paragraphs>67</Paragraphs>
  <ScaleCrop>false</ScaleCrop>
  <Company>CMS</Company>
  <LinksUpToDate>false</LinksUpToDate>
  <CharactersWithSpaces>22334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Arthur Pignotti</cp:lastModifiedBy>
  <cp:revision>2</cp:revision>
  <dcterms:created xsi:type="dcterms:W3CDTF">2018-07-23T16:11:00Z</dcterms:created>
  <dcterms:modified xsi:type="dcterms:W3CDTF">2018-07-23T20:43:00Z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