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u w:val="none"/>
        </w:rPr>
      </w:pPr>
      <w:r>
        <w:rPr>
          <w:rFonts w:ascii="Times New Roman"/>
          <w:sz w:val="20"/>
          <w:u w:val="none"/>
        </w:rPr>
        <w:drawing>
          <wp:inline distT="0" distB="0" distL="0" distR="0">
            <wp:extent cx="2725334" cy="69951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725334" cy="699516"/>
                    </a:xfrm>
                    <a:prstGeom prst="rect">
                      <a:avLst/>
                    </a:prstGeom>
                  </pic:spPr>
                </pic:pic>
              </a:graphicData>
            </a:graphic>
          </wp:inline>
        </w:drawing>
      </w:r>
      <w:r>
        <w:rPr>
          <w:rFonts w:ascii="Times New Roman"/>
          <w:sz w:val="20"/>
          <w:u w:val="none"/>
        </w:rPr>
      </w:r>
    </w:p>
    <w:p>
      <w:pPr>
        <w:pStyle w:val="BodyText"/>
        <w:spacing w:before="11"/>
        <w:rPr>
          <w:rFonts w:ascii="Times New Roman"/>
          <w:sz w:val="17"/>
          <w:u w:val="none"/>
        </w:rPr>
      </w:pPr>
    </w:p>
    <w:p>
      <w:pPr>
        <w:pStyle w:val="BodyText"/>
        <w:spacing w:before="59"/>
        <w:ind w:left="101"/>
        <w:rPr>
          <w:u w:val="none"/>
        </w:rPr>
      </w:pPr>
      <w:r>
        <w:rPr>
          <w:u w:val="none"/>
        </w:rPr>
        <w:t>March  5, 2018</w:t>
      </w:r>
    </w:p>
    <w:p>
      <w:pPr>
        <w:pStyle w:val="BodyText"/>
        <w:rPr>
          <w:u w:val="none"/>
        </w:rPr>
      </w:pPr>
    </w:p>
    <w:p>
      <w:pPr>
        <w:pStyle w:val="BodyText"/>
        <w:rPr>
          <w:u w:val="none"/>
        </w:rPr>
      </w:pPr>
    </w:p>
    <w:p>
      <w:pPr>
        <w:pStyle w:val="BodyText"/>
        <w:rPr>
          <w:u w:val="none"/>
        </w:rPr>
      </w:pPr>
    </w:p>
    <w:p>
      <w:pPr>
        <w:pStyle w:val="BodyText"/>
        <w:spacing w:before="5"/>
        <w:rPr>
          <w:sz w:val="21"/>
          <w:u w:val="none"/>
        </w:rPr>
      </w:pPr>
    </w:p>
    <w:p>
      <w:pPr>
        <w:pStyle w:val="BodyText"/>
        <w:ind w:left="101" w:right="5944"/>
        <w:rPr>
          <w:u w:val="none"/>
        </w:rPr>
      </w:pPr>
      <w:r>
        <w:rPr>
          <w:u w:val="none"/>
        </w:rPr>
        <w:t>Center for Medicare &amp; Medicaid Services Department of Health and Human Services Attn: CMS-4182-P</w:t>
      </w:r>
    </w:p>
    <w:p>
      <w:pPr>
        <w:pStyle w:val="ListParagraph"/>
        <w:numPr>
          <w:ilvl w:val="1"/>
          <w:numId w:val="1"/>
        </w:numPr>
        <w:tabs>
          <w:tab w:pos="521" w:val="left" w:leader="none"/>
        </w:tabs>
        <w:spacing w:line="240" w:lineRule="auto" w:before="1" w:after="0"/>
        <w:ind w:left="520" w:right="0" w:hanging="419"/>
        <w:jc w:val="left"/>
        <w:rPr>
          <w:sz w:val="22"/>
          <w:u w:val="none"/>
        </w:rPr>
      </w:pPr>
      <w:r>
        <w:rPr>
          <w:sz w:val="22"/>
          <w:u w:val="none"/>
        </w:rPr>
        <w:t>Box</w:t>
      </w:r>
      <w:r>
        <w:rPr>
          <w:spacing w:val="3"/>
          <w:sz w:val="22"/>
          <w:u w:val="none"/>
        </w:rPr>
        <w:t> </w:t>
      </w:r>
      <w:r>
        <w:rPr>
          <w:spacing w:val="-7"/>
          <w:sz w:val="22"/>
          <w:u w:val="none"/>
        </w:rPr>
        <w:t>8013</w:t>
      </w:r>
    </w:p>
    <w:p>
      <w:pPr>
        <w:pStyle w:val="BodyText"/>
        <w:spacing w:before="2"/>
        <w:ind w:left="101"/>
        <w:rPr>
          <w:u w:val="none"/>
        </w:rPr>
      </w:pPr>
      <w:r>
        <w:rPr>
          <w:u w:val="none"/>
        </w:rPr>
        <w:t>Baltimore, MD 21244-8013</w:t>
      </w:r>
    </w:p>
    <w:p>
      <w:pPr>
        <w:pStyle w:val="BodyText"/>
        <w:spacing w:before="3"/>
        <w:rPr>
          <w:u w:val="none"/>
        </w:rPr>
      </w:pPr>
    </w:p>
    <w:p>
      <w:pPr>
        <w:pStyle w:val="BodyText"/>
        <w:ind w:left="101"/>
        <w:rPr>
          <w:u w:val="none"/>
        </w:rPr>
      </w:pPr>
      <w:r>
        <w:rPr>
          <w:u w:val="none"/>
        </w:rPr>
        <w:t>Re: Advance Notice of Methodological Changes for Calendar Year(CY) 2019 for Medicare Advantage (MA) Capitation Rates, Part C and Part D Payment Policies, and 2019  Draft Call Letter</w:t>
      </w:r>
    </w:p>
    <w:p>
      <w:pPr>
        <w:pStyle w:val="BodyText"/>
        <w:spacing w:before="3"/>
        <w:rPr>
          <w:u w:val="none"/>
        </w:rPr>
      </w:pPr>
    </w:p>
    <w:p>
      <w:pPr>
        <w:pStyle w:val="BodyText"/>
        <w:ind w:left="101" w:right="105"/>
        <w:rPr>
          <w:u w:val="none"/>
        </w:rPr>
      </w:pPr>
      <w:r>
        <w:rPr>
          <w:u w:val="none"/>
        </w:rPr>
        <w:t>ASHP is pleased to submit comments regarding the proposed changes to Medicare Part D for 2019 (the “Call Letter”). ASHP represents pharmacists who serve as patient care providers in acute and ambulatory settings. The organization’s 45,000 members include pharmacists, student pharmacists, and pharmacy technicians. Formore than 75 years, ASHP has been at the forefront of efforts to improve medication use and enhance patient safety. ASHP thanks the Centers for Medicare &amp; Medicaid Services (CMS) forthe opportunity to comment on the Call Letter. ASHP’s comments centeron two areas of proposed changes — drug utilization reviewand quality measures. We address each issue in turn below.</w:t>
      </w:r>
    </w:p>
    <w:p>
      <w:pPr>
        <w:pStyle w:val="BodyText"/>
        <w:spacing w:before="3"/>
        <w:rPr>
          <w:u w:val="none"/>
        </w:rPr>
      </w:pPr>
    </w:p>
    <w:p>
      <w:pPr>
        <w:pStyle w:val="Heading1"/>
        <w:numPr>
          <w:ilvl w:val="2"/>
          <w:numId w:val="1"/>
        </w:numPr>
        <w:tabs>
          <w:tab w:pos="1182" w:val="left" w:leader="none"/>
          <w:tab w:pos="1183" w:val="left" w:leader="none"/>
        </w:tabs>
        <w:spacing w:line="240" w:lineRule="auto" w:before="0" w:after="0"/>
        <w:ind w:left="1182" w:right="0" w:hanging="720"/>
        <w:jc w:val="left"/>
      </w:pPr>
      <w:r>
        <w:rPr>
          <w:spacing w:val="-4"/>
        </w:rPr>
        <w:t>Drug  </w:t>
      </w:r>
      <w:r>
        <w:rPr/>
        <w:t>Utilization</w:t>
      </w:r>
      <w:r>
        <w:rPr>
          <w:spacing w:val="11"/>
        </w:rPr>
        <w:t> </w:t>
      </w:r>
      <w:r>
        <w:rPr>
          <w:spacing w:val="2"/>
        </w:rPr>
        <w:t>Review(DUR)</w:t>
      </w:r>
    </w:p>
    <w:p>
      <w:pPr>
        <w:pStyle w:val="BodyText"/>
        <w:spacing w:before="5"/>
        <w:rPr>
          <w:b/>
          <w:u w:val="none"/>
        </w:rPr>
      </w:pPr>
    </w:p>
    <w:p>
      <w:pPr>
        <w:pStyle w:val="BodyText"/>
        <w:spacing w:line="237" w:lineRule="auto"/>
        <w:ind w:left="101" w:right="151"/>
        <w:rPr>
          <w:u w:val="none"/>
        </w:rPr>
      </w:pPr>
      <w:r>
        <w:rPr>
          <w:u w:val="none"/>
        </w:rPr>
        <w:t>ASHP shares CMS’s commitment to combatting the opioid crisis. We recognizethe challenge of creating workable policy that protects legitimateaccess to therapy while protecting against misuseand diversion. While we are supportive of CMS’s efforts on this front, we encourage the agency to considerrevising several of its DUR proposals to ensure that safety and patient access goals are met:</w:t>
      </w:r>
    </w:p>
    <w:p>
      <w:pPr>
        <w:pStyle w:val="BodyText"/>
        <w:spacing w:before="7"/>
        <w:rPr>
          <w:u w:val="none"/>
        </w:rPr>
      </w:pPr>
    </w:p>
    <w:p>
      <w:pPr>
        <w:pStyle w:val="ListParagraph"/>
        <w:numPr>
          <w:ilvl w:val="0"/>
          <w:numId w:val="2"/>
        </w:numPr>
        <w:tabs>
          <w:tab w:pos="821" w:val="left" w:leader="none"/>
          <w:tab w:pos="822" w:val="left" w:leader="none"/>
        </w:tabs>
        <w:spacing w:line="242" w:lineRule="auto" w:before="0" w:after="0"/>
        <w:ind w:left="822" w:right="119" w:hanging="360"/>
        <w:jc w:val="left"/>
        <w:rPr>
          <w:sz w:val="22"/>
          <w:u w:val="none"/>
        </w:rPr>
      </w:pPr>
      <w:r>
        <w:rPr>
          <w:spacing w:val="3"/>
          <w:sz w:val="22"/>
          <w:u w:val="single"/>
        </w:rPr>
        <w:t>Opioid </w:t>
      </w:r>
      <w:r>
        <w:rPr>
          <w:sz w:val="22"/>
          <w:u w:val="single"/>
        </w:rPr>
        <w:t>Potentiators</w:t>
      </w:r>
      <w:r>
        <w:rPr>
          <w:sz w:val="22"/>
          <w:u w:val="none"/>
        </w:rPr>
        <w:t>: ASHP supports the </w:t>
      </w:r>
      <w:r>
        <w:rPr>
          <w:spacing w:val="2"/>
          <w:sz w:val="22"/>
          <w:u w:val="none"/>
        </w:rPr>
        <w:t>flag </w:t>
      </w:r>
      <w:r>
        <w:rPr>
          <w:sz w:val="22"/>
          <w:u w:val="none"/>
        </w:rPr>
        <w:t>forbuprenorphine, but we question the necessity of </w:t>
      </w:r>
      <w:r>
        <w:rPr>
          <w:spacing w:val="2"/>
          <w:sz w:val="22"/>
          <w:u w:val="none"/>
        </w:rPr>
        <w:t>imposing</w:t>
      </w:r>
      <w:r>
        <w:rPr>
          <w:spacing w:val="-9"/>
          <w:sz w:val="22"/>
          <w:u w:val="none"/>
        </w:rPr>
        <w:t> </w:t>
      </w:r>
      <w:r>
        <w:rPr>
          <w:spacing w:val="7"/>
          <w:sz w:val="22"/>
          <w:u w:val="none"/>
        </w:rPr>
        <w:t>aflag</w:t>
      </w:r>
      <w:r>
        <w:rPr>
          <w:spacing w:val="-9"/>
          <w:sz w:val="22"/>
          <w:u w:val="none"/>
        </w:rPr>
        <w:t> </w:t>
      </w:r>
      <w:r>
        <w:rPr>
          <w:spacing w:val="2"/>
          <w:sz w:val="22"/>
          <w:u w:val="none"/>
        </w:rPr>
        <w:t>for</w:t>
      </w:r>
      <w:r>
        <w:rPr>
          <w:spacing w:val="8"/>
          <w:sz w:val="22"/>
          <w:u w:val="none"/>
        </w:rPr>
        <w:t> </w:t>
      </w:r>
      <w:r>
        <w:rPr>
          <w:sz w:val="22"/>
          <w:u w:val="none"/>
        </w:rPr>
        <w:t>gabapentin</w:t>
      </w:r>
      <w:r>
        <w:rPr>
          <w:spacing w:val="-6"/>
          <w:sz w:val="22"/>
          <w:u w:val="none"/>
        </w:rPr>
        <w:t> </w:t>
      </w:r>
      <w:r>
        <w:rPr>
          <w:sz w:val="22"/>
          <w:u w:val="none"/>
        </w:rPr>
        <w:t>and</w:t>
      </w:r>
      <w:r>
        <w:rPr>
          <w:spacing w:val="-6"/>
          <w:sz w:val="22"/>
          <w:u w:val="none"/>
        </w:rPr>
        <w:t> </w:t>
      </w:r>
      <w:r>
        <w:rPr>
          <w:sz w:val="22"/>
          <w:u w:val="none"/>
        </w:rPr>
        <w:t>pregabalin.</w:t>
      </w:r>
      <w:r>
        <w:rPr>
          <w:spacing w:val="-3"/>
          <w:sz w:val="22"/>
          <w:u w:val="none"/>
        </w:rPr>
        <w:t> </w:t>
      </w:r>
      <w:r>
        <w:rPr>
          <w:sz w:val="22"/>
          <w:u w:val="none"/>
        </w:rPr>
        <w:t>Both</w:t>
      </w:r>
      <w:r>
        <w:rPr>
          <w:spacing w:val="-6"/>
          <w:sz w:val="22"/>
          <w:u w:val="none"/>
        </w:rPr>
        <w:t> </w:t>
      </w:r>
      <w:r>
        <w:rPr>
          <w:sz w:val="22"/>
          <w:u w:val="none"/>
        </w:rPr>
        <w:t>of</w:t>
      </w:r>
      <w:r>
        <w:rPr>
          <w:spacing w:val="1"/>
          <w:sz w:val="22"/>
          <w:u w:val="none"/>
        </w:rPr>
        <w:t> </w:t>
      </w:r>
      <w:r>
        <w:rPr>
          <w:sz w:val="22"/>
          <w:u w:val="none"/>
        </w:rPr>
        <w:t>these</w:t>
      </w:r>
      <w:r>
        <w:rPr>
          <w:spacing w:val="3"/>
          <w:sz w:val="22"/>
          <w:u w:val="none"/>
        </w:rPr>
        <w:t> </w:t>
      </w:r>
      <w:r>
        <w:rPr>
          <w:sz w:val="22"/>
          <w:u w:val="none"/>
        </w:rPr>
        <w:t>drugs</w:t>
      </w:r>
      <w:r>
        <w:rPr>
          <w:spacing w:val="-6"/>
          <w:sz w:val="22"/>
          <w:u w:val="none"/>
        </w:rPr>
        <w:t> </w:t>
      </w:r>
      <w:r>
        <w:rPr>
          <w:spacing w:val="-3"/>
          <w:sz w:val="22"/>
          <w:u w:val="none"/>
        </w:rPr>
        <w:t>are</w:t>
      </w:r>
      <w:r>
        <w:rPr>
          <w:spacing w:val="3"/>
          <w:sz w:val="22"/>
          <w:u w:val="none"/>
        </w:rPr>
        <w:t> </w:t>
      </w:r>
      <w:r>
        <w:rPr>
          <w:spacing w:val="2"/>
          <w:sz w:val="22"/>
          <w:u w:val="none"/>
        </w:rPr>
        <w:t>often</w:t>
      </w:r>
      <w:r>
        <w:rPr>
          <w:spacing w:val="-6"/>
          <w:sz w:val="22"/>
          <w:u w:val="none"/>
        </w:rPr>
        <w:t> </w:t>
      </w:r>
      <w:r>
        <w:rPr>
          <w:spacing w:val="2"/>
          <w:sz w:val="22"/>
          <w:u w:val="none"/>
        </w:rPr>
        <w:t>used</w:t>
      </w:r>
      <w:r>
        <w:rPr>
          <w:spacing w:val="-6"/>
          <w:sz w:val="22"/>
          <w:u w:val="none"/>
        </w:rPr>
        <w:t> </w:t>
      </w:r>
      <w:r>
        <w:rPr>
          <w:sz w:val="22"/>
          <w:u w:val="none"/>
        </w:rPr>
        <w:t>as</w:t>
      </w:r>
      <w:r>
        <w:rPr>
          <w:spacing w:val="-6"/>
          <w:sz w:val="22"/>
          <w:u w:val="none"/>
        </w:rPr>
        <w:t> </w:t>
      </w:r>
      <w:r>
        <w:rPr>
          <w:spacing w:val="3"/>
          <w:sz w:val="22"/>
          <w:u w:val="none"/>
        </w:rPr>
        <w:t>opioid</w:t>
      </w:r>
      <w:r>
        <w:rPr>
          <w:spacing w:val="-6"/>
          <w:sz w:val="22"/>
          <w:u w:val="none"/>
        </w:rPr>
        <w:t> </w:t>
      </w:r>
      <w:r>
        <w:rPr>
          <w:sz w:val="22"/>
          <w:u w:val="none"/>
        </w:rPr>
        <w:t>alternatives, and </w:t>
      </w:r>
      <w:r>
        <w:rPr>
          <w:spacing w:val="2"/>
          <w:sz w:val="22"/>
          <w:u w:val="none"/>
        </w:rPr>
        <w:t>flagging </w:t>
      </w:r>
      <w:r>
        <w:rPr>
          <w:sz w:val="22"/>
          <w:u w:val="none"/>
        </w:rPr>
        <w:t>them may undercut </w:t>
      </w:r>
      <w:r>
        <w:rPr>
          <w:spacing w:val="2"/>
          <w:sz w:val="22"/>
          <w:u w:val="none"/>
        </w:rPr>
        <w:t>efforts </w:t>
      </w:r>
      <w:r>
        <w:rPr>
          <w:sz w:val="22"/>
          <w:u w:val="none"/>
        </w:rPr>
        <w:t>to reduce </w:t>
      </w:r>
      <w:r>
        <w:rPr>
          <w:spacing w:val="3"/>
          <w:sz w:val="22"/>
          <w:u w:val="none"/>
        </w:rPr>
        <w:t>opioid </w:t>
      </w:r>
      <w:r>
        <w:rPr>
          <w:sz w:val="22"/>
          <w:u w:val="none"/>
        </w:rPr>
        <w:t>prescribing. Additionally, we recommend that alerts</w:t>
      </w:r>
      <w:r>
        <w:rPr>
          <w:spacing w:val="-5"/>
          <w:sz w:val="22"/>
          <w:u w:val="none"/>
        </w:rPr>
        <w:t> </w:t>
      </w:r>
      <w:r>
        <w:rPr>
          <w:sz w:val="22"/>
          <w:u w:val="none"/>
        </w:rPr>
        <w:t>be</w:t>
      </w:r>
      <w:r>
        <w:rPr>
          <w:spacing w:val="4"/>
          <w:sz w:val="22"/>
          <w:u w:val="none"/>
        </w:rPr>
        <w:t> </w:t>
      </w:r>
      <w:r>
        <w:rPr>
          <w:spacing w:val="2"/>
          <w:sz w:val="22"/>
          <w:u w:val="none"/>
        </w:rPr>
        <w:t>used</w:t>
      </w:r>
      <w:r>
        <w:rPr>
          <w:spacing w:val="-5"/>
          <w:sz w:val="22"/>
          <w:u w:val="none"/>
        </w:rPr>
        <w:t> </w:t>
      </w:r>
      <w:r>
        <w:rPr>
          <w:sz w:val="22"/>
          <w:u w:val="none"/>
        </w:rPr>
        <w:t>sparingly,</w:t>
      </w:r>
      <w:r>
        <w:rPr>
          <w:spacing w:val="-2"/>
          <w:sz w:val="22"/>
          <w:u w:val="none"/>
        </w:rPr>
        <w:t> </w:t>
      </w:r>
      <w:r>
        <w:rPr>
          <w:sz w:val="22"/>
          <w:u w:val="none"/>
        </w:rPr>
        <w:t>as</w:t>
      </w:r>
      <w:r>
        <w:rPr>
          <w:spacing w:val="-5"/>
          <w:sz w:val="22"/>
          <w:u w:val="none"/>
        </w:rPr>
        <w:t> </w:t>
      </w:r>
      <w:r>
        <w:rPr>
          <w:spacing w:val="2"/>
          <w:sz w:val="22"/>
          <w:u w:val="none"/>
        </w:rPr>
        <w:t>flagging</w:t>
      </w:r>
      <w:r>
        <w:rPr>
          <w:spacing w:val="-8"/>
          <w:sz w:val="22"/>
          <w:u w:val="none"/>
        </w:rPr>
        <w:t> </w:t>
      </w:r>
      <w:r>
        <w:rPr>
          <w:sz w:val="22"/>
          <w:u w:val="none"/>
        </w:rPr>
        <w:t>too</w:t>
      </w:r>
      <w:r>
        <w:rPr>
          <w:spacing w:val="-5"/>
          <w:sz w:val="22"/>
          <w:u w:val="none"/>
        </w:rPr>
        <w:t> </w:t>
      </w:r>
      <w:r>
        <w:rPr>
          <w:sz w:val="22"/>
          <w:u w:val="none"/>
        </w:rPr>
        <w:t>many</w:t>
      </w:r>
      <w:r>
        <w:rPr>
          <w:spacing w:val="-2"/>
          <w:sz w:val="22"/>
          <w:u w:val="none"/>
        </w:rPr>
        <w:t> </w:t>
      </w:r>
      <w:r>
        <w:rPr>
          <w:sz w:val="22"/>
          <w:u w:val="none"/>
        </w:rPr>
        <w:t>drugs</w:t>
      </w:r>
      <w:r>
        <w:rPr>
          <w:spacing w:val="-5"/>
          <w:sz w:val="22"/>
          <w:u w:val="none"/>
        </w:rPr>
        <w:t> </w:t>
      </w:r>
      <w:r>
        <w:rPr>
          <w:sz w:val="22"/>
          <w:u w:val="none"/>
        </w:rPr>
        <w:t>may</w:t>
      </w:r>
      <w:r>
        <w:rPr>
          <w:spacing w:val="20"/>
          <w:sz w:val="22"/>
          <w:u w:val="none"/>
        </w:rPr>
        <w:t> </w:t>
      </w:r>
      <w:r>
        <w:rPr>
          <w:spacing w:val="2"/>
          <w:sz w:val="22"/>
          <w:u w:val="none"/>
        </w:rPr>
        <w:t>result</w:t>
      </w:r>
      <w:r>
        <w:rPr>
          <w:spacing w:val="-8"/>
          <w:sz w:val="22"/>
          <w:u w:val="none"/>
        </w:rPr>
        <w:t> </w:t>
      </w:r>
      <w:r>
        <w:rPr>
          <w:spacing w:val="4"/>
          <w:sz w:val="22"/>
          <w:u w:val="none"/>
        </w:rPr>
        <w:t>in</w:t>
      </w:r>
      <w:r>
        <w:rPr>
          <w:spacing w:val="-5"/>
          <w:sz w:val="22"/>
          <w:u w:val="none"/>
        </w:rPr>
        <w:t> </w:t>
      </w:r>
      <w:r>
        <w:rPr>
          <w:sz w:val="22"/>
          <w:u w:val="none"/>
        </w:rPr>
        <w:t>confusion</w:t>
      </w:r>
      <w:r>
        <w:rPr>
          <w:spacing w:val="-5"/>
          <w:sz w:val="22"/>
          <w:u w:val="none"/>
        </w:rPr>
        <w:t> </w:t>
      </w:r>
      <w:r>
        <w:rPr>
          <w:spacing w:val="3"/>
          <w:sz w:val="22"/>
          <w:u w:val="none"/>
        </w:rPr>
        <w:t>and/oralert</w:t>
      </w:r>
      <w:r>
        <w:rPr>
          <w:spacing w:val="-8"/>
          <w:sz w:val="22"/>
          <w:u w:val="none"/>
        </w:rPr>
        <w:t> </w:t>
      </w:r>
      <w:r>
        <w:rPr>
          <w:sz w:val="22"/>
          <w:u w:val="none"/>
        </w:rPr>
        <w:t>fatigue.</w:t>
      </w:r>
    </w:p>
    <w:p>
      <w:pPr>
        <w:pStyle w:val="BodyText"/>
        <w:spacing w:before="1"/>
        <w:rPr>
          <w:sz w:val="21"/>
          <w:u w:val="none"/>
        </w:rPr>
      </w:pPr>
    </w:p>
    <w:p>
      <w:pPr>
        <w:pStyle w:val="ListParagraph"/>
        <w:numPr>
          <w:ilvl w:val="0"/>
          <w:numId w:val="2"/>
        </w:numPr>
        <w:tabs>
          <w:tab w:pos="821" w:val="left" w:leader="none"/>
          <w:tab w:pos="822" w:val="left" w:leader="none"/>
        </w:tabs>
        <w:spacing w:line="240" w:lineRule="auto" w:before="0" w:after="0"/>
        <w:ind w:left="822" w:right="125" w:hanging="360"/>
        <w:jc w:val="left"/>
        <w:rPr>
          <w:sz w:val="22"/>
          <w:u w:val="none"/>
        </w:rPr>
      </w:pPr>
      <w:r>
        <w:rPr>
          <w:sz w:val="22"/>
          <w:u w:val="single"/>
        </w:rPr>
        <w:t>Concurrent </w:t>
      </w:r>
      <w:r>
        <w:rPr>
          <w:spacing w:val="-5"/>
          <w:sz w:val="22"/>
          <w:u w:val="single"/>
        </w:rPr>
        <w:t>DUR </w:t>
      </w:r>
      <w:r>
        <w:rPr>
          <w:sz w:val="22"/>
          <w:u w:val="single"/>
        </w:rPr>
        <w:t>— </w:t>
      </w:r>
      <w:r>
        <w:rPr>
          <w:spacing w:val="-4"/>
          <w:sz w:val="22"/>
          <w:u w:val="single"/>
        </w:rPr>
        <w:t>Hard </w:t>
      </w:r>
      <w:r>
        <w:rPr>
          <w:sz w:val="22"/>
          <w:u w:val="single"/>
        </w:rPr>
        <w:t>Edits</w:t>
      </w:r>
      <w:r>
        <w:rPr>
          <w:sz w:val="22"/>
          <w:u w:val="none"/>
        </w:rPr>
        <w:t>: ASHP recognizes that hard </w:t>
      </w:r>
      <w:r>
        <w:rPr>
          <w:spacing w:val="3"/>
          <w:sz w:val="22"/>
          <w:u w:val="none"/>
        </w:rPr>
        <w:t>edits </w:t>
      </w:r>
      <w:r>
        <w:rPr>
          <w:sz w:val="22"/>
          <w:u w:val="none"/>
        </w:rPr>
        <w:t>on </w:t>
      </w:r>
      <w:r>
        <w:rPr>
          <w:spacing w:val="3"/>
          <w:sz w:val="22"/>
          <w:u w:val="none"/>
        </w:rPr>
        <w:t>opioid </w:t>
      </w:r>
      <w:r>
        <w:rPr>
          <w:sz w:val="22"/>
          <w:u w:val="none"/>
        </w:rPr>
        <w:t>prescriptions may be helpful </w:t>
      </w:r>
      <w:r>
        <w:rPr>
          <w:spacing w:val="-4"/>
          <w:sz w:val="22"/>
          <w:u w:val="none"/>
        </w:rPr>
        <w:t>in </w:t>
      </w:r>
      <w:r>
        <w:rPr>
          <w:sz w:val="22"/>
          <w:u w:val="none"/>
        </w:rPr>
        <w:t>certain instances. Provided that </w:t>
      </w:r>
      <w:r>
        <w:rPr>
          <w:spacing w:val="-5"/>
          <w:sz w:val="22"/>
          <w:u w:val="none"/>
        </w:rPr>
        <w:t>CMS </w:t>
      </w:r>
      <w:r>
        <w:rPr>
          <w:spacing w:val="4"/>
          <w:sz w:val="22"/>
          <w:u w:val="none"/>
        </w:rPr>
        <w:t>is </w:t>
      </w:r>
      <w:r>
        <w:rPr>
          <w:sz w:val="22"/>
          <w:u w:val="none"/>
        </w:rPr>
        <w:t>carefully monitoring access and outcomes, </w:t>
      </w:r>
      <w:r>
        <w:rPr>
          <w:spacing w:val="3"/>
          <w:sz w:val="22"/>
          <w:u w:val="none"/>
        </w:rPr>
        <w:t>apriorauthorization </w:t>
      </w:r>
      <w:r>
        <w:rPr>
          <w:sz w:val="22"/>
          <w:u w:val="none"/>
        </w:rPr>
        <w:t>requirement above </w:t>
      </w:r>
      <w:r>
        <w:rPr>
          <w:spacing w:val="-5"/>
          <w:sz w:val="22"/>
          <w:u w:val="none"/>
        </w:rPr>
        <w:t>90 </w:t>
      </w:r>
      <w:r>
        <w:rPr>
          <w:sz w:val="22"/>
          <w:u w:val="none"/>
        </w:rPr>
        <w:t>morphine milligram equivalents </w:t>
      </w:r>
      <w:r>
        <w:rPr>
          <w:spacing w:val="-5"/>
          <w:sz w:val="22"/>
          <w:u w:val="none"/>
        </w:rPr>
        <w:t>(MME) </w:t>
      </w:r>
      <w:r>
        <w:rPr>
          <w:spacing w:val="2"/>
          <w:sz w:val="22"/>
          <w:u w:val="none"/>
        </w:rPr>
        <w:t>would </w:t>
      </w:r>
      <w:r>
        <w:rPr>
          <w:sz w:val="22"/>
          <w:u w:val="none"/>
        </w:rPr>
        <w:t>be acceptable. However, we respectfully request that </w:t>
      </w:r>
      <w:r>
        <w:rPr>
          <w:spacing w:val="-5"/>
          <w:sz w:val="22"/>
          <w:u w:val="none"/>
        </w:rPr>
        <w:t>CMS </w:t>
      </w:r>
      <w:r>
        <w:rPr>
          <w:sz w:val="22"/>
          <w:u w:val="none"/>
        </w:rPr>
        <w:t>provide some additional clarification around certain aspects of the proposed </w:t>
      </w:r>
      <w:r>
        <w:rPr>
          <w:spacing w:val="2"/>
          <w:sz w:val="22"/>
          <w:u w:val="none"/>
        </w:rPr>
        <w:t>policy. </w:t>
      </w:r>
      <w:r>
        <w:rPr>
          <w:spacing w:val="3"/>
          <w:sz w:val="22"/>
          <w:u w:val="none"/>
        </w:rPr>
        <w:t>Forinstance, </w:t>
      </w:r>
      <w:r>
        <w:rPr>
          <w:sz w:val="22"/>
          <w:u w:val="none"/>
        </w:rPr>
        <w:t>when </w:t>
      </w:r>
      <w:r>
        <w:rPr>
          <w:spacing w:val="4"/>
          <w:sz w:val="22"/>
          <w:u w:val="none"/>
        </w:rPr>
        <w:t>ahard edit is </w:t>
      </w:r>
      <w:r>
        <w:rPr>
          <w:sz w:val="22"/>
          <w:u w:val="none"/>
        </w:rPr>
        <w:t>triggered, </w:t>
      </w:r>
      <w:r>
        <w:rPr>
          <w:spacing w:val="5"/>
          <w:sz w:val="22"/>
          <w:u w:val="none"/>
        </w:rPr>
        <w:t>willthere </w:t>
      </w:r>
      <w:r>
        <w:rPr>
          <w:sz w:val="22"/>
          <w:u w:val="none"/>
        </w:rPr>
        <w:t>be </w:t>
      </w:r>
      <w:r>
        <w:rPr>
          <w:spacing w:val="2"/>
          <w:sz w:val="22"/>
          <w:u w:val="none"/>
        </w:rPr>
        <w:t>astandard </w:t>
      </w:r>
      <w:r>
        <w:rPr>
          <w:sz w:val="22"/>
          <w:u w:val="none"/>
        </w:rPr>
        <w:t>protocol </w:t>
      </w:r>
      <w:r>
        <w:rPr>
          <w:spacing w:val="6"/>
          <w:sz w:val="22"/>
          <w:u w:val="none"/>
        </w:rPr>
        <w:t>forall </w:t>
      </w:r>
      <w:r>
        <w:rPr>
          <w:sz w:val="22"/>
          <w:u w:val="none"/>
        </w:rPr>
        <w:t>plans </w:t>
      </w:r>
      <w:r>
        <w:rPr>
          <w:spacing w:val="3"/>
          <w:sz w:val="22"/>
          <w:u w:val="none"/>
        </w:rPr>
        <w:t>(e.g., </w:t>
      </w:r>
      <w:r>
        <w:rPr>
          <w:spacing w:val="5"/>
          <w:sz w:val="22"/>
          <w:u w:val="none"/>
        </w:rPr>
        <w:t>aprior </w:t>
      </w:r>
      <w:r>
        <w:rPr>
          <w:sz w:val="22"/>
          <w:u w:val="none"/>
        </w:rPr>
        <w:t>authorization request), </w:t>
      </w:r>
      <w:r>
        <w:rPr>
          <w:spacing w:val="7"/>
          <w:sz w:val="22"/>
          <w:u w:val="none"/>
        </w:rPr>
        <w:t>orwill </w:t>
      </w:r>
      <w:r>
        <w:rPr>
          <w:sz w:val="22"/>
          <w:u w:val="none"/>
        </w:rPr>
        <w:t>each plan be different? Additionally, </w:t>
      </w:r>
      <w:r>
        <w:rPr>
          <w:spacing w:val="4"/>
          <w:sz w:val="22"/>
          <w:u w:val="none"/>
        </w:rPr>
        <w:t>if </w:t>
      </w:r>
      <w:r>
        <w:rPr>
          <w:spacing w:val="2"/>
          <w:sz w:val="22"/>
          <w:u w:val="none"/>
        </w:rPr>
        <w:t>acoverage </w:t>
      </w:r>
      <w:r>
        <w:rPr>
          <w:sz w:val="22"/>
          <w:u w:val="none"/>
        </w:rPr>
        <w:t>determination </w:t>
      </w:r>
      <w:r>
        <w:rPr>
          <w:spacing w:val="4"/>
          <w:sz w:val="22"/>
          <w:u w:val="none"/>
        </w:rPr>
        <w:t>is </w:t>
      </w:r>
      <w:r>
        <w:rPr>
          <w:sz w:val="22"/>
          <w:u w:val="none"/>
        </w:rPr>
        <w:t>required, </w:t>
      </w:r>
      <w:r>
        <w:rPr>
          <w:spacing w:val="-5"/>
          <w:sz w:val="22"/>
          <w:u w:val="none"/>
        </w:rPr>
        <w:t>CMS </w:t>
      </w:r>
      <w:r>
        <w:rPr>
          <w:sz w:val="22"/>
          <w:u w:val="none"/>
        </w:rPr>
        <w:t>has stated that </w:t>
      </w:r>
      <w:r>
        <w:rPr>
          <w:spacing w:val="4"/>
          <w:sz w:val="22"/>
          <w:u w:val="none"/>
        </w:rPr>
        <w:t>it </w:t>
      </w:r>
      <w:r>
        <w:rPr>
          <w:spacing w:val="2"/>
          <w:sz w:val="22"/>
          <w:u w:val="none"/>
        </w:rPr>
        <w:t>expects </w:t>
      </w:r>
      <w:r>
        <w:rPr>
          <w:sz w:val="22"/>
          <w:u w:val="none"/>
        </w:rPr>
        <w:t>plans to provide an expedited decision within </w:t>
      </w:r>
      <w:r>
        <w:rPr>
          <w:spacing w:val="-5"/>
          <w:sz w:val="22"/>
          <w:u w:val="none"/>
        </w:rPr>
        <w:t>24 </w:t>
      </w:r>
      <w:r>
        <w:rPr>
          <w:sz w:val="22"/>
          <w:u w:val="none"/>
        </w:rPr>
        <w:t>hours. </w:t>
      </w:r>
      <w:r>
        <w:rPr>
          <w:spacing w:val="2"/>
          <w:sz w:val="22"/>
          <w:u w:val="none"/>
        </w:rPr>
        <w:t>Will </w:t>
      </w:r>
      <w:r>
        <w:rPr>
          <w:sz w:val="22"/>
          <w:u w:val="none"/>
        </w:rPr>
        <w:t>that 24-hour </w:t>
      </w:r>
      <w:r>
        <w:rPr>
          <w:spacing w:val="2"/>
          <w:sz w:val="22"/>
          <w:u w:val="none"/>
        </w:rPr>
        <w:t>period </w:t>
      </w:r>
      <w:r>
        <w:rPr>
          <w:sz w:val="22"/>
          <w:u w:val="none"/>
        </w:rPr>
        <w:t>apply </w:t>
      </w:r>
      <w:r>
        <w:rPr>
          <w:spacing w:val="4"/>
          <w:sz w:val="22"/>
          <w:u w:val="none"/>
        </w:rPr>
        <w:t>even </w:t>
      </w:r>
      <w:r>
        <w:rPr>
          <w:sz w:val="22"/>
          <w:u w:val="none"/>
        </w:rPr>
        <w:t>during weekends? Further, how will coverage determination notifications be made? </w:t>
      </w:r>
      <w:r>
        <w:rPr>
          <w:spacing w:val="5"/>
          <w:sz w:val="22"/>
          <w:u w:val="none"/>
        </w:rPr>
        <w:t>Willthe </w:t>
      </w:r>
      <w:r>
        <w:rPr>
          <w:sz w:val="22"/>
          <w:u w:val="none"/>
        </w:rPr>
        <w:t>plan take responsibility </w:t>
      </w:r>
      <w:r>
        <w:rPr>
          <w:spacing w:val="2"/>
          <w:sz w:val="22"/>
          <w:u w:val="none"/>
        </w:rPr>
        <w:t>for </w:t>
      </w:r>
      <w:r>
        <w:rPr>
          <w:sz w:val="22"/>
          <w:u w:val="none"/>
        </w:rPr>
        <w:t>informing patients within </w:t>
      </w:r>
      <w:r>
        <w:rPr>
          <w:spacing w:val="-5"/>
          <w:sz w:val="22"/>
          <w:u w:val="none"/>
        </w:rPr>
        <w:t>24 </w:t>
      </w:r>
      <w:r>
        <w:rPr>
          <w:sz w:val="22"/>
          <w:u w:val="none"/>
        </w:rPr>
        <w:t>hours, or </w:t>
      </w:r>
      <w:r>
        <w:rPr>
          <w:spacing w:val="4"/>
          <w:sz w:val="22"/>
          <w:u w:val="none"/>
        </w:rPr>
        <w:t>will it </w:t>
      </w:r>
      <w:r>
        <w:rPr>
          <w:spacing w:val="2"/>
          <w:sz w:val="22"/>
          <w:u w:val="none"/>
        </w:rPr>
        <w:t>fall </w:t>
      </w:r>
      <w:r>
        <w:rPr>
          <w:sz w:val="22"/>
          <w:u w:val="none"/>
        </w:rPr>
        <w:t>to the pharmacy? </w:t>
      </w:r>
      <w:r>
        <w:rPr>
          <w:spacing w:val="-3"/>
          <w:sz w:val="22"/>
          <w:u w:val="none"/>
        </w:rPr>
        <w:t>We </w:t>
      </w:r>
      <w:r>
        <w:rPr>
          <w:sz w:val="22"/>
          <w:u w:val="none"/>
        </w:rPr>
        <w:t>urge </w:t>
      </w:r>
      <w:r>
        <w:rPr>
          <w:spacing w:val="-5"/>
          <w:sz w:val="22"/>
          <w:u w:val="none"/>
        </w:rPr>
        <w:t>CMS </w:t>
      </w:r>
      <w:r>
        <w:rPr>
          <w:sz w:val="22"/>
          <w:u w:val="none"/>
        </w:rPr>
        <w:t>to address these </w:t>
      </w:r>
      <w:r>
        <w:rPr>
          <w:spacing w:val="2"/>
          <w:sz w:val="22"/>
          <w:u w:val="none"/>
        </w:rPr>
        <w:t>open </w:t>
      </w:r>
      <w:r>
        <w:rPr>
          <w:sz w:val="22"/>
          <w:u w:val="none"/>
        </w:rPr>
        <w:t>questions </w:t>
      </w:r>
      <w:r>
        <w:rPr>
          <w:spacing w:val="4"/>
          <w:sz w:val="22"/>
          <w:u w:val="none"/>
        </w:rPr>
        <w:t>priorto </w:t>
      </w:r>
      <w:r>
        <w:rPr>
          <w:spacing w:val="2"/>
          <w:sz w:val="22"/>
          <w:u w:val="none"/>
        </w:rPr>
        <w:t>finalizing </w:t>
      </w:r>
      <w:r>
        <w:rPr>
          <w:sz w:val="22"/>
          <w:u w:val="none"/>
        </w:rPr>
        <w:t>hard </w:t>
      </w:r>
      <w:r>
        <w:rPr>
          <w:spacing w:val="4"/>
          <w:sz w:val="22"/>
          <w:u w:val="none"/>
        </w:rPr>
        <w:t>edit</w:t>
      </w:r>
      <w:r>
        <w:rPr>
          <w:spacing w:val="11"/>
          <w:sz w:val="22"/>
          <w:u w:val="none"/>
        </w:rPr>
        <w:t> </w:t>
      </w:r>
      <w:r>
        <w:rPr>
          <w:sz w:val="22"/>
          <w:u w:val="none"/>
        </w:rPr>
        <w:t>requirements.</w:t>
      </w:r>
    </w:p>
    <w:p>
      <w:pPr>
        <w:pStyle w:val="BodyText"/>
        <w:rPr>
          <w:sz w:val="20"/>
          <w:u w:val="none"/>
        </w:rPr>
      </w:pPr>
    </w:p>
    <w:p>
      <w:pPr>
        <w:pStyle w:val="BodyText"/>
        <w:spacing w:before="8"/>
        <w:rPr>
          <w:sz w:val="27"/>
          <w:u w:val="none"/>
        </w:rPr>
      </w:pPr>
      <w:r>
        <w:rPr/>
        <w:drawing>
          <wp:anchor distT="0" distB="0" distL="0" distR="0" allowOverlap="1" layoutInCell="1" locked="0" behindDoc="0" simplePos="0" relativeHeight="0">
            <wp:simplePos x="0" y="0"/>
            <wp:positionH relativeFrom="page">
              <wp:posOffset>695007</wp:posOffset>
            </wp:positionH>
            <wp:positionV relativeFrom="paragraph">
              <wp:posOffset>239370</wp:posOffset>
            </wp:positionV>
            <wp:extent cx="6300771" cy="11734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300771" cy="117348"/>
                    </a:xfrm>
                    <a:prstGeom prst="rect">
                      <a:avLst/>
                    </a:prstGeom>
                  </pic:spPr>
                </pic:pic>
              </a:graphicData>
            </a:graphic>
          </wp:anchor>
        </w:drawing>
      </w:r>
    </w:p>
    <w:p>
      <w:pPr>
        <w:spacing w:after="0"/>
        <w:rPr>
          <w:sz w:val="27"/>
        </w:rPr>
        <w:sectPr>
          <w:type w:val="continuous"/>
          <w:pgSz w:w="12240" w:h="15840"/>
          <w:pgMar w:top="1080" w:bottom="280" w:left="980" w:right="960"/>
        </w:sectPr>
      </w:pPr>
    </w:p>
    <w:p>
      <w:pPr>
        <w:pStyle w:val="BodyText"/>
        <w:rPr>
          <w:sz w:val="20"/>
          <w:u w:val="none"/>
        </w:rPr>
      </w:pPr>
    </w:p>
    <w:p>
      <w:pPr>
        <w:pStyle w:val="BodyText"/>
        <w:spacing w:before="1"/>
        <w:rPr>
          <w:sz w:val="15"/>
          <w:u w:val="none"/>
        </w:rPr>
      </w:pPr>
    </w:p>
    <w:p>
      <w:pPr>
        <w:pStyle w:val="ListParagraph"/>
        <w:numPr>
          <w:ilvl w:val="0"/>
          <w:numId w:val="2"/>
        </w:numPr>
        <w:tabs>
          <w:tab w:pos="841" w:val="left" w:leader="none"/>
          <w:tab w:pos="842" w:val="left" w:leader="none"/>
        </w:tabs>
        <w:spacing w:line="242" w:lineRule="auto" w:before="105" w:after="0"/>
        <w:ind w:left="842" w:right="153" w:hanging="360"/>
        <w:jc w:val="left"/>
        <w:rPr>
          <w:sz w:val="22"/>
          <w:u w:val="none"/>
        </w:rPr>
      </w:pPr>
      <w:r>
        <w:rPr>
          <w:spacing w:val="2"/>
          <w:sz w:val="22"/>
          <w:u w:val="single"/>
        </w:rPr>
        <w:t>Seven-Day </w:t>
      </w:r>
      <w:r>
        <w:rPr>
          <w:sz w:val="22"/>
          <w:u w:val="single"/>
        </w:rPr>
        <w:t>Supply </w:t>
      </w:r>
      <w:r>
        <w:rPr>
          <w:spacing w:val="2"/>
          <w:sz w:val="22"/>
          <w:u w:val="single"/>
        </w:rPr>
        <w:t>Limit for </w:t>
      </w:r>
      <w:r>
        <w:rPr>
          <w:sz w:val="22"/>
          <w:u w:val="single"/>
        </w:rPr>
        <w:t>Opioid-Naïve Patients</w:t>
      </w:r>
      <w:r>
        <w:rPr>
          <w:b/>
          <w:sz w:val="22"/>
          <w:u w:val="none"/>
        </w:rPr>
        <w:t>: </w:t>
      </w:r>
      <w:r>
        <w:rPr>
          <w:sz w:val="22"/>
          <w:u w:val="none"/>
        </w:rPr>
        <w:t>ASHP supports </w:t>
      </w:r>
      <w:r>
        <w:rPr>
          <w:spacing w:val="4"/>
          <w:sz w:val="22"/>
          <w:u w:val="none"/>
        </w:rPr>
        <w:t>ahard edit </w:t>
      </w:r>
      <w:r>
        <w:rPr>
          <w:spacing w:val="5"/>
          <w:sz w:val="22"/>
          <w:u w:val="none"/>
        </w:rPr>
        <w:t>forsupplies </w:t>
      </w:r>
      <w:r>
        <w:rPr>
          <w:spacing w:val="6"/>
          <w:sz w:val="22"/>
          <w:u w:val="none"/>
        </w:rPr>
        <w:t>overseven </w:t>
      </w:r>
      <w:r>
        <w:rPr>
          <w:sz w:val="22"/>
          <w:u w:val="none"/>
        </w:rPr>
        <w:t>days </w:t>
      </w:r>
      <w:r>
        <w:rPr>
          <w:spacing w:val="2"/>
          <w:sz w:val="22"/>
          <w:u w:val="none"/>
        </w:rPr>
        <w:t>for </w:t>
      </w:r>
      <w:r>
        <w:rPr>
          <w:sz w:val="22"/>
          <w:u w:val="none"/>
        </w:rPr>
        <w:t>acute pain </w:t>
      </w:r>
      <w:r>
        <w:rPr>
          <w:spacing w:val="4"/>
          <w:sz w:val="22"/>
          <w:u w:val="none"/>
        </w:rPr>
        <w:t>in </w:t>
      </w:r>
      <w:r>
        <w:rPr>
          <w:spacing w:val="2"/>
          <w:sz w:val="22"/>
          <w:u w:val="none"/>
        </w:rPr>
        <w:t>opioid-naïve </w:t>
      </w:r>
      <w:r>
        <w:rPr>
          <w:sz w:val="22"/>
          <w:u w:val="none"/>
        </w:rPr>
        <w:t>patients, as </w:t>
      </w:r>
      <w:r>
        <w:rPr>
          <w:spacing w:val="2"/>
          <w:sz w:val="22"/>
          <w:u w:val="none"/>
        </w:rPr>
        <w:t>this </w:t>
      </w:r>
      <w:r>
        <w:rPr>
          <w:spacing w:val="4"/>
          <w:sz w:val="22"/>
          <w:u w:val="none"/>
        </w:rPr>
        <w:t>is </w:t>
      </w:r>
      <w:r>
        <w:rPr>
          <w:sz w:val="22"/>
          <w:u w:val="none"/>
        </w:rPr>
        <w:t>consistent </w:t>
      </w:r>
      <w:r>
        <w:rPr>
          <w:spacing w:val="2"/>
          <w:sz w:val="22"/>
          <w:u w:val="none"/>
        </w:rPr>
        <w:t>with </w:t>
      </w:r>
      <w:r>
        <w:rPr>
          <w:sz w:val="22"/>
          <w:u w:val="none"/>
        </w:rPr>
        <w:t>the Centers </w:t>
      </w:r>
      <w:r>
        <w:rPr>
          <w:spacing w:val="2"/>
          <w:sz w:val="22"/>
          <w:u w:val="none"/>
        </w:rPr>
        <w:t>for </w:t>
      </w:r>
      <w:r>
        <w:rPr>
          <w:sz w:val="22"/>
          <w:u w:val="none"/>
        </w:rPr>
        <w:t>Disease Control and Prevention (CDC) guidelines. Generally, we would not support </w:t>
      </w:r>
      <w:r>
        <w:rPr>
          <w:spacing w:val="3"/>
          <w:sz w:val="22"/>
          <w:u w:val="none"/>
        </w:rPr>
        <w:t>limiting </w:t>
      </w:r>
      <w:r>
        <w:rPr>
          <w:sz w:val="22"/>
          <w:u w:val="none"/>
        </w:rPr>
        <w:t>supplies to </w:t>
      </w:r>
      <w:r>
        <w:rPr>
          <w:spacing w:val="4"/>
          <w:sz w:val="22"/>
          <w:u w:val="none"/>
        </w:rPr>
        <w:t>fewer </w:t>
      </w:r>
      <w:r>
        <w:rPr>
          <w:sz w:val="22"/>
          <w:u w:val="none"/>
        </w:rPr>
        <w:t>than </w:t>
      </w:r>
      <w:r>
        <w:rPr>
          <w:spacing w:val="3"/>
          <w:sz w:val="22"/>
          <w:u w:val="none"/>
        </w:rPr>
        <w:t>seven </w:t>
      </w:r>
      <w:r>
        <w:rPr>
          <w:sz w:val="22"/>
          <w:u w:val="none"/>
        </w:rPr>
        <w:t>days. However, we </w:t>
      </w:r>
      <w:r>
        <w:rPr>
          <w:spacing w:val="2"/>
          <w:sz w:val="22"/>
          <w:u w:val="none"/>
        </w:rPr>
        <w:t>would </w:t>
      </w:r>
      <w:r>
        <w:rPr>
          <w:sz w:val="22"/>
          <w:u w:val="none"/>
        </w:rPr>
        <w:t>considersupporting </w:t>
      </w:r>
      <w:r>
        <w:rPr>
          <w:spacing w:val="6"/>
          <w:sz w:val="22"/>
          <w:u w:val="none"/>
        </w:rPr>
        <w:t>ashorterlimit </w:t>
      </w:r>
      <w:r>
        <w:rPr>
          <w:spacing w:val="3"/>
          <w:sz w:val="22"/>
          <w:u w:val="none"/>
        </w:rPr>
        <w:t>forcertain </w:t>
      </w:r>
      <w:r>
        <w:rPr>
          <w:sz w:val="22"/>
          <w:u w:val="none"/>
        </w:rPr>
        <w:t>types of procedures </w:t>
      </w:r>
      <w:r>
        <w:rPr>
          <w:spacing w:val="3"/>
          <w:sz w:val="22"/>
          <w:u w:val="none"/>
        </w:rPr>
        <w:t>(e.g., </w:t>
      </w:r>
      <w:r>
        <w:rPr>
          <w:sz w:val="22"/>
          <w:u w:val="none"/>
        </w:rPr>
        <w:t>dental) </w:t>
      </w:r>
      <w:r>
        <w:rPr>
          <w:spacing w:val="9"/>
          <w:sz w:val="22"/>
          <w:u w:val="none"/>
        </w:rPr>
        <w:t>ora </w:t>
      </w:r>
      <w:r>
        <w:rPr>
          <w:sz w:val="22"/>
          <w:u w:val="none"/>
        </w:rPr>
        <w:t>quantity/dosage limit, provided there </w:t>
      </w:r>
      <w:r>
        <w:rPr>
          <w:spacing w:val="4"/>
          <w:sz w:val="22"/>
          <w:u w:val="none"/>
        </w:rPr>
        <w:t>is </w:t>
      </w:r>
      <w:r>
        <w:rPr>
          <w:sz w:val="22"/>
          <w:u w:val="none"/>
        </w:rPr>
        <w:t>sufficient clinical evidenceto support the change as </w:t>
      </w:r>
      <w:r>
        <w:rPr>
          <w:spacing w:val="4"/>
          <w:sz w:val="22"/>
          <w:u w:val="none"/>
        </w:rPr>
        <w:t>well </w:t>
      </w:r>
      <w:r>
        <w:rPr>
          <w:sz w:val="22"/>
          <w:u w:val="none"/>
        </w:rPr>
        <w:t>as strong patient safeguards that </w:t>
      </w:r>
      <w:r>
        <w:rPr>
          <w:spacing w:val="-5"/>
          <w:sz w:val="22"/>
          <w:u w:val="none"/>
        </w:rPr>
        <w:t>CMS  </w:t>
      </w:r>
      <w:r>
        <w:rPr>
          <w:sz w:val="22"/>
          <w:u w:val="none"/>
        </w:rPr>
        <w:t>actively</w:t>
      </w:r>
      <w:r>
        <w:rPr>
          <w:spacing w:val="-18"/>
          <w:sz w:val="22"/>
          <w:u w:val="none"/>
        </w:rPr>
        <w:t> </w:t>
      </w:r>
      <w:r>
        <w:rPr>
          <w:sz w:val="22"/>
          <w:u w:val="none"/>
        </w:rPr>
        <w:t>enforces.</w:t>
      </w:r>
    </w:p>
    <w:p>
      <w:pPr>
        <w:pStyle w:val="BodyText"/>
        <w:spacing w:before="3"/>
        <w:rPr>
          <w:u w:val="none"/>
        </w:rPr>
      </w:pPr>
    </w:p>
    <w:p>
      <w:pPr>
        <w:pStyle w:val="ListParagraph"/>
        <w:numPr>
          <w:ilvl w:val="0"/>
          <w:numId w:val="2"/>
        </w:numPr>
        <w:tabs>
          <w:tab w:pos="841" w:val="left" w:leader="none"/>
          <w:tab w:pos="842" w:val="left" w:leader="none"/>
        </w:tabs>
        <w:spacing w:line="240" w:lineRule="auto" w:before="0" w:after="0"/>
        <w:ind w:left="842" w:right="219" w:hanging="360"/>
        <w:jc w:val="left"/>
        <w:rPr>
          <w:sz w:val="22"/>
          <w:u w:val="none"/>
        </w:rPr>
      </w:pPr>
      <w:r>
        <w:rPr>
          <w:spacing w:val="-3"/>
          <w:sz w:val="22"/>
          <w:u w:val="single"/>
        </w:rPr>
        <w:t>MAT </w:t>
      </w:r>
      <w:r>
        <w:rPr>
          <w:sz w:val="22"/>
          <w:u w:val="single"/>
        </w:rPr>
        <w:t>Access</w:t>
      </w:r>
      <w:r>
        <w:rPr>
          <w:sz w:val="22"/>
          <w:u w:val="none"/>
        </w:rPr>
        <w:t>: ASHP applauds CMS’s proposal to ease authorization restrictions forbuprenorphine medication-assisted treatment (MAT) products. Carrying overauthorization and requiring </w:t>
      </w:r>
      <w:r>
        <w:rPr>
          <w:spacing w:val="6"/>
          <w:sz w:val="22"/>
          <w:u w:val="none"/>
        </w:rPr>
        <w:t>asingle </w:t>
      </w:r>
      <w:r>
        <w:rPr>
          <w:sz w:val="22"/>
          <w:u w:val="none"/>
        </w:rPr>
        <w:t>authorization </w:t>
      </w:r>
      <w:r>
        <w:rPr>
          <w:spacing w:val="8"/>
          <w:sz w:val="22"/>
          <w:u w:val="none"/>
        </w:rPr>
        <w:t>peryearis </w:t>
      </w:r>
      <w:r>
        <w:rPr>
          <w:sz w:val="22"/>
          <w:u w:val="none"/>
        </w:rPr>
        <w:t>a smart step toward promoting adherence and ensuring uninterrupted access to </w:t>
      </w:r>
      <w:r>
        <w:rPr>
          <w:spacing w:val="-4"/>
          <w:sz w:val="22"/>
          <w:u w:val="none"/>
        </w:rPr>
        <w:t>MAT. </w:t>
      </w:r>
      <w:r>
        <w:rPr>
          <w:sz w:val="22"/>
          <w:u w:val="none"/>
        </w:rPr>
        <w:t>ASHP also strongly encourages </w:t>
      </w:r>
      <w:r>
        <w:rPr>
          <w:spacing w:val="-5"/>
          <w:sz w:val="22"/>
          <w:u w:val="none"/>
        </w:rPr>
        <w:t>CMS </w:t>
      </w:r>
      <w:r>
        <w:rPr>
          <w:sz w:val="22"/>
          <w:u w:val="none"/>
        </w:rPr>
        <w:t>to support and </w:t>
      </w:r>
      <w:r>
        <w:rPr>
          <w:spacing w:val="2"/>
          <w:sz w:val="22"/>
          <w:u w:val="none"/>
        </w:rPr>
        <w:t>expand </w:t>
      </w:r>
      <w:r>
        <w:rPr>
          <w:sz w:val="22"/>
          <w:u w:val="none"/>
        </w:rPr>
        <w:t>pharmacists’ prescriptiveauthority through collaborative practice agreements and </w:t>
      </w:r>
      <w:r>
        <w:rPr>
          <w:spacing w:val="4"/>
          <w:sz w:val="22"/>
          <w:u w:val="none"/>
        </w:rPr>
        <w:t>othermeans in </w:t>
      </w:r>
      <w:r>
        <w:rPr>
          <w:sz w:val="22"/>
          <w:u w:val="none"/>
        </w:rPr>
        <w:t>order to provide pharmacists the ability to </w:t>
      </w:r>
      <w:r>
        <w:rPr>
          <w:spacing w:val="5"/>
          <w:sz w:val="22"/>
          <w:u w:val="none"/>
        </w:rPr>
        <w:t>fill </w:t>
      </w:r>
      <w:r>
        <w:rPr>
          <w:sz w:val="22"/>
          <w:u w:val="none"/>
        </w:rPr>
        <w:t>gaps </w:t>
      </w:r>
      <w:r>
        <w:rPr>
          <w:spacing w:val="4"/>
          <w:sz w:val="22"/>
          <w:u w:val="none"/>
        </w:rPr>
        <w:t>in </w:t>
      </w:r>
      <w:r>
        <w:rPr>
          <w:sz w:val="22"/>
          <w:u w:val="none"/>
        </w:rPr>
        <w:t>patient </w:t>
      </w:r>
      <w:r>
        <w:rPr>
          <w:spacing w:val="4"/>
          <w:sz w:val="22"/>
          <w:u w:val="none"/>
        </w:rPr>
        <w:t>needs, </w:t>
      </w:r>
      <w:r>
        <w:rPr>
          <w:sz w:val="22"/>
          <w:u w:val="none"/>
        </w:rPr>
        <w:t>particularly </w:t>
      </w:r>
      <w:r>
        <w:rPr>
          <w:spacing w:val="2"/>
          <w:sz w:val="22"/>
          <w:u w:val="none"/>
        </w:rPr>
        <w:t>for </w:t>
      </w:r>
      <w:r>
        <w:rPr>
          <w:spacing w:val="3"/>
          <w:sz w:val="22"/>
          <w:u w:val="none"/>
        </w:rPr>
        <w:t>MATrelated </w:t>
      </w:r>
      <w:r>
        <w:rPr>
          <w:sz w:val="22"/>
          <w:u w:val="none"/>
        </w:rPr>
        <w:t>to </w:t>
      </w:r>
      <w:r>
        <w:rPr>
          <w:spacing w:val="3"/>
          <w:sz w:val="22"/>
          <w:u w:val="none"/>
        </w:rPr>
        <w:t>opioid </w:t>
      </w:r>
      <w:r>
        <w:rPr>
          <w:sz w:val="22"/>
          <w:u w:val="none"/>
        </w:rPr>
        <w:t>use </w:t>
      </w:r>
      <w:r>
        <w:rPr>
          <w:spacing w:val="3"/>
          <w:sz w:val="22"/>
          <w:u w:val="none"/>
        </w:rPr>
        <w:t>disorderand </w:t>
      </w:r>
      <w:r>
        <w:rPr>
          <w:sz w:val="22"/>
          <w:u w:val="none"/>
        </w:rPr>
        <w:t>substance abuse disorders.</w:t>
      </w:r>
    </w:p>
    <w:p>
      <w:pPr>
        <w:pStyle w:val="BodyText"/>
        <w:spacing w:before="2"/>
        <w:rPr>
          <w:u w:val="none"/>
        </w:rPr>
      </w:pPr>
    </w:p>
    <w:p>
      <w:pPr>
        <w:pStyle w:val="Heading1"/>
        <w:numPr>
          <w:ilvl w:val="2"/>
          <w:numId w:val="1"/>
        </w:numPr>
        <w:tabs>
          <w:tab w:pos="1202" w:val="left" w:leader="none"/>
          <w:tab w:pos="1203" w:val="left" w:leader="none"/>
        </w:tabs>
        <w:spacing w:line="240" w:lineRule="auto" w:before="0" w:after="0"/>
        <w:ind w:left="1202" w:right="0" w:hanging="720"/>
        <w:jc w:val="left"/>
      </w:pPr>
      <w:r>
        <w:rPr/>
        <w:t>Quality</w:t>
      </w:r>
      <w:r>
        <w:rPr>
          <w:spacing w:val="18"/>
        </w:rPr>
        <w:t> </w:t>
      </w:r>
      <w:r>
        <w:rPr/>
        <w:t>Measures</w:t>
      </w:r>
    </w:p>
    <w:p>
      <w:pPr>
        <w:pStyle w:val="BodyText"/>
        <w:spacing w:before="4"/>
        <w:rPr>
          <w:b/>
          <w:u w:val="none"/>
        </w:rPr>
      </w:pPr>
    </w:p>
    <w:p>
      <w:pPr>
        <w:pStyle w:val="BodyText"/>
        <w:spacing w:line="237" w:lineRule="auto" w:before="1"/>
        <w:ind w:left="121" w:right="117"/>
        <w:rPr>
          <w:u w:val="none"/>
        </w:rPr>
      </w:pPr>
      <w:r>
        <w:rPr>
          <w:u w:val="none"/>
        </w:rPr>
        <w:t>ASHP appreciates the opportunity to reviewand comment on the Call Letter’s Star Ratings changes as well as new proposed measures. Healthcare quality standards and pharmacy services must be aligned to ensure optimal medication use outcomes and improvements in quality of care.</w:t>
      </w:r>
      <w:r>
        <w:rPr>
          <w:position w:val="10"/>
          <w:sz w:val="13"/>
          <w:u w:val="none"/>
        </w:rPr>
        <w:t>1 </w:t>
      </w:r>
      <w:r>
        <w:rPr>
          <w:u w:val="none"/>
        </w:rPr>
        <w:t>We advocate for the adoption of standard quality measures that are developed with the involvement of pharmacists, that are evidence-based, and that promote the demonstrated role of pharmacists in improving patient outcomes. Such measures would include, but are not limited to, promoting medication adherence, minimizing medication adverse drug events due to drug-drug and drug-disease interactions and polypharmacy, and ensuring the safe and effectiveuse of opioids. ASHP’s comments are focused on these quality measure areas:</w:t>
      </w:r>
    </w:p>
    <w:p>
      <w:pPr>
        <w:pStyle w:val="BodyText"/>
        <w:spacing w:before="4"/>
        <w:rPr>
          <w:u w:val="none"/>
        </w:rPr>
      </w:pPr>
    </w:p>
    <w:p>
      <w:pPr>
        <w:pStyle w:val="ListParagraph"/>
        <w:numPr>
          <w:ilvl w:val="0"/>
          <w:numId w:val="3"/>
        </w:numPr>
        <w:tabs>
          <w:tab w:pos="841" w:val="left" w:leader="none"/>
          <w:tab w:pos="842" w:val="left" w:leader="none"/>
        </w:tabs>
        <w:spacing w:line="240" w:lineRule="auto" w:before="0" w:after="0"/>
        <w:ind w:left="842" w:right="129" w:hanging="360"/>
        <w:jc w:val="left"/>
        <w:rPr>
          <w:sz w:val="22"/>
          <w:u w:val="none"/>
        </w:rPr>
      </w:pPr>
      <w:r>
        <w:rPr>
          <w:sz w:val="22"/>
          <w:u w:val="single"/>
        </w:rPr>
        <w:t>Categorical Adjustment </w:t>
      </w:r>
      <w:r>
        <w:rPr>
          <w:spacing w:val="2"/>
          <w:sz w:val="22"/>
          <w:u w:val="single"/>
        </w:rPr>
        <w:t>Index </w:t>
      </w:r>
      <w:r>
        <w:rPr>
          <w:sz w:val="22"/>
          <w:u w:val="single"/>
        </w:rPr>
        <w:t>Considerations</w:t>
      </w:r>
      <w:r>
        <w:rPr>
          <w:sz w:val="22"/>
          <w:u w:val="none"/>
        </w:rPr>
        <w:t>: ASHP commends </w:t>
      </w:r>
      <w:r>
        <w:rPr>
          <w:spacing w:val="-5"/>
          <w:sz w:val="22"/>
          <w:u w:val="none"/>
        </w:rPr>
        <w:t>CMS </w:t>
      </w:r>
      <w:r>
        <w:rPr>
          <w:sz w:val="22"/>
          <w:u w:val="none"/>
        </w:rPr>
        <w:t>and measure stewards, such as the Pharmacy Quality </w:t>
      </w:r>
      <w:r>
        <w:rPr>
          <w:spacing w:val="2"/>
          <w:sz w:val="22"/>
          <w:u w:val="none"/>
        </w:rPr>
        <w:t>Alliance </w:t>
      </w:r>
      <w:r>
        <w:rPr>
          <w:sz w:val="22"/>
          <w:u w:val="none"/>
        </w:rPr>
        <w:t>(PQA), </w:t>
      </w:r>
      <w:r>
        <w:rPr>
          <w:spacing w:val="2"/>
          <w:sz w:val="22"/>
          <w:u w:val="none"/>
        </w:rPr>
        <w:t>forcarefully </w:t>
      </w:r>
      <w:r>
        <w:rPr>
          <w:sz w:val="22"/>
          <w:u w:val="none"/>
        </w:rPr>
        <w:t>calibrating risk adjustment </w:t>
      </w:r>
      <w:r>
        <w:rPr>
          <w:spacing w:val="2"/>
          <w:sz w:val="22"/>
          <w:u w:val="none"/>
        </w:rPr>
        <w:t>forperformance </w:t>
      </w:r>
      <w:r>
        <w:rPr>
          <w:sz w:val="22"/>
          <w:u w:val="none"/>
        </w:rPr>
        <w:t>measures </w:t>
      </w:r>
      <w:r>
        <w:rPr>
          <w:spacing w:val="4"/>
          <w:sz w:val="22"/>
          <w:u w:val="none"/>
        </w:rPr>
        <w:t>in orderto </w:t>
      </w:r>
      <w:r>
        <w:rPr>
          <w:sz w:val="22"/>
          <w:u w:val="none"/>
        </w:rPr>
        <w:t>account </w:t>
      </w:r>
      <w:r>
        <w:rPr>
          <w:spacing w:val="2"/>
          <w:sz w:val="22"/>
          <w:u w:val="none"/>
        </w:rPr>
        <w:t>for </w:t>
      </w:r>
      <w:r>
        <w:rPr>
          <w:sz w:val="22"/>
          <w:u w:val="none"/>
        </w:rPr>
        <w:t>patient-related sociodemographicfactors that </w:t>
      </w:r>
      <w:r>
        <w:rPr>
          <w:spacing w:val="2"/>
          <w:sz w:val="22"/>
          <w:u w:val="none"/>
        </w:rPr>
        <w:t>influence </w:t>
      </w:r>
      <w:r>
        <w:rPr>
          <w:sz w:val="22"/>
          <w:u w:val="none"/>
        </w:rPr>
        <w:t>outcomes. </w:t>
      </w:r>
      <w:r>
        <w:rPr>
          <w:spacing w:val="-3"/>
          <w:sz w:val="22"/>
          <w:u w:val="none"/>
        </w:rPr>
        <w:t>We </w:t>
      </w:r>
      <w:r>
        <w:rPr>
          <w:sz w:val="22"/>
          <w:u w:val="none"/>
        </w:rPr>
        <w:t>appreciate </w:t>
      </w:r>
      <w:r>
        <w:rPr>
          <w:spacing w:val="2"/>
          <w:sz w:val="22"/>
          <w:u w:val="none"/>
        </w:rPr>
        <w:t>efforts </w:t>
      </w:r>
      <w:r>
        <w:rPr>
          <w:sz w:val="22"/>
          <w:u w:val="none"/>
        </w:rPr>
        <w:t>to achieve balance between implementation of meaningful quality and measures and </w:t>
      </w:r>
      <w:r>
        <w:rPr>
          <w:spacing w:val="-5"/>
          <w:sz w:val="22"/>
          <w:u w:val="none"/>
        </w:rPr>
        <w:t>recognition </w:t>
      </w:r>
      <w:r>
        <w:rPr>
          <w:sz w:val="22"/>
          <w:u w:val="none"/>
        </w:rPr>
        <w:t>of challenges faced by providers serving vulnerable </w:t>
      </w:r>
      <w:r>
        <w:rPr>
          <w:spacing w:val="-3"/>
          <w:sz w:val="22"/>
          <w:u w:val="none"/>
        </w:rPr>
        <w:t>populations. </w:t>
      </w:r>
      <w:r>
        <w:rPr>
          <w:sz w:val="22"/>
          <w:u w:val="none"/>
        </w:rPr>
        <w:t>ASHP </w:t>
      </w:r>
      <w:r>
        <w:rPr>
          <w:spacing w:val="4"/>
          <w:sz w:val="22"/>
          <w:u w:val="none"/>
        </w:rPr>
        <w:t>will </w:t>
      </w:r>
      <w:r>
        <w:rPr>
          <w:sz w:val="22"/>
          <w:u w:val="none"/>
        </w:rPr>
        <w:t>continueto </w:t>
      </w:r>
      <w:r>
        <w:rPr>
          <w:spacing w:val="3"/>
          <w:sz w:val="22"/>
          <w:u w:val="none"/>
        </w:rPr>
        <w:t>monitorpolicy </w:t>
      </w:r>
      <w:r>
        <w:rPr>
          <w:sz w:val="22"/>
          <w:u w:val="none"/>
        </w:rPr>
        <w:t>and measure specification decisions related to the Categorical Adjustment Index from </w:t>
      </w:r>
      <w:r>
        <w:rPr>
          <w:spacing w:val="-4"/>
          <w:sz w:val="22"/>
          <w:u w:val="none"/>
        </w:rPr>
        <w:t>CMS, </w:t>
      </w:r>
      <w:r>
        <w:rPr>
          <w:sz w:val="22"/>
          <w:u w:val="none"/>
        </w:rPr>
        <w:t>NQF, and </w:t>
      </w:r>
      <w:r>
        <w:rPr>
          <w:spacing w:val="3"/>
          <w:sz w:val="22"/>
          <w:u w:val="none"/>
        </w:rPr>
        <w:t>othermeasure</w:t>
      </w:r>
      <w:r>
        <w:rPr>
          <w:spacing w:val="49"/>
          <w:sz w:val="22"/>
          <w:u w:val="none"/>
        </w:rPr>
        <w:t> </w:t>
      </w:r>
      <w:r>
        <w:rPr>
          <w:sz w:val="22"/>
          <w:u w:val="none"/>
        </w:rPr>
        <w:t>stewards.</w:t>
      </w:r>
    </w:p>
    <w:p>
      <w:pPr>
        <w:pStyle w:val="BodyText"/>
        <w:spacing w:before="8"/>
        <w:rPr>
          <w:sz w:val="23"/>
          <w:u w:val="none"/>
        </w:rPr>
      </w:pPr>
    </w:p>
    <w:p>
      <w:pPr>
        <w:pStyle w:val="ListParagraph"/>
        <w:numPr>
          <w:ilvl w:val="0"/>
          <w:numId w:val="3"/>
        </w:numPr>
        <w:tabs>
          <w:tab w:pos="841" w:val="left" w:leader="none"/>
          <w:tab w:pos="842" w:val="left" w:leader="none"/>
        </w:tabs>
        <w:spacing w:line="237" w:lineRule="auto" w:before="0" w:after="0"/>
        <w:ind w:left="842" w:right="217" w:hanging="360"/>
        <w:jc w:val="left"/>
        <w:rPr>
          <w:sz w:val="22"/>
          <w:u w:val="none"/>
        </w:rPr>
      </w:pPr>
      <w:r>
        <w:rPr>
          <w:sz w:val="22"/>
          <w:u w:val="single"/>
        </w:rPr>
        <w:t>CMS/RANDTechnical Expert </w:t>
      </w:r>
      <w:r>
        <w:rPr>
          <w:spacing w:val="3"/>
          <w:sz w:val="22"/>
          <w:u w:val="single"/>
        </w:rPr>
        <w:t>Panel</w:t>
      </w:r>
      <w:r>
        <w:rPr>
          <w:spacing w:val="3"/>
          <w:sz w:val="22"/>
          <w:u w:val="none"/>
        </w:rPr>
        <w:t>: </w:t>
      </w:r>
      <w:r>
        <w:rPr>
          <w:sz w:val="22"/>
          <w:u w:val="none"/>
        </w:rPr>
        <w:t>ASHP urges </w:t>
      </w:r>
      <w:r>
        <w:rPr>
          <w:spacing w:val="-5"/>
          <w:sz w:val="22"/>
          <w:u w:val="none"/>
        </w:rPr>
        <w:t>CMS </w:t>
      </w:r>
      <w:r>
        <w:rPr>
          <w:sz w:val="22"/>
          <w:u w:val="none"/>
        </w:rPr>
        <w:t>to ensure that the Technical Expert Panel includes representatives from pharmacy. Specifically, we ask that </w:t>
      </w:r>
      <w:r>
        <w:rPr>
          <w:spacing w:val="-5"/>
          <w:sz w:val="22"/>
          <w:u w:val="none"/>
        </w:rPr>
        <w:t>CMS </w:t>
      </w:r>
      <w:r>
        <w:rPr>
          <w:sz w:val="22"/>
          <w:u w:val="none"/>
        </w:rPr>
        <w:t>work to ensure that hospital and ambulatory clinic-based pharmacists </w:t>
      </w:r>
      <w:r>
        <w:rPr>
          <w:spacing w:val="-3"/>
          <w:sz w:val="22"/>
          <w:u w:val="none"/>
        </w:rPr>
        <w:t>are </w:t>
      </w:r>
      <w:r>
        <w:rPr>
          <w:sz w:val="22"/>
          <w:u w:val="none"/>
        </w:rPr>
        <w:t>adequately represented, as </w:t>
      </w:r>
      <w:r>
        <w:rPr>
          <w:spacing w:val="2"/>
          <w:sz w:val="22"/>
          <w:u w:val="none"/>
        </w:rPr>
        <w:t>theirpractice models </w:t>
      </w:r>
      <w:r>
        <w:rPr>
          <w:sz w:val="22"/>
          <w:u w:val="none"/>
        </w:rPr>
        <w:t>and range of patient-care services may differsubstantially from community pharmacy </w:t>
      </w:r>
      <w:r>
        <w:rPr>
          <w:spacing w:val="27"/>
          <w:sz w:val="22"/>
          <w:u w:val="none"/>
        </w:rPr>
        <w:t> </w:t>
      </w:r>
      <w:r>
        <w:rPr>
          <w:sz w:val="22"/>
          <w:u w:val="none"/>
        </w:rPr>
        <w:t>practice.</w:t>
      </w:r>
    </w:p>
    <w:p>
      <w:pPr>
        <w:pStyle w:val="BodyText"/>
        <w:rPr>
          <w:sz w:val="20"/>
          <w:u w:val="none"/>
        </w:rPr>
      </w:pPr>
    </w:p>
    <w:p>
      <w:pPr>
        <w:pStyle w:val="BodyText"/>
        <w:rPr>
          <w:sz w:val="20"/>
          <w:u w:val="none"/>
        </w:rPr>
      </w:pPr>
    </w:p>
    <w:p>
      <w:pPr>
        <w:pStyle w:val="BodyText"/>
        <w:spacing w:before="3"/>
        <w:rPr>
          <w:sz w:val="23"/>
          <w:u w:val="none"/>
        </w:rPr>
      </w:pPr>
      <w:r>
        <w:rPr/>
        <w:pict>
          <v:line style="position:absolute;mso-position-horizontal-relative:page;mso-position-vertical-relative:paragraph;z-index:1048;mso-wrap-distance-left:0;mso-wrap-distance-right:0" from="54.075001pt,16.553087pt" to="198.255001pt,16.553087pt" stroked="true" strokeweight=".75pt" strokecolor="#000000">
            <v:stroke dashstyle="solid"/>
            <w10:wrap type="topAndBottom"/>
          </v:line>
        </w:pict>
      </w:r>
    </w:p>
    <w:p>
      <w:pPr>
        <w:spacing w:before="37"/>
        <w:ind w:left="121" w:right="0" w:firstLine="0"/>
        <w:jc w:val="left"/>
        <w:rPr>
          <w:sz w:val="19"/>
        </w:rPr>
      </w:pPr>
      <w:r>
        <w:rPr>
          <w:w w:val="105"/>
          <w:position w:val="11"/>
          <w:sz w:val="13"/>
        </w:rPr>
        <w:t>1 </w:t>
      </w:r>
      <w:r>
        <w:rPr>
          <w:i/>
          <w:w w:val="105"/>
          <w:sz w:val="19"/>
        </w:rPr>
        <w:t>See </w:t>
      </w:r>
      <w:r>
        <w:rPr>
          <w:w w:val="105"/>
          <w:sz w:val="19"/>
        </w:rPr>
        <w:t>ASHP Policy 0502: Health Care Quality Standards and Pharmacy Services, </w:t>
      </w:r>
      <w:r>
        <w:rPr>
          <w:i/>
          <w:w w:val="105"/>
          <w:sz w:val="19"/>
        </w:rPr>
        <w:t>available at </w:t>
      </w:r>
      <w:r>
        <w:rPr>
          <w:w w:val="105"/>
          <w:sz w:val="19"/>
        </w:rPr>
        <w:t>https:</w:t>
      </w:r>
      <w:hyperlink r:id="rId8">
        <w:r>
          <w:rPr>
            <w:w w:val="105"/>
            <w:sz w:val="19"/>
          </w:rPr>
          <w:t>//w</w:t>
        </w:r>
      </w:hyperlink>
      <w:r>
        <w:rPr>
          <w:w w:val="105"/>
          <w:sz w:val="19"/>
        </w:rPr>
        <w:t>ww</w:t>
      </w:r>
      <w:hyperlink r:id="rId8">
        <w:r>
          <w:rPr>
            <w:w w:val="105"/>
            <w:sz w:val="19"/>
          </w:rPr>
          <w:t>.ashp.org/-</w:t>
        </w:r>
      </w:hyperlink>
    </w:p>
    <w:p>
      <w:pPr>
        <w:spacing w:line="264" w:lineRule="auto" w:before="7"/>
        <w:ind w:left="121" w:right="117" w:firstLine="0"/>
        <w:jc w:val="left"/>
        <w:rPr>
          <w:sz w:val="19"/>
        </w:rPr>
      </w:pPr>
      <w:r>
        <w:rPr>
          <w:sz w:val="19"/>
        </w:rPr>
        <w:t>/media/assets/policy-guidelines/docs/policy-positions/policy-positions-organization-and-delivery-of- services.ashx?la=en&amp;hash=5B17255F25ED7D5CE895B51980B1DE879A7F93A5    .</w:t>
      </w:r>
    </w:p>
    <w:p>
      <w:pPr>
        <w:spacing w:after="0" w:line="264" w:lineRule="auto"/>
        <w:jc w:val="left"/>
        <w:rPr>
          <w:sz w:val="19"/>
        </w:rPr>
        <w:sectPr>
          <w:headerReference w:type="default" r:id="rId7"/>
          <w:pgSz w:w="12240" w:h="15840"/>
          <w:pgMar w:header="1918" w:footer="0" w:top="2680" w:bottom="280" w:left="960" w:right="960"/>
          <w:pgNumType w:start="2"/>
        </w:sectPr>
      </w:pPr>
    </w:p>
    <w:p>
      <w:pPr>
        <w:pStyle w:val="BodyText"/>
        <w:rPr>
          <w:sz w:val="20"/>
          <w:u w:val="none"/>
        </w:rPr>
      </w:pPr>
    </w:p>
    <w:p>
      <w:pPr>
        <w:pStyle w:val="BodyText"/>
        <w:spacing w:before="10"/>
        <w:rPr>
          <w:sz w:val="15"/>
          <w:u w:val="none"/>
        </w:rPr>
      </w:pPr>
    </w:p>
    <w:p>
      <w:pPr>
        <w:pStyle w:val="ListParagraph"/>
        <w:numPr>
          <w:ilvl w:val="0"/>
          <w:numId w:val="3"/>
        </w:numPr>
        <w:tabs>
          <w:tab w:pos="841" w:val="left" w:leader="none"/>
          <w:tab w:pos="842" w:val="left" w:leader="none"/>
        </w:tabs>
        <w:spacing w:line="230" w:lineRule="auto" w:before="101" w:after="0"/>
        <w:ind w:left="842" w:right="123" w:hanging="360"/>
        <w:jc w:val="left"/>
        <w:rPr>
          <w:sz w:val="13"/>
          <w:u w:val="none"/>
        </w:rPr>
      </w:pPr>
      <w:r>
        <w:rPr>
          <w:sz w:val="22"/>
          <w:u w:val="single"/>
        </w:rPr>
        <w:t>Adherence Measures</w:t>
      </w:r>
      <w:r>
        <w:rPr>
          <w:sz w:val="22"/>
          <w:u w:val="none"/>
        </w:rPr>
        <w:t>: Medication adherence </w:t>
      </w:r>
      <w:r>
        <w:rPr>
          <w:spacing w:val="4"/>
          <w:sz w:val="22"/>
          <w:u w:val="none"/>
        </w:rPr>
        <w:t>is </w:t>
      </w:r>
      <w:r>
        <w:rPr>
          <w:sz w:val="22"/>
          <w:u w:val="none"/>
        </w:rPr>
        <w:t>essential </w:t>
      </w:r>
      <w:r>
        <w:rPr>
          <w:spacing w:val="4"/>
          <w:sz w:val="22"/>
          <w:u w:val="none"/>
        </w:rPr>
        <w:t>in </w:t>
      </w:r>
      <w:r>
        <w:rPr>
          <w:sz w:val="22"/>
          <w:u w:val="none"/>
        </w:rPr>
        <w:t>improving chronicdisease clinical outcomes and reducing patient mortality from chronicconditions. Indeed, nonadherence </w:t>
      </w:r>
      <w:r>
        <w:rPr>
          <w:spacing w:val="4"/>
          <w:sz w:val="22"/>
          <w:u w:val="none"/>
        </w:rPr>
        <w:t>is </w:t>
      </w:r>
      <w:r>
        <w:rPr>
          <w:sz w:val="22"/>
          <w:u w:val="none"/>
        </w:rPr>
        <w:t>associated </w:t>
      </w:r>
      <w:r>
        <w:rPr>
          <w:spacing w:val="2"/>
          <w:sz w:val="22"/>
          <w:u w:val="none"/>
        </w:rPr>
        <w:t>with </w:t>
      </w:r>
      <w:r>
        <w:rPr>
          <w:sz w:val="22"/>
          <w:u w:val="none"/>
        </w:rPr>
        <w:t>increased hospitalizations, morbidity and mortality, and healthcare costs. </w:t>
      </w:r>
      <w:r>
        <w:rPr>
          <w:position w:val="11"/>
          <w:sz w:val="13"/>
          <w:u w:val="none"/>
        </w:rPr>
        <w:t>2  </w:t>
      </w:r>
      <w:r>
        <w:rPr>
          <w:sz w:val="22"/>
          <w:u w:val="none"/>
        </w:rPr>
        <w:t>Team-based </w:t>
      </w:r>
      <w:r>
        <w:rPr>
          <w:spacing w:val="-4"/>
          <w:sz w:val="22"/>
          <w:u w:val="none"/>
        </w:rPr>
        <w:t>care </w:t>
      </w:r>
      <w:r>
        <w:rPr>
          <w:sz w:val="22"/>
          <w:u w:val="none"/>
        </w:rPr>
        <w:t>interventions improve patient adherence to medication regimens, especially when pharmacists </w:t>
      </w:r>
      <w:r>
        <w:rPr>
          <w:spacing w:val="-3"/>
          <w:sz w:val="22"/>
          <w:u w:val="none"/>
        </w:rPr>
        <w:t>are </w:t>
      </w:r>
      <w:r>
        <w:rPr>
          <w:sz w:val="22"/>
          <w:u w:val="none"/>
        </w:rPr>
        <w:t>fully integrated </w:t>
      </w:r>
      <w:r>
        <w:rPr>
          <w:spacing w:val="2"/>
          <w:sz w:val="22"/>
          <w:u w:val="none"/>
        </w:rPr>
        <w:t>into </w:t>
      </w:r>
      <w:r>
        <w:rPr>
          <w:sz w:val="22"/>
          <w:u w:val="none"/>
        </w:rPr>
        <w:t>the healthcare</w:t>
      </w:r>
      <w:r>
        <w:rPr>
          <w:spacing w:val="27"/>
          <w:sz w:val="22"/>
          <w:u w:val="none"/>
        </w:rPr>
        <w:t> </w:t>
      </w:r>
      <w:r>
        <w:rPr>
          <w:spacing w:val="2"/>
          <w:sz w:val="22"/>
          <w:u w:val="none"/>
        </w:rPr>
        <w:t>team.</w:t>
      </w:r>
      <w:r>
        <w:rPr>
          <w:spacing w:val="2"/>
          <w:position w:val="11"/>
          <w:sz w:val="13"/>
          <w:u w:val="none"/>
        </w:rPr>
        <w:t>3</w:t>
      </w:r>
    </w:p>
    <w:p>
      <w:pPr>
        <w:pStyle w:val="BodyText"/>
        <w:spacing w:before="7"/>
        <w:rPr>
          <w:u w:val="none"/>
        </w:rPr>
      </w:pPr>
    </w:p>
    <w:p>
      <w:pPr>
        <w:pStyle w:val="ListParagraph"/>
        <w:numPr>
          <w:ilvl w:val="1"/>
          <w:numId w:val="3"/>
        </w:numPr>
        <w:tabs>
          <w:tab w:pos="1562" w:val="left" w:leader="none"/>
          <w:tab w:pos="1563" w:val="left" w:leader="none"/>
        </w:tabs>
        <w:spacing w:line="237" w:lineRule="auto" w:before="0" w:after="0"/>
        <w:ind w:left="1563" w:right="679" w:hanging="361"/>
        <w:jc w:val="left"/>
        <w:rPr>
          <w:sz w:val="22"/>
          <w:u w:val="none"/>
        </w:rPr>
      </w:pPr>
      <w:r>
        <w:rPr>
          <w:i/>
          <w:sz w:val="22"/>
          <w:u w:val="none"/>
        </w:rPr>
        <w:t>Statin, Hypertension </w:t>
      </w:r>
      <w:r>
        <w:rPr>
          <w:i/>
          <w:spacing w:val="2"/>
          <w:sz w:val="22"/>
          <w:u w:val="none"/>
        </w:rPr>
        <w:t>and </w:t>
      </w:r>
      <w:r>
        <w:rPr>
          <w:i/>
          <w:sz w:val="22"/>
          <w:u w:val="none"/>
        </w:rPr>
        <w:t>Diabetes </w:t>
      </w:r>
      <w:r>
        <w:rPr>
          <w:i/>
          <w:spacing w:val="4"/>
          <w:sz w:val="22"/>
          <w:u w:val="none"/>
        </w:rPr>
        <w:t>Measuresfor </w:t>
      </w:r>
      <w:r>
        <w:rPr>
          <w:i/>
          <w:sz w:val="22"/>
          <w:u w:val="none"/>
        </w:rPr>
        <w:t>Part </w:t>
      </w:r>
      <w:r>
        <w:rPr>
          <w:i/>
          <w:spacing w:val="4"/>
          <w:sz w:val="22"/>
          <w:u w:val="none"/>
        </w:rPr>
        <w:t>D</w:t>
      </w:r>
      <w:r>
        <w:rPr>
          <w:spacing w:val="4"/>
          <w:sz w:val="22"/>
          <w:u w:val="none"/>
        </w:rPr>
        <w:t>: </w:t>
      </w:r>
      <w:r>
        <w:rPr>
          <w:spacing w:val="2"/>
          <w:sz w:val="22"/>
          <w:u w:val="none"/>
        </w:rPr>
        <w:t>Overall, </w:t>
      </w:r>
      <w:r>
        <w:rPr>
          <w:sz w:val="22"/>
          <w:u w:val="none"/>
        </w:rPr>
        <w:t>ASHP supports the </w:t>
      </w:r>
      <w:r>
        <w:rPr>
          <w:spacing w:val="2"/>
          <w:sz w:val="22"/>
          <w:u w:val="none"/>
        </w:rPr>
        <w:t>new </w:t>
      </w:r>
      <w:r>
        <w:rPr>
          <w:sz w:val="22"/>
          <w:u w:val="none"/>
        </w:rPr>
        <w:t>measure </w:t>
      </w:r>
      <w:r>
        <w:rPr>
          <w:spacing w:val="2"/>
          <w:sz w:val="22"/>
          <w:u w:val="none"/>
        </w:rPr>
        <w:t>for </w:t>
      </w:r>
      <w:r>
        <w:rPr>
          <w:sz w:val="22"/>
          <w:u w:val="none"/>
        </w:rPr>
        <w:t>Part D, Statin </w:t>
      </w:r>
      <w:r>
        <w:rPr>
          <w:spacing w:val="-3"/>
          <w:sz w:val="22"/>
          <w:u w:val="none"/>
        </w:rPr>
        <w:t>Use </w:t>
      </w:r>
      <w:r>
        <w:rPr>
          <w:spacing w:val="4"/>
          <w:sz w:val="22"/>
          <w:u w:val="none"/>
        </w:rPr>
        <w:t>in </w:t>
      </w:r>
      <w:r>
        <w:rPr>
          <w:sz w:val="22"/>
          <w:u w:val="none"/>
        </w:rPr>
        <w:t>Persons </w:t>
      </w:r>
      <w:r>
        <w:rPr>
          <w:spacing w:val="2"/>
          <w:sz w:val="22"/>
          <w:u w:val="none"/>
        </w:rPr>
        <w:t>with </w:t>
      </w:r>
      <w:r>
        <w:rPr>
          <w:sz w:val="22"/>
          <w:u w:val="none"/>
        </w:rPr>
        <w:t>Diabetes, as </w:t>
      </w:r>
      <w:r>
        <w:rPr>
          <w:spacing w:val="4"/>
          <w:sz w:val="22"/>
          <w:u w:val="none"/>
        </w:rPr>
        <w:t>well </w:t>
      </w:r>
      <w:r>
        <w:rPr>
          <w:sz w:val="22"/>
          <w:u w:val="none"/>
        </w:rPr>
        <w:t>as the changes to the medication adherence measures forhypertension, diabetes medications, and </w:t>
      </w:r>
      <w:r>
        <w:rPr>
          <w:spacing w:val="1"/>
          <w:sz w:val="22"/>
          <w:u w:val="none"/>
        </w:rPr>
        <w:t> </w:t>
      </w:r>
      <w:r>
        <w:rPr>
          <w:sz w:val="22"/>
          <w:u w:val="none"/>
        </w:rPr>
        <w:t>cholesterol.</w:t>
      </w:r>
    </w:p>
    <w:p>
      <w:pPr>
        <w:pStyle w:val="BodyText"/>
        <w:spacing w:before="5"/>
        <w:rPr>
          <w:u w:val="none"/>
        </w:rPr>
      </w:pPr>
    </w:p>
    <w:p>
      <w:pPr>
        <w:pStyle w:val="ListParagraph"/>
        <w:numPr>
          <w:ilvl w:val="1"/>
          <w:numId w:val="3"/>
        </w:numPr>
        <w:tabs>
          <w:tab w:pos="1562" w:val="left" w:leader="none"/>
          <w:tab w:pos="1563" w:val="left" w:leader="none"/>
        </w:tabs>
        <w:spacing w:line="237" w:lineRule="auto" w:before="0" w:after="0"/>
        <w:ind w:left="1563" w:right="107" w:hanging="361"/>
        <w:jc w:val="left"/>
        <w:rPr>
          <w:sz w:val="13"/>
          <w:u w:val="none"/>
        </w:rPr>
      </w:pPr>
      <w:r>
        <w:rPr>
          <w:i/>
          <w:sz w:val="22"/>
          <w:u w:val="none"/>
        </w:rPr>
        <w:t>Non-Warfarin Oral Anticoagulants (ADH-NWOA) measure: </w:t>
      </w:r>
      <w:r>
        <w:rPr>
          <w:spacing w:val="-3"/>
          <w:sz w:val="22"/>
          <w:u w:val="none"/>
        </w:rPr>
        <w:t>We </w:t>
      </w:r>
      <w:r>
        <w:rPr>
          <w:sz w:val="22"/>
          <w:u w:val="none"/>
        </w:rPr>
        <w:t>were pleased to </w:t>
      </w:r>
      <w:r>
        <w:rPr>
          <w:spacing w:val="2"/>
          <w:sz w:val="22"/>
          <w:u w:val="none"/>
        </w:rPr>
        <w:t>see </w:t>
      </w:r>
      <w:r>
        <w:rPr>
          <w:sz w:val="22"/>
          <w:u w:val="none"/>
        </w:rPr>
        <w:t>PQA endorsement of the ADH-NWOA measure. Anticoagulation safety </w:t>
      </w:r>
      <w:r>
        <w:rPr>
          <w:spacing w:val="4"/>
          <w:sz w:val="22"/>
          <w:u w:val="none"/>
        </w:rPr>
        <w:t>is </w:t>
      </w:r>
      <w:r>
        <w:rPr>
          <w:spacing w:val="9"/>
          <w:sz w:val="22"/>
          <w:u w:val="none"/>
        </w:rPr>
        <w:t>akey </w:t>
      </w:r>
      <w:r>
        <w:rPr>
          <w:sz w:val="22"/>
          <w:u w:val="none"/>
        </w:rPr>
        <w:t>priority of the National Action Plan and adherence to </w:t>
      </w:r>
      <w:r>
        <w:rPr>
          <w:spacing w:val="2"/>
          <w:sz w:val="22"/>
          <w:u w:val="none"/>
        </w:rPr>
        <w:t>this new </w:t>
      </w:r>
      <w:r>
        <w:rPr>
          <w:sz w:val="22"/>
          <w:u w:val="none"/>
        </w:rPr>
        <w:t>class of anticoagulants </w:t>
      </w:r>
      <w:r>
        <w:rPr>
          <w:spacing w:val="4"/>
          <w:sz w:val="22"/>
          <w:u w:val="none"/>
        </w:rPr>
        <w:t>is </w:t>
      </w:r>
      <w:r>
        <w:rPr>
          <w:sz w:val="22"/>
          <w:u w:val="none"/>
        </w:rPr>
        <w:t>essential foroptimizing efficacy and safety. </w:t>
      </w:r>
      <w:r>
        <w:rPr>
          <w:spacing w:val="-3"/>
          <w:sz w:val="22"/>
          <w:u w:val="none"/>
        </w:rPr>
        <w:t>We </w:t>
      </w:r>
      <w:r>
        <w:rPr>
          <w:sz w:val="22"/>
          <w:u w:val="none"/>
        </w:rPr>
        <w:t>encourage </w:t>
      </w:r>
      <w:r>
        <w:rPr>
          <w:spacing w:val="-5"/>
          <w:sz w:val="22"/>
          <w:u w:val="none"/>
        </w:rPr>
        <w:t>CMS </w:t>
      </w:r>
      <w:r>
        <w:rPr>
          <w:sz w:val="22"/>
          <w:u w:val="none"/>
        </w:rPr>
        <w:t>to add ADH-NWOA as an adherence measure to the </w:t>
      </w:r>
      <w:r>
        <w:rPr>
          <w:spacing w:val="2"/>
          <w:sz w:val="22"/>
          <w:u w:val="none"/>
        </w:rPr>
        <w:t>Patient </w:t>
      </w:r>
      <w:r>
        <w:rPr>
          <w:sz w:val="22"/>
          <w:u w:val="none"/>
        </w:rPr>
        <w:t>Safety reports to </w:t>
      </w:r>
      <w:r>
        <w:rPr>
          <w:spacing w:val="3"/>
          <w:sz w:val="22"/>
          <w:u w:val="none"/>
        </w:rPr>
        <w:t>emphasizethe </w:t>
      </w:r>
      <w:r>
        <w:rPr>
          <w:sz w:val="22"/>
          <w:u w:val="none"/>
        </w:rPr>
        <w:t>importance of adherence and to capture more post- marketing information on these anticoagulant medications. Further, these medications </w:t>
      </w:r>
      <w:r>
        <w:rPr>
          <w:spacing w:val="-3"/>
          <w:sz w:val="22"/>
          <w:u w:val="none"/>
        </w:rPr>
        <w:t>are </w:t>
      </w:r>
      <w:r>
        <w:rPr>
          <w:sz w:val="22"/>
          <w:u w:val="none"/>
        </w:rPr>
        <w:t>significantly more expensive than warfarin; therefore, adherence </w:t>
      </w:r>
      <w:r>
        <w:rPr>
          <w:spacing w:val="4"/>
          <w:sz w:val="22"/>
          <w:u w:val="none"/>
        </w:rPr>
        <w:t>is </w:t>
      </w:r>
      <w:r>
        <w:rPr>
          <w:sz w:val="22"/>
          <w:u w:val="none"/>
        </w:rPr>
        <w:t>essential </w:t>
      </w:r>
      <w:r>
        <w:rPr>
          <w:spacing w:val="3"/>
          <w:sz w:val="22"/>
          <w:u w:val="none"/>
        </w:rPr>
        <w:t>forensuring </w:t>
      </w:r>
      <w:r>
        <w:rPr>
          <w:sz w:val="22"/>
          <w:u w:val="none"/>
        </w:rPr>
        <w:t>continuous anticoagulation and optimizing </w:t>
      </w:r>
      <w:r>
        <w:rPr>
          <w:spacing w:val="4"/>
          <w:sz w:val="22"/>
          <w:u w:val="none"/>
        </w:rPr>
        <w:t>theirvalue. </w:t>
      </w:r>
      <w:r>
        <w:rPr>
          <w:sz w:val="22"/>
          <w:u w:val="none"/>
        </w:rPr>
        <w:t>Although NWOAs have </w:t>
      </w:r>
      <w:r>
        <w:rPr>
          <w:spacing w:val="6"/>
          <w:sz w:val="22"/>
          <w:u w:val="none"/>
        </w:rPr>
        <w:t>ahigher </w:t>
      </w:r>
      <w:r>
        <w:rPr>
          <w:sz w:val="22"/>
          <w:u w:val="none"/>
        </w:rPr>
        <w:t>adherence percentage than warfarin, studies indicate that </w:t>
      </w:r>
      <w:r>
        <w:rPr>
          <w:spacing w:val="3"/>
          <w:sz w:val="22"/>
          <w:u w:val="none"/>
        </w:rPr>
        <w:t>their </w:t>
      </w:r>
      <w:r>
        <w:rPr>
          <w:sz w:val="22"/>
          <w:u w:val="none"/>
        </w:rPr>
        <w:t>non-adherent rate </w:t>
      </w:r>
      <w:r>
        <w:rPr>
          <w:spacing w:val="4"/>
          <w:sz w:val="22"/>
          <w:u w:val="none"/>
        </w:rPr>
        <w:t>is </w:t>
      </w:r>
      <w:r>
        <w:rPr>
          <w:sz w:val="22"/>
          <w:u w:val="none"/>
        </w:rPr>
        <w:t>as high as </w:t>
      </w:r>
      <w:r>
        <w:rPr>
          <w:spacing w:val="-6"/>
          <w:sz w:val="22"/>
          <w:u w:val="none"/>
        </w:rPr>
        <w:t>50%  </w:t>
      </w:r>
      <w:r>
        <w:rPr>
          <w:spacing w:val="2"/>
          <w:sz w:val="22"/>
          <w:u w:val="none"/>
        </w:rPr>
        <w:t>without</w:t>
      </w:r>
      <w:r>
        <w:rPr>
          <w:spacing w:val="7"/>
          <w:sz w:val="22"/>
          <w:u w:val="none"/>
        </w:rPr>
        <w:t> </w:t>
      </w:r>
      <w:r>
        <w:rPr>
          <w:sz w:val="22"/>
          <w:u w:val="none"/>
        </w:rPr>
        <w:t>interventions.</w:t>
      </w:r>
      <w:r>
        <w:rPr>
          <w:position w:val="10"/>
          <w:sz w:val="13"/>
          <w:u w:val="none"/>
        </w:rPr>
        <w:t>4</w:t>
      </w:r>
    </w:p>
    <w:p>
      <w:pPr>
        <w:pStyle w:val="BodyText"/>
        <w:spacing w:before="5"/>
        <w:rPr>
          <w:u w:val="none"/>
        </w:rPr>
      </w:pPr>
    </w:p>
    <w:p>
      <w:pPr>
        <w:pStyle w:val="ListParagraph"/>
        <w:numPr>
          <w:ilvl w:val="1"/>
          <w:numId w:val="3"/>
        </w:numPr>
        <w:tabs>
          <w:tab w:pos="1562" w:val="left" w:leader="none"/>
          <w:tab w:pos="1563" w:val="left" w:leader="none"/>
        </w:tabs>
        <w:spacing w:line="237" w:lineRule="auto" w:before="0" w:after="0"/>
        <w:ind w:left="1563" w:right="123" w:hanging="361"/>
        <w:jc w:val="left"/>
        <w:rPr>
          <w:sz w:val="22"/>
          <w:u w:val="none"/>
        </w:rPr>
      </w:pPr>
      <w:r>
        <w:rPr>
          <w:i/>
          <w:spacing w:val="2"/>
          <w:sz w:val="22"/>
          <w:u w:val="none"/>
        </w:rPr>
        <w:t>Adherenceto Non-Infused </w:t>
      </w:r>
      <w:r>
        <w:rPr>
          <w:i/>
          <w:sz w:val="22"/>
          <w:u w:val="none"/>
        </w:rPr>
        <w:t>Disease Modifying Agents Used to Treat Multiple Sclerosis: </w:t>
      </w:r>
      <w:r>
        <w:rPr>
          <w:sz w:val="22"/>
          <w:u w:val="none"/>
        </w:rPr>
        <w:t>ASHP appreciates consideration of the measure, Adherence to Non-Infused Disease Modifying Agents Used to Treat Multiple Sclerosis. Despite the </w:t>
      </w:r>
      <w:r>
        <w:rPr>
          <w:spacing w:val="3"/>
          <w:sz w:val="22"/>
          <w:u w:val="none"/>
        </w:rPr>
        <w:t>low </w:t>
      </w:r>
      <w:r>
        <w:rPr>
          <w:sz w:val="22"/>
          <w:u w:val="none"/>
        </w:rPr>
        <w:t>prevalence of multiplesclerosis </w:t>
      </w:r>
      <w:r>
        <w:rPr>
          <w:spacing w:val="4"/>
          <w:sz w:val="22"/>
          <w:u w:val="none"/>
        </w:rPr>
        <w:t>in </w:t>
      </w:r>
      <w:r>
        <w:rPr>
          <w:sz w:val="22"/>
          <w:u w:val="none"/>
        </w:rPr>
        <w:t>the Part D contracts </w:t>
      </w:r>
      <w:r>
        <w:rPr>
          <w:spacing w:val="2"/>
          <w:sz w:val="22"/>
          <w:u w:val="none"/>
        </w:rPr>
        <w:t>evaluated </w:t>
      </w:r>
      <w:r>
        <w:rPr>
          <w:spacing w:val="6"/>
          <w:sz w:val="22"/>
          <w:u w:val="none"/>
        </w:rPr>
        <w:t>forthis </w:t>
      </w:r>
      <w:r>
        <w:rPr>
          <w:sz w:val="22"/>
          <w:u w:val="none"/>
        </w:rPr>
        <w:t>measure, </w:t>
      </w:r>
      <w:r>
        <w:rPr>
          <w:spacing w:val="2"/>
          <w:sz w:val="22"/>
          <w:u w:val="none"/>
        </w:rPr>
        <w:t>this </w:t>
      </w:r>
      <w:r>
        <w:rPr>
          <w:spacing w:val="4"/>
          <w:sz w:val="22"/>
          <w:u w:val="none"/>
        </w:rPr>
        <w:t>is </w:t>
      </w:r>
      <w:r>
        <w:rPr>
          <w:spacing w:val="5"/>
          <w:sz w:val="22"/>
          <w:u w:val="none"/>
        </w:rPr>
        <w:t>adisease </w:t>
      </w:r>
      <w:r>
        <w:rPr>
          <w:sz w:val="22"/>
          <w:u w:val="none"/>
        </w:rPr>
        <w:t>state </w:t>
      </w:r>
      <w:r>
        <w:rPr>
          <w:spacing w:val="2"/>
          <w:sz w:val="22"/>
          <w:u w:val="none"/>
        </w:rPr>
        <w:t>with </w:t>
      </w:r>
      <w:r>
        <w:rPr>
          <w:sz w:val="22"/>
          <w:u w:val="none"/>
        </w:rPr>
        <w:t>high morbidity and healthcare resource consumption. Adherence to therapy </w:t>
      </w:r>
      <w:r>
        <w:rPr>
          <w:spacing w:val="4"/>
          <w:sz w:val="22"/>
          <w:u w:val="none"/>
        </w:rPr>
        <w:t>is </w:t>
      </w:r>
      <w:r>
        <w:rPr>
          <w:sz w:val="22"/>
          <w:u w:val="none"/>
        </w:rPr>
        <w:t>essential to </w:t>
      </w:r>
      <w:r>
        <w:rPr>
          <w:spacing w:val="2"/>
          <w:sz w:val="22"/>
          <w:u w:val="none"/>
        </w:rPr>
        <w:t>prevent </w:t>
      </w:r>
      <w:r>
        <w:rPr>
          <w:sz w:val="22"/>
          <w:u w:val="none"/>
        </w:rPr>
        <w:t>diseaseprogression; </w:t>
      </w:r>
      <w:r>
        <w:rPr>
          <w:spacing w:val="2"/>
          <w:sz w:val="22"/>
          <w:u w:val="none"/>
        </w:rPr>
        <w:t>therefore, </w:t>
      </w:r>
      <w:r>
        <w:rPr>
          <w:spacing w:val="4"/>
          <w:sz w:val="22"/>
          <w:u w:val="none"/>
        </w:rPr>
        <w:t>it is </w:t>
      </w:r>
      <w:r>
        <w:rPr>
          <w:sz w:val="22"/>
          <w:u w:val="none"/>
        </w:rPr>
        <w:t>appropriate to measure. </w:t>
      </w:r>
      <w:r>
        <w:rPr>
          <w:spacing w:val="-3"/>
          <w:sz w:val="22"/>
          <w:u w:val="none"/>
        </w:rPr>
        <w:t>We </w:t>
      </w:r>
      <w:r>
        <w:rPr>
          <w:sz w:val="22"/>
          <w:u w:val="none"/>
        </w:rPr>
        <w:t>support the inclusion of </w:t>
      </w:r>
      <w:r>
        <w:rPr>
          <w:spacing w:val="2"/>
          <w:sz w:val="22"/>
          <w:u w:val="none"/>
        </w:rPr>
        <w:t>this </w:t>
      </w:r>
      <w:r>
        <w:rPr>
          <w:sz w:val="22"/>
          <w:u w:val="none"/>
        </w:rPr>
        <w:t>measure </w:t>
      </w:r>
      <w:r>
        <w:rPr>
          <w:spacing w:val="4"/>
          <w:sz w:val="22"/>
          <w:u w:val="none"/>
        </w:rPr>
        <w:t>in </w:t>
      </w:r>
      <w:r>
        <w:rPr>
          <w:sz w:val="22"/>
          <w:u w:val="none"/>
        </w:rPr>
        <w:t>quarterly </w:t>
      </w:r>
      <w:r>
        <w:rPr>
          <w:spacing w:val="3"/>
          <w:sz w:val="22"/>
          <w:u w:val="none"/>
        </w:rPr>
        <w:t>outlierreports </w:t>
      </w:r>
      <w:r>
        <w:rPr>
          <w:sz w:val="22"/>
          <w:u w:val="none"/>
        </w:rPr>
        <w:t>and request reconsideration </w:t>
      </w:r>
      <w:r>
        <w:rPr>
          <w:spacing w:val="3"/>
          <w:sz w:val="22"/>
          <w:u w:val="none"/>
        </w:rPr>
        <w:t>forfurtherincorporation </w:t>
      </w:r>
      <w:r>
        <w:rPr>
          <w:spacing w:val="2"/>
          <w:sz w:val="22"/>
          <w:u w:val="none"/>
        </w:rPr>
        <w:t>into </w:t>
      </w:r>
      <w:r>
        <w:rPr>
          <w:sz w:val="22"/>
          <w:u w:val="none"/>
        </w:rPr>
        <w:t>the Part D program at a</w:t>
      </w:r>
      <w:r>
        <w:rPr>
          <w:spacing w:val="17"/>
          <w:sz w:val="22"/>
          <w:u w:val="none"/>
        </w:rPr>
        <w:t> </w:t>
      </w:r>
      <w:r>
        <w:rPr>
          <w:spacing w:val="4"/>
          <w:sz w:val="22"/>
          <w:u w:val="none"/>
        </w:rPr>
        <w:t>laterdate.</w:t>
      </w:r>
    </w:p>
    <w:p>
      <w:pPr>
        <w:pStyle w:val="BodyText"/>
        <w:rPr>
          <w:sz w:val="20"/>
          <w:u w:val="none"/>
        </w:rPr>
      </w:pPr>
    </w:p>
    <w:p>
      <w:pPr>
        <w:pStyle w:val="BodyText"/>
        <w:rPr>
          <w:sz w:val="20"/>
          <w:u w:val="none"/>
        </w:rPr>
      </w:pPr>
    </w:p>
    <w:p>
      <w:pPr>
        <w:pStyle w:val="BodyText"/>
        <w:spacing w:before="6"/>
        <w:rPr>
          <w:sz w:val="24"/>
          <w:u w:val="none"/>
        </w:rPr>
      </w:pPr>
      <w:r>
        <w:rPr/>
        <w:pict>
          <v:line style="position:absolute;mso-position-horizontal-relative:page;mso-position-vertical-relative:paragraph;z-index:1072;mso-wrap-distance-left:0;mso-wrap-distance-right:0" from="54.075001pt,17.299368pt" to="198.255001pt,17.299368pt" stroked="true" strokeweight=".75pt" strokecolor="#000000">
            <v:stroke dashstyle="solid"/>
            <w10:wrap type="topAndBottom"/>
          </v:line>
        </w:pict>
      </w:r>
    </w:p>
    <w:p>
      <w:pPr>
        <w:spacing w:line="254" w:lineRule="auto" w:before="37"/>
        <w:ind w:left="121" w:right="7" w:firstLine="0"/>
        <w:jc w:val="left"/>
        <w:rPr>
          <w:sz w:val="19"/>
        </w:rPr>
      </w:pPr>
      <w:r>
        <w:rPr>
          <w:w w:val="105"/>
          <w:position w:val="11"/>
          <w:sz w:val="13"/>
        </w:rPr>
        <w:t>2 </w:t>
      </w:r>
      <w:r>
        <w:rPr>
          <w:i/>
          <w:w w:val="105"/>
          <w:sz w:val="19"/>
        </w:rPr>
        <w:t>See </w:t>
      </w:r>
      <w:r>
        <w:rPr>
          <w:w w:val="105"/>
          <w:sz w:val="19"/>
        </w:rPr>
        <w:t>M.R. DiMatteo, </w:t>
      </w:r>
      <w:r>
        <w:rPr>
          <w:i/>
          <w:w w:val="105"/>
          <w:sz w:val="19"/>
        </w:rPr>
        <w:t>Variations in Patients’ Adherence to Medical Recommendations: A Quantitative Review of 50 years of </w:t>
      </w:r>
      <w:r>
        <w:rPr>
          <w:i/>
          <w:w w:val="105"/>
          <w:sz w:val="19"/>
        </w:rPr>
        <w:t>Research</w:t>
      </w:r>
      <w:r>
        <w:rPr>
          <w:w w:val="105"/>
          <w:sz w:val="19"/>
        </w:rPr>
        <w:t>, M</w:t>
      </w:r>
      <w:r>
        <w:rPr>
          <w:w w:val="105"/>
          <w:sz w:val="16"/>
        </w:rPr>
        <w:t>ED</w:t>
      </w:r>
      <w:r>
        <w:rPr>
          <w:w w:val="105"/>
          <w:sz w:val="19"/>
        </w:rPr>
        <w:t>. C</w:t>
      </w:r>
      <w:r>
        <w:rPr>
          <w:w w:val="105"/>
          <w:sz w:val="16"/>
        </w:rPr>
        <w:t>ARE </w:t>
      </w:r>
      <w:r>
        <w:rPr>
          <w:w w:val="105"/>
          <w:sz w:val="19"/>
        </w:rPr>
        <w:t>(2004), 200–9; </w:t>
      </w:r>
      <w:r>
        <w:rPr>
          <w:i/>
          <w:w w:val="105"/>
          <w:sz w:val="19"/>
        </w:rPr>
        <w:t>See also </w:t>
      </w:r>
      <w:r>
        <w:rPr>
          <w:w w:val="105"/>
          <w:sz w:val="19"/>
        </w:rPr>
        <w:t>D.M. Cutler and W. Everett, </w:t>
      </w:r>
      <w:r>
        <w:rPr>
          <w:i/>
          <w:w w:val="105"/>
          <w:sz w:val="19"/>
        </w:rPr>
        <w:t>Thinking Outside the Pillbox — Medication </w:t>
      </w:r>
      <w:r>
        <w:rPr>
          <w:i/>
          <w:w w:val="105"/>
          <w:sz w:val="19"/>
        </w:rPr>
        <w:t>Adherence as a Priority for Health Care Reform</w:t>
      </w:r>
      <w:r>
        <w:rPr>
          <w:w w:val="105"/>
          <w:sz w:val="19"/>
        </w:rPr>
        <w:t>, N. E</w:t>
      </w:r>
      <w:r>
        <w:rPr>
          <w:w w:val="105"/>
          <w:sz w:val="16"/>
        </w:rPr>
        <w:t>NGL</w:t>
      </w:r>
      <w:r>
        <w:rPr>
          <w:w w:val="105"/>
          <w:sz w:val="19"/>
        </w:rPr>
        <w:t>. J. M</w:t>
      </w:r>
      <w:r>
        <w:rPr>
          <w:w w:val="105"/>
          <w:sz w:val="16"/>
        </w:rPr>
        <w:t>ED</w:t>
      </w:r>
      <w:r>
        <w:rPr>
          <w:w w:val="105"/>
          <w:sz w:val="19"/>
        </w:rPr>
        <w:t>. (2010), 1553–5; A.O. Iuga and M.J. McGuire, Adherence and Health Care Costs, R</w:t>
      </w:r>
      <w:r>
        <w:rPr>
          <w:w w:val="105"/>
          <w:sz w:val="16"/>
        </w:rPr>
        <w:t>ISK </w:t>
      </w:r>
      <w:r>
        <w:rPr>
          <w:w w:val="105"/>
          <w:sz w:val="19"/>
        </w:rPr>
        <w:t>M</w:t>
      </w:r>
      <w:r>
        <w:rPr>
          <w:w w:val="105"/>
          <w:sz w:val="16"/>
        </w:rPr>
        <w:t>AN</w:t>
      </w:r>
      <w:r>
        <w:rPr>
          <w:w w:val="105"/>
          <w:sz w:val="19"/>
        </w:rPr>
        <w:t>. H</w:t>
      </w:r>
      <w:r>
        <w:rPr>
          <w:w w:val="105"/>
          <w:sz w:val="16"/>
        </w:rPr>
        <w:t>EALTH</w:t>
      </w:r>
      <w:r>
        <w:rPr>
          <w:w w:val="105"/>
          <w:sz w:val="19"/>
        </w:rPr>
        <w:t>. P</w:t>
      </w:r>
      <w:r>
        <w:rPr>
          <w:w w:val="105"/>
          <w:sz w:val="16"/>
        </w:rPr>
        <w:t>OL</w:t>
      </w:r>
      <w:r>
        <w:rPr>
          <w:w w:val="105"/>
          <w:sz w:val="19"/>
        </w:rPr>
        <w:t>.(2014), 35–44.</w:t>
      </w:r>
    </w:p>
    <w:p>
      <w:pPr>
        <w:spacing w:line="226" w:lineRule="exact" w:before="0"/>
        <w:ind w:left="121" w:right="0" w:firstLine="0"/>
        <w:jc w:val="left"/>
        <w:rPr>
          <w:i/>
          <w:sz w:val="19"/>
        </w:rPr>
      </w:pPr>
      <w:r>
        <w:rPr>
          <w:w w:val="105"/>
          <w:position w:val="10"/>
          <w:sz w:val="13"/>
        </w:rPr>
        <w:t>3 </w:t>
      </w:r>
      <w:r>
        <w:rPr>
          <w:i/>
          <w:w w:val="105"/>
          <w:sz w:val="19"/>
        </w:rPr>
        <w:t>See </w:t>
      </w:r>
      <w:r>
        <w:rPr>
          <w:w w:val="105"/>
          <w:sz w:val="19"/>
        </w:rPr>
        <w:t>P.M. Ho, A. Lambert-Kerzner, E.P. Carey, </w:t>
      </w:r>
      <w:r>
        <w:rPr>
          <w:i/>
          <w:w w:val="105"/>
          <w:sz w:val="19"/>
        </w:rPr>
        <w:t>et al</w:t>
      </w:r>
      <w:r>
        <w:rPr>
          <w:w w:val="105"/>
          <w:sz w:val="19"/>
        </w:rPr>
        <w:t>., </w:t>
      </w:r>
      <w:r>
        <w:rPr>
          <w:i/>
          <w:w w:val="105"/>
          <w:sz w:val="19"/>
        </w:rPr>
        <w:t>Multifaceted Intervention to Improve Medication Adherence and</w:t>
      </w:r>
    </w:p>
    <w:p>
      <w:pPr>
        <w:spacing w:line="254" w:lineRule="auto" w:before="24"/>
        <w:ind w:left="121" w:right="583" w:firstLine="0"/>
        <w:jc w:val="left"/>
        <w:rPr>
          <w:sz w:val="19"/>
        </w:rPr>
      </w:pPr>
      <w:r>
        <w:rPr>
          <w:i/>
          <w:w w:val="105"/>
          <w:sz w:val="19"/>
        </w:rPr>
        <w:t>Secondary Prevention Measures after Acute Coronary Syndrome Hospital Discharge: A Randomized Clinical Trial</w:t>
      </w:r>
      <w:r>
        <w:rPr>
          <w:w w:val="105"/>
          <w:sz w:val="19"/>
        </w:rPr>
        <w:t>. JAMA Intern. Med. (2014,186–93; </w:t>
      </w:r>
      <w:r>
        <w:rPr>
          <w:i/>
          <w:w w:val="105"/>
          <w:sz w:val="19"/>
        </w:rPr>
        <w:t>See also </w:t>
      </w:r>
      <w:r>
        <w:rPr>
          <w:w w:val="105"/>
          <w:sz w:val="19"/>
        </w:rPr>
        <w:t>A.B. Neiman, T. Ruppar, M. Ho, </w:t>
      </w:r>
      <w:r>
        <w:rPr>
          <w:i/>
          <w:w w:val="105"/>
          <w:sz w:val="19"/>
        </w:rPr>
        <w:t>et al</w:t>
      </w:r>
      <w:r>
        <w:rPr>
          <w:w w:val="105"/>
          <w:sz w:val="19"/>
        </w:rPr>
        <w:t>., </w:t>
      </w:r>
      <w:r>
        <w:rPr>
          <w:i/>
          <w:w w:val="105"/>
          <w:sz w:val="19"/>
        </w:rPr>
        <w:t>CDC Grand Rounds: Improving Medication </w:t>
      </w:r>
      <w:r>
        <w:rPr>
          <w:i/>
          <w:w w:val="105"/>
          <w:sz w:val="19"/>
        </w:rPr>
        <w:t>Adherence for Chronic Disease Management — Innovations and Opportunities</w:t>
      </w:r>
      <w:r>
        <w:rPr>
          <w:w w:val="105"/>
          <w:sz w:val="19"/>
        </w:rPr>
        <w:t>, M</w:t>
      </w:r>
      <w:r>
        <w:rPr>
          <w:w w:val="105"/>
          <w:sz w:val="16"/>
        </w:rPr>
        <w:t>ORB</w:t>
      </w:r>
      <w:r>
        <w:rPr>
          <w:w w:val="105"/>
          <w:sz w:val="19"/>
        </w:rPr>
        <w:t>. M</w:t>
      </w:r>
      <w:r>
        <w:rPr>
          <w:w w:val="105"/>
          <w:sz w:val="16"/>
        </w:rPr>
        <w:t>ORTAL</w:t>
      </w:r>
      <w:r>
        <w:rPr>
          <w:w w:val="105"/>
          <w:sz w:val="19"/>
        </w:rPr>
        <w:t>. W</w:t>
      </w:r>
      <w:r>
        <w:rPr>
          <w:w w:val="105"/>
          <w:sz w:val="16"/>
        </w:rPr>
        <w:t>KLY</w:t>
      </w:r>
      <w:r>
        <w:rPr>
          <w:w w:val="105"/>
          <w:sz w:val="19"/>
        </w:rPr>
        <w:t>. R</w:t>
      </w:r>
      <w:r>
        <w:rPr>
          <w:w w:val="105"/>
          <w:sz w:val="16"/>
        </w:rPr>
        <w:t>EP</w:t>
      </w:r>
      <w:r>
        <w:rPr>
          <w:w w:val="105"/>
          <w:sz w:val="19"/>
        </w:rPr>
        <w:t>. (2017), 66, </w:t>
      </w:r>
      <w:r>
        <w:rPr>
          <w:i/>
          <w:sz w:val="19"/>
        </w:rPr>
        <w:t>available   at   </w:t>
      </w:r>
      <w:r>
        <w:rPr>
          <w:sz w:val="19"/>
        </w:rPr>
        <w:t>https:</w:t>
      </w:r>
      <w:hyperlink r:id="rId9">
        <w:r>
          <w:rPr>
            <w:sz w:val="19"/>
          </w:rPr>
          <w:t>//w</w:t>
        </w:r>
      </w:hyperlink>
      <w:r>
        <w:rPr>
          <w:sz w:val="19"/>
        </w:rPr>
        <w:t>ww</w:t>
      </w:r>
      <w:hyperlink r:id="rId9">
        <w:r>
          <w:rPr>
            <w:sz w:val="19"/>
          </w:rPr>
          <w:t>.cdc.gov/mmwr/volumes/66/wr/mm6645a2.htm.</w:t>
        </w:r>
      </w:hyperlink>
    </w:p>
    <w:p>
      <w:pPr>
        <w:spacing w:line="226" w:lineRule="exact" w:before="0"/>
        <w:ind w:left="121" w:right="0" w:firstLine="0"/>
        <w:jc w:val="left"/>
        <w:rPr>
          <w:sz w:val="19"/>
        </w:rPr>
      </w:pPr>
      <w:r>
        <w:rPr>
          <w:w w:val="105"/>
          <w:position w:val="10"/>
          <w:sz w:val="13"/>
        </w:rPr>
        <w:t>4 </w:t>
      </w:r>
      <w:r>
        <w:rPr>
          <w:i/>
          <w:w w:val="105"/>
          <w:sz w:val="19"/>
        </w:rPr>
        <w:t>See </w:t>
      </w:r>
      <w:r>
        <w:rPr>
          <w:w w:val="105"/>
          <w:sz w:val="19"/>
        </w:rPr>
        <w:t>Cate H.Ten, </w:t>
      </w:r>
      <w:r>
        <w:rPr>
          <w:i/>
          <w:w w:val="105"/>
          <w:sz w:val="19"/>
        </w:rPr>
        <w:t>New Oral Anticoagulants: Discussion on Monitoring and Adherence Should Start Now, </w:t>
      </w:r>
      <w:r>
        <w:rPr>
          <w:w w:val="105"/>
          <w:sz w:val="19"/>
        </w:rPr>
        <w:t>T</w:t>
      </w:r>
      <w:r>
        <w:rPr>
          <w:w w:val="105"/>
          <w:sz w:val="16"/>
        </w:rPr>
        <w:t>HROMB</w:t>
      </w:r>
      <w:r>
        <w:rPr>
          <w:w w:val="105"/>
          <w:sz w:val="19"/>
        </w:rPr>
        <w:t>. J., (2013),</w:t>
      </w:r>
    </w:p>
    <w:p>
      <w:pPr>
        <w:spacing w:line="247" w:lineRule="auto" w:before="8"/>
        <w:ind w:left="121" w:right="0" w:firstLine="0"/>
        <w:jc w:val="left"/>
        <w:rPr>
          <w:sz w:val="19"/>
        </w:rPr>
      </w:pPr>
      <w:r>
        <w:rPr>
          <w:w w:val="105"/>
          <w:sz w:val="19"/>
        </w:rPr>
        <w:t>8; </w:t>
      </w:r>
      <w:r>
        <w:rPr>
          <w:i/>
          <w:w w:val="105"/>
          <w:sz w:val="19"/>
        </w:rPr>
        <w:t>See also </w:t>
      </w:r>
      <w:r>
        <w:rPr>
          <w:w w:val="105"/>
          <w:sz w:val="19"/>
        </w:rPr>
        <w:t>R.A. Rodriguez RA, M.Carrier, and P.S. Wells, </w:t>
      </w:r>
      <w:r>
        <w:rPr>
          <w:i/>
          <w:w w:val="105"/>
          <w:sz w:val="19"/>
        </w:rPr>
        <w:t>Non-Adherence to New Oral Anticoagulants: A Reason for Concern </w:t>
      </w:r>
      <w:r>
        <w:rPr>
          <w:i/>
          <w:w w:val="105"/>
          <w:sz w:val="19"/>
        </w:rPr>
        <w:t>During Long-Term Anticoagulation?</w:t>
      </w:r>
      <w:r>
        <w:rPr>
          <w:w w:val="105"/>
          <w:sz w:val="19"/>
        </w:rPr>
        <w:t>, J. T</w:t>
      </w:r>
      <w:r>
        <w:rPr>
          <w:w w:val="105"/>
          <w:sz w:val="16"/>
        </w:rPr>
        <w:t>HROMB</w:t>
      </w:r>
      <w:r>
        <w:rPr>
          <w:w w:val="105"/>
          <w:sz w:val="19"/>
        </w:rPr>
        <w:t>. H</w:t>
      </w:r>
      <w:r>
        <w:rPr>
          <w:w w:val="105"/>
          <w:sz w:val="16"/>
        </w:rPr>
        <w:t>AEMOST</w:t>
      </w:r>
      <w:r>
        <w:rPr>
          <w:w w:val="105"/>
          <w:sz w:val="19"/>
        </w:rPr>
        <w:t>. (2013), 390–394.</w:t>
      </w:r>
    </w:p>
    <w:p>
      <w:pPr>
        <w:spacing w:after="0" w:line="247" w:lineRule="auto"/>
        <w:jc w:val="left"/>
        <w:rPr>
          <w:sz w:val="19"/>
        </w:rPr>
        <w:sectPr>
          <w:pgSz w:w="12240" w:h="15840"/>
          <w:pgMar w:header="1918" w:footer="0" w:top="2680" w:bottom="280" w:left="960" w:right="980"/>
        </w:sectPr>
      </w:pPr>
    </w:p>
    <w:p>
      <w:pPr>
        <w:pStyle w:val="BodyText"/>
        <w:rPr>
          <w:sz w:val="20"/>
          <w:u w:val="none"/>
        </w:rPr>
      </w:pPr>
    </w:p>
    <w:p>
      <w:pPr>
        <w:pStyle w:val="BodyText"/>
        <w:spacing w:before="10"/>
        <w:rPr>
          <w:sz w:val="15"/>
          <w:u w:val="none"/>
        </w:rPr>
      </w:pPr>
    </w:p>
    <w:p>
      <w:pPr>
        <w:pStyle w:val="ListParagraph"/>
        <w:numPr>
          <w:ilvl w:val="0"/>
          <w:numId w:val="3"/>
        </w:numPr>
        <w:tabs>
          <w:tab w:pos="841" w:val="left" w:leader="none"/>
          <w:tab w:pos="842" w:val="left" w:leader="none"/>
        </w:tabs>
        <w:spacing w:line="240" w:lineRule="auto" w:before="93" w:after="0"/>
        <w:ind w:left="842" w:right="116" w:hanging="360"/>
        <w:jc w:val="left"/>
        <w:rPr>
          <w:sz w:val="22"/>
          <w:u w:val="none"/>
        </w:rPr>
      </w:pPr>
      <w:r>
        <w:rPr>
          <w:sz w:val="22"/>
          <w:u w:val="single"/>
        </w:rPr>
        <w:t>Polypharmacy Measures</w:t>
      </w:r>
      <w:r>
        <w:rPr>
          <w:sz w:val="22"/>
          <w:u w:val="none"/>
        </w:rPr>
        <w:t>: ASHP supports adding the following polypharmacy measures to the </w:t>
      </w:r>
      <w:r>
        <w:rPr>
          <w:spacing w:val="2"/>
          <w:sz w:val="22"/>
          <w:u w:val="none"/>
        </w:rPr>
        <w:t>Patient </w:t>
      </w:r>
      <w:r>
        <w:rPr>
          <w:sz w:val="22"/>
          <w:u w:val="none"/>
        </w:rPr>
        <w:t>Safety reports </w:t>
      </w:r>
      <w:r>
        <w:rPr>
          <w:spacing w:val="5"/>
          <w:sz w:val="22"/>
          <w:u w:val="none"/>
        </w:rPr>
        <w:t>forthe </w:t>
      </w:r>
      <w:r>
        <w:rPr>
          <w:spacing w:val="-7"/>
          <w:sz w:val="22"/>
          <w:u w:val="none"/>
        </w:rPr>
        <w:t>2018 </w:t>
      </w:r>
      <w:r>
        <w:rPr>
          <w:sz w:val="22"/>
          <w:u w:val="none"/>
        </w:rPr>
        <w:t>plan year and to the </w:t>
      </w:r>
      <w:r>
        <w:rPr>
          <w:spacing w:val="2"/>
          <w:sz w:val="22"/>
          <w:u w:val="none"/>
        </w:rPr>
        <w:t>display </w:t>
      </w:r>
      <w:r>
        <w:rPr>
          <w:sz w:val="22"/>
          <w:u w:val="none"/>
        </w:rPr>
        <w:t>page and Star Ratings </w:t>
      </w:r>
      <w:r>
        <w:rPr>
          <w:spacing w:val="4"/>
          <w:sz w:val="22"/>
          <w:u w:val="none"/>
        </w:rPr>
        <w:t>in </w:t>
      </w:r>
      <w:r>
        <w:rPr>
          <w:spacing w:val="2"/>
          <w:sz w:val="22"/>
          <w:u w:val="none"/>
        </w:rPr>
        <w:t>subsequent </w:t>
      </w:r>
      <w:r>
        <w:rPr>
          <w:sz w:val="22"/>
          <w:u w:val="none"/>
        </w:rPr>
        <w:t>years — Polypharmacy: </w:t>
      </w:r>
      <w:r>
        <w:rPr>
          <w:spacing w:val="-3"/>
          <w:sz w:val="22"/>
          <w:u w:val="none"/>
        </w:rPr>
        <w:t>Use </w:t>
      </w:r>
      <w:r>
        <w:rPr>
          <w:sz w:val="22"/>
          <w:u w:val="none"/>
        </w:rPr>
        <w:t>of Multiple Anticholinergic(ACH) Medications </w:t>
      </w:r>
      <w:r>
        <w:rPr>
          <w:spacing w:val="4"/>
          <w:sz w:val="22"/>
          <w:u w:val="none"/>
        </w:rPr>
        <w:t>in </w:t>
      </w:r>
      <w:r>
        <w:rPr>
          <w:spacing w:val="3"/>
          <w:sz w:val="22"/>
          <w:u w:val="none"/>
        </w:rPr>
        <w:t>Older </w:t>
      </w:r>
      <w:r>
        <w:rPr>
          <w:sz w:val="22"/>
          <w:u w:val="none"/>
        </w:rPr>
        <w:t>Adults (Poly-ACH), Polypharmacy: </w:t>
      </w:r>
      <w:r>
        <w:rPr>
          <w:spacing w:val="-3"/>
          <w:sz w:val="22"/>
          <w:u w:val="none"/>
        </w:rPr>
        <w:t>Use </w:t>
      </w:r>
      <w:r>
        <w:rPr>
          <w:sz w:val="22"/>
          <w:u w:val="none"/>
        </w:rPr>
        <w:t>of Multiple Central Nervous System (CNS) </w:t>
      </w:r>
      <w:r>
        <w:rPr>
          <w:spacing w:val="-3"/>
          <w:sz w:val="22"/>
          <w:u w:val="none"/>
        </w:rPr>
        <w:t>-Active </w:t>
      </w:r>
      <w:r>
        <w:rPr>
          <w:sz w:val="22"/>
          <w:u w:val="none"/>
        </w:rPr>
        <w:t>Medications </w:t>
      </w:r>
      <w:r>
        <w:rPr>
          <w:spacing w:val="4"/>
          <w:sz w:val="22"/>
          <w:u w:val="none"/>
        </w:rPr>
        <w:t>in </w:t>
      </w:r>
      <w:r>
        <w:rPr>
          <w:spacing w:val="3"/>
          <w:sz w:val="22"/>
          <w:u w:val="none"/>
        </w:rPr>
        <w:t>Older </w:t>
      </w:r>
      <w:r>
        <w:rPr>
          <w:sz w:val="22"/>
          <w:u w:val="none"/>
        </w:rPr>
        <w:t>Adults </w:t>
      </w:r>
      <w:r>
        <w:rPr>
          <w:spacing w:val="2"/>
          <w:sz w:val="22"/>
          <w:u w:val="none"/>
        </w:rPr>
        <w:t>(Poly- CNS), </w:t>
      </w:r>
      <w:r>
        <w:rPr>
          <w:sz w:val="22"/>
          <w:u w:val="none"/>
        </w:rPr>
        <w:t>and Concurrent </w:t>
      </w:r>
      <w:r>
        <w:rPr>
          <w:spacing w:val="-3"/>
          <w:sz w:val="22"/>
          <w:u w:val="none"/>
        </w:rPr>
        <w:t>Use </w:t>
      </w:r>
      <w:r>
        <w:rPr>
          <w:sz w:val="22"/>
          <w:u w:val="none"/>
        </w:rPr>
        <w:t>of </w:t>
      </w:r>
      <w:r>
        <w:rPr>
          <w:spacing w:val="2"/>
          <w:sz w:val="22"/>
          <w:u w:val="none"/>
        </w:rPr>
        <w:t>Opioids </w:t>
      </w:r>
      <w:r>
        <w:rPr>
          <w:sz w:val="22"/>
          <w:u w:val="none"/>
        </w:rPr>
        <w:t>and Benzodiazepines. The Poly-ACH and Poly-CNS measures </w:t>
      </w:r>
      <w:r>
        <w:rPr>
          <w:spacing w:val="4"/>
          <w:sz w:val="22"/>
          <w:u w:val="none"/>
        </w:rPr>
        <w:t>link </w:t>
      </w:r>
      <w:r>
        <w:rPr>
          <w:sz w:val="22"/>
          <w:u w:val="none"/>
        </w:rPr>
        <w:t>to the evidence-based Beers Criteria from the American Geriatrics Society </w:t>
      </w:r>
      <w:r>
        <w:rPr>
          <w:spacing w:val="5"/>
          <w:sz w:val="22"/>
          <w:u w:val="none"/>
        </w:rPr>
        <w:t>forthe </w:t>
      </w:r>
      <w:r>
        <w:rPr>
          <w:sz w:val="22"/>
          <w:u w:val="none"/>
        </w:rPr>
        <w:t>purpose of promoting medication safety </w:t>
      </w:r>
      <w:r>
        <w:rPr>
          <w:spacing w:val="4"/>
          <w:sz w:val="22"/>
          <w:u w:val="none"/>
        </w:rPr>
        <w:t>in </w:t>
      </w:r>
      <w:r>
        <w:rPr>
          <w:spacing w:val="3"/>
          <w:sz w:val="22"/>
          <w:u w:val="none"/>
        </w:rPr>
        <w:t>olderadults, </w:t>
      </w:r>
      <w:r>
        <w:rPr>
          <w:sz w:val="22"/>
          <w:u w:val="none"/>
        </w:rPr>
        <w:t>which </w:t>
      </w:r>
      <w:r>
        <w:rPr>
          <w:spacing w:val="4"/>
          <w:sz w:val="22"/>
          <w:u w:val="none"/>
        </w:rPr>
        <w:t>is </w:t>
      </w:r>
      <w:r>
        <w:rPr>
          <w:sz w:val="22"/>
          <w:u w:val="none"/>
        </w:rPr>
        <w:t>particularly important </w:t>
      </w:r>
      <w:r>
        <w:rPr>
          <w:spacing w:val="4"/>
          <w:sz w:val="22"/>
          <w:u w:val="none"/>
        </w:rPr>
        <w:t>in </w:t>
      </w:r>
      <w:r>
        <w:rPr>
          <w:sz w:val="22"/>
          <w:u w:val="none"/>
        </w:rPr>
        <w:t>the Part D population. Highlighting the prevalence of polypharmacy with these measures will provide valuable information to pharmacists and plans and </w:t>
      </w:r>
      <w:r>
        <w:rPr>
          <w:spacing w:val="4"/>
          <w:sz w:val="22"/>
          <w:u w:val="none"/>
        </w:rPr>
        <w:t>will </w:t>
      </w:r>
      <w:r>
        <w:rPr>
          <w:spacing w:val="2"/>
          <w:sz w:val="22"/>
          <w:u w:val="none"/>
        </w:rPr>
        <w:t>allow </w:t>
      </w:r>
      <w:r>
        <w:rPr>
          <w:sz w:val="22"/>
          <w:u w:val="none"/>
        </w:rPr>
        <w:t>measure performance monitoring before transitioning </w:t>
      </w:r>
      <w:r>
        <w:rPr>
          <w:spacing w:val="2"/>
          <w:sz w:val="22"/>
          <w:u w:val="none"/>
        </w:rPr>
        <w:t>thesemeasures </w:t>
      </w:r>
      <w:r>
        <w:rPr>
          <w:sz w:val="22"/>
          <w:u w:val="none"/>
        </w:rPr>
        <w:t>to the Star Ratings. With respect to the Concurrent </w:t>
      </w:r>
      <w:r>
        <w:rPr>
          <w:spacing w:val="-3"/>
          <w:sz w:val="22"/>
          <w:u w:val="none"/>
        </w:rPr>
        <w:t>Use </w:t>
      </w:r>
      <w:r>
        <w:rPr>
          <w:sz w:val="22"/>
          <w:u w:val="none"/>
        </w:rPr>
        <w:t>of </w:t>
      </w:r>
      <w:r>
        <w:rPr>
          <w:spacing w:val="2"/>
          <w:sz w:val="22"/>
          <w:u w:val="none"/>
        </w:rPr>
        <w:t>Opioids </w:t>
      </w:r>
      <w:r>
        <w:rPr>
          <w:sz w:val="22"/>
          <w:u w:val="none"/>
        </w:rPr>
        <w:t>and Benzodiazepines (COB), we agree that </w:t>
      </w:r>
      <w:r>
        <w:rPr>
          <w:spacing w:val="2"/>
          <w:sz w:val="22"/>
          <w:u w:val="none"/>
        </w:rPr>
        <w:t>this </w:t>
      </w:r>
      <w:r>
        <w:rPr>
          <w:spacing w:val="4"/>
          <w:sz w:val="22"/>
          <w:u w:val="none"/>
        </w:rPr>
        <w:t>is </w:t>
      </w:r>
      <w:r>
        <w:rPr>
          <w:sz w:val="22"/>
          <w:u w:val="none"/>
        </w:rPr>
        <w:t>an important patient safety consideration; </w:t>
      </w:r>
      <w:r>
        <w:rPr>
          <w:spacing w:val="4"/>
          <w:sz w:val="22"/>
          <w:u w:val="none"/>
        </w:rPr>
        <w:t>it </w:t>
      </w:r>
      <w:r>
        <w:rPr>
          <w:spacing w:val="3"/>
          <w:sz w:val="22"/>
          <w:u w:val="none"/>
        </w:rPr>
        <w:t>enables </w:t>
      </w:r>
      <w:r>
        <w:rPr>
          <w:sz w:val="22"/>
          <w:u w:val="none"/>
        </w:rPr>
        <w:t>adherenceto the CDC Guideline </w:t>
      </w:r>
      <w:r>
        <w:rPr>
          <w:spacing w:val="2"/>
          <w:sz w:val="22"/>
          <w:u w:val="none"/>
        </w:rPr>
        <w:t>for </w:t>
      </w:r>
      <w:r>
        <w:rPr>
          <w:sz w:val="22"/>
          <w:u w:val="none"/>
        </w:rPr>
        <w:t>Prescribing Opioids </w:t>
      </w:r>
      <w:r>
        <w:rPr>
          <w:spacing w:val="2"/>
          <w:sz w:val="22"/>
          <w:u w:val="none"/>
        </w:rPr>
        <w:t>for </w:t>
      </w:r>
      <w:r>
        <w:rPr>
          <w:sz w:val="22"/>
          <w:u w:val="none"/>
        </w:rPr>
        <w:t>Chronic </w:t>
      </w:r>
      <w:r>
        <w:rPr>
          <w:spacing w:val="3"/>
          <w:sz w:val="22"/>
          <w:u w:val="none"/>
        </w:rPr>
        <w:t>Pain, </w:t>
      </w:r>
      <w:r>
        <w:rPr>
          <w:sz w:val="22"/>
          <w:u w:val="none"/>
        </w:rPr>
        <w:t>which states that </w:t>
      </w:r>
      <w:r>
        <w:rPr>
          <w:spacing w:val="3"/>
          <w:sz w:val="22"/>
          <w:u w:val="none"/>
        </w:rPr>
        <w:t>opioid </w:t>
      </w:r>
      <w:r>
        <w:rPr>
          <w:sz w:val="22"/>
          <w:u w:val="none"/>
        </w:rPr>
        <w:t>pain medications and benzodiazepines </w:t>
      </w:r>
      <w:r>
        <w:rPr>
          <w:spacing w:val="2"/>
          <w:sz w:val="22"/>
          <w:u w:val="none"/>
        </w:rPr>
        <w:t>should </w:t>
      </w:r>
      <w:r>
        <w:rPr>
          <w:sz w:val="22"/>
          <w:u w:val="none"/>
        </w:rPr>
        <w:t>not be co-prescribed.</w:t>
      </w:r>
      <w:r>
        <w:rPr>
          <w:position w:val="10"/>
          <w:sz w:val="13"/>
          <w:u w:val="none"/>
        </w:rPr>
        <w:t>5 </w:t>
      </w:r>
      <w:r>
        <w:rPr>
          <w:sz w:val="22"/>
          <w:u w:val="none"/>
        </w:rPr>
        <w:t>Overall, we commend PQA </w:t>
      </w:r>
      <w:r>
        <w:rPr>
          <w:spacing w:val="5"/>
          <w:sz w:val="22"/>
          <w:u w:val="none"/>
        </w:rPr>
        <w:t>forthe </w:t>
      </w:r>
      <w:r>
        <w:rPr>
          <w:sz w:val="22"/>
          <w:u w:val="none"/>
        </w:rPr>
        <w:t>development of </w:t>
      </w:r>
      <w:r>
        <w:rPr>
          <w:spacing w:val="2"/>
          <w:sz w:val="22"/>
          <w:u w:val="none"/>
        </w:rPr>
        <w:t>multipleopioid </w:t>
      </w:r>
      <w:r>
        <w:rPr>
          <w:sz w:val="22"/>
          <w:u w:val="none"/>
        </w:rPr>
        <w:t>utilization-related quality measures to address opioid </w:t>
      </w:r>
      <w:r>
        <w:rPr>
          <w:spacing w:val="4"/>
          <w:sz w:val="22"/>
          <w:u w:val="none"/>
        </w:rPr>
        <w:t>overusein </w:t>
      </w:r>
      <w:r>
        <w:rPr>
          <w:sz w:val="22"/>
          <w:u w:val="none"/>
        </w:rPr>
        <w:t>the Part D program.  Specifically, </w:t>
      </w:r>
      <w:r>
        <w:rPr>
          <w:spacing w:val="3"/>
          <w:sz w:val="22"/>
          <w:u w:val="none"/>
        </w:rPr>
        <w:t>we </w:t>
      </w:r>
      <w:r>
        <w:rPr>
          <w:spacing w:val="2"/>
          <w:sz w:val="22"/>
          <w:u w:val="none"/>
        </w:rPr>
        <w:t>look </w:t>
      </w:r>
      <w:r>
        <w:rPr>
          <w:sz w:val="22"/>
          <w:u w:val="none"/>
        </w:rPr>
        <w:t>forward to NQF’s endorsement consideration of the </w:t>
      </w:r>
      <w:r>
        <w:rPr>
          <w:spacing w:val="2"/>
          <w:sz w:val="22"/>
          <w:u w:val="none"/>
        </w:rPr>
        <w:t>COBmeasure </w:t>
      </w:r>
      <w:r>
        <w:rPr>
          <w:spacing w:val="4"/>
          <w:sz w:val="22"/>
          <w:u w:val="none"/>
        </w:rPr>
        <w:t>in </w:t>
      </w:r>
      <w:r>
        <w:rPr>
          <w:sz w:val="22"/>
          <w:u w:val="none"/>
        </w:rPr>
        <w:t>the </w:t>
      </w:r>
      <w:r>
        <w:rPr>
          <w:spacing w:val="5"/>
          <w:sz w:val="22"/>
          <w:u w:val="none"/>
        </w:rPr>
        <w:t>nearfuture. </w:t>
      </w:r>
      <w:r>
        <w:rPr>
          <w:sz w:val="22"/>
          <w:u w:val="none"/>
        </w:rPr>
        <w:t>Until then, </w:t>
      </w:r>
      <w:r>
        <w:rPr>
          <w:spacing w:val="-6"/>
          <w:sz w:val="22"/>
          <w:u w:val="none"/>
        </w:rPr>
        <w:t>we </w:t>
      </w:r>
      <w:r>
        <w:rPr>
          <w:sz w:val="22"/>
          <w:u w:val="none"/>
        </w:rPr>
        <w:t>support the addition of </w:t>
      </w:r>
      <w:r>
        <w:rPr>
          <w:spacing w:val="2"/>
          <w:sz w:val="22"/>
          <w:u w:val="none"/>
        </w:rPr>
        <w:t>this </w:t>
      </w:r>
      <w:r>
        <w:rPr>
          <w:sz w:val="22"/>
          <w:u w:val="none"/>
        </w:rPr>
        <w:t>measure to the </w:t>
      </w:r>
      <w:r>
        <w:rPr>
          <w:spacing w:val="2"/>
          <w:sz w:val="22"/>
          <w:u w:val="none"/>
        </w:rPr>
        <w:t>Patient </w:t>
      </w:r>
      <w:r>
        <w:rPr>
          <w:sz w:val="22"/>
          <w:u w:val="none"/>
        </w:rPr>
        <w:t>Safety report </w:t>
      </w:r>
      <w:r>
        <w:rPr>
          <w:spacing w:val="5"/>
          <w:sz w:val="22"/>
          <w:u w:val="none"/>
        </w:rPr>
        <w:t>forthe </w:t>
      </w:r>
      <w:r>
        <w:rPr>
          <w:spacing w:val="-7"/>
          <w:sz w:val="22"/>
          <w:u w:val="none"/>
        </w:rPr>
        <w:t>2018 </w:t>
      </w:r>
      <w:r>
        <w:rPr>
          <w:sz w:val="22"/>
          <w:u w:val="none"/>
        </w:rPr>
        <w:t>measurement year. </w:t>
      </w:r>
      <w:r>
        <w:rPr>
          <w:spacing w:val="2"/>
          <w:sz w:val="22"/>
          <w:u w:val="none"/>
        </w:rPr>
        <w:t>Given </w:t>
      </w:r>
      <w:r>
        <w:rPr>
          <w:sz w:val="22"/>
          <w:u w:val="none"/>
        </w:rPr>
        <w:t>that the </w:t>
      </w:r>
      <w:r>
        <w:rPr>
          <w:spacing w:val="3"/>
          <w:sz w:val="22"/>
          <w:u w:val="none"/>
        </w:rPr>
        <w:t>Opioid </w:t>
      </w:r>
      <w:r>
        <w:rPr>
          <w:sz w:val="22"/>
          <w:u w:val="none"/>
        </w:rPr>
        <w:t>Management System (OMS) identifies concomitant use of </w:t>
      </w:r>
      <w:r>
        <w:rPr>
          <w:spacing w:val="2"/>
          <w:sz w:val="22"/>
          <w:u w:val="none"/>
        </w:rPr>
        <w:t>opioids </w:t>
      </w:r>
      <w:r>
        <w:rPr>
          <w:sz w:val="22"/>
          <w:u w:val="none"/>
        </w:rPr>
        <w:t>and benzodiazepines and that the </w:t>
      </w:r>
      <w:r>
        <w:rPr>
          <w:spacing w:val="3"/>
          <w:sz w:val="22"/>
          <w:u w:val="none"/>
        </w:rPr>
        <w:t>Poly-CNS </w:t>
      </w:r>
      <w:r>
        <w:rPr>
          <w:spacing w:val="2"/>
          <w:sz w:val="22"/>
          <w:u w:val="none"/>
        </w:rPr>
        <w:t>measurealso </w:t>
      </w:r>
      <w:r>
        <w:rPr>
          <w:sz w:val="22"/>
          <w:u w:val="none"/>
        </w:rPr>
        <w:t>captures </w:t>
      </w:r>
      <w:r>
        <w:rPr>
          <w:spacing w:val="2"/>
          <w:sz w:val="22"/>
          <w:u w:val="none"/>
        </w:rPr>
        <w:t>this </w:t>
      </w:r>
      <w:r>
        <w:rPr>
          <w:sz w:val="22"/>
          <w:u w:val="none"/>
        </w:rPr>
        <w:t>prevalence </w:t>
      </w:r>
      <w:r>
        <w:rPr>
          <w:spacing w:val="-3"/>
          <w:sz w:val="22"/>
          <w:u w:val="none"/>
        </w:rPr>
        <w:t>information, </w:t>
      </w:r>
      <w:r>
        <w:rPr>
          <w:sz w:val="22"/>
          <w:u w:val="none"/>
        </w:rPr>
        <w:t>we encourage careful </w:t>
      </w:r>
      <w:r>
        <w:rPr>
          <w:spacing w:val="2"/>
          <w:sz w:val="22"/>
          <w:u w:val="none"/>
        </w:rPr>
        <w:t>evaluation </w:t>
      </w:r>
      <w:r>
        <w:rPr>
          <w:sz w:val="22"/>
          <w:u w:val="none"/>
        </w:rPr>
        <w:t>as to which monitoring mechanism provides the most utility while minimizing related or competing measures </w:t>
      </w:r>
      <w:r>
        <w:rPr>
          <w:spacing w:val="4"/>
          <w:sz w:val="22"/>
          <w:u w:val="none"/>
        </w:rPr>
        <w:t>in </w:t>
      </w:r>
      <w:r>
        <w:rPr>
          <w:sz w:val="22"/>
          <w:u w:val="none"/>
        </w:rPr>
        <w:t>the marketplace. </w:t>
      </w:r>
      <w:r>
        <w:rPr>
          <w:spacing w:val="-3"/>
          <w:sz w:val="22"/>
          <w:u w:val="none"/>
        </w:rPr>
        <w:t>We </w:t>
      </w:r>
      <w:r>
        <w:rPr>
          <w:sz w:val="22"/>
          <w:u w:val="none"/>
        </w:rPr>
        <w:t>appreciate CMS’s allowance of </w:t>
      </w:r>
      <w:r>
        <w:rPr>
          <w:spacing w:val="7"/>
          <w:sz w:val="22"/>
          <w:u w:val="none"/>
        </w:rPr>
        <w:t>asoft </w:t>
      </w:r>
      <w:r>
        <w:rPr>
          <w:spacing w:val="4"/>
          <w:sz w:val="22"/>
          <w:u w:val="none"/>
        </w:rPr>
        <w:t>edit </w:t>
      </w:r>
      <w:r>
        <w:rPr>
          <w:sz w:val="22"/>
          <w:u w:val="none"/>
        </w:rPr>
        <w:t>that </w:t>
      </w:r>
      <w:r>
        <w:rPr>
          <w:spacing w:val="3"/>
          <w:sz w:val="22"/>
          <w:u w:val="none"/>
        </w:rPr>
        <w:t>enables </w:t>
      </w:r>
      <w:r>
        <w:rPr>
          <w:sz w:val="22"/>
          <w:u w:val="none"/>
        </w:rPr>
        <w:t>a pharmacist’s override </w:t>
      </w:r>
      <w:r>
        <w:rPr>
          <w:spacing w:val="4"/>
          <w:sz w:val="22"/>
          <w:u w:val="none"/>
        </w:rPr>
        <w:t>in </w:t>
      </w:r>
      <w:r>
        <w:rPr>
          <w:sz w:val="22"/>
          <w:u w:val="none"/>
        </w:rPr>
        <w:t>the event of a concurrent </w:t>
      </w:r>
      <w:r>
        <w:rPr>
          <w:spacing w:val="3"/>
          <w:sz w:val="22"/>
          <w:u w:val="none"/>
        </w:rPr>
        <w:t>opioid </w:t>
      </w:r>
      <w:r>
        <w:rPr>
          <w:sz w:val="22"/>
          <w:u w:val="none"/>
        </w:rPr>
        <w:t>and benzodiazepineprescription </w:t>
      </w:r>
      <w:r>
        <w:rPr>
          <w:spacing w:val="4"/>
          <w:sz w:val="22"/>
          <w:u w:val="none"/>
        </w:rPr>
        <w:t>forthose </w:t>
      </w:r>
      <w:r>
        <w:rPr>
          <w:sz w:val="22"/>
          <w:u w:val="none"/>
        </w:rPr>
        <w:t>patients </w:t>
      </w:r>
      <w:r>
        <w:rPr>
          <w:spacing w:val="2"/>
          <w:sz w:val="22"/>
          <w:u w:val="none"/>
        </w:rPr>
        <w:t>with </w:t>
      </w:r>
      <w:r>
        <w:rPr>
          <w:spacing w:val="6"/>
          <w:sz w:val="22"/>
          <w:u w:val="none"/>
        </w:rPr>
        <w:t>aclearand </w:t>
      </w:r>
      <w:r>
        <w:rPr>
          <w:sz w:val="22"/>
          <w:u w:val="none"/>
        </w:rPr>
        <w:t>appropriate indication </w:t>
      </w:r>
      <w:r>
        <w:rPr>
          <w:spacing w:val="13"/>
          <w:sz w:val="22"/>
          <w:u w:val="none"/>
        </w:rPr>
        <w:t> </w:t>
      </w:r>
      <w:r>
        <w:rPr>
          <w:spacing w:val="4"/>
          <w:sz w:val="22"/>
          <w:u w:val="none"/>
        </w:rPr>
        <w:t>forboth.</w:t>
      </w:r>
    </w:p>
    <w:p>
      <w:pPr>
        <w:pStyle w:val="BodyText"/>
        <w:spacing w:before="3"/>
        <w:rPr>
          <w:u w:val="none"/>
        </w:rPr>
      </w:pPr>
    </w:p>
    <w:p>
      <w:pPr>
        <w:pStyle w:val="BodyText"/>
        <w:spacing w:line="242" w:lineRule="auto"/>
        <w:ind w:left="121" w:right="176"/>
        <w:rPr>
          <w:u w:val="none"/>
        </w:rPr>
      </w:pPr>
      <w:r>
        <w:rPr>
          <w:u w:val="none"/>
        </w:rPr>
        <w:t>Again, ASHP appreciates this opportunity to provide CMS with feedback on the Call Letter. We look forward to continuing to work with CMS to improve care quality and outcomes. Please contact me if you have any questions on ASHP’s comments. I can be reached by telephone at 301-664-8696 or by email at </w:t>
      </w:r>
      <w:hyperlink r:id="rId10">
        <w:r>
          <w:rPr>
            <w:color w:val="0000FF"/>
            <w:u w:val="single" w:color="0000FF"/>
          </w:rPr>
          <w:t>jschulte@ashp.org</w:t>
        </w:r>
      </w:hyperlink>
      <w:r>
        <w:rPr>
          <w:u w:val="none"/>
        </w:rPr>
        <w:t>.</w:t>
      </w:r>
    </w:p>
    <w:p>
      <w:pPr>
        <w:pStyle w:val="BodyText"/>
        <w:spacing w:before="2"/>
        <w:rPr>
          <w:sz w:val="17"/>
          <w:u w:val="none"/>
        </w:rPr>
      </w:pPr>
    </w:p>
    <w:p>
      <w:pPr>
        <w:pStyle w:val="BodyText"/>
        <w:spacing w:before="59"/>
        <w:ind w:left="121"/>
        <w:rPr>
          <w:u w:val="none"/>
        </w:rPr>
      </w:pPr>
      <w:r>
        <w:rPr>
          <w:u w:val="none"/>
        </w:rPr>
        <w:t>Sincerely,</w:t>
      </w:r>
    </w:p>
    <w:p>
      <w:pPr>
        <w:pStyle w:val="BodyText"/>
        <w:ind w:left="120"/>
        <w:rPr>
          <w:sz w:val="20"/>
          <w:u w:val="none"/>
        </w:rPr>
      </w:pPr>
      <w:r>
        <w:rPr>
          <w:sz w:val="20"/>
          <w:u w:val="none"/>
        </w:rPr>
        <w:drawing>
          <wp:inline distT="0" distB="0" distL="0" distR="0">
            <wp:extent cx="2583200" cy="56940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583200" cy="569404"/>
                    </a:xfrm>
                    <a:prstGeom prst="rect">
                      <a:avLst/>
                    </a:prstGeom>
                  </pic:spPr>
                </pic:pic>
              </a:graphicData>
            </a:graphic>
          </wp:inline>
        </w:drawing>
      </w:r>
      <w:r>
        <w:rPr>
          <w:sz w:val="20"/>
          <w:u w:val="none"/>
        </w:rPr>
      </w:r>
    </w:p>
    <w:p>
      <w:pPr>
        <w:pStyle w:val="BodyText"/>
        <w:ind w:left="121"/>
        <w:rPr>
          <w:u w:val="none"/>
        </w:rPr>
      </w:pPr>
      <w:r>
        <w:rPr>
          <w:u w:val="none"/>
        </w:rPr>
        <w:t>Jillanne Schulte Wall, J.D.</w:t>
      </w:r>
    </w:p>
    <w:p>
      <w:pPr>
        <w:pStyle w:val="BodyText"/>
        <w:spacing w:before="2"/>
        <w:ind w:left="121"/>
        <w:rPr>
          <w:u w:val="none"/>
        </w:rPr>
      </w:pPr>
      <w:r>
        <w:rPr>
          <w:u w:val="none"/>
        </w:rPr>
        <w:t>Director, Federal Regulatory Affairs</w:t>
      </w: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spacing w:before="7"/>
        <w:rPr>
          <w:sz w:val="26"/>
          <w:u w:val="none"/>
        </w:rPr>
      </w:pPr>
      <w:r>
        <w:rPr/>
        <w:pict>
          <v:line style="position:absolute;mso-position-horizontal-relative:page;mso-position-vertical-relative:paragraph;z-index:1096;mso-wrap-distance-left:0;mso-wrap-distance-right:0" from="54.075001pt,18.579403pt" to="198.255001pt,18.579403pt" stroked="true" strokeweight=".75pt" strokecolor="#000000">
            <v:stroke dashstyle="solid"/>
            <w10:wrap type="topAndBottom"/>
          </v:line>
        </w:pict>
      </w:r>
    </w:p>
    <w:p>
      <w:pPr>
        <w:spacing w:line="264" w:lineRule="auto" w:before="59"/>
        <w:ind w:left="121" w:right="117" w:firstLine="0"/>
        <w:jc w:val="left"/>
        <w:rPr>
          <w:sz w:val="19"/>
        </w:rPr>
      </w:pPr>
      <w:r>
        <w:rPr>
          <w:rFonts w:ascii="Times New Roman" w:hAnsi="Times New Roman"/>
          <w:w w:val="105"/>
          <w:position w:val="9"/>
          <w:sz w:val="13"/>
        </w:rPr>
        <w:t>5 </w:t>
      </w:r>
      <w:r>
        <w:rPr>
          <w:i/>
          <w:w w:val="105"/>
          <w:sz w:val="19"/>
        </w:rPr>
        <w:t>See </w:t>
      </w:r>
      <w:r>
        <w:rPr>
          <w:w w:val="105"/>
          <w:sz w:val="19"/>
        </w:rPr>
        <w:t>D. Dowell, T.M. Haegerich, and R.Chou, </w:t>
      </w:r>
      <w:r>
        <w:rPr>
          <w:i/>
          <w:w w:val="105"/>
          <w:sz w:val="19"/>
        </w:rPr>
        <w:t>CDC Guideline for Prescribing Opioids for Chronic Pain — United States </w:t>
      </w:r>
      <w:r>
        <w:rPr>
          <w:w w:val="105"/>
          <w:sz w:val="19"/>
        </w:rPr>
        <w:t>(2016), </w:t>
      </w:r>
      <w:r>
        <w:rPr>
          <w:sz w:val="19"/>
        </w:rPr>
        <w:t>available   at https:</w:t>
      </w:r>
      <w:hyperlink r:id="rId12">
        <w:r>
          <w:rPr>
            <w:sz w:val="19"/>
          </w:rPr>
          <w:t>//w</w:t>
        </w:r>
      </w:hyperlink>
      <w:r>
        <w:rPr>
          <w:sz w:val="19"/>
        </w:rPr>
        <w:t>ww</w:t>
      </w:r>
      <w:hyperlink r:id="rId12">
        <w:r>
          <w:rPr>
            <w:sz w:val="19"/>
          </w:rPr>
          <w:t>.cdc.gov/mmwr/volumes/65/rr/rr6501e1.htm.</w:t>
        </w:r>
      </w:hyperlink>
    </w:p>
    <w:sectPr>
      <w:pgSz w:w="12240" w:h="15840"/>
      <w:pgMar w:header="1918" w:footer="0" w:top="2680" w:bottom="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u w:val="none"/>
      </w:rPr>
    </w:pPr>
    <w:r>
      <w:rPr/>
      <w:pict>
        <v:shapetype id="_x0000_t202" o:spt="202" coordsize="21600,21600" path="m,l,21600r21600,l21600,xe">
          <v:stroke joinstyle="miter"/>
          <v:path gradientshapeok="t" o:connecttype="rect"/>
        </v:shapetype>
        <v:shape style="position:absolute;margin-left:53.075001pt;margin-top:94.912498pt;width:194.3pt;height:40.3pt;mso-position-horizontal-relative:page;mso-position-vertical-relative:page;z-index:-4456" type="#_x0000_t202" filled="false" stroked="false">
          <v:textbox inset="0,0,0,0">
            <w:txbxContent>
              <w:p>
                <w:pPr>
                  <w:pStyle w:val="BodyText"/>
                  <w:spacing w:line="248" w:lineRule="exact"/>
                  <w:ind w:left="20"/>
                  <w:rPr>
                    <w:u w:val="none"/>
                  </w:rPr>
                </w:pPr>
                <w:r>
                  <w:rPr>
                    <w:u w:val="none"/>
                  </w:rPr>
                  <w:t>ASHP Comments to </w:t>
                </w:r>
                <w:r>
                  <w:rPr>
                    <w:spacing w:val="-5"/>
                    <w:u w:val="none"/>
                  </w:rPr>
                  <w:t>CMS  </w:t>
                </w:r>
                <w:r>
                  <w:rPr>
                    <w:u w:val="none"/>
                  </w:rPr>
                  <w:t>re: Part D CY </w:t>
                </w:r>
                <w:r>
                  <w:rPr>
                    <w:spacing w:val="-7"/>
                    <w:u w:val="none"/>
                  </w:rPr>
                  <w:t>2019</w:t>
                </w:r>
              </w:p>
              <w:p>
                <w:pPr>
                  <w:pStyle w:val="BodyText"/>
                  <w:spacing w:before="2"/>
                  <w:ind w:left="20"/>
                  <w:rPr>
                    <w:u w:val="none"/>
                  </w:rPr>
                </w:pPr>
                <w:r>
                  <w:rPr>
                    <w:u w:val="none"/>
                  </w:rPr>
                  <w:t>March  5, 2018</w:t>
                </w:r>
              </w:p>
              <w:p>
                <w:pPr>
                  <w:pStyle w:val="BodyText"/>
                  <w:spacing w:before="1"/>
                  <w:ind w:left="20"/>
                  <w:rPr>
                    <w:u w:val="none"/>
                  </w:rPr>
                </w:pPr>
                <w:r>
                  <w:rPr>
                    <w:u w:val="none"/>
                  </w:rPr>
                  <w:t>Page </w:t>
                </w:r>
                <w:r>
                  <w:rPr/>
                  <w:fldChar w:fldCharType="begin"/>
                </w:r>
                <w:r>
                  <w:rPr>
                    <w:u w:val="none"/>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42" w:hanging="360"/>
      </w:pPr>
      <w:rPr>
        <w:rFonts w:hint="default" w:ascii="Wingdings" w:hAnsi="Wingdings" w:eastAsia="Wingdings" w:cs="Wingdings"/>
        <w:w w:val="102"/>
        <w:sz w:val="22"/>
        <w:szCs w:val="22"/>
      </w:rPr>
    </w:lvl>
    <w:lvl w:ilvl="1">
      <w:start w:val="0"/>
      <w:numFmt w:val="bullet"/>
      <w:lvlText w:val="o"/>
      <w:lvlJc w:val="left"/>
      <w:pPr>
        <w:ind w:left="1563" w:hanging="361"/>
      </w:pPr>
      <w:rPr>
        <w:rFonts w:hint="default" w:ascii="Courier New" w:hAnsi="Courier New" w:eastAsia="Courier New" w:cs="Courier New"/>
        <w:w w:val="102"/>
        <w:sz w:val="22"/>
        <w:szCs w:val="22"/>
      </w:rPr>
    </w:lvl>
    <w:lvl w:ilvl="2">
      <w:start w:val="0"/>
      <w:numFmt w:val="bullet"/>
      <w:lvlText w:val="•"/>
      <w:lvlJc w:val="left"/>
      <w:pPr>
        <w:ind w:left="2531" w:hanging="361"/>
      </w:pPr>
      <w:rPr>
        <w:rFonts w:hint="default"/>
      </w:rPr>
    </w:lvl>
    <w:lvl w:ilvl="3">
      <w:start w:val="0"/>
      <w:numFmt w:val="bullet"/>
      <w:lvlText w:val="•"/>
      <w:lvlJc w:val="left"/>
      <w:pPr>
        <w:ind w:left="3502" w:hanging="361"/>
      </w:pPr>
      <w:rPr>
        <w:rFonts w:hint="default"/>
      </w:rPr>
    </w:lvl>
    <w:lvl w:ilvl="4">
      <w:start w:val="0"/>
      <w:numFmt w:val="bullet"/>
      <w:lvlText w:val="•"/>
      <w:lvlJc w:val="left"/>
      <w:pPr>
        <w:ind w:left="4473" w:hanging="361"/>
      </w:pPr>
      <w:rPr>
        <w:rFonts w:hint="default"/>
      </w:rPr>
    </w:lvl>
    <w:lvl w:ilvl="5">
      <w:start w:val="0"/>
      <w:numFmt w:val="bullet"/>
      <w:lvlText w:val="•"/>
      <w:lvlJc w:val="left"/>
      <w:pPr>
        <w:ind w:left="5444" w:hanging="361"/>
      </w:pPr>
      <w:rPr>
        <w:rFonts w:hint="default"/>
      </w:rPr>
    </w:lvl>
    <w:lvl w:ilvl="6">
      <w:start w:val="0"/>
      <w:numFmt w:val="bullet"/>
      <w:lvlText w:val="•"/>
      <w:lvlJc w:val="left"/>
      <w:pPr>
        <w:ind w:left="6415" w:hanging="361"/>
      </w:pPr>
      <w:rPr>
        <w:rFonts w:hint="default"/>
      </w:rPr>
    </w:lvl>
    <w:lvl w:ilvl="7">
      <w:start w:val="0"/>
      <w:numFmt w:val="bullet"/>
      <w:lvlText w:val="•"/>
      <w:lvlJc w:val="left"/>
      <w:pPr>
        <w:ind w:left="7386" w:hanging="361"/>
      </w:pPr>
      <w:rPr>
        <w:rFonts w:hint="default"/>
      </w:rPr>
    </w:lvl>
    <w:lvl w:ilvl="8">
      <w:start w:val="0"/>
      <w:numFmt w:val="bullet"/>
      <w:lvlText w:val="•"/>
      <w:lvlJc w:val="left"/>
      <w:pPr>
        <w:ind w:left="8357" w:hanging="361"/>
      </w:pPr>
      <w:rPr>
        <w:rFonts w:hint="default"/>
      </w:rPr>
    </w:lvl>
  </w:abstractNum>
  <w:abstractNum w:abstractNumId="1">
    <w:multiLevelType w:val="hybridMultilevel"/>
    <w:lvl w:ilvl="0">
      <w:start w:val="0"/>
      <w:numFmt w:val="bullet"/>
      <w:lvlText w:val=""/>
      <w:lvlJc w:val="left"/>
      <w:pPr>
        <w:ind w:left="822" w:hanging="360"/>
      </w:pPr>
      <w:rPr>
        <w:rFonts w:hint="default" w:ascii="Symbol" w:hAnsi="Symbol" w:eastAsia="Symbol" w:cs="Symbol"/>
        <w:w w:val="102"/>
        <w:sz w:val="22"/>
        <w:szCs w:val="22"/>
      </w:rPr>
    </w:lvl>
    <w:lvl w:ilvl="1">
      <w:start w:val="0"/>
      <w:numFmt w:val="bullet"/>
      <w:lvlText w:val="•"/>
      <w:lvlJc w:val="left"/>
      <w:pPr>
        <w:ind w:left="1768" w:hanging="360"/>
      </w:pPr>
      <w:rPr>
        <w:rFonts w:hint="default"/>
      </w:rPr>
    </w:lvl>
    <w:lvl w:ilvl="2">
      <w:start w:val="0"/>
      <w:numFmt w:val="bullet"/>
      <w:lvlText w:val="•"/>
      <w:lvlJc w:val="left"/>
      <w:pPr>
        <w:ind w:left="2716" w:hanging="360"/>
      </w:pPr>
      <w:rPr>
        <w:rFonts w:hint="default"/>
      </w:rPr>
    </w:lvl>
    <w:lvl w:ilvl="3">
      <w:start w:val="0"/>
      <w:numFmt w:val="bullet"/>
      <w:lvlText w:val="•"/>
      <w:lvlJc w:val="left"/>
      <w:pPr>
        <w:ind w:left="3664" w:hanging="360"/>
      </w:pPr>
      <w:rPr>
        <w:rFonts w:hint="default"/>
      </w:rPr>
    </w:lvl>
    <w:lvl w:ilvl="4">
      <w:start w:val="0"/>
      <w:numFmt w:val="bullet"/>
      <w:lvlText w:val="•"/>
      <w:lvlJc w:val="left"/>
      <w:pPr>
        <w:ind w:left="4612" w:hanging="360"/>
      </w:pPr>
      <w:rPr>
        <w:rFonts w:hint="default"/>
      </w:rPr>
    </w:lvl>
    <w:lvl w:ilvl="5">
      <w:start w:val="0"/>
      <w:numFmt w:val="bullet"/>
      <w:lvlText w:val="•"/>
      <w:lvlJc w:val="left"/>
      <w:pPr>
        <w:ind w:left="5560" w:hanging="360"/>
      </w:pPr>
      <w:rPr>
        <w:rFonts w:hint="default"/>
      </w:rPr>
    </w:lvl>
    <w:lvl w:ilvl="6">
      <w:start w:val="0"/>
      <w:numFmt w:val="bullet"/>
      <w:lvlText w:val="•"/>
      <w:lvlJc w:val="left"/>
      <w:pPr>
        <w:ind w:left="6508" w:hanging="360"/>
      </w:pPr>
      <w:rPr>
        <w:rFonts w:hint="default"/>
      </w:rPr>
    </w:lvl>
    <w:lvl w:ilvl="7">
      <w:start w:val="0"/>
      <w:numFmt w:val="bullet"/>
      <w:lvlText w:val="•"/>
      <w:lvlJc w:val="left"/>
      <w:pPr>
        <w:ind w:left="7456" w:hanging="360"/>
      </w:pPr>
      <w:rPr>
        <w:rFonts w:hint="default"/>
      </w:rPr>
    </w:lvl>
    <w:lvl w:ilvl="8">
      <w:start w:val="0"/>
      <w:numFmt w:val="bullet"/>
      <w:lvlText w:val="•"/>
      <w:lvlJc w:val="left"/>
      <w:pPr>
        <w:ind w:left="8404" w:hanging="360"/>
      </w:pPr>
      <w:rPr>
        <w:rFonts w:hint="default"/>
      </w:rPr>
    </w:lvl>
  </w:abstractNum>
  <w:abstractNum w:abstractNumId="0">
    <w:multiLevelType w:val="hybridMultilevel"/>
    <w:lvl w:ilvl="0">
      <w:start w:val="16"/>
      <w:numFmt w:val="upperLetter"/>
      <w:lvlText w:val="%1"/>
      <w:lvlJc w:val="left"/>
      <w:pPr>
        <w:ind w:left="520" w:hanging="420"/>
        <w:jc w:val="left"/>
      </w:pPr>
      <w:rPr>
        <w:rFonts w:hint="default"/>
      </w:rPr>
    </w:lvl>
    <w:lvl w:ilvl="1">
      <w:start w:val="15"/>
      <w:numFmt w:val="upperLetter"/>
      <w:lvlText w:val="%1.%2."/>
      <w:lvlJc w:val="left"/>
      <w:pPr>
        <w:ind w:left="520" w:hanging="420"/>
        <w:jc w:val="left"/>
      </w:pPr>
      <w:rPr>
        <w:rFonts w:hint="default" w:ascii="Calibri" w:hAnsi="Calibri" w:eastAsia="Calibri" w:cs="Calibri"/>
        <w:spacing w:val="0"/>
        <w:w w:val="102"/>
        <w:sz w:val="22"/>
        <w:szCs w:val="22"/>
      </w:rPr>
    </w:lvl>
    <w:lvl w:ilvl="2">
      <w:start w:val="1"/>
      <w:numFmt w:val="upperRoman"/>
      <w:lvlText w:val="%3."/>
      <w:lvlJc w:val="left"/>
      <w:pPr>
        <w:ind w:left="1182" w:hanging="721"/>
        <w:jc w:val="left"/>
      </w:pPr>
      <w:rPr>
        <w:rFonts w:hint="default" w:ascii="Calibri" w:hAnsi="Calibri" w:eastAsia="Calibri" w:cs="Calibri"/>
        <w:b/>
        <w:bCs/>
        <w:w w:val="102"/>
        <w:sz w:val="22"/>
        <w:szCs w:val="22"/>
      </w:rPr>
    </w:lvl>
    <w:lvl w:ilvl="3">
      <w:start w:val="0"/>
      <w:numFmt w:val="bullet"/>
      <w:lvlText w:val="•"/>
      <w:lvlJc w:val="left"/>
      <w:pPr>
        <w:ind w:left="3206" w:hanging="721"/>
      </w:pPr>
      <w:rPr>
        <w:rFonts w:hint="default"/>
      </w:rPr>
    </w:lvl>
    <w:lvl w:ilvl="4">
      <w:start w:val="0"/>
      <w:numFmt w:val="bullet"/>
      <w:lvlText w:val="•"/>
      <w:lvlJc w:val="left"/>
      <w:pPr>
        <w:ind w:left="4220" w:hanging="721"/>
      </w:pPr>
      <w:rPr>
        <w:rFonts w:hint="default"/>
      </w:rPr>
    </w:lvl>
    <w:lvl w:ilvl="5">
      <w:start w:val="0"/>
      <w:numFmt w:val="bullet"/>
      <w:lvlText w:val="•"/>
      <w:lvlJc w:val="left"/>
      <w:pPr>
        <w:ind w:left="5233" w:hanging="721"/>
      </w:pPr>
      <w:rPr>
        <w:rFonts w:hint="default"/>
      </w:rPr>
    </w:lvl>
    <w:lvl w:ilvl="6">
      <w:start w:val="0"/>
      <w:numFmt w:val="bullet"/>
      <w:lvlText w:val="•"/>
      <w:lvlJc w:val="left"/>
      <w:pPr>
        <w:ind w:left="6246" w:hanging="721"/>
      </w:pPr>
      <w:rPr>
        <w:rFonts w:hint="default"/>
      </w:rPr>
    </w:lvl>
    <w:lvl w:ilvl="7">
      <w:start w:val="0"/>
      <w:numFmt w:val="bullet"/>
      <w:lvlText w:val="•"/>
      <w:lvlJc w:val="left"/>
      <w:pPr>
        <w:ind w:left="7260" w:hanging="721"/>
      </w:pPr>
      <w:rPr>
        <w:rFonts w:hint="default"/>
      </w:rPr>
    </w:lvl>
    <w:lvl w:ilvl="8">
      <w:start w:val="0"/>
      <w:numFmt w:val="bullet"/>
      <w:lvlText w:val="•"/>
      <w:lvlJc w:val="left"/>
      <w:pPr>
        <w:ind w:left="8273" w:hanging="72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u w:val="single" w:color="000000"/>
    </w:rPr>
  </w:style>
  <w:style w:styleId="Heading1" w:type="paragraph">
    <w:name w:val="Heading 1"/>
    <w:basedOn w:val="Normal"/>
    <w:uiPriority w:val="1"/>
    <w:qFormat/>
    <w:pPr>
      <w:ind w:left="1182" w:hanging="720"/>
      <w:outlineLvl w:val="1"/>
    </w:pPr>
    <w:rPr>
      <w:rFonts w:ascii="Calibri" w:hAnsi="Calibri" w:eastAsia="Calibri" w:cs="Calibri"/>
      <w:b/>
      <w:bCs/>
      <w:sz w:val="22"/>
      <w:szCs w:val="22"/>
    </w:rPr>
  </w:style>
  <w:style w:styleId="ListParagraph" w:type="paragraph">
    <w:name w:val="List Paragraph"/>
    <w:basedOn w:val="Normal"/>
    <w:uiPriority w:val="1"/>
    <w:qFormat/>
    <w:pPr>
      <w:ind w:left="842" w:hanging="360"/>
    </w:pPr>
    <w:rPr>
      <w:rFonts w:ascii="Calibri" w:hAnsi="Calibri" w:eastAsia="Calibri" w:cs="Calibri"/>
      <w:u w:val="single" w:color="000000"/>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yperlink" Target="http://www.ashp.org/-" TargetMode="External"/><Relationship Id="rId9" Type="http://schemas.openxmlformats.org/officeDocument/2006/relationships/hyperlink" Target="http://www.cdc.gov/mmwr/volumes/66/wr/mm6645a2.htm" TargetMode="External"/><Relationship Id="rId10" Type="http://schemas.openxmlformats.org/officeDocument/2006/relationships/hyperlink" Target="mailto:jschulte@ashp.org" TargetMode="External"/><Relationship Id="rId11" Type="http://schemas.openxmlformats.org/officeDocument/2006/relationships/image" Target="media/image3.png"/><Relationship Id="rId12" Type="http://schemas.openxmlformats.org/officeDocument/2006/relationships/hyperlink" Target="http://www.cdc.gov/mmwr/volumes/65/rr/rr6501e1.htm"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 Dopp</dc:creator>
  <dc:subject>ASHP Letterhead</dc:subject>
  <dc:title>ASHP Letterhead</dc:title>
  <dcterms:created xsi:type="dcterms:W3CDTF">2018-06-12T23:28:10Z</dcterms:created>
  <dcterms:modified xsi:type="dcterms:W3CDTF">2018-06-12T23:28:10Z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