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0" simplePos="0" relativeHeight="0">
            <wp:simplePos x="0" y="0"/>
            <wp:positionH relativeFrom="page">
              <wp:posOffset>0</wp:posOffset>
            </wp:positionH>
            <wp:positionV relativeFrom="page">
              <wp:posOffset>0</wp:posOffset>
            </wp:positionV>
            <wp:extent cx="7772399" cy="1627631"/>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399" cy="162763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20"/>
        <w:ind w:left="864"/>
        <w:jc w:val="both"/>
      </w:pPr>
      <w:r>
        <w:rPr/>
        <w:t>March 5, 2018</w:t>
      </w:r>
    </w:p>
    <w:p>
      <w:pPr>
        <w:pStyle w:val="BodyText"/>
        <w:spacing w:before="11"/>
        <w:rPr>
          <w:sz w:val="23"/>
        </w:rPr>
      </w:pPr>
    </w:p>
    <w:p>
      <w:pPr>
        <w:pStyle w:val="BodyText"/>
        <w:ind w:left="864" w:right="9822"/>
      </w:pPr>
      <w:r>
        <w:rPr/>
        <w:t>Seema Verma Administrator</w:t>
      </w:r>
    </w:p>
    <w:p>
      <w:pPr>
        <w:pStyle w:val="BodyText"/>
        <w:ind w:left="863" w:right="6634"/>
      </w:pPr>
      <w:r>
        <w:rPr/>
        <w:t>Centers for Medicare and Medicaid Services Department of Health and Human Services Mail Stop 314G</w:t>
      </w:r>
    </w:p>
    <w:p>
      <w:pPr>
        <w:pStyle w:val="BodyText"/>
        <w:ind w:left="863" w:right="7834"/>
      </w:pPr>
      <w:r>
        <w:rPr/>
        <w:t>200 Independence Avenue, S.W. Washington, DC 20201</w:t>
      </w:r>
    </w:p>
    <w:p>
      <w:pPr>
        <w:pStyle w:val="BodyText"/>
        <w:rPr>
          <w:sz w:val="26"/>
        </w:rPr>
      </w:pPr>
    </w:p>
    <w:p>
      <w:pPr>
        <w:pStyle w:val="BodyText"/>
        <w:spacing w:line="448" w:lineRule="auto" w:before="217"/>
        <w:ind w:left="863" w:right="4073"/>
      </w:pPr>
      <w:r>
        <w:rPr/>
        <w:t>Re: CMS-2017-0163: Draft CY 2019 Medicare Advantage Call Letter Dear Administrator Verma,</w:t>
      </w:r>
    </w:p>
    <w:p>
      <w:pPr>
        <w:pStyle w:val="BodyText"/>
        <w:spacing w:before="7"/>
        <w:ind w:left="863" w:right="951"/>
        <w:jc w:val="both"/>
      </w:pPr>
      <w:r>
        <w:rPr/>
        <w:t>On</w:t>
      </w:r>
      <w:r>
        <w:rPr>
          <w:spacing w:val="-10"/>
        </w:rPr>
        <w:t> </w:t>
      </w:r>
      <w:r>
        <w:rPr/>
        <w:t>behalf</w:t>
      </w:r>
      <w:r>
        <w:rPr>
          <w:spacing w:val="-9"/>
        </w:rPr>
        <w:t> </w:t>
      </w:r>
      <w:r>
        <w:rPr/>
        <w:t>of</w:t>
      </w:r>
      <w:r>
        <w:rPr>
          <w:spacing w:val="-10"/>
        </w:rPr>
        <w:t> </w:t>
      </w:r>
      <w:r>
        <w:rPr/>
        <w:t>the</w:t>
      </w:r>
      <w:r>
        <w:rPr>
          <w:spacing w:val="-10"/>
        </w:rPr>
        <w:t> </w:t>
      </w:r>
      <w:r>
        <w:rPr/>
        <w:t>more</w:t>
      </w:r>
      <w:r>
        <w:rPr>
          <w:spacing w:val="-10"/>
        </w:rPr>
        <w:t> </w:t>
      </w:r>
      <w:r>
        <w:rPr/>
        <w:t>than</w:t>
      </w:r>
      <w:r>
        <w:rPr>
          <w:spacing w:val="-10"/>
        </w:rPr>
        <w:t> </w:t>
      </w:r>
      <w:r>
        <w:rPr/>
        <w:t>13,500</w:t>
      </w:r>
      <w:r>
        <w:rPr>
          <w:spacing w:val="-10"/>
        </w:rPr>
        <w:t> </w:t>
      </w:r>
      <w:r>
        <w:rPr/>
        <w:t>U.S.-based</w:t>
      </w:r>
      <w:r>
        <w:rPr>
          <w:spacing w:val="-10"/>
        </w:rPr>
        <w:t> </w:t>
      </w:r>
      <w:r>
        <w:rPr/>
        <w:t>members</w:t>
      </w:r>
      <w:r>
        <w:rPr>
          <w:spacing w:val="-10"/>
        </w:rPr>
        <w:t> </w:t>
      </w:r>
      <w:r>
        <w:rPr/>
        <w:t>of</w:t>
      </w:r>
      <w:r>
        <w:rPr>
          <w:spacing w:val="-10"/>
        </w:rPr>
        <w:t> </w:t>
      </w:r>
      <w:r>
        <w:rPr/>
        <w:t>the</w:t>
      </w:r>
      <w:r>
        <w:rPr>
          <w:spacing w:val="-10"/>
        </w:rPr>
        <w:t> </w:t>
      </w:r>
      <w:r>
        <w:rPr/>
        <w:t>American</w:t>
      </w:r>
      <w:r>
        <w:rPr>
          <w:spacing w:val="-10"/>
        </w:rPr>
        <w:t> </w:t>
      </w:r>
      <w:r>
        <w:rPr/>
        <w:t>Academy</w:t>
      </w:r>
      <w:r>
        <w:rPr>
          <w:spacing w:val="-10"/>
        </w:rPr>
        <w:t> </w:t>
      </w:r>
      <w:r>
        <w:rPr/>
        <w:t>of</w:t>
      </w:r>
      <w:r>
        <w:rPr>
          <w:spacing w:val="-10"/>
        </w:rPr>
        <w:t> </w:t>
      </w:r>
      <w:r>
        <w:rPr/>
        <w:t>Dermatology Association (AADA), I am writing to provide comments to the Centers for Medicare and Medicaid Services</w:t>
      </w:r>
      <w:r>
        <w:rPr>
          <w:spacing w:val="-6"/>
        </w:rPr>
        <w:t> </w:t>
      </w:r>
      <w:r>
        <w:rPr/>
        <w:t>(CMS)</w:t>
      </w:r>
      <w:r>
        <w:rPr>
          <w:spacing w:val="-6"/>
        </w:rPr>
        <w:t> </w:t>
      </w:r>
      <w:r>
        <w:rPr/>
        <w:t>Draft</w:t>
      </w:r>
      <w:r>
        <w:rPr>
          <w:spacing w:val="-6"/>
        </w:rPr>
        <w:t> </w:t>
      </w:r>
      <w:r>
        <w:rPr/>
        <w:t>2019</w:t>
      </w:r>
      <w:r>
        <w:rPr>
          <w:spacing w:val="-6"/>
        </w:rPr>
        <w:t> </w:t>
      </w:r>
      <w:r>
        <w:rPr/>
        <w:t>Medicare</w:t>
      </w:r>
      <w:r>
        <w:rPr>
          <w:spacing w:val="-6"/>
        </w:rPr>
        <w:t> </w:t>
      </w:r>
      <w:r>
        <w:rPr/>
        <w:t>Advantage</w:t>
      </w:r>
      <w:r>
        <w:rPr>
          <w:spacing w:val="-6"/>
        </w:rPr>
        <w:t> </w:t>
      </w:r>
      <w:r>
        <w:rPr/>
        <w:t>Call</w:t>
      </w:r>
      <w:r>
        <w:rPr>
          <w:spacing w:val="-6"/>
        </w:rPr>
        <w:t> </w:t>
      </w:r>
      <w:r>
        <w:rPr/>
        <w:t>Letter</w:t>
      </w:r>
      <w:r>
        <w:rPr>
          <w:spacing w:val="-6"/>
        </w:rPr>
        <w:t> </w:t>
      </w:r>
      <w:r>
        <w:rPr/>
        <w:t>released</w:t>
      </w:r>
      <w:r>
        <w:rPr>
          <w:spacing w:val="-6"/>
        </w:rPr>
        <w:t> </w:t>
      </w:r>
      <w:r>
        <w:rPr/>
        <w:t>February</w:t>
      </w:r>
      <w:r>
        <w:rPr>
          <w:spacing w:val="-6"/>
        </w:rPr>
        <w:t> </w:t>
      </w:r>
      <w:r>
        <w:rPr/>
        <w:t>1,</w:t>
      </w:r>
      <w:r>
        <w:rPr>
          <w:spacing w:val="-6"/>
        </w:rPr>
        <w:t> </w:t>
      </w:r>
      <w:r>
        <w:rPr/>
        <w:t>2017.</w:t>
      </w:r>
      <w:r>
        <w:rPr>
          <w:spacing w:val="-8"/>
        </w:rPr>
        <w:t> </w:t>
      </w:r>
      <w:r>
        <w:rPr/>
        <w:t>The</w:t>
      </w:r>
      <w:r>
        <w:rPr>
          <w:spacing w:val="-6"/>
        </w:rPr>
        <w:t> </w:t>
      </w:r>
      <w:r>
        <w:rPr/>
        <w:t>AADA is committed to excellence in medical and surgical treatment of skin disease; advocating high standards in clinical practice, education, and research in dermatology and dermatopathology; and supporting and enhancing patient care to reduce the burden of disease. We appreciate the opportunity to provide comments to CMS on this proposal and hope CMS will take the AADA’s recommendations into consideration when finalizing the policies outlined within the final Call Letter for</w:t>
      </w:r>
      <w:r>
        <w:rPr>
          <w:spacing w:val="-9"/>
        </w:rPr>
        <w:t> </w:t>
      </w:r>
      <w:r>
        <w:rPr/>
        <w:t>2019.</w:t>
      </w:r>
    </w:p>
    <w:p>
      <w:pPr>
        <w:pStyle w:val="BodyText"/>
        <w:spacing w:before="11"/>
        <w:rPr>
          <w:sz w:val="20"/>
        </w:rPr>
      </w:pPr>
    </w:p>
    <w:p>
      <w:pPr>
        <w:pStyle w:val="Heading1"/>
        <w:ind w:left="863"/>
      </w:pPr>
      <w:r>
        <w:rPr/>
        <w:t>Section I – Parts C and D</w:t>
      </w:r>
    </w:p>
    <w:p>
      <w:pPr>
        <w:pStyle w:val="BodyText"/>
        <w:spacing w:before="9"/>
        <w:rPr>
          <w:b/>
          <w:sz w:val="20"/>
        </w:rPr>
      </w:pPr>
    </w:p>
    <w:p>
      <w:pPr>
        <w:pStyle w:val="Heading2"/>
        <w:ind w:left="863"/>
        <w:rPr>
          <w:i/>
        </w:rPr>
      </w:pPr>
      <w:r>
        <w:rPr>
          <w:i/>
        </w:rPr>
        <w:t>Enforcement Actions for Provider Directories</w:t>
      </w:r>
    </w:p>
    <w:p>
      <w:pPr>
        <w:pStyle w:val="BodyText"/>
        <w:spacing w:before="8"/>
        <w:rPr>
          <w:b/>
          <w:i/>
          <w:sz w:val="20"/>
        </w:rPr>
      </w:pPr>
    </w:p>
    <w:p>
      <w:pPr>
        <w:pStyle w:val="BodyText"/>
        <w:ind w:left="863" w:right="951"/>
        <w:jc w:val="both"/>
      </w:pPr>
      <w:r>
        <w:rPr/>
        <w:t>CMS</w:t>
      </w:r>
      <w:r>
        <w:rPr>
          <w:spacing w:val="-11"/>
        </w:rPr>
        <w:t> </w:t>
      </w:r>
      <w:r>
        <w:rPr/>
        <w:t>continues</w:t>
      </w:r>
      <w:r>
        <w:rPr>
          <w:spacing w:val="-11"/>
        </w:rPr>
        <w:t> </w:t>
      </w:r>
      <w:r>
        <w:rPr/>
        <w:t>to</w:t>
      </w:r>
      <w:r>
        <w:rPr>
          <w:spacing w:val="-11"/>
        </w:rPr>
        <w:t> </w:t>
      </w:r>
      <w:r>
        <w:rPr/>
        <w:t>stress</w:t>
      </w:r>
      <w:r>
        <w:rPr>
          <w:spacing w:val="-11"/>
        </w:rPr>
        <w:t> </w:t>
      </w:r>
      <w:r>
        <w:rPr/>
        <w:t>its</w:t>
      </w:r>
      <w:r>
        <w:rPr>
          <w:spacing w:val="-11"/>
        </w:rPr>
        <w:t> </w:t>
      </w:r>
      <w:r>
        <w:rPr/>
        <w:t>prioritization</w:t>
      </w:r>
      <w:r>
        <w:rPr>
          <w:spacing w:val="-11"/>
        </w:rPr>
        <w:t> </w:t>
      </w:r>
      <w:r>
        <w:rPr/>
        <w:t>of</w:t>
      </w:r>
      <w:r>
        <w:rPr>
          <w:spacing w:val="-11"/>
        </w:rPr>
        <w:t> </w:t>
      </w:r>
      <w:r>
        <w:rPr/>
        <w:t>ensuring</w:t>
      </w:r>
      <w:r>
        <w:rPr>
          <w:spacing w:val="-11"/>
        </w:rPr>
        <w:t> </w:t>
      </w:r>
      <w:r>
        <w:rPr/>
        <w:t>Medicare</w:t>
      </w:r>
      <w:r>
        <w:rPr>
          <w:spacing w:val="-11"/>
        </w:rPr>
        <w:t> </w:t>
      </w:r>
      <w:r>
        <w:rPr/>
        <w:t>Advantage</w:t>
      </w:r>
      <w:r>
        <w:rPr>
          <w:spacing w:val="-11"/>
        </w:rPr>
        <w:t> </w:t>
      </w:r>
      <w:r>
        <w:rPr/>
        <w:t>enrollees</w:t>
      </w:r>
      <w:r>
        <w:rPr>
          <w:spacing w:val="-11"/>
        </w:rPr>
        <w:t> </w:t>
      </w:r>
      <w:r>
        <w:rPr/>
        <w:t>have</w:t>
      </w:r>
      <w:r>
        <w:rPr>
          <w:spacing w:val="-11"/>
        </w:rPr>
        <w:t> </w:t>
      </w:r>
      <w:r>
        <w:rPr/>
        <w:t>access</w:t>
      </w:r>
      <w:r>
        <w:rPr>
          <w:spacing w:val="-11"/>
        </w:rPr>
        <w:t> </w:t>
      </w:r>
      <w:r>
        <w:rPr/>
        <w:t>to accurate provider directories in the draft Call Letter. The AADA agrees with CMS’ assertion that inaccurate provider directories impede patient access to care and applauds CMS for taking enforcement action when it determines plans are in noncompliance with directory accuracy standards.</w:t>
      </w:r>
    </w:p>
    <w:p>
      <w:pPr>
        <w:pStyle w:val="BodyText"/>
        <w:spacing w:before="9"/>
        <w:rPr>
          <w:sz w:val="20"/>
        </w:rPr>
      </w:pPr>
    </w:p>
    <w:p>
      <w:pPr>
        <w:pStyle w:val="BodyText"/>
        <w:spacing w:before="1"/>
        <w:ind w:left="863" w:right="952"/>
        <w:jc w:val="both"/>
      </w:pPr>
      <w:r>
        <w:rPr/>
        <w:t>The AADA encourages CMS to continue transparency of its enforcement action and publish the plans</w:t>
      </w:r>
      <w:r>
        <w:rPr>
          <w:spacing w:val="-19"/>
        </w:rPr>
        <w:t> </w:t>
      </w:r>
      <w:r>
        <w:rPr/>
        <w:t>that</w:t>
      </w:r>
      <w:r>
        <w:rPr>
          <w:spacing w:val="-19"/>
        </w:rPr>
        <w:t> </w:t>
      </w:r>
      <w:r>
        <w:rPr/>
        <w:t>have</w:t>
      </w:r>
      <w:r>
        <w:rPr>
          <w:spacing w:val="-19"/>
        </w:rPr>
        <w:t> </w:t>
      </w:r>
      <w:r>
        <w:rPr/>
        <w:t>been</w:t>
      </w:r>
      <w:r>
        <w:rPr>
          <w:spacing w:val="-19"/>
        </w:rPr>
        <w:t> </w:t>
      </w:r>
      <w:r>
        <w:rPr/>
        <w:t>reviewed</w:t>
      </w:r>
      <w:r>
        <w:rPr>
          <w:spacing w:val="-19"/>
        </w:rPr>
        <w:t> </w:t>
      </w:r>
      <w:r>
        <w:rPr/>
        <w:t>for</w:t>
      </w:r>
      <w:r>
        <w:rPr>
          <w:spacing w:val="-19"/>
        </w:rPr>
        <w:t> </w:t>
      </w:r>
      <w:r>
        <w:rPr/>
        <w:t>directory</w:t>
      </w:r>
      <w:r>
        <w:rPr>
          <w:spacing w:val="-19"/>
        </w:rPr>
        <w:t> </w:t>
      </w:r>
      <w:r>
        <w:rPr/>
        <w:t>accuracy,</w:t>
      </w:r>
      <w:r>
        <w:rPr>
          <w:spacing w:val="-19"/>
        </w:rPr>
        <w:t> </w:t>
      </w:r>
      <w:r>
        <w:rPr/>
        <w:t>their</w:t>
      </w:r>
      <w:r>
        <w:rPr>
          <w:spacing w:val="-19"/>
        </w:rPr>
        <w:t> </w:t>
      </w:r>
      <w:r>
        <w:rPr/>
        <w:t>compliance</w:t>
      </w:r>
      <w:r>
        <w:rPr>
          <w:spacing w:val="-19"/>
        </w:rPr>
        <w:t> </w:t>
      </w:r>
      <w:r>
        <w:rPr/>
        <w:t>level,</w:t>
      </w:r>
      <w:r>
        <w:rPr>
          <w:spacing w:val="-19"/>
        </w:rPr>
        <w:t> </w:t>
      </w:r>
      <w:r>
        <w:rPr/>
        <w:t>and</w:t>
      </w:r>
      <w:r>
        <w:rPr>
          <w:spacing w:val="-19"/>
        </w:rPr>
        <w:t> </w:t>
      </w:r>
      <w:r>
        <w:rPr/>
        <w:t>if</w:t>
      </w:r>
      <w:r>
        <w:rPr>
          <w:spacing w:val="-19"/>
        </w:rPr>
        <w:t> </w:t>
      </w:r>
      <w:r>
        <w:rPr/>
        <w:t>any</w:t>
      </w:r>
      <w:r>
        <w:rPr>
          <w:spacing w:val="-19"/>
        </w:rPr>
        <w:t> </w:t>
      </w:r>
      <w:r>
        <w:rPr/>
        <w:t>enforcement action was</w:t>
      </w:r>
      <w:r>
        <w:rPr>
          <w:spacing w:val="-16"/>
        </w:rPr>
        <w:t> </w:t>
      </w:r>
      <w:r>
        <w:rPr/>
        <w:t>taken.</w:t>
      </w:r>
    </w:p>
    <w:p>
      <w:pPr>
        <w:pStyle w:val="BodyText"/>
        <w:spacing w:before="10"/>
        <w:rPr>
          <w:sz w:val="20"/>
        </w:rPr>
      </w:pPr>
    </w:p>
    <w:p>
      <w:pPr>
        <w:pStyle w:val="BodyText"/>
        <w:ind w:left="863" w:right="177"/>
      </w:pPr>
      <w:r>
        <w:rPr/>
        <w:drawing>
          <wp:anchor distT="0" distB="0" distL="0" distR="0" allowOverlap="1" layoutInCell="1" locked="0" behindDoc="1" simplePos="0" relativeHeight="268431767">
            <wp:simplePos x="0" y="0"/>
            <wp:positionH relativeFrom="page">
              <wp:posOffset>0</wp:posOffset>
            </wp:positionH>
            <wp:positionV relativeFrom="paragraph">
              <wp:posOffset>591004</wp:posOffset>
            </wp:positionV>
            <wp:extent cx="7770875" cy="922401"/>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770875" cy="922401"/>
                    </a:xfrm>
                    <a:prstGeom prst="rect">
                      <a:avLst/>
                    </a:prstGeom>
                  </pic:spPr>
                </pic:pic>
              </a:graphicData>
            </a:graphic>
          </wp:anchor>
        </w:drawing>
      </w:r>
      <w:r>
        <w:rPr/>
        <w:t>In addition, while not specifically mentioned in the CY 2019 Call Letter, CMS has previously acknowledged that Medicare Advantage, Qualified Health Plans (QHPs) and Medicaid   managed</w:t>
      </w:r>
    </w:p>
    <w:p>
      <w:pPr>
        <w:spacing w:after="0"/>
        <w:sectPr>
          <w:type w:val="continuous"/>
          <w:pgSz w:w="12240" w:h="15840"/>
          <w:pgMar w:top="0" w:bottom="0" w:left="0" w:right="0"/>
        </w:sectPr>
      </w:pPr>
    </w:p>
    <w:p>
      <w:pPr>
        <w:pStyle w:val="BodyText"/>
        <w:spacing w:before="11"/>
        <w:rPr>
          <w:sz w:val="15"/>
        </w:rPr>
      </w:pPr>
    </w:p>
    <w:p>
      <w:pPr>
        <w:pStyle w:val="BodyText"/>
        <w:spacing w:before="92"/>
        <w:ind w:left="104" w:right="113"/>
        <w:jc w:val="both"/>
      </w:pPr>
      <w:r>
        <w:rPr/>
        <w:t>care programs provider directory guidelines consist of varying data elements and readability requirements. The AADA re-states its support for CMS to standardize these requirements and supports CMS in its efforts to standardize the required data elements.</w:t>
      </w:r>
    </w:p>
    <w:p>
      <w:pPr>
        <w:pStyle w:val="BodyText"/>
        <w:spacing w:before="10"/>
        <w:rPr>
          <w:sz w:val="20"/>
        </w:rPr>
      </w:pPr>
    </w:p>
    <w:p>
      <w:pPr>
        <w:pStyle w:val="Heading1"/>
        <w:ind w:left="104"/>
      </w:pPr>
      <w:r>
        <w:rPr/>
        <w:t>Section II – Part C</w:t>
      </w:r>
    </w:p>
    <w:p>
      <w:pPr>
        <w:pStyle w:val="BodyText"/>
        <w:spacing w:before="9"/>
        <w:rPr>
          <w:b/>
          <w:sz w:val="20"/>
        </w:rPr>
      </w:pPr>
    </w:p>
    <w:p>
      <w:pPr>
        <w:pStyle w:val="Heading2"/>
        <w:ind w:left="104"/>
        <w:rPr>
          <w:i/>
        </w:rPr>
      </w:pPr>
      <w:r>
        <w:rPr>
          <w:i/>
        </w:rPr>
        <w:t>Transparency &amp; Timeliness with Prior Authorization Process</w:t>
      </w:r>
    </w:p>
    <w:p>
      <w:pPr>
        <w:pStyle w:val="BodyText"/>
        <w:spacing w:before="8"/>
        <w:rPr>
          <w:b/>
          <w:i/>
          <w:sz w:val="20"/>
        </w:rPr>
      </w:pPr>
    </w:p>
    <w:p>
      <w:pPr>
        <w:pStyle w:val="BodyText"/>
        <w:ind w:left="103" w:right="111"/>
        <w:jc w:val="both"/>
      </w:pPr>
      <w:r>
        <w:rPr/>
        <w:t>The</w:t>
      </w:r>
      <w:r>
        <w:rPr>
          <w:spacing w:val="-7"/>
        </w:rPr>
        <w:t> </w:t>
      </w:r>
      <w:r>
        <w:rPr/>
        <w:t>AADA</w:t>
      </w:r>
      <w:r>
        <w:rPr>
          <w:spacing w:val="-7"/>
        </w:rPr>
        <w:t> </w:t>
      </w:r>
      <w:r>
        <w:rPr/>
        <w:t>commends</w:t>
      </w:r>
      <w:r>
        <w:rPr>
          <w:spacing w:val="-7"/>
        </w:rPr>
        <w:t> </w:t>
      </w:r>
      <w:r>
        <w:rPr/>
        <w:t>CMS</w:t>
      </w:r>
      <w:r>
        <w:rPr>
          <w:spacing w:val="-7"/>
        </w:rPr>
        <w:t> </w:t>
      </w:r>
      <w:r>
        <w:rPr/>
        <w:t>for</w:t>
      </w:r>
      <w:r>
        <w:rPr>
          <w:spacing w:val="-7"/>
        </w:rPr>
        <w:t> </w:t>
      </w:r>
      <w:r>
        <w:rPr/>
        <w:t>including</w:t>
      </w:r>
      <w:r>
        <w:rPr>
          <w:spacing w:val="-7"/>
        </w:rPr>
        <w:t> </w:t>
      </w:r>
      <w:r>
        <w:rPr/>
        <w:t>language</w:t>
      </w:r>
      <w:r>
        <w:rPr>
          <w:spacing w:val="-7"/>
        </w:rPr>
        <w:t> </w:t>
      </w:r>
      <w:r>
        <w:rPr/>
        <w:t>on</w:t>
      </w:r>
      <w:r>
        <w:rPr>
          <w:spacing w:val="-7"/>
        </w:rPr>
        <w:t> </w:t>
      </w:r>
      <w:r>
        <w:rPr/>
        <w:t>Medicare</w:t>
      </w:r>
      <w:r>
        <w:rPr>
          <w:spacing w:val="-7"/>
        </w:rPr>
        <w:t> </w:t>
      </w:r>
      <w:r>
        <w:rPr/>
        <w:t>Advantage</w:t>
      </w:r>
      <w:r>
        <w:rPr>
          <w:spacing w:val="-7"/>
        </w:rPr>
        <w:t> </w:t>
      </w:r>
      <w:r>
        <w:rPr/>
        <w:t>Organizations</w:t>
      </w:r>
      <w:r>
        <w:rPr>
          <w:spacing w:val="-7"/>
        </w:rPr>
        <w:t> </w:t>
      </w:r>
      <w:r>
        <w:rPr/>
        <w:t>(MAOs) use of Prior Authorization (PA) in Part C. CMS requests that MAOs be transparent and provide adequate</w:t>
      </w:r>
      <w:r>
        <w:rPr>
          <w:spacing w:val="-10"/>
        </w:rPr>
        <w:t> </w:t>
      </w:r>
      <w:r>
        <w:rPr/>
        <w:t>notice</w:t>
      </w:r>
      <w:r>
        <w:rPr>
          <w:spacing w:val="-10"/>
        </w:rPr>
        <w:t> </w:t>
      </w:r>
      <w:r>
        <w:rPr/>
        <w:t>of</w:t>
      </w:r>
      <w:r>
        <w:rPr>
          <w:spacing w:val="-10"/>
        </w:rPr>
        <w:t> </w:t>
      </w:r>
      <w:r>
        <w:rPr/>
        <w:t>any</w:t>
      </w:r>
      <w:r>
        <w:rPr>
          <w:spacing w:val="-10"/>
        </w:rPr>
        <w:t> </w:t>
      </w:r>
      <w:r>
        <w:rPr/>
        <w:t>coverage</w:t>
      </w:r>
      <w:r>
        <w:rPr>
          <w:spacing w:val="-10"/>
        </w:rPr>
        <w:t> </w:t>
      </w:r>
      <w:r>
        <w:rPr/>
        <w:t>restrictions,</w:t>
      </w:r>
      <w:r>
        <w:rPr>
          <w:spacing w:val="-11"/>
        </w:rPr>
        <w:t> </w:t>
      </w:r>
      <w:r>
        <w:rPr/>
        <w:t>such</w:t>
      </w:r>
      <w:r>
        <w:rPr>
          <w:spacing w:val="-10"/>
        </w:rPr>
        <w:t> </w:t>
      </w:r>
      <w:r>
        <w:rPr/>
        <w:t>as</w:t>
      </w:r>
      <w:r>
        <w:rPr>
          <w:spacing w:val="-10"/>
        </w:rPr>
        <w:t> </w:t>
      </w:r>
      <w:r>
        <w:rPr/>
        <w:t>PA</w:t>
      </w:r>
      <w:r>
        <w:rPr>
          <w:spacing w:val="-10"/>
        </w:rPr>
        <w:t> </w:t>
      </w:r>
      <w:r>
        <w:rPr/>
        <w:t>requirements,</w:t>
      </w:r>
      <w:r>
        <w:rPr>
          <w:spacing w:val="-11"/>
        </w:rPr>
        <w:t> </w:t>
      </w:r>
      <w:r>
        <w:rPr/>
        <w:t>to</w:t>
      </w:r>
      <w:r>
        <w:rPr>
          <w:spacing w:val="-10"/>
        </w:rPr>
        <w:t> </w:t>
      </w:r>
      <w:r>
        <w:rPr/>
        <w:t>providers</w:t>
      </w:r>
      <w:r>
        <w:rPr>
          <w:spacing w:val="-10"/>
        </w:rPr>
        <w:t> </w:t>
      </w:r>
      <w:r>
        <w:rPr/>
        <w:t>and</w:t>
      </w:r>
      <w:r>
        <w:rPr>
          <w:spacing w:val="-10"/>
        </w:rPr>
        <w:t> </w:t>
      </w:r>
      <w:r>
        <w:rPr/>
        <w:t>enrollees. Dermatologists and their staff often find it is difficult to determine the PA requirements and find the necessary PA form. The AADA supports CMS calling on plans to include this information in the Evidence of Coverage (EOC) and make sure the forms are easily accessible. Additionally, in the letter CMS reminds MAOs about the required timelines for plan determinations on PAs. PAs can lead to a delay in treatment of the patient and potentially disrupt the continuity of care of a patient therefore; AADA supports CMS highlighting the required timeframes for determining</w:t>
      </w:r>
      <w:r>
        <w:rPr>
          <w:spacing w:val="-19"/>
        </w:rPr>
        <w:t> </w:t>
      </w:r>
      <w:r>
        <w:rPr/>
        <w:t>PAs.</w:t>
      </w:r>
    </w:p>
    <w:p>
      <w:pPr>
        <w:pStyle w:val="BodyText"/>
        <w:spacing w:before="9"/>
        <w:rPr>
          <w:sz w:val="20"/>
        </w:rPr>
      </w:pPr>
    </w:p>
    <w:p>
      <w:pPr>
        <w:pStyle w:val="BodyText"/>
        <w:ind w:left="103" w:right="111"/>
        <w:jc w:val="both"/>
      </w:pPr>
      <w:r>
        <w:rPr/>
        <w:t>PAs</w:t>
      </w:r>
      <w:r>
        <w:rPr>
          <w:spacing w:val="-5"/>
        </w:rPr>
        <w:t> </w:t>
      </w:r>
      <w:r>
        <w:rPr/>
        <w:t>continue</w:t>
      </w:r>
      <w:r>
        <w:rPr>
          <w:spacing w:val="-5"/>
        </w:rPr>
        <w:t> </w:t>
      </w:r>
      <w:r>
        <w:rPr/>
        <w:t>to</w:t>
      </w:r>
      <w:r>
        <w:rPr>
          <w:spacing w:val="-5"/>
        </w:rPr>
        <w:t> </w:t>
      </w:r>
      <w:r>
        <w:rPr/>
        <w:t>be</w:t>
      </w:r>
      <w:r>
        <w:rPr>
          <w:spacing w:val="-5"/>
        </w:rPr>
        <w:t> </w:t>
      </w:r>
      <w:r>
        <w:rPr/>
        <w:t>a</w:t>
      </w:r>
      <w:r>
        <w:rPr>
          <w:spacing w:val="-7"/>
        </w:rPr>
        <w:t> </w:t>
      </w:r>
      <w:r>
        <w:rPr/>
        <w:t>method</w:t>
      </w:r>
      <w:r>
        <w:rPr>
          <w:spacing w:val="-5"/>
        </w:rPr>
        <w:t> </w:t>
      </w:r>
      <w:r>
        <w:rPr/>
        <w:t>that</w:t>
      </w:r>
      <w:r>
        <w:rPr>
          <w:spacing w:val="-4"/>
        </w:rPr>
        <w:t> </w:t>
      </w:r>
      <w:r>
        <w:rPr/>
        <w:t>plans</w:t>
      </w:r>
      <w:r>
        <w:rPr>
          <w:spacing w:val="-5"/>
        </w:rPr>
        <w:t> </w:t>
      </w:r>
      <w:r>
        <w:rPr/>
        <w:t>use</w:t>
      </w:r>
      <w:r>
        <w:rPr>
          <w:spacing w:val="-7"/>
        </w:rPr>
        <w:t> </w:t>
      </w:r>
      <w:r>
        <w:rPr/>
        <w:t>to</w:t>
      </w:r>
      <w:r>
        <w:rPr>
          <w:spacing w:val="-5"/>
        </w:rPr>
        <w:t> </w:t>
      </w:r>
      <w:r>
        <w:rPr/>
        <w:t>inappropriately</w:t>
      </w:r>
      <w:r>
        <w:rPr>
          <w:spacing w:val="-5"/>
        </w:rPr>
        <w:t> </w:t>
      </w:r>
      <w:r>
        <w:rPr/>
        <w:t>deny</w:t>
      </w:r>
      <w:r>
        <w:rPr>
          <w:spacing w:val="-5"/>
        </w:rPr>
        <w:t> </w:t>
      </w:r>
      <w:r>
        <w:rPr/>
        <w:t>access</w:t>
      </w:r>
      <w:r>
        <w:rPr>
          <w:spacing w:val="-6"/>
        </w:rPr>
        <w:t> </w:t>
      </w:r>
      <w:r>
        <w:rPr/>
        <w:t>to</w:t>
      </w:r>
      <w:r>
        <w:rPr>
          <w:spacing w:val="-6"/>
        </w:rPr>
        <w:t> </w:t>
      </w:r>
      <w:r>
        <w:rPr/>
        <w:t>medically</w:t>
      </w:r>
      <w:r>
        <w:rPr>
          <w:spacing w:val="-5"/>
        </w:rPr>
        <w:t> </w:t>
      </w:r>
      <w:r>
        <w:rPr/>
        <w:t>necessary procedures. These practices are not aligned with current CMS guidance. While the AADA appreciates CMS highlighting some of the PA requirements in the Call Letter, it is recommended that CMS begin to audit plans to ensure the PA practices are in compliance. The AADA calls on CMS to begin this work to help address the burden of PAs to ensure physicians get patients the affordable and effective treatments they</w:t>
      </w:r>
      <w:r>
        <w:rPr>
          <w:spacing w:val="-21"/>
        </w:rPr>
        <w:t> </w:t>
      </w:r>
      <w:r>
        <w:rPr/>
        <w:t>require.</w:t>
      </w:r>
    </w:p>
    <w:p>
      <w:pPr>
        <w:pStyle w:val="BodyText"/>
        <w:spacing w:before="10"/>
        <w:rPr>
          <w:sz w:val="20"/>
        </w:rPr>
      </w:pPr>
    </w:p>
    <w:p>
      <w:pPr>
        <w:pStyle w:val="Heading1"/>
      </w:pPr>
      <w:r>
        <w:rPr/>
        <w:t>Section III – Part D</w:t>
      </w:r>
    </w:p>
    <w:p>
      <w:pPr>
        <w:pStyle w:val="BodyText"/>
        <w:spacing w:before="9"/>
        <w:rPr>
          <w:b/>
          <w:sz w:val="20"/>
        </w:rPr>
      </w:pPr>
    </w:p>
    <w:p>
      <w:pPr>
        <w:pStyle w:val="Heading2"/>
        <w:rPr>
          <w:i/>
        </w:rPr>
      </w:pPr>
      <w:r>
        <w:rPr>
          <w:i/>
        </w:rPr>
        <w:t>Tier Composition</w:t>
      </w:r>
    </w:p>
    <w:p>
      <w:pPr>
        <w:pStyle w:val="BodyText"/>
        <w:spacing w:before="7"/>
        <w:rPr>
          <w:b/>
          <w:i/>
          <w:sz w:val="20"/>
        </w:rPr>
      </w:pPr>
    </w:p>
    <w:p>
      <w:pPr>
        <w:pStyle w:val="BodyText"/>
        <w:ind w:left="103" w:right="113"/>
        <w:jc w:val="both"/>
      </w:pPr>
      <w:r>
        <w:rPr/>
        <w:t>We once again commend CMS’s efforts to survey the brand/generic composition of the non- preferred brand tier and non-preferred drug tier for adverse tiering and high cost sharing that may discourage</w:t>
      </w:r>
      <w:r>
        <w:rPr>
          <w:spacing w:val="-7"/>
        </w:rPr>
        <w:t> </w:t>
      </w:r>
      <w:r>
        <w:rPr/>
        <w:t>enrollees</w:t>
      </w:r>
      <w:r>
        <w:rPr>
          <w:spacing w:val="-7"/>
        </w:rPr>
        <w:t> </w:t>
      </w:r>
      <w:r>
        <w:rPr/>
        <w:t>from</w:t>
      </w:r>
      <w:r>
        <w:rPr>
          <w:spacing w:val="-7"/>
        </w:rPr>
        <w:t> </w:t>
      </w:r>
      <w:r>
        <w:rPr/>
        <w:t>accessing</w:t>
      </w:r>
      <w:r>
        <w:rPr>
          <w:spacing w:val="-7"/>
        </w:rPr>
        <w:t> </w:t>
      </w:r>
      <w:r>
        <w:rPr/>
        <w:t>these</w:t>
      </w:r>
      <w:r>
        <w:rPr>
          <w:spacing w:val="-7"/>
        </w:rPr>
        <w:t> </w:t>
      </w:r>
      <w:r>
        <w:rPr/>
        <w:t>drugs.</w:t>
      </w:r>
      <w:r>
        <w:rPr>
          <w:spacing w:val="-7"/>
        </w:rPr>
        <w:t> </w:t>
      </w:r>
      <w:r>
        <w:rPr/>
        <w:t>High</w:t>
      </w:r>
      <w:r>
        <w:rPr>
          <w:spacing w:val="-8"/>
        </w:rPr>
        <w:t> </w:t>
      </w:r>
      <w:r>
        <w:rPr/>
        <w:t>out</w:t>
      </w:r>
      <w:r>
        <w:rPr>
          <w:spacing w:val="-7"/>
        </w:rPr>
        <w:t> </w:t>
      </w:r>
      <w:r>
        <w:rPr/>
        <w:t>of</w:t>
      </w:r>
      <w:r>
        <w:rPr>
          <w:spacing w:val="-7"/>
        </w:rPr>
        <w:t> </w:t>
      </w:r>
      <w:r>
        <w:rPr/>
        <w:t>pocket</w:t>
      </w:r>
      <w:r>
        <w:rPr>
          <w:spacing w:val="-7"/>
        </w:rPr>
        <w:t> </w:t>
      </w:r>
      <w:r>
        <w:rPr/>
        <w:t>costs</w:t>
      </w:r>
      <w:r>
        <w:rPr>
          <w:spacing w:val="-7"/>
        </w:rPr>
        <w:t> </w:t>
      </w:r>
      <w:r>
        <w:rPr/>
        <w:t>can</w:t>
      </w:r>
      <w:r>
        <w:rPr>
          <w:spacing w:val="-7"/>
        </w:rPr>
        <w:t> </w:t>
      </w:r>
      <w:r>
        <w:rPr/>
        <w:t>impact</w:t>
      </w:r>
      <w:r>
        <w:rPr>
          <w:spacing w:val="-7"/>
        </w:rPr>
        <w:t> </w:t>
      </w:r>
      <w:r>
        <w:rPr/>
        <w:t>significantly the ability of patients to access the treatment they need, costing patients hundreds, and in some cases, even thousands, of dollars per month for a single medication. This can place medically necessary treatments out of reach for average</w:t>
      </w:r>
      <w:r>
        <w:rPr>
          <w:spacing w:val="-23"/>
        </w:rPr>
        <w:t> </w:t>
      </w:r>
      <w:r>
        <w:rPr/>
        <w:t>Americans.</w:t>
      </w:r>
    </w:p>
    <w:p>
      <w:pPr>
        <w:pStyle w:val="BodyText"/>
        <w:spacing w:before="10"/>
        <w:rPr>
          <w:sz w:val="20"/>
        </w:rPr>
      </w:pPr>
    </w:p>
    <w:p>
      <w:pPr>
        <w:pStyle w:val="Heading2"/>
        <w:spacing w:before="1"/>
        <w:rPr>
          <w:i/>
        </w:rPr>
      </w:pPr>
      <w:r>
        <w:rPr>
          <w:i/>
        </w:rPr>
        <w:t>Specialty Tiers</w:t>
      </w:r>
    </w:p>
    <w:p>
      <w:pPr>
        <w:pStyle w:val="BodyText"/>
        <w:spacing w:before="8"/>
        <w:rPr>
          <w:b/>
          <w:i/>
          <w:sz w:val="20"/>
        </w:rPr>
      </w:pPr>
    </w:p>
    <w:p>
      <w:pPr>
        <w:pStyle w:val="BodyText"/>
        <w:spacing w:before="1"/>
        <w:ind w:left="103" w:right="112"/>
        <w:jc w:val="both"/>
      </w:pPr>
      <w:r>
        <w:rPr/>
        <w:t>The</w:t>
      </w:r>
      <w:r>
        <w:rPr>
          <w:spacing w:val="-7"/>
        </w:rPr>
        <w:t> </w:t>
      </w:r>
      <w:r>
        <w:rPr/>
        <w:t>AADA</w:t>
      </w:r>
      <w:r>
        <w:rPr>
          <w:spacing w:val="-7"/>
        </w:rPr>
        <w:t> </w:t>
      </w:r>
      <w:r>
        <w:rPr/>
        <w:t>supports</w:t>
      </w:r>
      <w:r>
        <w:rPr>
          <w:spacing w:val="-7"/>
        </w:rPr>
        <w:t> </w:t>
      </w:r>
      <w:r>
        <w:rPr/>
        <w:t>CMS</w:t>
      </w:r>
      <w:r>
        <w:rPr>
          <w:spacing w:val="-7"/>
        </w:rPr>
        <w:t> </w:t>
      </w:r>
      <w:r>
        <w:rPr/>
        <w:t>continuing</w:t>
      </w:r>
      <w:r>
        <w:rPr>
          <w:spacing w:val="-7"/>
        </w:rPr>
        <w:t> </w:t>
      </w:r>
      <w:r>
        <w:rPr/>
        <w:t>to</w:t>
      </w:r>
      <w:r>
        <w:rPr>
          <w:spacing w:val="-7"/>
        </w:rPr>
        <w:t> </w:t>
      </w:r>
      <w:r>
        <w:rPr/>
        <w:t>evaluate</w:t>
      </w:r>
      <w:r>
        <w:rPr>
          <w:spacing w:val="-7"/>
        </w:rPr>
        <w:t> </w:t>
      </w:r>
      <w:r>
        <w:rPr/>
        <w:t>the</w:t>
      </w:r>
      <w:r>
        <w:rPr>
          <w:spacing w:val="-9"/>
        </w:rPr>
        <w:t> </w:t>
      </w:r>
      <w:r>
        <w:rPr/>
        <w:t>threshold</w:t>
      </w:r>
      <w:r>
        <w:rPr>
          <w:spacing w:val="-7"/>
        </w:rPr>
        <w:t> </w:t>
      </w:r>
      <w:r>
        <w:rPr/>
        <w:t>and</w:t>
      </w:r>
      <w:r>
        <w:rPr>
          <w:spacing w:val="-6"/>
        </w:rPr>
        <w:t> </w:t>
      </w:r>
      <w:r>
        <w:rPr/>
        <w:t>composition</w:t>
      </w:r>
      <w:r>
        <w:rPr>
          <w:spacing w:val="-6"/>
        </w:rPr>
        <w:t> </w:t>
      </w:r>
      <w:r>
        <w:rPr/>
        <w:t>of</w:t>
      </w:r>
      <w:r>
        <w:rPr>
          <w:spacing w:val="-8"/>
        </w:rPr>
        <w:t> </w:t>
      </w:r>
      <w:r>
        <w:rPr/>
        <w:t>the</w:t>
      </w:r>
      <w:r>
        <w:rPr>
          <w:spacing w:val="-8"/>
        </w:rPr>
        <w:t> </w:t>
      </w:r>
      <w:r>
        <w:rPr/>
        <w:t>specialty</w:t>
      </w:r>
      <w:r>
        <w:rPr>
          <w:spacing w:val="-8"/>
        </w:rPr>
        <w:t> </w:t>
      </w:r>
      <w:r>
        <w:rPr/>
        <w:t>tier since</w:t>
      </w:r>
      <w:r>
        <w:rPr>
          <w:spacing w:val="-8"/>
        </w:rPr>
        <w:t> </w:t>
      </w:r>
      <w:r>
        <w:rPr/>
        <w:t>it</w:t>
      </w:r>
      <w:r>
        <w:rPr>
          <w:spacing w:val="-8"/>
        </w:rPr>
        <w:t> </w:t>
      </w:r>
      <w:r>
        <w:rPr/>
        <w:t>is</w:t>
      </w:r>
      <w:r>
        <w:rPr>
          <w:spacing w:val="-8"/>
        </w:rPr>
        <w:t> </w:t>
      </w:r>
      <w:r>
        <w:rPr/>
        <w:t>exempt</w:t>
      </w:r>
      <w:r>
        <w:rPr>
          <w:spacing w:val="-8"/>
        </w:rPr>
        <w:t> </w:t>
      </w:r>
      <w:r>
        <w:rPr/>
        <w:t>from</w:t>
      </w:r>
      <w:r>
        <w:rPr>
          <w:spacing w:val="-8"/>
        </w:rPr>
        <w:t> </w:t>
      </w:r>
      <w:r>
        <w:rPr/>
        <w:t>the</w:t>
      </w:r>
      <w:r>
        <w:rPr>
          <w:spacing w:val="-9"/>
        </w:rPr>
        <w:t> </w:t>
      </w:r>
      <w:r>
        <w:rPr/>
        <w:t>tiering</w:t>
      </w:r>
      <w:r>
        <w:rPr>
          <w:spacing w:val="-8"/>
        </w:rPr>
        <w:t> </w:t>
      </w:r>
      <w:r>
        <w:rPr/>
        <w:t>exception</w:t>
      </w:r>
      <w:r>
        <w:rPr>
          <w:spacing w:val="-8"/>
        </w:rPr>
        <w:t> </w:t>
      </w:r>
      <w:r>
        <w:rPr/>
        <w:t>process.</w:t>
      </w:r>
      <w:r>
        <w:rPr>
          <w:spacing w:val="-8"/>
        </w:rPr>
        <w:t> </w:t>
      </w:r>
      <w:r>
        <w:rPr/>
        <w:t>While</w:t>
      </w:r>
      <w:r>
        <w:rPr>
          <w:spacing w:val="-8"/>
        </w:rPr>
        <w:t> </w:t>
      </w:r>
      <w:r>
        <w:rPr/>
        <w:t>the</w:t>
      </w:r>
      <w:r>
        <w:rPr>
          <w:spacing w:val="-8"/>
        </w:rPr>
        <w:t> </w:t>
      </w:r>
      <w:r>
        <w:rPr/>
        <w:t>AADA</w:t>
      </w:r>
      <w:r>
        <w:rPr>
          <w:spacing w:val="-8"/>
        </w:rPr>
        <w:t> </w:t>
      </w:r>
      <w:r>
        <w:rPr/>
        <w:t>recognizes</w:t>
      </w:r>
      <w:r>
        <w:rPr>
          <w:spacing w:val="-8"/>
        </w:rPr>
        <w:t> </w:t>
      </w:r>
      <w:r>
        <w:rPr/>
        <w:t>that</w:t>
      </w:r>
      <w:r>
        <w:rPr>
          <w:spacing w:val="-8"/>
        </w:rPr>
        <w:t> </w:t>
      </w:r>
      <w:r>
        <w:rPr/>
        <w:t>the</w:t>
      </w:r>
      <w:r>
        <w:rPr>
          <w:spacing w:val="-9"/>
        </w:rPr>
        <w:t> </w:t>
      </w:r>
      <w:r>
        <w:rPr/>
        <w:t>high</w:t>
      </w:r>
      <w:r>
        <w:rPr>
          <w:spacing w:val="-8"/>
        </w:rPr>
        <w:t> </w:t>
      </w:r>
      <w:r>
        <w:rPr/>
        <w:t>cost of</w:t>
      </w:r>
      <w:r>
        <w:rPr>
          <w:spacing w:val="-9"/>
        </w:rPr>
        <w:t> </w:t>
      </w:r>
      <w:r>
        <w:rPr/>
        <w:t>the</w:t>
      </w:r>
      <w:r>
        <w:rPr>
          <w:spacing w:val="-9"/>
        </w:rPr>
        <w:t> </w:t>
      </w:r>
      <w:r>
        <w:rPr/>
        <w:t>drugs</w:t>
      </w:r>
      <w:r>
        <w:rPr>
          <w:spacing w:val="-9"/>
        </w:rPr>
        <w:t> </w:t>
      </w:r>
      <w:r>
        <w:rPr/>
        <w:t>leads</w:t>
      </w:r>
      <w:r>
        <w:rPr>
          <w:spacing w:val="-9"/>
        </w:rPr>
        <w:t> </w:t>
      </w:r>
      <w:r>
        <w:rPr/>
        <w:t>to</w:t>
      </w:r>
      <w:r>
        <w:rPr>
          <w:spacing w:val="-9"/>
        </w:rPr>
        <w:t> </w:t>
      </w:r>
      <w:r>
        <w:rPr/>
        <w:t>them</w:t>
      </w:r>
      <w:r>
        <w:rPr>
          <w:spacing w:val="-9"/>
        </w:rPr>
        <w:t> </w:t>
      </w:r>
      <w:r>
        <w:rPr/>
        <w:t>being</w:t>
      </w:r>
      <w:r>
        <w:rPr>
          <w:spacing w:val="-8"/>
        </w:rPr>
        <w:t> </w:t>
      </w:r>
      <w:r>
        <w:rPr/>
        <w:t>exempt</w:t>
      </w:r>
      <w:r>
        <w:rPr>
          <w:spacing w:val="-9"/>
        </w:rPr>
        <w:t> </w:t>
      </w:r>
      <w:r>
        <w:rPr/>
        <w:t>from</w:t>
      </w:r>
      <w:r>
        <w:rPr>
          <w:spacing w:val="-9"/>
        </w:rPr>
        <w:t> </w:t>
      </w:r>
      <w:r>
        <w:rPr/>
        <w:t>the</w:t>
      </w:r>
      <w:r>
        <w:rPr>
          <w:spacing w:val="-9"/>
        </w:rPr>
        <w:t> </w:t>
      </w:r>
      <w:r>
        <w:rPr/>
        <w:t>tiering</w:t>
      </w:r>
      <w:r>
        <w:rPr>
          <w:spacing w:val="-9"/>
        </w:rPr>
        <w:t> </w:t>
      </w:r>
      <w:r>
        <w:rPr/>
        <w:t>exception</w:t>
      </w:r>
      <w:r>
        <w:rPr>
          <w:spacing w:val="-9"/>
        </w:rPr>
        <w:t> </w:t>
      </w:r>
      <w:r>
        <w:rPr/>
        <w:t>process,</w:t>
      </w:r>
      <w:r>
        <w:rPr>
          <w:spacing w:val="-9"/>
        </w:rPr>
        <w:t> </w:t>
      </w:r>
      <w:r>
        <w:rPr/>
        <w:t>it</w:t>
      </w:r>
      <w:r>
        <w:rPr>
          <w:spacing w:val="-10"/>
        </w:rPr>
        <w:t> </w:t>
      </w:r>
      <w:r>
        <w:rPr/>
        <w:t>is</w:t>
      </w:r>
      <w:r>
        <w:rPr>
          <w:spacing w:val="-9"/>
        </w:rPr>
        <w:t> </w:t>
      </w:r>
      <w:r>
        <w:rPr/>
        <w:t>recommended</w:t>
      </w:r>
      <w:r>
        <w:rPr>
          <w:spacing w:val="-9"/>
        </w:rPr>
        <w:t> </w:t>
      </w:r>
      <w:r>
        <w:rPr/>
        <w:t>that there be exceptions for patient characteristics and current treatment, including if the provider believes the recommended course of action by the carrier could cause harm to the patient. In general, patients must be able to have access to alternative treatments if the first line or preferred option is not optimal or</w:t>
      </w:r>
      <w:r>
        <w:rPr>
          <w:spacing w:val="-17"/>
        </w:rPr>
        <w:t> </w:t>
      </w:r>
      <w:r>
        <w:rPr/>
        <w:t>contraindicated.</w:t>
      </w:r>
    </w:p>
    <w:p>
      <w:pPr>
        <w:spacing w:after="0"/>
        <w:jc w:val="both"/>
        <w:sectPr>
          <w:headerReference w:type="default" r:id="rId7"/>
          <w:pgSz w:w="12240" w:h="15840"/>
          <w:pgMar w:header="726" w:footer="0" w:top="1540" w:bottom="280" w:left="760" w:right="840"/>
          <w:pgNumType w:start="2"/>
        </w:sectPr>
      </w:pPr>
    </w:p>
    <w:p>
      <w:pPr>
        <w:pStyle w:val="BodyText"/>
        <w:spacing w:before="1"/>
        <w:rPr>
          <w:sz w:val="16"/>
        </w:rPr>
      </w:pPr>
    </w:p>
    <w:p>
      <w:pPr>
        <w:pStyle w:val="Heading1"/>
        <w:spacing w:before="92"/>
        <w:ind w:left="124"/>
        <w:jc w:val="left"/>
      </w:pPr>
      <w:r>
        <w:rPr/>
        <w:t>Conclusion</w:t>
      </w:r>
    </w:p>
    <w:p>
      <w:pPr>
        <w:pStyle w:val="BodyText"/>
        <w:spacing w:before="8"/>
        <w:rPr>
          <w:b/>
          <w:sz w:val="20"/>
        </w:rPr>
      </w:pPr>
    </w:p>
    <w:p>
      <w:pPr>
        <w:pStyle w:val="BodyText"/>
        <w:ind w:left="124" w:right="111"/>
        <w:jc w:val="both"/>
      </w:pPr>
      <w:r>
        <w:rPr/>
        <w:t>The</w:t>
      </w:r>
      <w:r>
        <w:rPr>
          <w:spacing w:val="-5"/>
        </w:rPr>
        <w:t> </w:t>
      </w:r>
      <w:r>
        <w:rPr/>
        <w:t>AADA</w:t>
      </w:r>
      <w:r>
        <w:rPr>
          <w:spacing w:val="-4"/>
        </w:rPr>
        <w:t> </w:t>
      </w:r>
      <w:r>
        <w:rPr/>
        <w:t>appreciates</w:t>
      </w:r>
      <w:r>
        <w:rPr>
          <w:spacing w:val="-5"/>
        </w:rPr>
        <w:t> </w:t>
      </w:r>
      <w:r>
        <w:rPr/>
        <w:t>the</w:t>
      </w:r>
      <w:r>
        <w:rPr>
          <w:spacing w:val="-5"/>
        </w:rPr>
        <w:t> </w:t>
      </w:r>
      <w:r>
        <w:rPr/>
        <w:t>opportunity</w:t>
      </w:r>
      <w:r>
        <w:rPr>
          <w:spacing w:val="-5"/>
        </w:rPr>
        <w:t> </w:t>
      </w:r>
      <w:r>
        <w:rPr/>
        <w:t>to</w:t>
      </w:r>
      <w:r>
        <w:rPr>
          <w:spacing w:val="-5"/>
        </w:rPr>
        <w:t> </w:t>
      </w:r>
      <w:r>
        <w:rPr/>
        <w:t>provide</w:t>
      </w:r>
      <w:r>
        <w:rPr>
          <w:spacing w:val="-5"/>
        </w:rPr>
        <w:t> </w:t>
      </w:r>
      <w:r>
        <w:rPr/>
        <w:t>comments</w:t>
      </w:r>
      <w:r>
        <w:rPr>
          <w:spacing w:val="-5"/>
        </w:rPr>
        <w:t> </w:t>
      </w:r>
      <w:r>
        <w:rPr/>
        <w:t>on</w:t>
      </w:r>
      <w:r>
        <w:rPr>
          <w:spacing w:val="-5"/>
        </w:rPr>
        <w:t> </w:t>
      </w:r>
      <w:r>
        <w:rPr/>
        <w:t>the</w:t>
      </w:r>
      <w:r>
        <w:rPr>
          <w:spacing w:val="-6"/>
        </w:rPr>
        <w:t> </w:t>
      </w:r>
      <w:r>
        <w:rPr/>
        <w:t>Draft</w:t>
      </w:r>
      <w:r>
        <w:rPr>
          <w:spacing w:val="-5"/>
        </w:rPr>
        <w:t> </w:t>
      </w:r>
      <w:r>
        <w:rPr/>
        <w:t>2019</w:t>
      </w:r>
      <w:r>
        <w:rPr>
          <w:spacing w:val="-5"/>
        </w:rPr>
        <w:t> </w:t>
      </w:r>
      <w:r>
        <w:rPr/>
        <w:t>Call</w:t>
      </w:r>
      <w:r>
        <w:rPr>
          <w:spacing w:val="-5"/>
        </w:rPr>
        <w:t> </w:t>
      </w:r>
      <w:r>
        <w:rPr/>
        <w:t>Letter.</w:t>
      </w:r>
      <w:r>
        <w:rPr>
          <w:spacing w:val="-5"/>
        </w:rPr>
        <w:t> </w:t>
      </w:r>
      <w:r>
        <w:rPr/>
        <w:t>We</w:t>
      </w:r>
      <w:r>
        <w:rPr>
          <w:spacing w:val="-5"/>
        </w:rPr>
        <w:t> </w:t>
      </w:r>
      <w:r>
        <w:rPr/>
        <w:t>look forward to additional opportunities to comment on these issues and to provide feedback that may help guide policy</w:t>
      </w:r>
      <w:r>
        <w:rPr>
          <w:spacing w:val="-5"/>
        </w:rPr>
        <w:t> </w:t>
      </w:r>
      <w:r>
        <w:rPr/>
        <w:t>development.</w:t>
      </w:r>
    </w:p>
    <w:p>
      <w:pPr>
        <w:pStyle w:val="BodyText"/>
        <w:spacing w:before="9"/>
        <w:rPr>
          <w:sz w:val="20"/>
        </w:rPr>
      </w:pPr>
    </w:p>
    <w:p>
      <w:pPr>
        <w:pStyle w:val="BodyText"/>
        <w:ind w:left="124"/>
      </w:pPr>
      <w:r>
        <w:rPr/>
        <w:t>Please contact David Brewster, Assistant Director, Practice Advocacy, at (202) 609-6334 or </w:t>
      </w:r>
      <w:hyperlink r:id="rId8">
        <w:r>
          <w:rPr/>
          <w:t>DBrewster@aad.org</w:t>
        </w:r>
      </w:hyperlink>
      <w:r>
        <w:rPr/>
        <w:t> if you require clarification on any of the points or would like more information.</w:t>
      </w:r>
    </w:p>
    <w:p>
      <w:pPr>
        <w:pStyle w:val="BodyText"/>
        <w:spacing w:before="9"/>
        <w:rPr>
          <w:sz w:val="20"/>
        </w:rPr>
      </w:pPr>
    </w:p>
    <w:p>
      <w:pPr>
        <w:pStyle w:val="BodyText"/>
        <w:ind w:left="124"/>
      </w:pPr>
      <w:r>
        <w:rPr/>
        <w:t>Sincerely,</w:t>
      </w:r>
    </w:p>
    <w:p>
      <w:pPr>
        <w:pStyle w:val="BodyText"/>
        <w:spacing w:before="3"/>
        <w:rPr>
          <w:sz w:val="20"/>
        </w:rPr>
      </w:pPr>
      <w:r>
        <w:rPr/>
        <w:drawing>
          <wp:anchor distT="0" distB="0" distL="0" distR="0" allowOverlap="1" layoutInCell="1" locked="0" behindDoc="0" simplePos="0" relativeHeight="1072">
            <wp:simplePos x="0" y="0"/>
            <wp:positionH relativeFrom="page">
              <wp:posOffset>545591</wp:posOffset>
            </wp:positionH>
            <wp:positionV relativeFrom="paragraph">
              <wp:posOffset>173061</wp:posOffset>
            </wp:positionV>
            <wp:extent cx="2852928" cy="58521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2852928" cy="585215"/>
                    </a:xfrm>
                    <a:prstGeom prst="rect">
                      <a:avLst/>
                    </a:prstGeom>
                  </pic:spPr>
                </pic:pic>
              </a:graphicData>
            </a:graphic>
          </wp:anchor>
        </w:drawing>
      </w:r>
    </w:p>
    <w:p>
      <w:pPr>
        <w:pStyle w:val="BodyText"/>
        <w:rPr>
          <w:sz w:val="21"/>
        </w:rPr>
      </w:pPr>
    </w:p>
    <w:p>
      <w:pPr>
        <w:pStyle w:val="BodyText"/>
        <w:ind w:left="124" w:right="7394"/>
      </w:pPr>
      <w:r>
        <w:rPr/>
        <w:t>Suzanne Olbricht, MD, FAAD President</w:t>
      </w:r>
    </w:p>
    <w:p>
      <w:pPr>
        <w:pStyle w:val="BodyText"/>
        <w:ind w:left="124"/>
      </w:pPr>
      <w:r>
        <w:rPr/>
        <w:t>American Academy of Dermatology Association</w:t>
      </w:r>
    </w:p>
    <w:p>
      <w:pPr>
        <w:pStyle w:val="BodyText"/>
        <w:rPr>
          <w:sz w:val="26"/>
        </w:rPr>
      </w:pPr>
    </w:p>
    <w:p>
      <w:pPr>
        <w:pStyle w:val="BodyText"/>
        <w:rPr>
          <w:sz w:val="22"/>
        </w:rPr>
      </w:pPr>
    </w:p>
    <w:p>
      <w:pPr>
        <w:pStyle w:val="BodyText"/>
        <w:ind w:left="124"/>
      </w:pPr>
      <w:r>
        <w:rPr/>
        <w:t>CC:</w:t>
      </w:r>
    </w:p>
    <w:p>
      <w:pPr>
        <w:spacing w:before="0"/>
        <w:ind w:left="108" w:right="0" w:firstLine="0"/>
        <w:jc w:val="left"/>
        <w:rPr>
          <w:sz w:val="22"/>
        </w:rPr>
      </w:pPr>
      <w:r>
        <w:rPr>
          <w:sz w:val="22"/>
        </w:rPr>
        <w:t>Elaine Weiss, Executive Director &amp; CEO, American Academy of Dermatology</w:t>
      </w:r>
    </w:p>
    <w:p>
      <w:pPr>
        <w:spacing w:before="0"/>
        <w:ind w:left="124" w:right="147" w:hanging="16"/>
        <w:jc w:val="left"/>
        <w:rPr>
          <w:sz w:val="22"/>
        </w:rPr>
      </w:pPr>
      <w:r>
        <w:rPr>
          <w:sz w:val="22"/>
        </w:rPr>
        <w:t>Barbara Greenan, Senior Director, Advocacy and Policy, American Academy of Dermatology Association Leslie Stein Lloyd, JD, Regulatory and Payment Policy, American Academy of Dermatology Association David W. Brewster, Assistant Director, Practice Advocacy, American Academy of Dermatology Association</w:t>
      </w:r>
    </w:p>
    <w:sectPr>
      <w:pgSz w:w="12240" w:h="15840"/>
      <w:pgMar w:header="726" w:footer="0" w:top="1540" w:bottom="280" w:left="7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2.200001pt;margin-top:35.296719pt;width:346.1pt;height:43.05pt;mso-position-horizontal-relative:page;mso-position-vertical-relative:page;z-index:-3712" type="#_x0000_t202" filled="false" stroked="false">
          <v:textbox inset="0,0,0,0">
            <w:txbxContent>
              <w:p>
                <w:pPr>
                  <w:pStyle w:val="BodyText"/>
                  <w:spacing w:before="12"/>
                  <w:ind w:left="20" w:right="-2"/>
                </w:pPr>
                <w:r>
                  <w:rPr/>
                  <w:t>Re: CMS-2017-0163: Draft 2019 Medicare Advantage Call Letter March 5, 2018</w:t>
                </w:r>
              </w:p>
              <w:p>
                <w:pPr>
                  <w:spacing w:before="0"/>
                  <w:ind w:left="20" w:right="0" w:firstLine="0"/>
                  <w:jc w:val="left"/>
                  <w:rPr>
                    <w:b/>
                    <w:sz w:val="24"/>
                  </w:rPr>
                </w:pPr>
                <w:r>
                  <w:rPr>
                    <w:sz w:val="24"/>
                  </w:rPr>
                  <w:t>Page </w:t>
                </w:r>
                <w:r>
                  <w:rPr/>
                  <w:fldChar w:fldCharType="begin"/>
                </w:r>
                <w:r>
                  <w:rPr>
                    <w:b/>
                    <w:sz w:val="24"/>
                  </w:rPr>
                  <w:instrText> PAGE </w:instrText>
                </w:r>
                <w:r>
                  <w:rPr/>
                  <w:fldChar w:fldCharType="separate"/>
                </w:r>
                <w:r>
                  <w:rPr/>
                  <w:t>2</w:t>
                </w:r>
                <w:r>
                  <w:rPr/>
                  <w:fldChar w:fldCharType="end"/>
                </w:r>
                <w:r>
                  <w:rPr>
                    <w:b/>
                    <w:sz w:val="24"/>
                  </w:rPr>
                  <w:t> </w:t>
                </w:r>
                <w:r>
                  <w:rPr>
                    <w:sz w:val="24"/>
                  </w:rPr>
                  <w:t>of </w:t>
                </w:r>
                <w:r>
                  <w:rPr>
                    <w:b/>
                    <w:sz w:val="24"/>
                  </w:rPr>
                  <w:t>3</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03"/>
      <w:jc w:val="both"/>
      <w:outlineLvl w:val="1"/>
    </w:pPr>
    <w:rPr>
      <w:rFonts w:ascii="Arial" w:hAnsi="Arial" w:eastAsia="Arial" w:cs="Arial"/>
      <w:b/>
      <w:bCs/>
      <w:sz w:val="24"/>
      <w:szCs w:val="24"/>
    </w:rPr>
  </w:style>
  <w:style w:styleId="Heading2" w:type="paragraph">
    <w:name w:val="Heading 2"/>
    <w:basedOn w:val="Normal"/>
    <w:uiPriority w:val="1"/>
    <w:qFormat/>
    <w:pPr>
      <w:ind w:left="103"/>
      <w:jc w:val="both"/>
      <w:outlineLvl w:val="2"/>
    </w:pPr>
    <w:rPr>
      <w:rFonts w:ascii="Arial" w:hAnsi="Arial" w:eastAsia="Arial" w:cs="Arial"/>
      <w:b/>
      <w:bCs/>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hyperlink" Target="mailto:DBrewster@aad.or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DBrewster</dc:creator>
  <dc:title>Microsoft Word - 20180301 - Draft 2019 Medicare Advantage Call Letter vOlbricht.docx</dc:title>
  <dcterms:created xsi:type="dcterms:W3CDTF">2018-06-12T23:28:11Z</dcterms:created>
  <dcterms:modified xsi:type="dcterms:W3CDTF">2018-06-12T23:28:11Z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