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68"/>
        <w:rPr>
          <w:rFonts w:ascii="Times New Roman"/>
          <w:i w:val="0"/>
          <w:sz w:val="20"/>
        </w:rPr>
      </w:pPr>
      <w:r>
        <w:rPr>
          <w:rFonts w:ascii="Times New Roman"/>
          <w:i w:val="0"/>
          <w:sz w:val="20"/>
        </w:rPr>
        <w:drawing>
          <wp:inline distT="0" distB="0" distL="0" distR="0">
            <wp:extent cx="2463501" cy="800480"/>
            <wp:effectExtent l="0" t="0" r="0" b="0"/>
            <wp:docPr id="3" name="image2.jpeg" descr="þÿ"/>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63501" cy="800480"/>
                    </a:xfrm>
                    <a:prstGeom prst="rect">
                      <a:avLst/>
                    </a:prstGeom>
                  </pic:spPr>
                </pic:pic>
              </a:graphicData>
            </a:graphic>
          </wp:inline>
        </w:drawing>
      </w:r>
      <w:r>
        <w:rPr>
          <w:rFonts w:ascii="Times New Roman"/>
          <w:i w:val="0"/>
          <w:sz w:val="20"/>
        </w:rPr>
      </w:r>
    </w:p>
    <w:p>
      <w:pPr>
        <w:pStyle w:val="BodyText"/>
        <w:spacing w:before="6"/>
        <w:rPr>
          <w:rFonts w:ascii="Times New Roman"/>
          <w:i w:val="0"/>
          <w:sz w:val="11"/>
        </w:rPr>
      </w:pPr>
    </w:p>
    <w:p>
      <w:pPr>
        <w:spacing w:before="57"/>
        <w:ind w:left="740" w:right="0" w:firstLine="0"/>
        <w:jc w:val="both"/>
        <w:rPr>
          <w:sz w:val="22"/>
        </w:rPr>
      </w:pPr>
      <w:r>
        <w:rPr/>
        <w:pict>
          <v:shapetype id="_x0000_t202" o:spt="202" coordsize="21600,21600" path="m,l,21600r21600,l21600,xe">
            <v:stroke joinstyle="miter"/>
            <v:path gradientshapeok="t" o:connecttype="rect"/>
          </v:shapetype>
          <v:shape style="position:absolute;margin-left:68.400002pt;margin-top:-70.075371pt;width:192.65pt;height:62.6pt;mso-position-horizontal-relative:page;mso-position-vertical-relative:paragraph;z-index:-5992" type="#_x0000_t202" filled="false" stroked="false">
            <v:textbox inset="0,0,0,0">
              <w:txbxContent>
                <w:p>
                  <w:pPr>
                    <w:spacing w:line="253" w:lineRule="exact" w:before="0"/>
                    <w:ind w:left="71" w:right="0" w:firstLine="0"/>
                    <w:jc w:val="left"/>
                    <w:rPr>
                      <w:sz w:val="22"/>
                    </w:rPr>
                  </w:pPr>
                  <w:r>
                    <w:rPr>
                      <w:sz w:val="22"/>
                    </w:rPr>
                    <w:t>Page 1</w:t>
                  </w:r>
                </w:p>
              </w:txbxContent>
            </v:textbox>
            <w10:wrap type="none"/>
          </v:shape>
        </w:pict>
      </w:r>
      <w:r>
        <w:rPr>
          <w:sz w:val="22"/>
        </w:rPr>
        <w:t>March 5, 2018</w:t>
      </w:r>
    </w:p>
    <w:p>
      <w:pPr>
        <w:pStyle w:val="BodyText"/>
        <w:spacing w:before="10"/>
        <w:rPr>
          <w:i w:val="0"/>
          <w:sz w:val="19"/>
        </w:rPr>
      </w:pPr>
    </w:p>
    <w:p>
      <w:pPr>
        <w:spacing w:before="0"/>
        <w:ind w:left="740" w:right="0" w:firstLine="0"/>
        <w:jc w:val="both"/>
        <w:rPr>
          <w:sz w:val="22"/>
        </w:rPr>
      </w:pPr>
      <w:hyperlink r:id="rId7">
        <w:r>
          <w:rPr>
            <w:color w:val="0000FF"/>
            <w:sz w:val="22"/>
            <w:u w:val="single" w:color="0000FF"/>
          </w:rPr>
          <w:t>https://www.regulations.gov/</w:t>
        </w:r>
      </w:hyperlink>
    </w:p>
    <w:p>
      <w:pPr>
        <w:spacing w:before="0"/>
        <w:ind w:left="740" w:right="6434" w:firstLine="0"/>
        <w:jc w:val="left"/>
        <w:rPr>
          <w:sz w:val="22"/>
        </w:rPr>
      </w:pPr>
      <w:r>
        <w:rPr>
          <w:sz w:val="22"/>
        </w:rPr>
        <w:t>Centers for Medicare &amp; Medicaid Services Department of Health and Human Services Baltimore, MD 21244</w:t>
      </w:r>
    </w:p>
    <w:p>
      <w:pPr>
        <w:pStyle w:val="BodyText"/>
        <w:rPr>
          <w:i w:val="0"/>
        </w:rPr>
      </w:pPr>
    </w:p>
    <w:p>
      <w:pPr>
        <w:spacing w:before="0"/>
        <w:ind w:left="1099" w:right="905" w:hanging="360"/>
        <w:jc w:val="left"/>
        <w:rPr>
          <w:sz w:val="22"/>
        </w:rPr>
      </w:pPr>
      <w:r>
        <w:rPr>
          <w:sz w:val="22"/>
        </w:rPr>
        <w:t>Re: Advance Notice of Methodological Changes for Calendar Year (CY) 2019 for Medicare Advantage (MA) Capitation Rates, Part C and Part D Payment Policies and 2019 draft Call Letter</w:t>
      </w:r>
    </w:p>
    <w:p>
      <w:pPr>
        <w:pStyle w:val="BodyText"/>
        <w:spacing w:before="11"/>
        <w:rPr>
          <w:i w:val="0"/>
          <w:sz w:val="21"/>
        </w:rPr>
      </w:pPr>
    </w:p>
    <w:p>
      <w:pPr>
        <w:spacing w:line="240" w:lineRule="auto" w:before="0"/>
        <w:ind w:left="739" w:right="914" w:firstLine="0"/>
        <w:jc w:val="both"/>
        <w:rPr>
          <w:sz w:val="22"/>
        </w:rPr>
      </w:pPr>
      <w:r>
        <w:rPr>
          <w:sz w:val="22"/>
        </w:rPr>
        <w:t>NCPDP is a not-for-profit ANSI-Accredited Standards Development Organization (SDO)  consisting  of more than 1,400 members who represent drug manufacturers, chain and independent pharmacies, drug wholesalers, insurers, mail order prescription drug companies, pharmaceutical claims processors, pharmacy benefit managers, physician services organizations, prescription drug providers, software vendors, telecommunication vendors, service organizations, government agencies, professional societies, and other parties interested in electronic standardization within the pharmacy services sector of the healthcare industry. NCPDP provides a forum wherein our diverse membership can develop solutions, including ANSI-accredited standards, and guidance for promoting information exchanges related to medications, supplies, and services within the healthcare</w:t>
      </w:r>
      <w:r>
        <w:rPr>
          <w:spacing w:val="-27"/>
          <w:sz w:val="22"/>
        </w:rPr>
        <w:t> </w:t>
      </w:r>
      <w:r>
        <w:rPr>
          <w:sz w:val="22"/>
        </w:rPr>
        <w:t>system.</w:t>
      </w:r>
    </w:p>
    <w:p>
      <w:pPr>
        <w:spacing w:before="196"/>
        <w:ind w:left="739" w:right="915" w:firstLine="0"/>
        <w:jc w:val="both"/>
        <w:rPr>
          <w:sz w:val="22"/>
        </w:rPr>
      </w:pPr>
      <w:r>
        <w:rPr>
          <w:sz w:val="22"/>
        </w:rPr>
        <w:t>For over 40 years NCPDP has been committed to furthering the electronic exchange of information between healthcare stakeholders. The NCPDP Telecommunication Standard is the standard used for eligibility, claims processing, reporting, and other functions in the pharmacy services industry as named in HIPAA. The NCPDP SCRIPT Standard, Telecommunication Standard, and the Formulary and Benefit Standard are the standards in use in electronic prescribing as named in MMA.</w:t>
      </w:r>
    </w:p>
    <w:p>
      <w:pPr>
        <w:pStyle w:val="BodyText"/>
        <w:spacing w:before="10"/>
        <w:rPr>
          <w:i w:val="0"/>
          <w:sz w:val="21"/>
        </w:rPr>
      </w:pPr>
    </w:p>
    <w:p>
      <w:pPr>
        <w:spacing w:before="0"/>
        <w:ind w:left="739" w:right="917" w:firstLine="0"/>
        <w:jc w:val="both"/>
        <w:rPr>
          <w:sz w:val="22"/>
        </w:rPr>
      </w:pPr>
      <w:r>
        <w:rPr>
          <w:sz w:val="22"/>
        </w:rPr>
        <w:t>NCPDP submits the following comments in response to the Advance Notice of Methodological Changes for Calendar Year (CY) 2019 for Medicare Advantage (MA) Capitation Rates, Part C and Part D Payment Policies and 2019 draft Call Letter. We stand ready to assist by providing guidance that can be considered and used when developing opioid prescriptive and dispensing</w:t>
      </w:r>
      <w:r>
        <w:rPr>
          <w:spacing w:val="-28"/>
          <w:sz w:val="22"/>
        </w:rPr>
        <w:t> </w:t>
      </w:r>
      <w:r>
        <w:rPr>
          <w:sz w:val="22"/>
        </w:rPr>
        <w:t>requirements.</w:t>
      </w:r>
    </w:p>
    <w:p>
      <w:pPr>
        <w:pStyle w:val="BodyText"/>
        <w:rPr>
          <w:i w:val="0"/>
        </w:rPr>
      </w:pPr>
    </w:p>
    <w:p>
      <w:pPr>
        <w:spacing w:before="0"/>
        <w:ind w:left="1027" w:right="4168" w:hanging="289"/>
        <w:jc w:val="left"/>
        <w:rPr>
          <w:sz w:val="22"/>
        </w:rPr>
      </w:pPr>
      <w:r>
        <w:rPr>
          <w:sz w:val="22"/>
        </w:rPr>
        <w:t>For direct inquiries or questions related to this letter, please contact Kittye Krempin, Advisor, Standards Development</w:t>
      </w:r>
    </w:p>
    <w:p>
      <w:pPr>
        <w:spacing w:line="242" w:lineRule="auto" w:before="0"/>
        <w:ind w:left="1027" w:right="5684" w:firstLine="0"/>
        <w:jc w:val="left"/>
        <w:rPr>
          <w:sz w:val="22"/>
        </w:rPr>
      </w:pPr>
      <w:r>
        <w:rPr>
          <w:sz w:val="22"/>
        </w:rPr>
        <w:t>National Council for Prescription Drug Programs E: </w:t>
      </w:r>
      <w:hyperlink r:id="rId8">
        <w:r>
          <w:rPr>
            <w:color w:val="0000FF"/>
            <w:sz w:val="22"/>
            <w:u w:val="single" w:color="0000FF"/>
          </w:rPr>
          <w:t>kkrempin@ncpdp.org</w:t>
        </w:r>
      </w:hyperlink>
    </w:p>
    <w:p>
      <w:pPr>
        <w:pStyle w:val="BodyText"/>
        <w:spacing w:before="6"/>
        <w:rPr>
          <w:i w:val="0"/>
          <w:sz w:val="11"/>
        </w:rPr>
      </w:pPr>
    </w:p>
    <w:p>
      <w:pPr>
        <w:spacing w:before="56" w:after="3"/>
        <w:ind w:left="740" w:right="0" w:firstLine="0"/>
        <w:jc w:val="left"/>
        <w:rPr>
          <w:sz w:val="22"/>
        </w:rPr>
      </w:pPr>
      <w:r>
        <w:rPr>
          <w:sz w:val="22"/>
        </w:rPr>
        <w:t>Sincerely,</w:t>
      </w:r>
    </w:p>
    <w:p>
      <w:pPr>
        <w:pStyle w:val="BodyText"/>
        <w:ind w:left="740"/>
        <w:rPr>
          <w:i w:val="0"/>
          <w:sz w:val="20"/>
        </w:rPr>
      </w:pPr>
      <w:r>
        <w:rPr>
          <w:i w:val="0"/>
          <w:sz w:val="20"/>
        </w:rPr>
        <w:drawing>
          <wp:inline distT="0" distB="0" distL="0" distR="0">
            <wp:extent cx="1776106" cy="348900"/>
            <wp:effectExtent l="0" t="0" r="0" b="0"/>
            <wp:docPr id="5" name="image3.png" descr="þÿ"/>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776106" cy="348900"/>
                    </a:xfrm>
                    <a:prstGeom prst="rect">
                      <a:avLst/>
                    </a:prstGeom>
                  </pic:spPr>
                </pic:pic>
              </a:graphicData>
            </a:graphic>
          </wp:inline>
        </w:drawing>
      </w:r>
      <w:r>
        <w:rPr>
          <w:i w:val="0"/>
          <w:sz w:val="20"/>
        </w:rPr>
      </w:r>
    </w:p>
    <w:p>
      <w:pPr>
        <w:spacing w:before="198"/>
        <w:ind w:left="740" w:right="8506" w:firstLine="0"/>
        <w:jc w:val="left"/>
        <w:rPr>
          <w:sz w:val="22"/>
        </w:rPr>
      </w:pPr>
      <w:r>
        <w:rPr>
          <w:sz w:val="22"/>
        </w:rPr>
        <w:t>Lee Ann C. Stember President &amp; CEO</w:t>
      </w:r>
    </w:p>
    <w:p>
      <w:pPr>
        <w:spacing w:before="0"/>
        <w:ind w:left="740" w:right="5166" w:firstLine="0"/>
        <w:jc w:val="left"/>
        <w:rPr>
          <w:sz w:val="22"/>
        </w:rPr>
      </w:pPr>
      <w:r>
        <w:rPr>
          <w:sz w:val="22"/>
        </w:rPr>
        <w:t>National Council for Prescription Drug Programs (NCPDP) 9240 E. Raintree Drive</w:t>
      </w:r>
    </w:p>
    <w:p>
      <w:pPr>
        <w:spacing w:before="0"/>
        <w:ind w:left="740" w:right="8358" w:firstLine="0"/>
        <w:jc w:val="left"/>
        <w:rPr>
          <w:sz w:val="22"/>
        </w:rPr>
      </w:pPr>
      <w:r>
        <w:rPr>
          <w:sz w:val="22"/>
        </w:rPr>
        <w:t>Scottsdale, AZ 85260 </w:t>
      </w:r>
      <w:hyperlink r:id="rId10">
        <w:r>
          <w:rPr>
            <w:color w:val="0000FF"/>
            <w:sz w:val="22"/>
            <w:u w:val="single" w:color="0000FF"/>
          </w:rPr>
          <w:t>lstember@ncpdp.org</w:t>
        </w:r>
      </w:hyperlink>
    </w:p>
    <w:p>
      <w:pPr>
        <w:spacing w:after="0"/>
        <w:jc w:val="left"/>
        <w:rPr>
          <w:sz w:val="22"/>
        </w:rPr>
        <w:sectPr>
          <w:footerReference w:type="default" r:id="rId5"/>
          <w:type w:val="continuous"/>
          <w:pgSz w:w="12240" w:h="15840"/>
          <w:pgMar w:footer="892" w:top="740" w:bottom="1080" w:left="700" w:right="520"/>
        </w:sectPr>
      </w:pPr>
    </w:p>
    <w:p>
      <w:pPr>
        <w:pStyle w:val="BodyText"/>
        <w:rPr>
          <w:i w:val="0"/>
          <w:sz w:val="20"/>
        </w:rPr>
      </w:pPr>
    </w:p>
    <w:p>
      <w:pPr>
        <w:pStyle w:val="BodyText"/>
        <w:spacing w:before="3"/>
        <w:rPr>
          <w:i w:val="0"/>
          <w:sz w:val="17"/>
        </w:rPr>
      </w:pPr>
    </w:p>
    <w:p>
      <w:pPr>
        <w:spacing w:before="0"/>
        <w:ind w:left="740" w:right="0" w:firstLine="0"/>
        <w:jc w:val="both"/>
        <w:rPr>
          <w:b/>
          <w:i/>
          <w:sz w:val="22"/>
        </w:rPr>
      </w:pPr>
      <w:r>
        <w:rPr>
          <w:b/>
          <w:i/>
          <w:sz w:val="22"/>
        </w:rPr>
        <w:t>Improving Drug Utilization Review Controls in Medicare Part D</w:t>
      </w:r>
    </w:p>
    <w:p>
      <w:pPr>
        <w:spacing w:before="0"/>
        <w:ind w:left="740" w:right="0" w:firstLine="0"/>
        <w:jc w:val="both"/>
        <w:rPr>
          <w:sz w:val="22"/>
        </w:rPr>
      </w:pPr>
      <w:r>
        <w:rPr>
          <w:b/>
          <w:sz w:val="22"/>
        </w:rPr>
        <w:t>Part D Opioid Overutilization Policy </w:t>
      </w:r>
      <w:r>
        <w:rPr>
          <w:sz w:val="22"/>
        </w:rPr>
        <w:t>(pages 203-204)</w:t>
      </w:r>
    </w:p>
    <w:p>
      <w:pPr>
        <w:pStyle w:val="BodyText"/>
        <w:spacing w:before="120"/>
        <w:ind w:left="739" w:right="913"/>
        <w:jc w:val="both"/>
      </w:pPr>
      <w:r>
        <w:rPr>
          <w:i/>
        </w:rPr>
        <w:t>“In the CY 2013 Call Letter and supplemental guidance, CMS described the enhanced DUR policy that </w:t>
      </w:r>
      <w:r>
        <w:rPr/>
        <w:t>focuses on cases that have the highest risk of adverse events. Part D sponsors should identify potential opioid overutilizers and conduct retrospective reviews and case management. 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 claims or quantities in excess of the opioid dosing deemed medically necessary.</w:t>
      </w:r>
    </w:p>
    <w:p>
      <w:pPr>
        <w:pStyle w:val="BodyText"/>
        <w:spacing w:before="11"/>
        <w:rPr>
          <w:i/>
          <w:sz w:val="21"/>
        </w:rPr>
      </w:pPr>
    </w:p>
    <w:p>
      <w:pPr>
        <w:pStyle w:val="BodyText"/>
        <w:ind w:left="739" w:right="913"/>
        <w:jc w:val="both"/>
      </w:pPr>
      <w:r>
        <w:rPr>
          <w:i/>
        </w:rPr>
        <w:t>To facilitate compliance with this policy, CMS developed the Overutilization Management System (OMS) </w:t>
      </w:r>
      <w:r>
        <w:rPr/>
        <w:t>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 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w:t>
      </w:r>
      <w:r>
        <w:rPr>
          <w:spacing w:val="-19"/>
        </w:rPr>
        <w:t> </w:t>
      </w:r>
      <w:r>
        <w:rPr/>
        <w:t>together.</w:t>
      </w:r>
    </w:p>
    <w:p>
      <w:pPr>
        <w:pStyle w:val="BodyText"/>
        <w:spacing w:before="9"/>
        <w:rPr>
          <w:i/>
          <w:sz w:val="21"/>
        </w:rPr>
      </w:pPr>
    </w:p>
    <w:p>
      <w:pPr>
        <w:pStyle w:val="BodyText"/>
        <w:ind w:left="739" w:right="914"/>
        <w:jc w:val="both"/>
      </w:pPr>
      <w:r>
        <w:rPr>
          <w:i/>
        </w:rPr>
        <w:t>Although these efforts have reduced very high risk overutilization of prescription opioids in the Part D </w:t>
      </w:r>
      <w:r>
        <w:rPr/>
        <w:t>program, given the urgency and scope of the national opioid epidemic,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 who may not be addressed through the  OMS) as well as opioid naïve patients. The proposals</w:t>
      </w:r>
      <w:r>
        <w:rPr>
          <w:spacing w:val="-24"/>
        </w:rPr>
        <w:t> </w:t>
      </w:r>
      <w:r>
        <w:rPr/>
        <w:t>include:</w:t>
      </w:r>
    </w:p>
    <w:p>
      <w:pPr>
        <w:pStyle w:val="ListParagraph"/>
        <w:numPr>
          <w:ilvl w:val="0"/>
          <w:numId w:val="1"/>
        </w:numPr>
        <w:tabs>
          <w:tab w:pos="1460" w:val="left" w:leader="none"/>
        </w:tabs>
        <w:spacing w:line="240" w:lineRule="auto" w:before="0" w:after="0"/>
        <w:ind w:left="1459" w:right="917" w:hanging="360"/>
        <w:jc w:val="both"/>
        <w:rPr>
          <w:i/>
          <w:sz w:val="22"/>
        </w:rPr>
      </w:pPr>
      <w:r>
        <w:rPr>
          <w:i/>
          <w:sz w:val="22"/>
        </w:rPr>
        <w:t>Enhancing the OMS by adding additional flags for high risk beneficiaries who use “potentiator” </w:t>
      </w:r>
      <w:r>
        <w:rPr>
          <w:i/>
          <w:sz w:val="22"/>
        </w:rPr>
        <w:t>drugs (such as gabapentin and pregabalin) in combination with prescription opioids. OMS  already flags concurrent benzodiazepine</w:t>
      </w:r>
      <w:r>
        <w:rPr>
          <w:i/>
          <w:spacing w:val="-14"/>
          <w:sz w:val="22"/>
        </w:rPr>
        <w:t> </w:t>
      </w:r>
      <w:r>
        <w:rPr>
          <w:i/>
          <w:sz w:val="22"/>
        </w:rPr>
        <w:t>use.</w:t>
      </w:r>
    </w:p>
    <w:p>
      <w:pPr>
        <w:pStyle w:val="ListParagraph"/>
        <w:numPr>
          <w:ilvl w:val="0"/>
          <w:numId w:val="1"/>
        </w:numPr>
        <w:tabs>
          <w:tab w:pos="1460" w:val="left" w:leader="none"/>
        </w:tabs>
        <w:spacing w:line="240" w:lineRule="auto" w:before="0" w:after="0"/>
        <w:ind w:left="1459" w:right="914" w:hanging="360"/>
        <w:jc w:val="both"/>
        <w:rPr>
          <w:i/>
          <w:sz w:val="22"/>
        </w:rPr>
      </w:pPr>
      <w:r>
        <w:rPr>
          <w:i/>
          <w:sz w:val="22"/>
        </w:rPr>
        <w:t>Implementing revisions to the PQA opioid quality measures used by CMS, and consideration of a </w:t>
      </w:r>
      <w:r>
        <w:rPr>
          <w:i/>
          <w:sz w:val="22"/>
        </w:rPr>
        <w:t>new PQA measure, Concurrent Use of Opioids and Benzodiazepines. [See the Enhancements to the 2019 Star Ratings and Future Measurement Concepts section of the draft 2019 Call</w:t>
      </w:r>
      <w:r>
        <w:rPr>
          <w:i/>
          <w:spacing w:val="-32"/>
          <w:sz w:val="22"/>
        </w:rPr>
        <w:t> </w:t>
      </w:r>
      <w:r>
        <w:rPr>
          <w:i/>
          <w:sz w:val="22"/>
        </w:rPr>
        <w:t>Letter]</w:t>
      </w:r>
    </w:p>
    <w:p>
      <w:pPr>
        <w:pStyle w:val="ListParagraph"/>
        <w:numPr>
          <w:ilvl w:val="0"/>
          <w:numId w:val="1"/>
        </w:numPr>
        <w:tabs>
          <w:tab w:pos="1461" w:val="left" w:leader="none"/>
        </w:tabs>
        <w:spacing w:line="240" w:lineRule="auto" w:before="2" w:after="0"/>
        <w:ind w:left="1459" w:right="915" w:hanging="360"/>
        <w:jc w:val="both"/>
        <w:rPr>
          <w:i/>
          <w:sz w:val="22"/>
        </w:rPr>
      </w:pPr>
      <w:r>
        <w:rPr>
          <w:i/>
          <w:sz w:val="22"/>
        </w:rPr>
        <w:t>Expecting all sponsors to implement hard formulary-level cumulative opioid safety edits at point- </w:t>
      </w:r>
      <w:r>
        <w:rPr>
          <w:i/>
          <w:sz w:val="22"/>
        </w:rPr>
        <w:t>of-sale (POS) at the pharmacy (which can only be overridden by the sponsor) at a dosage level of 90 MME per day, with a 7 days supply</w:t>
      </w:r>
      <w:r>
        <w:rPr>
          <w:i/>
          <w:spacing w:val="-16"/>
          <w:sz w:val="22"/>
        </w:rPr>
        <w:t> </w:t>
      </w:r>
      <w:r>
        <w:rPr>
          <w:i/>
          <w:sz w:val="22"/>
        </w:rPr>
        <w:t>allowance.</w:t>
      </w:r>
    </w:p>
    <w:p>
      <w:pPr>
        <w:pStyle w:val="ListParagraph"/>
        <w:numPr>
          <w:ilvl w:val="0"/>
          <w:numId w:val="1"/>
        </w:numPr>
        <w:tabs>
          <w:tab w:pos="1460" w:val="left" w:leader="none"/>
        </w:tabs>
        <w:spacing w:line="266" w:lineRule="exact" w:before="8" w:after="0"/>
        <w:ind w:left="1459" w:right="916" w:hanging="360"/>
        <w:jc w:val="both"/>
        <w:rPr>
          <w:i/>
          <w:sz w:val="22"/>
        </w:rPr>
      </w:pPr>
      <w:r>
        <w:rPr>
          <w:i/>
          <w:sz w:val="22"/>
        </w:rPr>
        <w:t>Implementing a days supply limit for initial fills of prescription opioids (e.g., 7 days) for the </w:t>
      </w:r>
      <w:r>
        <w:rPr>
          <w:i/>
          <w:sz w:val="22"/>
        </w:rPr>
        <w:t>treatment of acute pain with or without a daily dose maximum (e.g., 50 MME per</w:t>
      </w:r>
      <w:r>
        <w:rPr>
          <w:i/>
          <w:spacing w:val="-29"/>
          <w:sz w:val="22"/>
        </w:rPr>
        <w:t> </w:t>
      </w:r>
      <w:r>
        <w:rPr>
          <w:i/>
          <w:sz w:val="22"/>
        </w:rPr>
        <w:t>day).</w:t>
      </w:r>
    </w:p>
    <w:p>
      <w:pPr>
        <w:pStyle w:val="ListParagraph"/>
        <w:numPr>
          <w:ilvl w:val="0"/>
          <w:numId w:val="1"/>
        </w:numPr>
        <w:tabs>
          <w:tab w:pos="1460" w:val="left" w:leader="none"/>
        </w:tabs>
        <w:spacing w:line="240" w:lineRule="auto" w:before="6" w:after="0"/>
        <w:ind w:left="1459" w:right="914" w:hanging="360"/>
        <w:jc w:val="both"/>
        <w:rPr>
          <w:i/>
          <w:sz w:val="22"/>
        </w:rPr>
      </w:pPr>
      <w:r>
        <w:rPr>
          <w:i/>
          <w:sz w:val="22"/>
        </w:rPr>
        <w:t>Expecting all sponsors to implement soft POS safety edits (which can be overridden by a </w:t>
      </w:r>
      <w:r>
        <w:rPr>
          <w:i/>
          <w:sz w:val="22"/>
        </w:rPr>
        <w:t>pharmacist) based on duplicative therapy of multiple long-acting opioids, and request feedback on concurrent prescription opioid and benzodiazepine soft</w:t>
      </w:r>
      <w:r>
        <w:rPr>
          <w:i/>
          <w:spacing w:val="-21"/>
          <w:sz w:val="22"/>
        </w:rPr>
        <w:t> </w:t>
      </w:r>
      <w:r>
        <w:rPr>
          <w:i/>
          <w:sz w:val="22"/>
        </w:rPr>
        <w:t>edits.</w:t>
      </w:r>
    </w:p>
    <w:p>
      <w:pPr>
        <w:spacing w:after="0" w:line="240" w:lineRule="auto"/>
        <w:jc w:val="both"/>
        <w:rPr>
          <w:sz w:val="22"/>
        </w:rPr>
        <w:sectPr>
          <w:headerReference w:type="default" r:id="rId11"/>
          <w:pgSz w:w="12240" w:h="15840"/>
          <w:pgMar w:header="761" w:footer="892" w:top="980" w:bottom="1080" w:left="700" w:right="520"/>
          <w:pgNumType w:start="2"/>
        </w:sectPr>
      </w:pPr>
    </w:p>
    <w:p>
      <w:pPr>
        <w:pStyle w:val="BodyText"/>
        <w:rPr>
          <w:i/>
          <w:sz w:val="20"/>
        </w:rPr>
      </w:pPr>
    </w:p>
    <w:p>
      <w:pPr>
        <w:pStyle w:val="BodyText"/>
        <w:spacing w:before="3"/>
        <w:rPr>
          <w:i/>
          <w:sz w:val="17"/>
        </w:rPr>
      </w:pPr>
    </w:p>
    <w:p>
      <w:pPr>
        <w:pStyle w:val="BodyText"/>
        <w:ind w:left="740" w:right="914"/>
        <w:jc w:val="both"/>
      </w:pPr>
      <w:r>
        <w:rPr>
          <w:i/>
        </w:rPr>
        <w:t>We welcome feedback on this important topic. All Part D sponsors are expected to have a documented, </w:t>
      </w:r>
      <w:r>
        <w:rPr/>
        <w:t>written strategy for addressing overutilization of prescription opioids given the public health crisis.”</w:t>
      </w:r>
    </w:p>
    <w:p>
      <w:pPr>
        <w:pStyle w:val="BodyText"/>
        <w:spacing w:before="11"/>
        <w:rPr>
          <w:i/>
          <w:sz w:val="21"/>
        </w:rPr>
      </w:pPr>
    </w:p>
    <w:p>
      <w:pPr>
        <w:pStyle w:val="Heading1"/>
        <w:spacing w:before="1"/>
      </w:pPr>
      <w:r>
        <w:rPr/>
        <w:t>NCPDP comment:</w:t>
      </w:r>
    </w:p>
    <w:p>
      <w:pPr>
        <w:pStyle w:val="Heading3"/>
        <w:numPr>
          <w:ilvl w:val="0"/>
          <w:numId w:val="1"/>
        </w:numPr>
        <w:tabs>
          <w:tab w:pos="1461" w:val="left" w:leader="none"/>
        </w:tabs>
        <w:spacing w:line="266" w:lineRule="exact" w:before="9" w:after="0"/>
        <w:ind w:left="1459" w:right="915" w:hanging="360"/>
        <w:jc w:val="both"/>
      </w:pPr>
      <w:r>
        <w:rPr/>
        <w:t>NCPDP requests CMS define 'initial fill.' For example, first time that drug has been prescribed for that calendar year, first fill of that particular prescription or based on</w:t>
      </w:r>
      <w:r>
        <w:rPr>
          <w:spacing w:val="-32"/>
        </w:rPr>
        <w:t> </w:t>
      </w:r>
      <w:r>
        <w:rPr/>
        <w:t>diagnosis/condition.</w:t>
      </w:r>
    </w:p>
    <w:p>
      <w:pPr>
        <w:pStyle w:val="ListParagraph"/>
        <w:numPr>
          <w:ilvl w:val="0"/>
          <w:numId w:val="1"/>
        </w:numPr>
        <w:tabs>
          <w:tab w:pos="1461" w:val="left" w:leader="none"/>
        </w:tabs>
        <w:spacing w:line="240" w:lineRule="auto" w:before="126" w:after="0"/>
        <w:ind w:left="1460" w:right="916" w:hanging="361"/>
        <w:jc w:val="both"/>
        <w:rPr>
          <w:sz w:val="22"/>
        </w:rPr>
      </w:pPr>
      <w:r>
        <w:rPr>
          <w:sz w:val="22"/>
        </w:rPr>
        <w:t>NCPDP requests CMS clarify whether the initial fill limitation applies to short acting opioids, long acting opioids or</w:t>
      </w:r>
      <w:r>
        <w:rPr>
          <w:spacing w:val="-7"/>
          <w:sz w:val="22"/>
        </w:rPr>
        <w:t> </w:t>
      </w:r>
      <w:r>
        <w:rPr>
          <w:sz w:val="22"/>
        </w:rPr>
        <w:t>both.</w:t>
      </w:r>
    </w:p>
    <w:p>
      <w:pPr>
        <w:pStyle w:val="ListParagraph"/>
        <w:numPr>
          <w:ilvl w:val="0"/>
          <w:numId w:val="1"/>
        </w:numPr>
        <w:tabs>
          <w:tab w:pos="1461" w:val="left" w:leader="none"/>
        </w:tabs>
        <w:spacing w:line="240" w:lineRule="auto" w:before="120" w:after="0"/>
        <w:ind w:left="1460" w:right="917" w:hanging="360"/>
        <w:jc w:val="both"/>
        <w:rPr>
          <w:sz w:val="22"/>
        </w:rPr>
      </w:pPr>
      <w:r>
        <w:rPr>
          <w:sz w:val="22"/>
        </w:rPr>
        <w:t>Should the plan assume any short acting opioid prescribed during a transition fill eligible period is for an opioid naïve patient and only apply the 7 day limit not the 30 day transition</w:t>
      </w:r>
      <w:r>
        <w:rPr>
          <w:spacing w:val="-32"/>
          <w:sz w:val="22"/>
        </w:rPr>
        <w:t> </w:t>
      </w:r>
      <w:r>
        <w:rPr>
          <w:sz w:val="22"/>
        </w:rPr>
        <w:t>fill?</w:t>
      </w:r>
    </w:p>
    <w:p>
      <w:pPr>
        <w:pStyle w:val="ListParagraph"/>
        <w:numPr>
          <w:ilvl w:val="0"/>
          <w:numId w:val="1"/>
        </w:numPr>
        <w:tabs>
          <w:tab w:pos="1461" w:val="left" w:leader="none"/>
        </w:tabs>
        <w:spacing w:line="240" w:lineRule="auto" w:before="120" w:after="0"/>
        <w:ind w:left="1460" w:right="915" w:hanging="360"/>
        <w:jc w:val="both"/>
        <w:rPr>
          <w:sz w:val="22"/>
        </w:rPr>
      </w:pPr>
      <w:r>
        <w:rPr>
          <w:sz w:val="22"/>
        </w:rPr>
        <w:t>NCPDP recommends CMS allow an exemption to the initial fill limit for Long Term Care as there are business cases in which the Part D plan will not have access to previous claim data. For example, the opioid treatment may have been initiated under the Medicare Part A stay. Without this exemption patient access to care would be</w:t>
      </w:r>
      <w:r>
        <w:rPr>
          <w:spacing w:val="-24"/>
          <w:sz w:val="22"/>
        </w:rPr>
        <w:t> </w:t>
      </w:r>
      <w:r>
        <w:rPr>
          <w:sz w:val="22"/>
        </w:rPr>
        <w:t>jeopardized.</w:t>
      </w:r>
    </w:p>
    <w:p>
      <w:pPr>
        <w:pStyle w:val="BodyText"/>
        <w:spacing w:before="10"/>
        <w:rPr>
          <w:i w:val="0"/>
          <w:sz w:val="31"/>
        </w:rPr>
      </w:pPr>
    </w:p>
    <w:p>
      <w:pPr>
        <w:spacing w:before="0"/>
        <w:ind w:left="740" w:right="1930" w:firstLine="0"/>
        <w:jc w:val="left"/>
        <w:rPr>
          <w:sz w:val="22"/>
        </w:rPr>
      </w:pPr>
      <w:r>
        <w:rPr>
          <w:b/>
          <w:i/>
          <w:sz w:val="22"/>
        </w:rPr>
        <w:t>Cumulative Morphine Milligram Equivalent Daily Dose (MME) Safety Edits for High, Chronic </w:t>
      </w:r>
      <w:r>
        <w:rPr>
          <w:b/>
          <w:i/>
          <w:sz w:val="22"/>
        </w:rPr>
        <w:t>Prescription Opioid Users </w:t>
      </w:r>
      <w:r>
        <w:rPr>
          <w:sz w:val="22"/>
        </w:rPr>
        <w:t>(pages 210 – 211)</w:t>
      </w:r>
    </w:p>
    <w:p>
      <w:pPr>
        <w:pStyle w:val="BodyText"/>
        <w:ind w:left="740" w:right="913"/>
        <w:jc w:val="both"/>
      </w:pPr>
      <w:r>
        <w:rPr>
          <w:i/>
        </w:rPr>
        <w:t>“To balance beneficiary access to medically necessary drug regimens and reduce the potential for any </w:t>
      </w:r>
      <w:r>
        <w:rPr/>
        <w:t>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w:t>
      </w:r>
      <w:r>
        <w:rPr>
          <w:spacing w:val="-28"/>
        </w:rPr>
        <w:t> </w:t>
      </w:r>
      <w:r>
        <w:rPr/>
        <w:t>quantity.</w:t>
      </w:r>
    </w:p>
    <w:p>
      <w:pPr>
        <w:pStyle w:val="BodyText"/>
        <w:spacing w:before="10"/>
        <w:rPr>
          <w:i/>
          <w:sz w:val="21"/>
        </w:rPr>
      </w:pPr>
    </w:p>
    <w:p>
      <w:pPr>
        <w:pStyle w:val="BodyText"/>
        <w:ind w:left="740" w:right="913"/>
        <w:jc w:val="both"/>
      </w:pPr>
      <w:r>
        <w:rPr>
          <w:i/>
        </w:rPr>
        <w:t>We additionally propose to only allow the 7 days supply once. That is, if the beneficiary attempts to fill a </w:t>
      </w:r>
      <w:r>
        <w:rPr/>
        <w:t>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 time 7 days supply would not be available for future prescriptions should the MME level remain at 90 mg or higher.</w:t>
      </w:r>
    </w:p>
    <w:p>
      <w:pPr>
        <w:pStyle w:val="BodyText"/>
        <w:spacing w:before="12"/>
        <w:rPr>
          <w:i/>
          <w:sz w:val="21"/>
        </w:rPr>
      </w:pPr>
    </w:p>
    <w:p>
      <w:pPr>
        <w:pStyle w:val="BodyText"/>
        <w:ind w:left="740" w:right="914"/>
        <w:jc w:val="both"/>
      </w:pPr>
      <w:r>
        <w:rPr>
          <w:i/>
        </w:rPr>
        <w:t>To estimate the number of beneficiaries who may be impacted by a cumulative MME edit at 90 MME per </w:t>
      </w:r>
      <w:r>
        <w:rPr/>
        <w:t>day, we analyzed 2016 PDE data across all Part D sponsors. In 2016, almost 1.6 million beneficiaries (3.8% of Part D enrollees) met or exceeded 90 MME for at least one day, excluding those with cancer, in hospice</w:t>
      </w:r>
      <w:r>
        <w:rPr>
          <w:spacing w:val="24"/>
        </w:rPr>
        <w:t> </w:t>
      </w:r>
      <w:r>
        <w:rPr/>
        <w:t>care,</w:t>
      </w:r>
      <w:r>
        <w:rPr>
          <w:spacing w:val="24"/>
        </w:rPr>
        <w:t> </w:t>
      </w:r>
      <w:r>
        <w:rPr/>
        <w:t>or</w:t>
      </w:r>
      <w:r>
        <w:rPr>
          <w:spacing w:val="25"/>
        </w:rPr>
        <w:t> </w:t>
      </w:r>
      <w:r>
        <w:rPr/>
        <w:t>with</w:t>
      </w:r>
      <w:r>
        <w:rPr>
          <w:spacing w:val="23"/>
        </w:rPr>
        <w:t> </w:t>
      </w:r>
      <w:r>
        <w:rPr/>
        <w:t>overlapping</w:t>
      </w:r>
      <w:r>
        <w:rPr>
          <w:spacing w:val="23"/>
        </w:rPr>
        <w:t> </w:t>
      </w:r>
      <w:r>
        <w:rPr/>
        <w:t>dispensing</w:t>
      </w:r>
      <w:r>
        <w:rPr>
          <w:spacing w:val="23"/>
        </w:rPr>
        <w:t> </w:t>
      </w:r>
      <w:r>
        <w:rPr/>
        <w:t>dates</w:t>
      </w:r>
      <w:r>
        <w:rPr>
          <w:spacing w:val="24"/>
        </w:rPr>
        <w:t> </w:t>
      </w:r>
      <w:r>
        <w:rPr/>
        <w:t>for</w:t>
      </w:r>
      <w:r>
        <w:rPr>
          <w:spacing w:val="25"/>
        </w:rPr>
        <w:t> </w:t>
      </w:r>
      <w:r>
        <w:rPr/>
        <w:t>timely</w:t>
      </w:r>
      <w:r>
        <w:rPr>
          <w:spacing w:val="24"/>
        </w:rPr>
        <w:t> </w:t>
      </w:r>
      <w:r>
        <w:rPr/>
        <w:t>continued</w:t>
      </w:r>
      <w:r>
        <w:rPr>
          <w:spacing w:val="23"/>
        </w:rPr>
        <w:t> </w:t>
      </w:r>
      <w:r>
        <w:rPr/>
        <w:t>fills</w:t>
      </w:r>
      <w:r>
        <w:rPr>
          <w:spacing w:val="24"/>
        </w:rPr>
        <w:t> </w:t>
      </w:r>
      <w:r>
        <w:rPr/>
        <w:t>for</w:t>
      </w:r>
      <w:r>
        <w:rPr>
          <w:spacing w:val="25"/>
        </w:rPr>
        <w:t> </w:t>
      </w:r>
      <w:r>
        <w:rPr/>
        <w:t>the</w:t>
      </w:r>
      <w:r>
        <w:rPr>
          <w:spacing w:val="22"/>
        </w:rPr>
        <w:t> </w:t>
      </w:r>
      <w:r>
        <w:rPr/>
        <w:t>same</w:t>
      </w:r>
      <w:r>
        <w:rPr>
          <w:spacing w:val="24"/>
        </w:rPr>
        <w:t> </w:t>
      </w:r>
      <w:r>
        <w:rPr/>
        <w:t>opioid</w:t>
      </w:r>
      <w:r>
        <w:rPr>
          <w:spacing w:val="23"/>
        </w:rPr>
        <w:t> </w:t>
      </w:r>
      <w:r>
        <w:rPr/>
        <w:t>(e.g.,</w:t>
      </w:r>
    </w:p>
    <w:p>
      <w:pPr>
        <w:spacing w:after="0"/>
        <w:jc w:val="both"/>
        <w:sectPr>
          <w:pgSz w:w="12240" w:h="15840"/>
          <w:pgMar w:header="761" w:footer="892" w:top="980" w:bottom="1080" w:left="700" w:right="520"/>
        </w:sectPr>
      </w:pPr>
    </w:p>
    <w:p>
      <w:pPr>
        <w:pStyle w:val="BodyText"/>
        <w:rPr>
          <w:i/>
          <w:sz w:val="20"/>
        </w:rPr>
      </w:pPr>
    </w:p>
    <w:p>
      <w:pPr>
        <w:pStyle w:val="BodyText"/>
        <w:spacing w:before="3"/>
        <w:rPr>
          <w:i/>
          <w:sz w:val="17"/>
        </w:rPr>
      </w:pPr>
    </w:p>
    <w:p>
      <w:pPr>
        <w:pStyle w:val="BodyText"/>
        <w:ind w:left="740" w:right="913"/>
        <w:jc w:val="both"/>
      </w:pPr>
      <w:r>
        <w:rPr>
          <w:i/>
        </w:rPr>
        <w:t>false positives). We seek feedback on whether all sponsors have the capacity to implement hard edits at </w:t>
      </w:r>
      <w:r>
        <w:rPr/>
        <w:t>90 MME as well as the 7 days allowance proposal for 2019. We also request comment on other solutions to address prescription opioid overuse while balancing access to medically necessary drug regimens and reducing the potential for unintended consequences.</w:t>
      </w:r>
    </w:p>
    <w:p>
      <w:pPr>
        <w:pStyle w:val="BodyText"/>
        <w:spacing w:before="9"/>
        <w:rPr>
          <w:i/>
          <w:sz w:val="21"/>
        </w:rPr>
      </w:pPr>
    </w:p>
    <w:p>
      <w:pPr>
        <w:pStyle w:val="BodyText"/>
        <w:ind w:left="740" w:right="914"/>
        <w:jc w:val="both"/>
      </w:pPr>
      <w:r>
        <w:rPr>
          <w:i/>
        </w:rPr>
        <w:t>Furthermore, we reiterate that when the MME edit is triggered and cannot be resolved at the pharmacy, </w:t>
      </w:r>
      <w:r>
        <w:rPr/>
        <w:t>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CMS- 10147, OMB Approval No. 0938-0975). This notice instructs enrollees on how to contact their plan and explains their right to obtain a coverage determination from their plan, including information about the exceptions</w:t>
      </w:r>
      <w:r>
        <w:rPr>
          <w:spacing w:val="-3"/>
        </w:rPr>
        <w:t> </w:t>
      </w:r>
      <w:r>
        <w:rPr/>
        <w:t>process.</w:t>
      </w:r>
    </w:p>
    <w:p>
      <w:pPr>
        <w:pStyle w:val="BodyText"/>
        <w:spacing w:before="11"/>
        <w:rPr>
          <w:i/>
          <w:sz w:val="21"/>
        </w:rPr>
      </w:pPr>
    </w:p>
    <w:p>
      <w:pPr>
        <w:pStyle w:val="BodyText"/>
        <w:spacing w:before="1"/>
        <w:ind w:left="740" w:right="914"/>
        <w:jc w:val="both"/>
      </w:pPr>
      <w:r>
        <w:rPr>
          <w:i/>
        </w:rPr>
        <w:t>Sponsors are reminded that an enrollee, the enrollee’s representative, or the enrollee’s prescriber has the </w:t>
      </w:r>
      <w:r>
        <w:rPr/>
        <w:t>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pPr>
        <w:pStyle w:val="BodyText"/>
        <w:rPr>
          <w:i/>
        </w:rPr>
      </w:pPr>
    </w:p>
    <w:p>
      <w:pPr>
        <w:pStyle w:val="BodyText"/>
        <w:ind w:left="740" w:right="913"/>
        <w:jc w:val="both"/>
      </w:pPr>
      <w:r>
        <w:rPr>
          <w:i/>
        </w:rPr>
        <w:t>Consistent with current guidance, if the only issue in dispute is the MME, CMS expects the Part D sponsor </w:t>
      </w:r>
      <w:r>
        <w:rPr/>
        <w:t>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 hospice).”</w:t>
      </w:r>
    </w:p>
    <w:p>
      <w:pPr>
        <w:pStyle w:val="BodyText"/>
        <w:spacing w:before="12"/>
        <w:rPr>
          <w:i/>
          <w:sz w:val="21"/>
        </w:rPr>
      </w:pPr>
    </w:p>
    <w:p>
      <w:pPr>
        <w:pStyle w:val="Heading1"/>
      </w:pPr>
      <w:r>
        <w:rPr/>
        <w:t>NCPDP comment:</w:t>
      </w:r>
    </w:p>
    <w:p>
      <w:pPr>
        <w:pStyle w:val="Heading3"/>
        <w:numPr>
          <w:ilvl w:val="0"/>
          <w:numId w:val="2"/>
        </w:numPr>
        <w:tabs>
          <w:tab w:pos="1461" w:val="left" w:leader="none"/>
        </w:tabs>
        <w:spacing w:line="240" w:lineRule="auto" w:before="0" w:after="0"/>
        <w:ind w:left="1460" w:right="915" w:hanging="360"/>
        <w:jc w:val="both"/>
      </w:pPr>
      <w:r>
        <w:rPr/>
        <w:t>For the scenario below, NCPDP’s interpretation of the guidance is the claim must be rejected. We believe this is not the intent and CMS would allow the smallest unbreakable package</w:t>
      </w:r>
      <w:r>
        <w:rPr>
          <w:spacing w:val="-34"/>
        </w:rPr>
        <w:t> </w:t>
      </w:r>
      <w:r>
        <w:rPr/>
        <w:t>size.</w:t>
      </w:r>
    </w:p>
    <w:p>
      <w:pPr>
        <w:pStyle w:val="ListParagraph"/>
        <w:numPr>
          <w:ilvl w:val="1"/>
          <w:numId w:val="2"/>
        </w:numPr>
        <w:tabs>
          <w:tab w:pos="2179" w:val="left" w:leader="none"/>
          <w:tab w:pos="2181" w:val="left" w:leader="none"/>
        </w:tabs>
        <w:spacing w:line="270" w:lineRule="exact" w:before="0" w:after="0"/>
        <w:ind w:left="2180" w:right="0" w:hanging="361"/>
        <w:jc w:val="left"/>
        <w:rPr>
          <w:sz w:val="22"/>
        </w:rPr>
      </w:pPr>
      <w:r>
        <w:rPr>
          <w:sz w:val="22"/>
        </w:rPr>
        <w:t>7 day initial fill</w:t>
      </w:r>
      <w:r>
        <w:rPr>
          <w:spacing w:val="-10"/>
          <w:sz w:val="22"/>
        </w:rPr>
        <w:t> </w:t>
      </w:r>
      <w:r>
        <w:rPr>
          <w:sz w:val="22"/>
        </w:rPr>
        <w:t>limit</w:t>
      </w:r>
    </w:p>
    <w:p>
      <w:pPr>
        <w:pStyle w:val="ListParagraph"/>
        <w:numPr>
          <w:ilvl w:val="1"/>
          <w:numId w:val="2"/>
        </w:numPr>
        <w:tabs>
          <w:tab w:pos="2180" w:val="left" w:leader="none"/>
          <w:tab w:pos="2181" w:val="left" w:leader="none"/>
        </w:tabs>
        <w:spacing w:line="269" w:lineRule="exact" w:before="0" w:after="0"/>
        <w:ind w:left="2180" w:right="0" w:hanging="360"/>
        <w:jc w:val="left"/>
        <w:rPr>
          <w:sz w:val="22"/>
        </w:rPr>
      </w:pPr>
      <w:r>
        <w:rPr>
          <w:sz w:val="22"/>
        </w:rPr>
        <w:t>90 MME is</w:t>
      </w:r>
      <w:r>
        <w:rPr>
          <w:spacing w:val="-4"/>
          <w:sz w:val="22"/>
        </w:rPr>
        <w:t> </w:t>
      </w:r>
      <w:r>
        <w:rPr>
          <w:sz w:val="22"/>
        </w:rPr>
        <w:t>exceeded</w:t>
      </w:r>
    </w:p>
    <w:p>
      <w:pPr>
        <w:pStyle w:val="ListParagraph"/>
        <w:numPr>
          <w:ilvl w:val="1"/>
          <w:numId w:val="2"/>
        </w:numPr>
        <w:tabs>
          <w:tab w:pos="2180" w:val="left" w:leader="none"/>
          <w:tab w:pos="2181" w:val="left" w:leader="none"/>
        </w:tabs>
        <w:spacing w:line="272" w:lineRule="exact" w:before="0" w:after="0"/>
        <w:ind w:left="2180" w:right="0" w:hanging="360"/>
        <w:jc w:val="left"/>
        <w:rPr>
          <w:sz w:val="22"/>
        </w:rPr>
      </w:pPr>
      <w:r>
        <w:rPr>
          <w:sz w:val="22"/>
        </w:rPr>
        <w:t>Unbreakable package of greater than 7 day</w:t>
      </w:r>
      <w:r>
        <w:rPr>
          <w:spacing w:val="-17"/>
          <w:sz w:val="22"/>
        </w:rPr>
        <w:t> </w:t>
      </w:r>
      <w:r>
        <w:rPr>
          <w:sz w:val="22"/>
        </w:rPr>
        <w:t>supply</w:t>
      </w:r>
    </w:p>
    <w:p>
      <w:pPr>
        <w:spacing w:before="113"/>
        <w:ind w:left="1460" w:right="905" w:firstLine="0"/>
        <w:jc w:val="left"/>
        <w:rPr>
          <w:sz w:val="22"/>
        </w:rPr>
      </w:pPr>
      <w:r>
        <w:rPr>
          <w:sz w:val="22"/>
        </w:rPr>
        <w:t>For the scenario below, there is no guidance; however NCPDP believes the intent is to allow the smallest unbreakable package size.</w:t>
      </w:r>
    </w:p>
    <w:p>
      <w:pPr>
        <w:pStyle w:val="ListParagraph"/>
        <w:numPr>
          <w:ilvl w:val="1"/>
          <w:numId w:val="2"/>
        </w:numPr>
        <w:tabs>
          <w:tab w:pos="2180" w:val="left" w:leader="none"/>
          <w:tab w:pos="2181" w:val="left" w:leader="none"/>
        </w:tabs>
        <w:spacing w:line="272" w:lineRule="exact" w:before="0" w:after="0"/>
        <w:ind w:left="2180" w:right="0" w:hanging="360"/>
        <w:jc w:val="left"/>
        <w:rPr>
          <w:sz w:val="22"/>
        </w:rPr>
      </w:pPr>
      <w:r>
        <w:rPr>
          <w:sz w:val="22"/>
        </w:rPr>
        <w:t>7 day initial fill</w:t>
      </w:r>
      <w:r>
        <w:rPr>
          <w:spacing w:val="-10"/>
          <w:sz w:val="22"/>
        </w:rPr>
        <w:t> </w:t>
      </w:r>
      <w:r>
        <w:rPr>
          <w:sz w:val="22"/>
        </w:rPr>
        <w:t>limit</w:t>
      </w:r>
    </w:p>
    <w:p>
      <w:pPr>
        <w:pStyle w:val="ListParagraph"/>
        <w:numPr>
          <w:ilvl w:val="1"/>
          <w:numId w:val="2"/>
        </w:numPr>
        <w:tabs>
          <w:tab w:pos="2180" w:val="left" w:leader="none"/>
          <w:tab w:pos="2181" w:val="left" w:leader="none"/>
        </w:tabs>
        <w:spacing w:line="272" w:lineRule="exact" w:before="0" w:after="0"/>
        <w:ind w:left="2180" w:right="0" w:hanging="360"/>
        <w:jc w:val="left"/>
        <w:rPr>
          <w:sz w:val="22"/>
        </w:rPr>
      </w:pPr>
      <w:r>
        <w:rPr>
          <w:sz w:val="22"/>
        </w:rPr>
        <w:t>Unbreakable package of greater than 7 day</w:t>
      </w:r>
      <w:r>
        <w:rPr>
          <w:spacing w:val="-16"/>
          <w:sz w:val="22"/>
        </w:rPr>
        <w:t> </w:t>
      </w:r>
      <w:r>
        <w:rPr>
          <w:sz w:val="22"/>
        </w:rPr>
        <w:t>supply</w:t>
      </w:r>
    </w:p>
    <w:p>
      <w:pPr>
        <w:pStyle w:val="ListParagraph"/>
        <w:numPr>
          <w:ilvl w:val="0"/>
          <w:numId w:val="2"/>
        </w:numPr>
        <w:tabs>
          <w:tab w:pos="1461" w:val="left" w:leader="none"/>
        </w:tabs>
        <w:spacing w:line="240" w:lineRule="auto" w:before="113" w:after="0"/>
        <w:ind w:left="1460" w:right="915" w:hanging="360"/>
        <w:jc w:val="both"/>
        <w:rPr>
          <w:sz w:val="22"/>
        </w:rPr>
      </w:pPr>
      <w:r>
        <w:rPr>
          <w:sz w:val="22"/>
        </w:rPr>
        <w:t>NCPDP does not recommend a MME limit for initial prescriptions. Having different MME hard rejects with a 7 day supply limit will cause confusion for the beneficiary, prescriber and the pharmacist as there is no clear way to communicate the difference between the two types of edits.</w:t>
      </w:r>
    </w:p>
    <w:p>
      <w:pPr>
        <w:spacing w:after="0" w:line="240" w:lineRule="auto"/>
        <w:jc w:val="both"/>
        <w:rPr>
          <w:sz w:val="22"/>
        </w:rPr>
        <w:sectPr>
          <w:pgSz w:w="12240" w:h="15840"/>
          <w:pgMar w:header="761" w:footer="892" w:top="980" w:bottom="1080" w:left="700" w:right="520"/>
        </w:sectPr>
      </w:pPr>
    </w:p>
    <w:p>
      <w:pPr>
        <w:pStyle w:val="BodyText"/>
        <w:rPr>
          <w:i w:val="0"/>
          <w:sz w:val="20"/>
        </w:rPr>
      </w:pPr>
    </w:p>
    <w:p>
      <w:pPr>
        <w:pStyle w:val="BodyText"/>
        <w:spacing w:before="3"/>
        <w:rPr>
          <w:i w:val="0"/>
          <w:sz w:val="17"/>
        </w:rPr>
      </w:pPr>
    </w:p>
    <w:p>
      <w:pPr>
        <w:pStyle w:val="ListParagraph"/>
        <w:numPr>
          <w:ilvl w:val="0"/>
          <w:numId w:val="2"/>
        </w:numPr>
        <w:tabs>
          <w:tab w:pos="1461" w:val="left" w:leader="none"/>
        </w:tabs>
        <w:spacing w:line="240" w:lineRule="auto" w:before="0" w:after="0"/>
        <w:ind w:left="1460" w:right="914" w:hanging="360"/>
        <w:jc w:val="both"/>
        <w:rPr>
          <w:sz w:val="22"/>
        </w:rPr>
      </w:pPr>
      <w:r>
        <w:rPr>
          <w:sz w:val="22"/>
        </w:rPr>
        <w:t>Prior to the coverage determination outcome, the patient will obtain a reduced days supply. NCPDP would like to verify the intent is to allow the patient to obtain the remainder of the originally prescribed amount once the coverage determination is approved by the plan. Processing claim transactions for multiple fills for CII medications triggers several concerns that need to be considered to ensure standardization of processes. We ask CMS to consider the following:</w:t>
      </w:r>
    </w:p>
    <w:p>
      <w:pPr>
        <w:pStyle w:val="ListParagraph"/>
        <w:numPr>
          <w:ilvl w:val="0"/>
          <w:numId w:val="3"/>
        </w:numPr>
        <w:tabs>
          <w:tab w:pos="2180" w:val="left" w:leader="none"/>
        </w:tabs>
        <w:spacing w:line="240" w:lineRule="auto" w:before="120" w:after="0"/>
        <w:ind w:left="2179" w:right="916" w:hanging="359"/>
        <w:jc w:val="both"/>
        <w:rPr>
          <w:sz w:val="22"/>
        </w:rPr>
      </w:pPr>
      <w:r>
        <w:rPr>
          <w:sz w:val="22"/>
        </w:rPr>
        <w:t>The absence of the Quantity Prescribed field hinders the payer’s ability to validate the total dispensed quantity does not exceed the total quantity</w:t>
      </w:r>
      <w:r>
        <w:rPr>
          <w:spacing w:val="-25"/>
          <w:sz w:val="22"/>
        </w:rPr>
        <w:t> </w:t>
      </w:r>
      <w:r>
        <w:rPr>
          <w:sz w:val="22"/>
        </w:rPr>
        <w:t>prescribed.</w:t>
      </w:r>
    </w:p>
    <w:p>
      <w:pPr>
        <w:pStyle w:val="ListParagraph"/>
        <w:numPr>
          <w:ilvl w:val="0"/>
          <w:numId w:val="3"/>
        </w:numPr>
        <w:tabs>
          <w:tab w:pos="2180" w:val="left" w:leader="none"/>
        </w:tabs>
        <w:spacing w:line="240" w:lineRule="auto" w:before="120" w:after="0"/>
        <w:ind w:left="2179" w:right="916" w:hanging="360"/>
        <w:jc w:val="both"/>
        <w:rPr>
          <w:sz w:val="22"/>
        </w:rPr>
      </w:pPr>
      <w:r>
        <w:rPr>
          <w:sz w:val="22"/>
        </w:rPr>
        <w:t>The process flow and associated claim identifiers to support a 7 day supply and initiate the coverage determination process for the remaining prescribed quantity are unclear. For</w:t>
      </w:r>
      <w:r>
        <w:rPr>
          <w:spacing w:val="-2"/>
          <w:sz w:val="22"/>
        </w:rPr>
        <w:t> </w:t>
      </w:r>
      <w:r>
        <w:rPr>
          <w:sz w:val="22"/>
        </w:rPr>
        <w:t>example:</w:t>
      </w:r>
    </w:p>
    <w:p>
      <w:pPr>
        <w:pStyle w:val="ListParagraph"/>
        <w:numPr>
          <w:ilvl w:val="0"/>
          <w:numId w:val="4"/>
        </w:numPr>
        <w:tabs>
          <w:tab w:pos="2900" w:val="left" w:leader="none"/>
        </w:tabs>
        <w:spacing w:line="242" w:lineRule="auto" w:before="0" w:after="0"/>
        <w:ind w:left="2899" w:right="916" w:hanging="360"/>
        <w:jc w:val="both"/>
        <w:rPr>
          <w:sz w:val="22"/>
        </w:rPr>
      </w:pPr>
      <w:r>
        <w:rPr>
          <w:sz w:val="22"/>
        </w:rPr>
        <w:t>Claim is submitted for a 30 day supply and a daily dose &gt;90MME, where exception condition is not available to the Part D</w:t>
      </w:r>
      <w:r>
        <w:rPr>
          <w:spacing w:val="-22"/>
          <w:sz w:val="22"/>
        </w:rPr>
        <w:t> </w:t>
      </w:r>
      <w:r>
        <w:rPr>
          <w:sz w:val="22"/>
        </w:rPr>
        <w:t>plan.</w:t>
      </w:r>
    </w:p>
    <w:p>
      <w:pPr>
        <w:pStyle w:val="ListParagraph"/>
        <w:numPr>
          <w:ilvl w:val="0"/>
          <w:numId w:val="4"/>
        </w:numPr>
        <w:tabs>
          <w:tab w:pos="2901" w:val="left" w:leader="none"/>
        </w:tabs>
        <w:spacing w:line="242" w:lineRule="auto" w:before="195" w:after="0"/>
        <w:ind w:left="2900" w:right="915" w:hanging="360"/>
        <w:jc w:val="both"/>
        <w:rPr>
          <w:sz w:val="22"/>
        </w:rPr>
      </w:pPr>
      <w:r>
        <w:rPr>
          <w:sz w:val="22"/>
        </w:rPr>
        <w:t>Part D plan rejects the claim using the new MME reject codes that will be available for use as of January 1, 2019 and Pharmacy Notice reject code</w:t>
      </w:r>
      <w:r>
        <w:rPr>
          <w:spacing w:val="-30"/>
          <w:sz w:val="22"/>
        </w:rPr>
        <w:t> </w:t>
      </w:r>
      <w:r>
        <w:rPr>
          <w:sz w:val="22"/>
        </w:rPr>
        <w:t>569.</w:t>
      </w:r>
    </w:p>
    <w:p>
      <w:pPr>
        <w:pStyle w:val="ListParagraph"/>
        <w:numPr>
          <w:ilvl w:val="0"/>
          <w:numId w:val="4"/>
        </w:numPr>
        <w:tabs>
          <w:tab w:pos="2901" w:val="left" w:leader="none"/>
        </w:tabs>
        <w:spacing w:line="240" w:lineRule="auto" w:before="194" w:after="0"/>
        <w:ind w:left="2900" w:right="915" w:hanging="360"/>
        <w:jc w:val="both"/>
        <w:rPr>
          <w:sz w:val="22"/>
        </w:rPr>
      </w:pPr>
      <w:r>
        <w:rPr>
          <w:sz w:val="22"/>
        </w:rPr>
        <w:t>If the Part D plan is expected to allow a 7 day supply, will this be part of the reject messaging where the pharmacy would resubmit the claim for a 7 day supply when applicable? Should standardized messaging be developed to facilitate consistency to support patient access to</w:t>
      </w:r>
      <w:r>
        <w:rPr>
          <w:spacing w:val="-21"/>
          <w:sz w:val="22"/>
        </w:rPr>
        <w:t> </w:t>
      </w:r>
      <w:r>
        <w:rPr>
          <w:sz w:val="22"/>
        </w:rPr>
        <w:t>care?</w:t>
      </w:r>
    </w:p>
    <w:p>
      <w:pPr>
        <w:pStyle w:val="ListParagraph"/>
        <w:numPr>
          <w:ilvl w:val="0"/>
          <w:numId w:val="4"/>
        </w:numPr>
        <w:tabs>
          <w:tab w:pos="2900" w:val="left" w:leader="none"/>
        </w:tabs>
        <w:spacing w:line="240" w:lineRule="auto" w:before="197" w:after="0"/>
        <w:ind w:left="2900" w:right="914" w:hanging="360"/>
        <w:jc w:val="both"/>
        <w:rPr>
          <w:sz w:val="20"/>
        </w:rPr>
      </w:pPr>
      <w:r>
        <w:rPr>
          <w:sz w:val="22"/>
        </w:rPr>
        <w:t>If a claim for 7 day supply is accepted, how is the coverage determination process initiated to support coverage of the prescription as written? Will the plan sponsor need to make the outreach to the prescriber? If so, how will the pharmacy be alerted to the outcome to know whether the remaining quantity on the prescription can be dispensed and billed to the Part D plan? Conversely, how will the pharmacy know that the remaining quantity on the prescription is no longer valid as the script is considered to be</w:t>
      </w:r>
      <w:r>
        <w:rPr>
          <w:spacing w:val="-22"/>
          <w:sz w:val="22"/>
        </w:rPr>
        <w:t> </w:t>
      </w:r>
      <w:r>
        <w:rPr>
          <w:sz w:val="22"/>
        </w:rPr>
        <w:t>inactive?</w:t>
      </w:r>
    </w:p>
    <w:p>
      <w:pPr>
        <w:pStyle w:val="ListParagraph"/>
        <w:numPr>
          <w:ilvl w:val="0"/>
          <w:numId w:val="3"/>
        </w:numPr>
        <w:tabs>
          <w:tab w:pos="2180" w:val="left" w:leader="none"/>
        </w:tabs>
        <w:spacing w:line="242" w:lineRule="auto" w:before="197" w:after="0"/>
        <w:ind w:left="2179" w:right="915" w:hanging="359"/>
        <w:jc w:val="both"/>
        <w:rPr>
          <w:sz w:val="22"/>
        </w:rPr>
      </w:pPr>
      <w:r>
        <w:rPr>
          <w:sz w:val="22"/>
        </w:rPr>
        <w:t>Based on these open concerns that will require technical and operational changes to support both a 7 day supply and the coverage determination process, the January 1, 2019 compliance date will be challenging to</w:t>
      </w:r>
      <w:r>
        <w:rPr>
          <w:spacing w:val="-17"/>
          <w:sz w:val="22"/>
        </w:rPr>
        <w:t> </w:t>
      </w:r>
      <w:r>
        <w:rPr>
          <w:sz w:val="22"/>
        </w:rPr>
        <w:t>meet.</w:t>
      </w:r>
    </w:p>
    <w:p>
      <w:pPr>
        <w:spacing w:before="194"/>
        <w:ind w:left="1459" w:right="916" w:hanging="361"/>
        <w:jc w:val="both"/>
        <w:rPr>
          <w:sz w:val="22"/>
        </w:rPr>
      </w:pPr>
      <w:r>
        <w:rPr>
          <w:sz w:val="22"/>
        </w:rPr>
        <w:t>4. Should residents of LTC facilities also have the same exemption as indicated for cancer and hospice?</w:t>
      </w:r>
    </w:p>
    <w:p>
      <w:pPr>
        <w:pStyle w:val="BodyText"/>
        <w:rPr>
          <w:i w:val="0"/>
        </w:rPr>
      </w:pPr>
    </w:p>
    <w:p>
      <w:pPr>
        <w:spacing w:before="0"/>
        <w:ind w:left="739" w:right="0" w:firstLine="0"/>
        <w:jc w:val="both"/>
        <w:rPr>
          <w:i/>
          <w:sz w:val="22"/>
        </w:rPr>
      </w:pPr>
      <w:r>
        <w:rPr>
          <w:b/>
          <w:i/>
          <w:sz w:val="22"/>
        </w:rPr>
        <w:t>Days Supply Limits for Opioid Naïve Patients</w:t>
      </w:r>
      <w:r>
        <w:rPr>
          <w:i/>
          <w:sz w:val="22"/>
        </w:rPr>
        <w:t>, page 212</w:t>
      </w:r>
    </w:p>
    <w:p>
      <w:pPr>
        <w:pStyle w:val="BodyText"/>
        <w:ind w:left="739" w:right="914"/>
        <w:jc w:val="both"/>
      </w:pPr>
      <w:r>
        <w:rPr>
          <w:i/>
        </w:rPr>
        <w:t>“The sixth recommendation of the CDC Guideline states that opioids prescribed for acute pain should be </w:t>
      </w:r>
      <w:r>
        <w:rPr/>
        <w:t>limited to three days or fewer, and that seven days are rarely necessary. Clinical evidence cited by the CDC review found that opioid use for acute pain is associated with long-term opioid use, and that a greater amount of early opioid exposure is associated with greater risk for long-term use. Because the amount of opioid prescribed can often be in excess of the amount needed to treat an acute event, leftover supplies of opioids can become the source for misuse and diversion. Limiting the initial amount  of prescription opioids dispensed may reduce the risk that patients develop an affinity for these drugs  and transition to chronic use or misuse. Currently, at least sixteen States have or plan to add by statute or agency rule days supply (e.g., 5 or 7 days) and/or daily dose limits on the initial amount of opioids</w:t>
      </w:r>
      <w:r>
        <w:rPr>
          <w:spacing w:val="-18"/>
        </w:rPr>
        <w:t> </w:t>
      </w:r>
      <w:r>
        <w:rPr/>
        <w:t>that</w:t>
      </w:r>
    </w:p>
    <w:p>
      <w:pPr>
        <w:spacing w:after="0"/>
        <w:jc w:val="both"/>
        <w:sectPr>
          <w:pgSz w:w="12240" w:h="15840"/>
          <w:pgMar w:header="761" w:footer="892" w:top="980" w:bottom="1080" w:left="700" w:right="520"/>
        </w:sectPr>
      </w:pPr>
    </w:p>
    <w:p>
      <w:pPr>
        <w:pStyle w:val="BodyText"/>
        <w:rPr>
          <w:i/>
          <w:sz w:val="20"/>
        </w:rPr>
      </w:pPr>
    </w:p>
    <w:p>
      <w:pPr>
        <w:pStyle w:val="BodyText"/>
        <w:spacing w:before="3"/>
        <w:rPr>
          <w:i/>
          <w:sz w:val="17"/>
        </w:rPr>
      </w:pPr>
    </w:p>
    <w:p>
      <w:pPr>
        <w:pStyle w:val="BodyText"/>
        <w:ind w:left="740" w:right="918"/>
        <w:jc w:val="both"/>
      </w:pPr>
      <w:r>
        <w:rPr>
          <w:i/>
        </w:rPr>
        <w:t>clinicians can prescribe for ‘acute’ pain. In addition, several large prescription benefit plans are </w:t>
      </w:r>
      <w:r>
        <w:rPr/>
        <w:t>implementing similar restrictions within their commercial, health plan, employer, and Medicaid clients.</w:t>
      </w:r>
    </w:p>
    <w:p>
      <w:pPr>
        <w:pStyle w:val="BodyText"/>
        <w:spacing w:before="11"/>
        <w:rPr>
          <w:i/>
          <w:sz w:val="21"/>
        </w:rPr>
      </w:pPr>
    </w:p>
    <w:p>
      <w:pPr>
        <w:pStyle w:val="BodyText"/>
        <w:spacing w:before="1"/>
        <w:ind w:left="740" w:right="915"/>
        <w:jc w:val="both"/>
      </w:pPr>
      <w:r>
        <w:rPr>
          <w:i/>
        </w:rPr>
        <w:t>In addition to the strategies described above to help better manage high, chronic prescription opioid use, </w:t>
      </w:r>
      <w:r>
        <w:rPr/>
        <w:t>CMS intends to establish a days supply limitation policy for opioid naïve patients in this year’s final 2019 Call Letter that balances reducing the harm posed by opioids with an 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w:t>
      </w:r>
    </w:p>
    <w:p>
      <w:pPr>
        <w:pStyle w:val="BodyText"/>
        <w:rPr>
          <w:i/>
        </w:rPr>
      </w:pPr>
    </w:p>
    <w:p>
      <w:pPr>
        <w:pStyle w:val="BodyText"/>
        <w:ind w:left="740" w:right="913"/>
        <w:jc w:val="both"/>
      </w:pPr>
      <w:r>
        <w:rPr>
          <w:i/>
        </w:rPr>
        <w:t>We expect all Part D sponsors to implement a hard safety edit for initial opioid prescription fills that </w:t>
      </w:r>
      <w:r>
        <w:rPr/>
        <w:t>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w:t>
      </w:r>
      <w:r>
        <w:rPr>
          <w:spacing w:val="-8"/>
        </w:rPr>
        <w:t> </w:t>
      </w:r>
      <w:r>
        <w:rPr/>
        <w:t>access.”</w:t>
      </w:r>
    </w:p>
    <w:p>
      <w:pPr>
        <w:pStyle w:val="BodyText"/>
        <w:spacing w:before="9"/>
        <w:rPr>
          <w:i/>
          <w:sz w:val="21"/>
        </w:rPr>
      </w:pPr>
    </w:p>
    <w:p>
      <w:pPr>
        <w:pStyle w:val="Heading1"/>
        <w:spacing w:before="1"/>
      </w:pPr>
      <w:r>
        <w:rPr/>
        <w:t>NCPDP Comment:</w:t>
      </w:r>
    </w:p>
    <w:p>
      <w:pPr>
        <w:pStyle w:val="Heading3"/>
        <w:ind w:left="739" w:right="916" w:firstLine="0"/>
        <w:jc w:val="both"/>
      </w:pPr>
      <w:r>
        <w:rPr/>
        <w:t>Regarding the request for information on both inclusions and exceptions for specific clinical situations, NCPDP has developed additional override codes (available for use in January 2019) which would allow the pharmacist to communicate the following potential exemptions to the payer:</w:t>
      </w:r>
    </w:p>
    <w:p>
      <w:pPr>
        <w:pStyle w:val="ListParagraph"/>
        <w:numPr>
          <w:ilvl w:val="0"/>
          <w:numId w:val="1"/>
        </w:numPr>
        <w:tabs>
          <w:tab w:pos="1459" w:val="left" w:leader="none"/>
          <w:tab w:pos="1461" w:val="left" w:leader="none"/>
        </w:tabs>
        <w:spacing w:line="240" w:lineRule="auto" w:before="0" w:after="0"/>
        <w:ind w:left="1460" w:right="0" w:hanging="361"/>
        <w:jc w:val="left"/>
        <w:rPr>
          <w:sz w:val="22"/>
        </w:rPr>
      </w:pPr>
      <w:r>
        <w:rPr>
          <w:sz w:val="22"/>
        </w:rPr>
        <w:t>palliative</w:t>
      </w:r>
      <w:r>
        <w:rPr>
          <w:spacing w:val="-7"/>
          <w:sz w:val="22"/>
        </w:rPr>
        <w:t> </w:t>
      </w:r>
      <w:r>
        <w:rPr>
          <w:sz w:val="22"/>
        </w:rPr>
        <w:t>care</w:t>
      </w:r>
    </w:p>
    <w:p>
      <w:pPr>
        <w:pStyle w:val="ListParagraph"/>
        <w:numPr>
          <w:ilvl w:val="0"/>
          <w:numId w:val="1"/>
        </w:numPr>
        <w:tabs>
          <w:tab w:pos="1459" w:val="left" w:leader="none"/>
          <w:tab w:pos="1461" w:val="left" w:leader="none"/>
        </w:tabs>
        <w:spacing w:line="240" w:lineRule="auto" w:before="0" w:after="0"/>
        <w:ind w:left="1460" w:right="0" w:hanging="361"/>
        <w:jc w:val="left"/>
        <w:rPr>
          <w:sz w:val="22"/>
        </w:rPr>
      </w:pPr>
      <w:r>
        <w:rPr>
          <w:sz w:val="22"/>
        </w:rPr>
        <w:t>hospice</w:t>
      </w:r>
    </w:p>
    <w:p>
      <w:pPr>
        <w:pStyle w:val="ListParagraph"/>
        <w:numPr>
          <w:ilvl w:val="0"/>
          <w:numId w:val="1"/>
        </w:numPr>
        <w:tabs>
          <w:tab w:pos="1460" w:val="left" w:leader="none"/>
          <w:tab w:pos="1461" w:val="left" w:leader="none"/>
        </w:tabs>
        <w:spacing w:line="279" w:lineRule="exact" w:before="0" w:after="0"/>
        <w:ind w:left="1460" w:right="0" w:hanging="360"/>
        <w:jc w:val="left"/>
        <w:rPr>
          <w:sz w:val="22"/>
        </w:rPr>
      </w:pPr>
      <w:r>
        <w:rPr>
          <w:sz w:val="22"/>
        </w:rPr>
        <w:t>cancer</w:t>
      </w:r>
    </w:p>
    <w:p>
      <w:pPr>
        <w:pStyle w:val="ListParagraph"/>
        <w:numPr>
          <w:ilvl w:val="0"/>
          <w:numId w:val="1"/>
        </w:numPr>
        <w:tabs>
          <w:tab w:pos="1460" w:val="left" w:leader="none"/>
          <w:tab w:pos="1461" w:val="left" w:leader="none"/>
        </w:tabs>
        <w:spacing w:line="279" w:lineRule="exact" w:before="0" w:after="0"/>
        <w:ind w:left="1460" w:right="0" w:hanging="360"/>
        <w:jc w:val="left"/>
        <w:rPr>
          <w:sz w:val="22"/>
        </w:rPr>
      </w:pPr>
      <w:r>
        <w:rPr>
          <w:sz w:val="22"/>
        </w:rPr>
        <w:t>chronic</w:t>
      </w:r>
      <w:r>
        <w:rPr>
          <w:spacing w:val="-4"/>
          <w:sz w:val="22"/>
        </w:rPr>
        <w:t> </w:t>
      </w:r>
      <w:r>
        <w:rPr>
          <w:sz w:val="22"/>
        </w:rPr>
        <w:t>pain</w:t>
      </w:r>
    </w:p>
    <w:p>
      <w:pPr>
        <w:pStyle w:val="ListParagraph"/>
        <w:numPr>
          <w:ilvl w:val="0"/>
          <w:numId w:val="1"/>
        </w:numPr>
        <w:tabs>
          <w:tab w:pos="1460" w:val="left" w:leader="none"/>
          <w:tab w:pos="1461" w:val="left" w:leader="none"/>
        </w:tabs>
        <w:spacing w:line="240" w:lineRule="auto" w:before="1" w:after="0"/>
        <w:ind w:left="1460" w:right="0" w:hanging="360"/>
        <w:jc w:val="left"/>
        <w:rPr>
          <w:sz w:val="22"/>
        </w:rPr>
      </w:pPr>
      <w:r>
        <w:rPr>
          <w:sz w:val="22"/>
        </w:rPr>
        <w:t>per</w:t>
      </w:r>
      <w:r>
        <w:rPr>
          <w:spacing w:val="-2"/>
          <w:sz w:val="22"/>
        </w:rPr>
        <w:t> </w:t>
      </w:r>
      <w:r>
        <w:rPr>
          <w:sz w:val="22"/>
        </w:rPr>
        <w:t>prescriber</w:t>
      </w:r>
    </w:p>
    <w:p>
      <w:pPr>
        <w:pStyle w:val="ListParagraph"/>
        <w:numPr>
          <w:ilvl w:val="0"/>
          <w:numId w:val="1"/>
        </w:numPr>
        <w:tabs>
          <w:tab w:pos="1460" w:val="left" w:leader="none"/>
          <w:tab w:pos="1461" w:val="left" w:leader="none"/>
        </w:tabs>
        <w:spacing w:line="240" w:lineRule="auto" w:before="0" w:after="0"/>
        <w:ind w:left="1460" w:right="0" w:hanging="360"/>
        <w:jc w:val="left"/>
        <w:rPr>
          <w:sz w:val="22"/>
        </w:rPr>
      </w:pPr>
      <w:r>
        <w:rPr>
          <w:sz w:val="22"/>
        </w:rPr>
        <w:t>surgery</w:t>
      </w:r>
    </w:p>
    <w:p>
      <w:pPr>
        <w:pStyle w:val="ListParagraph"/>
        <w:numPr>
          <w:ilvl w:val="0"/>
          <w:numId w:val="1"/>
        </w:numPr>
        <w:tabs>
          <w:tab w:pos="1460" w:val="left" w:leader="none"/>
          <w:tab w:pos="1461" w:val="left" w:leader="none"/>
        </w:tabs>
        <w:spacing w:line="279" w:lineRule="exact" w:before="0" w:after="0"/>
        <w:ind w:left="1460" w:right="0" w:hanging="360"/>
        <w:jc w:val="left"/>
        <w:rPr>
          <w:sz w:val="22"/>
        </w:rPr>
      </w:pPr>
      <w:r>
        <w:rPr>
          <w:sz w:val="22"/>
        </w:rPr>
        <w:t>trauma</w:t>
      </w:r>
    </w:p>
    <w:p>
      <w:pPr>
        <w:pStyle w:val="ListParagraph"/>
        <w:numPr>
          <w:ilvl w:val="0"/>
          <w:numId w:val="1"/>
        </w:numPr>
        <w:tabs>
          <w:tab w:pos="1460" w:val="left" w:leader="none"/>
          <w:tab w:pos="1461" w:val="left" w:leader="none"/>
        </w:tabs>
        <w:spacing w:line="279" w:lineRule="exact" w:before="0" w:after="0"/>
        <w:ind w:left="1460" w:right="0" w:hanging="360"/>
        <w:jc w:val="left"/>
        <w:rPr>
          <w:sz w:val="22"/>
        </w:rPr>
      </w:pPr>
      <w:r>
        <w:rPr>
          <w:sz w:val="22"/>
        </w:rPr>
        <w:t>hospital</w:t>
      </w:r>
      <w:r>
        <w:rPr>
          <w:spacing w:val="-4"/>
          <w:sz w:val="22"/>
        </w:rPr>
        <w:t> </w:t>
      </w:r>
      <w:r>
        <w:rPr>
          <w:sz w:val="22"/>
        </w:rPr>
        <w:t>discharge</w:t>
      </w:r>
    </w:p>
    <w:p>
      <w:pPr>
        <w:pStyle w:val="BodyText"/>
        <w:rPr>
          <w:i w:val="0"/>
        </w:rPr>
      </w:pPr>
    </w:p>
    <w:p>
      <w:pPr>
        <w:spacing w:before="0"/>
        <w:ind w:left="741" w:right="916" w:firstLine="0"/>
        <w:jc w:val="both"/>
        <w:rPr>
          <w:sz w:val="22"/>
        </w:rPr>
      </w:pPr>
      <w:r>
        <w:rPr>
          <w:sz w:val="22"/>
        </w:rPr>
        <w:t>While available, these codes are not required for implementation by January 2019. NCPDP encourages CMS to consider a delay in the compliance date if these codes are recommended for usage.</w:t>
      </w:r>
    </w:p>
    <w:p>
      <w:pPr>
        <w:pStyle w:val="BodyText"/>
        <w:rPr>
          <w:i w:val="0"/>
        </w:rPr>
      </w:pPr>
    </w:p>
    <w:p>
      <w:pPr>
        <w:spacing w:line="240" w:lineRule="auto" w:before="0"/>
        <w:ind w:left="740" w:right="914" w:firstLine="0"/>
        <w:jc w:val="both"/>
        <w:rPr>
          <w:sz w:val="22"/>
        </w:rPr>
      </w:pPr>
      <w:r>
        <w:rPr>
          <w:sz w:val="22"/>
        </w:rPr>
        <w:t>The current lack of standardization among State and Federal requirements causes confusion in the industry and impedes efficiencies. Therefore, NCPDP recommends the exchange of clinical information using diagnosis codes (ICD-10) to communicate specific clinical situations in a standardized manner. Plans would be able to implement edits based on criteria for exceptions based on specific diagnosis codes.</w:t>
      </w:r>
    </w:p>
    <w:p>
      <w:pPr>
        <w:spacing w:after="0" w:line="240" w:lineRule="auto"/>
        <w:jc w:val="both"/>
        <w:rPr>
          <w:sz w:val="22"/>
        </w:rPr>
        <w:sectPr>
          <w:pgSz w:w="12240" w:h="15840"/>
          <w:pgMar w:header="761" w:footer="892" w:top="980" w:bottom="1080" w:left="700" w:right="520"/>
        </w:sectPr>
      </w:pPr>
    </w:p>
    <w:p>
      <w:pPr>
        <w:pStyle w:val="BodyText"/>
        <w:rPr>
          <w:i w:val="0"/>
          <w:sz w:val="20"/>
        </w:rPr>
      </w:pPr>
    </w:p>
    <w:p>
      <w:pPr>
        <w:pStyle w:val="BodyText"/>
        <w:spacing w:before="3"/>
        <w:rPr>
          <w:i w:val="0"/>
          <w:sz w:val="17"/>
        </w:rPr>
      </w:pPr>
    </w:p>
    <w:p>
      <w:pPr>
        <w:spacing w:before="0"/>
        <w:ind w:left="740" w:right="0" w:firstLine="0"/>
        <w:jc w:val="both"/>
        <w:rPr>
          <w:sz w:val="22"/>
        </w:rPr>
      </w:pPr>
      <w:r>
        <w:rPr>
          <w:b/>
          <w:i/>
          <w:sz w:val="22"/>
        </w:rPr>
        <w:t>Opioid Duplicative Therapy Safety Edits</w:t>
      </w:r>
      <w:r>
        <w:rPr>
          <w:sz w:val="22"/>
        </w:rPr>
        <w:t>, pages 214- 215:</w:t>
      </w:r>
    </w:p>
    <w:p>
      <w:pPr>
        <w:pStyle w:val="BodyText"/>
        <w:ind w:left="739" w:right="915"/>
        <w:jc w:val="both"/>
      </w:pPr>
      <w:r>
        <w:rPr>
          <w:i/>
        </w:rPr>
        <w:t>“Of the beneficiaries who used LA opioids in 2016, over 250,000 (or almost 20% of LA opioid users) had at </w:t>
      </w:r>
      <w:r>
        <w:rPr/>
        <w:t>least one fill of an LA opioid before 75% of prior claims’ days supply expired (criteria #2). Next, we identified how many of these beneficiaries had duplicative LA opioid 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 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 PD contracts and less than 40% of PDP contracts.</w:t>
      </w:r>
    </w:p>
    <w:p>
      <w:pPr>
        <w:pStyle w:val="BodyText"/>
        <w:rPr>
          <w:i/>
        </w:rPr>
      </w:pPr>
    </w:p>
    <w:p>
      <w:pPr>
        <w:pStyle w:val="BodyText"/>
        <w:spacing w:before="1"/>
        <w:ind w:left="739" w:right="915"/>
        <w:jc w:val="both"/>
      </w:pPr>
      <w:r>
        <w:rPr>
          <w:i/>
        </w:rPr>
        <w:t>Based on these findings, we expect all Part D plan sponsors to implement a soft POS edit for duplicative </w:t>
      </w:r>
      <w:r>
        <w:rPr/>
        <w:t>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w:t>
      </w:r>
    </w:p>
    <w:p>
      <w:pPr>
        <w:pStyle w:val="BodyText"/>
        <w:rPr>
          <w:i/>
        </w:rPr>
      </w:pPr>
    </w:p>
    <w:p>
      <w:pPr>
        <w:pStyle w:val="BodyText"/>
        <w:ind w:left="739" w:right="914"/>
        <w:jc w:val="both"/>
      </w:pPr>
      <w:r>
        <w:rPr>
          <w:i/>
        </w:rPr>
        <w:t>Ultimately, such safety edits may proactively address potentially unsafe cumulative opioid regimens at </w:t>
      </w:r>
      <w:r>
        <w:rPr/>
        <w:t>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pPr>
        <w:pStyle w:val="BodyText"/>
        <w:spacing w:before="8"/>
        <w:rPr>
          <w:i/>
        </w:rPr>
      </w:pPr>
    </w:p>
    <w:p>
      <w:pPr>
        <w:pStyle w:val="BodyText"/>
        <w:ind w:left="739" w:right="914"/>
        <w:jc w:val="both"/>
      </w:pPr>
      <w:r>
        <w:rPr>
          <w:i/>
        </w:rPr>
        <w:t>We are requesting feedback from stakeholders, especially Part D sponsors and PBMs, on the proposed </w:t>
      </w:r>
      <w:r>
        <w:rPr/>
        <w:t>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pPr>
        <w:pStyle w:val="BodyText"/>
        <w:spacing w:before="11"/>
        <w:rPr>
          <w:i/>
          <w:sz w:val="21"/>
        </w:rPr>
      </w:pPr>
    </w:p>
    <w:p>
      <w:pPr>
        <w:pStyle w:val="Heading1"/>
        <w:ind w:left="739"/>
      </w:pPr>
      <w:r>
        <w:rPr/>
        <w:t>NCPDP comment:</w:t>
      </w:r>
    </w:p>
    <w:p>
      <w:pPr>
        <w:pStyle w:val="Heading3"/>
        <w:ind w:left="739" w:right="916" w:firstLine="0"/>
        <w:jc w:val="both"/>
      </w:pPr>
      <w:r>
        <w:rPr/>
        <w:t>NCPDP recommends a standardized method of communicating this information throughout the prescribing process (from prescriber to pharmacy to plan) using diagnosis codes (ICD-10) as noted in the NCPDP Recommendations for Standardized Communications to Address the Opioid Epidemic.</w:t>
      </w:r>
    </w:p>
    <w:p>
      <w:pPr>
        <w:pStyle w:val="BodyText"/>
        <w:spacing w:before="10"/>
        <w:rPr>
          <w:i w:val="0"/>
          <w:sz w:val="21"/>
        </w:rPr>
      </w:pPr>
    </w:p>
    <w:p>
      <w:pPr>
        <w:spacing w:before="1"/>
        <w:ind w:left="739" w:right="916" w:firstLine="0"/>
        <w:jc w:val="both"/>
        <w:rPr>
          <w:sz w:val="22"/>
        </w:rPr>
      </w:pPr>
      <w:r>
        <w:rPr>
          <w:sz w:val="22"/>
        </w:rPr>
        <w:t>Regarding how best to manage multiple opioid POS edits that a single prescription may trigger, NCPDP has developed more specific reject codes (available for use in January 2019) which can be used to report multiple edits and/or reasons for rejects.</w:t>
      </w:r>
    </w:p>
    <w:p>
      <w:pPr>
        <w:spacing w:after="0"/>
        <w:jc w:val="both"/>
        <w:rPr>
          <w:sz w:val="22"/>
        </w:rPr>
        <w:sectPr>
          <w:pgSz w:w="12240" w:h="15840"/>
          <w:pgMar w:header="761" w:footer="892" w:top="980" w:bottom="1080" w:left="700" w:right="520"/>
        </w:sectPr>
      </w:pPr>
    </w:p>
    <w:p>
      <w:pPr>
        <w:pStyle w:val="BodyText"/>
        <w:rPr>
          <w:i w:val="0"/>
          <w:sz w:val="29"/>
        </w:rPr>
      </w:pPr>
    </w:p>
    <w:p>
      <w:pPr>
        <w:pStyle w:val="ListParagraph"/>
        <w:numPr>
          <w:ilvl w:val="0"/>
          <w:numId w:val="1"/>
        </w:numPr>
        <w:tabs>
          <w:tab w:pos="1460" w:val="left" w:leader="none"/>
          <w:tab w:pos="1461" w:val="left" w:leader="none"/>
        </w:tabs>
        <w:spacing w:line="240" w:lineRule="auto" w:before="101" w:after="0"/>
        <w:ind w:left="1460" w:right="0" w:hanging="360"/>
        <w:jc w:val="left"/>
        <w:rPr>
          <w:sz w:val="22"/>
        </w:rPr>
      </w:pPr>
      <w:r>
        <w:rPr>
          <w:sz w:val="22"/>
        </w:rPr>
        <w:t>Morphine Equivalent Dose Exceeds</w:t>
      </w:r>
      <w:r>
        <w:rPr>
          <w:spacing w:val="-13"/>
          <w:sz w:val="22"/>
        </w:rPr>
        <w:t> </w:t>
      </w:r>
      <w:r>
        <w:rPr>
          <w:sz w:val="22"/>
        </w:rPr>
        <w:t>Limits</w:t>
      </w:r>
    </w:p>
    <w:p>
      <w:pPr>
        <w:pStyle w:val="ListParagraph"/>
        <w:numPr>
          <w:ilvl w:val="0"/>
          <w:numId w:val="1"/>
        </w:numPr>
        <w:tabs>
          <w:tab w:pos="1460" w:val="left" w:leader="none"/>
          <w:tab w:pos="1461" w:val="left" w:leader="none"/>
        </w:tabs>
        <w:spacing w:line="240" w:lineRule="auto" w:before="0" w:after="0"/>
        <w:ind w:left="1460" w:right="0" w:hanging="360"/>
        <w:jc w:val="left"/>
        <w:rPr>
          <w:sz w:val="22"/>
        </w:rPr>
      </w:pPr>
      <w:r>
        <w:rPr>
          <w:sz w:val="22"/>
        </w:rPr>
        <w:t>Morphine Equivalent Dose Exceeds Limits for Patient</w:t>
      </w:r>
      <w:r>
        <w:rPr>
          <w:spacing w:val="-20"/>
          <w:sz w:val="22"/>
        </w:rPr>
        <w:t> </w:t>
      </w:r>
      <w:r>
        <w:rPr>
          <w:sz w:val="22"/>
        </w:rPr>
        <w:t>Age</w:t>
      </w:r>
    </w:p>
    <w:p>
      <w:pPr>
        <w:pStyle w:val="ListParagraph"/>
        <w:numPr>
          <w:ilvl w:val="0"/>
          <w:numId w:val="1"/>
        </w:numPr>
        <w:tabs>
          <w:tab w:pos="1460" w:val="left" w:leader="none"/>
          <w:tab w:pos="1461" w:val="left" w:leader="none"/>
        </w:tabs>
        <w:spacing w:line="279" w:lineRule="exact" w:before="0" w:after="0"/>
        <w:ind w:left="1460" w:right="0" w:hanging="360"/>
        <w:jc w:val="left"/>
        <w:rPr>
          <w:sz w:val="22"/>
        </w:rPr>
      </w:pPr>
      <w:r>
        <w:rPr>
          <w:sz w:val="22"/>
        </w:rPr>
        <w:t>Cumulative dose exceeded across multiple</w:t>
      </w:r>
      <w:r>
        <w:rPr>
          <w:spacing w:val="-21"/>
          <w:sz w:val="22"/>
        </w:rPr>
        <w:t> </w:t>
      </w:r>
      <w:r>
        <w:rPr>
          <w:sz w:val="22"/>
        </w:rPr>
        <w:t>prescriptions</w:t>
      </w:r>
    </w:p>
    <w:p>
      <w:pPr>
        <w:pStyle w:val="ListParagraph"/>
        <w:numPr>
          <w:ilvl w:val="0"/>
          <w:numId w:val="1"/>
        </w:numPr>
        <w:tabs>
          <w:tab w:pos="1460" w:val="left" w:leader="none"/>
          <w:tab w:pos="1461" w:val="left" w:leader="none"/>
        </w:tabs>
        <w:spacing w:line="279" w:lineRule="exact" w:before="0" w:after="0"/>
        <w:ind w:left="1460" w:right="0" w:hanging="360"/>
        <w:jc w:val="left"/>
        <w:rPr>
          <w:sz w:val="22"/>
        </w:rPr>
      </w:pPr>
      <w:r>
        <w:rPr>
          <w:sz w:val="22"/>
        </w:rPr>
        <w:t>Initial Fill Days Supply Exceeds</w:t>
      </w:r>
      <w:r>
        <w:rPr>
          <w:spacing w:val="-13"/>
          <w:sz w:val="22"/>
        </w:rPr>
        <w:t> </w:t>
      </w:r>
      <w:r>
        <w:rPr>
          <w:sz w:val="22"/>
        </w:rPr>
        <w:t>Limits</w:t>
      </w:r>
    </w:p>
    <w:p>
      <w:pPr>
        <w:pStyle w:val="ListParagraph"/>
        <w:numPr>
          <w:ilvl w:val="0"/>
          <w:numId w:val="1"/>
        </w:numPr>
        <w:tabs>
          <w:tab w:pos="1460" w:val="left" w:leader="none"/>
          <w:tab w:pos="1461" w:val="left" w:leader="none"/>
        </w:tabs>
        <w:spacing w:line="240" w:lineRule="auto" w:before="1" w:after="0"/>
        <w:ind w:left="1461" w:right="0" w:hanging="361"/>
        <w:jc w:val="left"/>
        <w:rPr>
          <w:sz w:val="22"/>
        </w:rPr>
      </w:pPr>
      <w:r>
        <w:rPr>
          <w:sz w:val="22"/>
        </w:rPr>
        <w:t>Initial Fill Days Supply Exceeds Limits For Patient</w:t>
      </w:r>
      <w:r>
        <w:rPr>
          <w:spacing w:val="-18"/>
          <w:sz w:val="22"/>
        </w:rPr>
        <w:t> </w:t>
      </w:r>
      <w:r>
        <w:rPr>
          <w:sz w:val="22"/>
        </w:rPr>
        <w:t>Age</w:t>
      </w:r>
    </w:p>
    <w:p>
      <w:pPr>
        <w:pStyle w:val="ListParagraph"/>
        <w:numPr>
          <w:ilvl w:val="0"/>
          <w:numId w:val="1"/>
        </w:numPr>
        <w:tabs>
          <w:tab w:pos="1461" w:val="left" w:leader="none"/>
          <w:tab w:pos="1462" w:val="left" w:leader="none"/>
        </w:tabs>
        <w:spacing w:line="240" w:lineRule="auto" w:before="0" w:after="0"/>
        <w:ind w:left="1461" w:right="0" w:hanging="360"/>
        <w:jc w:val="left"/>
        <w:rPr>
          <w:sz w:val="22"/>
        </w:rPr>
      </w:pPr>
      <w:r>
        <w:rPr>
          <w:sz w:val="22"/>
        </w:rPr>
        <w:t>Days Supply Limitation For Product/Service for Patient</w:t>
      </w:r>
      <w:r>
        <w:rPr>
          <w:spacing w:val="-21"/>
          <w:sz w:val="22"/>
        </w:rPr>
        <w:t> </w:t>
      </w:r>
      <w:r>
        <w:rPr>
          <w:sz w:val="22"/>
        </w:rPr>
        <w:t>Age</w:t>
      </w:r>
    </w:p>
    <w:p>
      <w:pPr>
        <w:pStyle w:val="ListParagraph"/>
        <w:numPr>
          <w:ilvl w:val="0"/>
          <w:numId w:val="1"/>
        </w:numPr>
        <w:tabs>
          <w:tab w:pos="1461" w:val="left" w:leader="none"/>
          <w:tab w:pos="1462" w:val="left" w:leader="none"/>
        </w:tabs>
        <w:spacing w:line="240" w:lineRule="auto" w:before="0" w:after="0"/>
        <w:ind w:left="1461" w:right="0" w:hanging="360"/>
        <w:jc w:val="left"/>
        <w:rPr>
          <w:sz w:val="22"/>
        </w:rPr>
      </w:pPr>
      <w:r>
        <w:rPr>
          <w:sz w:val="22"/>
        </w:rPr>
        <w:t>Cumulative Fills Exceed</w:t>
      </w:r>
      <w:r>
        <w:rPr>
          <w:spacing w:val="-12"/>
          <w:sz w:val="22"/>
        </w:rPr>
        <w:t> </w:t>
      </w:r>
      <w:r>
        <w:rPr>
          <w:sz w:val="22"/>
        </w:rPr>
        <w:t>Limits</w:t>
      </w:r>
    </w:p>
    <w:sectPr>
      <w:pgSz w:w="12240" w:h="15840"/>
      <w:pgMar w:header="761" w:footer="892" w:top="980" w:bottom="1080" w:left="7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68429463">
          <wp:simplePos x="0" y="0"/>
          <wp:positionH relativeFrom="page">
            <wp:posOffset>518159</wp:posOffset>
          </wp:positionH>
          <wp:positionV relativeFrom="page">
            <wp:posOffset>9364977</wp:posOffset>
          </wp:positionV>
          <wp:extent cx="6857998" cy="45212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857998" cy="45212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71pt;margin-top:37.040001pt;width:32.75pt;height:13.05pt;mso-position-horizontal-relative:page;mso-position-vertical-relative:page;z-index:-5968" type="#_x0000_t202" filled="false" stroked="false">
          <v:textbox inset="0,0,0,0">
            <w:txbxContent>
              <w:p>
                <w:pPr>
                  <w:spacing w:line="245" w:lineRule="exact" w:before="0"/>
                  <w:ind w:left="20" w:right="0" w:firstLine="0"/>
                  <w:jc w:val="left"/>
                  <w:rPr>
                    <w:sz w:val="22"/>
                  </w:rPr>
                </w:pPr>
                <w:r>
                  <w:rPr>
                    <w:sz w:val="22"/>
                  </w:rPr>
                  <w:t>Page </w:t>
                </w:r>
                <w:r>
                  <w:rPr/>
                  <w:fldChar w:fldCharType="begin"/>
                </w:r>
                <w:r>
                  <w:rPr>
                    <w:sz w:val="2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899" w:hanging="361"/>
        <w:jc w:val="left"/>
      </w:pPr>
      <w:rPr>
        <w:rFonts w:hint="default"/>
        <w:w w:val="100"/>
      </w:rPr>
    </w:lvl>
    <w:lvl w:ilvl="1">
      <w:start w:val="0"/>
      <w:numFmt w:val="bullet"/>
      <w:lvlText w:val="•"/>
      <w:lvlJc w:val="left"/>
      <w:pPr>
        <w:ind w:left="3712" w:hanging="361"/>
      </w:pPr>
      <w:rPr>
        <w:rFonts w:hint="default"/>
      </w:rPr>
    </w:lvl>
    <w:lvl w:ilvl="2">
      <w:start w:val="0"/>
      <w:numFmt w:val="bullet"/>
      <w:lvlText w:val="•"/>
      <w:lvlJc w:val="left"/>
      <w:pPr>
        <w:ind w:left="4524" w:hanging="361"/>
      </w:pPr>
      <w:rPr>
        <w:rFonts w:hint="default"/>
      </w:rPr>
    </w:lvl>
    <w:lvl w:ilvl="3">
      <w:start w:val="0"/>
      <w:numFmt w:val="bullet"/>
      <w:lvlText w:val="•"/>
      <w:lvlJc w:val="left"/>
      <w:pPr>
        <w:ind w:left="5336" w:hanging="361"/>
      </w:pPr>
      <w:rPr>
        <w:rFonts w:hint="default"/>
      </w:rPr>
    </w:lvl>
    <w:lvl w:ilvl="4">
      <w:start w:val="0"/>
      <w:numFmt w:val="bullet"/>
      <w:lvlText w:val="•"/>
      <w:lvlJc w:val="left"/>
      <w:pPr>
        <w:ind w:left="6148" w:hanging="361"/>
      </w:pPr>
      <w:rPr>
        <w:rFonts w:hint="default"/>
      </w:rPr>
    </w:lvl>
    <w:lvl w:ilvl="5">
      <w:start w:val="0"/>
      <w:numFmt w:val="bullet"/>
      <w:lvlText w:val="•"/>
      <w:lvlJc w:val="left"/>
      <w:pPr>
        <w:ind w:left="6960" w:hanging="361"/>
      </w:pPr>
      <w:rPr>
        <w:rFonts w:hint="default"/>
      </w:rPr>
    </w:lvl>
    <w:lvl w:ilvl="6">
      <w:start w:val="0"/>
      <w:numFmt w:val="bullet"/>
      <w:lvlText w:val="•"/>
      <w:lvlJc w:val="left"/>
      <w:pPr>
        <w:ind w:left="7772" w:hanging="361"/>
      </w:pPr>
      <w:rPr>
        <w:rFonts w:hint="default"/>
      </w:rPr>
    </w:lvl>
    <w:lvl w:ilvl="7">
      <w:start w:val="0"/>
      <w:numFmt w:val="bullet"/>
      <w:lvlText w:val="•"/>
      <w:lvlJc w:val="left"/>
      <w:pPr>
        <w:ind w:left="8584" w:hanging="361"/>
      </w:pPr>
      <w:rPr>
        <w:rFonts w:hint="default"/>
      </w:rPr>
    </w:lvl>
    <w:lvl w:ilvl="8">
      <w:start w:val="0"/>
      <w:numFmt w:val="bullet"/>
      <w:lvlText w:val="•"/>
      <w:lvlJc w:val="left"/>
      <w:pPr>
        <w:ind w:left="9396" w:hanging="361"/>
      </w:pPr>
      <w:rPr>
        <w:rFonts w:hint="default"/>
      </w:rPr>
    </w:lvl>
  </w:abstractNum>
  <w:abstractNum w:abstractNumId="2">
    <w:multiLevelType w:val="hybridMultilevel"/>
    <w:lvl w:ilvl="0">
      <w:start w:val="0"/>
      <w:numFmt w:val="bullet"/>
      <w:lvlText w:val=""/>
      <w:lvlJc w:val="left"/>
      <w:pPr>
        <w:ind w:left="2179" w:hanging="360"/>
      </w:pPr>
      <w:rPr>
        <w:rFonts w:hint="default" w:ascii="Symbol" w:hAnsi="Symbol" w:eastAsia="Symbol" w:cs="Symbol"/>
        <w:w w:val="100"/>
        <w:sz w:val="22"/>
        <w:szCs w:val="22"/>
      </w:rPr>
    </w:lvl>
    <w:lvl w:ilvl="1">
      <w:start w:val="0"/>
      <w:numFmt w:val="bullet"/>
      <w:lvlText w:val="•"/>
      <w:lvlJc w:val="left"/>
      <w:pPr>
        <w:ind w:left="3064" w:hanging="360"/>
      </w:pPr>
      <w:rPr>
        <w:rFonts w:hint="default"/>
      </w:rPr>
    </w:lvl>
    <w:lvl w:ilvl="2">
      <w:start w:val="0"/>
      <w:numFmt w:val="bullet"/>
      <w:lvlText w:val="•"/>
      <w:lvlJc w:val="left"/>
      <w:pPr>
        <w:ind w:left="3948" w:hanging="360"/>
      </w:pPr>
      <w:rPr>
        <w:rFonts w:hint="default"/>
      </w:rPr>
    </w:lvl>
    <w:lvl w:ilvl="3">
      <w:start w:val="0"/>
      <w:numFmt w:val="bullet"/>
      <w:lvlText w:val="•"/>
      <w:lvlJc w:val="left"/>
      <w:pPr>
        <w:ind w:left="4832" w:hanging="360"/>
      </w:pPr>
      <w:rPr>
        <w:rFonts w:hint="default"/>
      </w:rPr>
    </w:lvl>
    <w:lvl w:ilvl="4">
      <w:start w:val="0"/>
      <w:numFmt w:val="bullet"/>
      <w:lvlText w:val="•"/>
      <w:lvlJc w:val="left"/>
      <w:pPr>
        <w:ind w:left="5716" w:hanging="360"/>
      </w:pPr>
      <w:rPr>
        <w:rFonts w:hint="default"/>
      </w:rPr>
    </w:lvl>
    <w:lvl w:ilvl="5">
      <w:start w:val="0"/>
      <w:numFmt w:val="bullet"/>
      <w:lvlText w:val="•"/>
      <w:lvlJc w:val="left"/>
      <w:pPr>
        <w:ind w:left="6600" w:hanging="360"/>
      </w:pPr>
      <w:rPr>
        <w:rFonts w:hint="default"/>
      </w:rPr>
    </w:lvl>
    <w:lvl w:ilvl="6">
      <w:start w:val="0"/>
      <w:numFmt w:val="bullet"/>
      <w:lvlText w:val="•"/>
      <w:lvlJc w:val="left"/>
      <w:pPr>
        <w:ind w:left="7484" w:hanging="360"/>
      </w:pPr>
      <w:rPr>
        <w:rFonts w:hint="default"/>
      </w:rPr>
    </w:lvl>
    <w:lvl w:ilvl="7">
      <w:start w:val="0"/>
      <w:numFmt w:val="bullet"/>
      <w:lvlText w:val="•"/>
      <w:lvlJc w:val="left"/>
      <w:pPr>
        <w:ind w:left="8368" w:hanging="360"/>
      </w:pPr>
      <w:rPr>
        <w:rFonts w:hint="default"/>
      </w:rPr>
    </w:lvl>
    <w:lvl w:ilvl="8">
      <w:start w:val="0"/>
      <w:numFmt w:val="bullet"/>
      <w:lvlText w:val="•"/>
      <w:lvlJc w:val="left"/>
      <w:pPr>
        <w:ind w:left="9252" w:hanging="360"/>
      </w:pPr>
      <w:rPr>
        <w:rFonts w:hint="default"/>
      </w:rPr>
    </w:lvl>
  </w:abstractNum>
  <w:abstractNum w:abstractNumId="1">
    <w:multiLevelType w:val="hybridMultilevel"/>
    <w:lvl w:ilvl="0">
      <w:start w:val="1"/>
      <w:numFmt w:val="decimal"/>
      <w:lvlText w:val="%1."/>
      <w:lvlJc w:val="left"/>
      <w:pPr>
        <w:ind w:left="1460" w:hanging="361"/>
        <w:jc w:val="left"/>
      </w:pPr>
      <w:rPr>
        <w:rFonts w:hint="default" w:ascii="Calibri" w:hAnsi="Calibri" w:eastAsia="Calibri" w:cs="Calibri"/>
        <w:w w:val="100"/>
        <w:sz w:val="22"/>
        <w:szCs w:val="22"/>
      </w:rPr>
    </w:lvl>
    <w:lvl w:ilvl="1">
      <w:start w:val="0"/>
      <w:numFmt w:val="bullet"/>
      <w:lvlText w:val="o"/>
      <w:lvlJc w:val="left"/>
      <w:pPr>
        <w:ind w:left="2180" w:hanging="361"/>
      </w:pPr>
      <w:rPr>
        <w:rFonts w:hint="default" w:ascii="Courier New" w:hAnsi="Courier New" w:eastAsia="Courier New" w:cs="Courier New"/>
        <w:w w:val="100"/>
        <w:sz w:val="22"/>
        <w:szCs w:val="22"/>
      </w:rPr>
    </w:lvl>
    <w:lvl w:ilvl="2">
      <w:start w:val="0"/>
      <w:numFmt w:val="bullet"/>
      <w:lvlText w:val="•"/>
      <w:lvlJc w:val="left"/>
      <w:pPr>
        <w:ind w:left="3162" w:hanging="361"/>
      </w:pPr>
      <w:rPr>
        <w:rFonts w:hint="default"/>
      </w:rPr>
    </w:lvl>
    <w:lvl w:ilvl="3">
      <w:start w:val="0"/>
      <w:numFmt w:val="bullet"/>
      <w:lvlText w:val="•"/>
      <w:lvlJc w:val="left"/>
      <w:pPr>
        <w:ind w:left="4144" w:hanging="361"/>
      </w:pPr>
      <w:rPr>
        <w:rFonts w:hint="default"/>
      </w:rPr>
    </w:lvl>
    <w:lvl w:ilvl="4">
      <w:start w:val="0"/>
      <w:numFmt w:val="bullet"/>
      <w:lvlText w:val="•"/>
      <w:lvlJc w:val="left"/>
      <w:pPr>
        <w:ind w:left="5126" w:hanging="361"/>
      </w:pPr>
      <w:rPr>
        <w:rFonts w:hint="default"/>
      </w:rPr>
    </w:lvl>
    <w:lvl w:ilvl="5">
      <w:start w:val="0"/>
      <w:numFmt w:val="bullet"/>
      <w:lvlText w:val="•"/>
      <w:lvlJc w:val="left"/>
      <w:pPr>
        <w:ind w:left="6108" w:hanging="361"/>
      </w:pPr>
      <w:rPr>
        <w:rFonts w:hint="default"/>
      </w:rPr>
    </w:lvl>
    <w:lvl w:ilvl="6">
      <w:start w:val="0"/>
      <w:numFmt w:val="bullet"/>
      <w:lvlText w:val="•"/>
      <w:lvlJc w:val="left"/>
      <w:pPr>
        <w:ind w:left="7091" w:hanging="361"/>
      </w:pPr>
      <w:rPr>
        <w:rFonts w:hint="default"/>
      </w:rPr>
    </w:lvl>
    <w:lvl w:ilvl="7">
      <w:start w:val="0"/>
      <w:numFmt w:val="bullet"/>
      <w:lvlText w:val="•"/>
      <w:lvlJc w:val="left"/>
      <w:pPr>
        <w:ind w:left="8073" w:hanging="361"/>
      </w:pPr>
      <w:rPr>
        <w:rFonts w:hint="default"/>
      </w:rPr>
    </w:lvl>
    <w:lvl w:ilvl="8">
      <w:start w:val="0"/>
      <w:numFmt w:val="bullet"/>
      <w:lvlText w:val="•"/>
      <w:lvlJc w:val="left"/>
      <w:pPr>
        <w:ind w:left="9055" w:hanging="361"/>
      </w:pPr>
      <w:rPr>
        <w:rFonts w:hint="default"/>
      </w:rPr>
    </w:lvl>
  </w:abstractNum>
  <w:abstractNum w:abstractNumId="0">
    <w:multiLevelType w:val="hybridMultilevel"/>
    <w:lvl w:ilvl="0">
      <w:start w:val="0"/>
      <w:numFmt w:val="bullet"/>
      <w:lvlText w:val=""/>
      <w:lvlJc w:val="left"/>
      <w:pPr>
        <w:ind w:left="1459" w:hanging="361"/>
      </w:pPr>
      <w:rPr>
        <w:rFonts w:hint="default" w:ascii="Symbol" w:hAnsi="Symbol" w:eastAsia="Symbol" w:cs="Symbol"/>
        <w:w w:val="100"/>
        <w:sz w:val="22"/>
        <w:szCs w:val="22"/>
      </w:rPr>
    </w:lvl>
    <w:lvl w:ilvl="1">
      <w:start w:val="0"/>
      <w:numFmt w:val="bullet"/>
      <w:lvlText w:val="•"/>
      <w:lvlJc w:val="left"/>
      <w:pPr>
        <w:ind w:left="2416" w:hanging="361"/>
      </w:pPr>
      <w:rPr>
        <w:rFonts w:hint="default"/>
      </w:rPr>
    </w:lvl>
    <w:lvl w:ilvl="2">
      <w:start w:val="0"/>
      <w:numFmt w:val="bullet"/>
      <w:lvlText w:val="•"/>
      <w:lvlJc w:val="left"/>
      <w:pPr>
        <w:ind w:left="3372" w:hanging="361"/>
      </w:pPr>
      <w:rPr>
        <w:rFonts w:hint="default"/>
      </w:rPr>
    </w:lvl>
    <w:lvl w:ilvl="3">
      <w:start w:val="0"/>
      <w:numFmt w:val="bullet"/>
      <w:lvlText w:val="•"/>
      <w:lvlJc w:val="left"/>
      <w:pPr>
        <w:ind w:left="4328" w:hanging="361"/>
      </w:pPr>
      <w:rPr>
        <w:rFonts w:hint="default"/>
      </w:rPr>
    </w:lvl>
    <w:lvl w:ilvl="4">
      <w:start w:val="0"/>
      <w:numFmt w:val="bullet"/>
      <w:lvlText w:val="•"/>
      <w:lvlJc w:val="left"/>
      <w:pPr>
        <w:ind w:left="5284" w:hanging="361"/>
      </w:pPr>
      <w:rPr>
        <w:rFonts w:hint="default"/>
      </w:rPr>
    </w:lvl>
    <w:lvl w:ilvl="5">
      <w:start w:val="0"/>
      <w:numFmt w:val="bullet"/>
      <w:lvlText w:val="•"/>
      <w:lvlJc w:val="left"/>
      <w:pPr>
        <w:ind w:left="6240" w:hanging="361"/>
      </w:pPr>
      <w:rPr>
        <w:rFonts w:hint="default"/>
      </w:rPr>
    </w:lvl>
    <w:lvl w:ilvl="6">
      <w:start w:val="0"/>
      <w:numFmt w:val="bullet"/>
      <w:lvlText w:val="•"/>
      <w:lvlJc w:val="left"/>
      <w:pPr>
        <w:ind w:left="7196" w:hanging="361"/>
      </w:pPr>
      <w:rPr>
        <w:rFonts w:hint="default"/>
      </w:rPr>
    </w:lvl>
    <w:lvl w:ilvl="7">
      <w:start w:val="0"/>
      <w:numFmt w:val="bullet"/>
      <w:lvlText w:val="•"/>
      <w:lvlJc w:val="left"/>
      <w:pPr>
        <w:ind w:left="8152" w:hanging="361"/>
      </w:pPr>
      <w:rPr>
        <w:rFonts w:hint="default"/>
      </w:rPr>
    </w:lvl>
    <w:lvl w:ilvl="8">
      <w:start w:val="0"/>
      <w:numFmt w:val="bullet"/>
      <w:lvlText w:val="•"/>
      <w:lvlJc w:val="left"/>
      <w:pPr>
        <w:ind w:left="9108" w:hanging="36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i/>
      <w:sz w:val="22"/>
      <w:szCs w:val="22"/>
    </w:rPr>
  </w:style>
  <w:style w:styleId="Heading1" w:type="paragraph">
    <w:name w:val="Heading 1"/>
    <w:basedOn w:val="Normal"/>
    <w:uiPriority w:val="1"/>
    <w:qFormat/>
    <w:pPr>
      <w:ind w:left="740"/>
      <w:jc w:val="both"/>
      <w:outlineLvl w:val="1"/>
    </w:pPr>
    <w:rPr>
      <w:rFonts w:ascii="Calibri" w:hAnsi="Calibri" w:eastAsia="Calibri" w:cs="Calibri"/>
      <w:b/>
      <w:bCs/>
      <w:sz w:val="22"/>
      <w:szCs w:val="22"/>
    </w:rPr>
  </w:style>
  <w:style w:styleId="Heading2" w:type="paragraph">
    <w:name w:val="Heading 2"/>
    <w:basedOn w:val="Normal"/>
    <w:uiPriority w:val="1"/>
    <w:qFormat/>
    <w:pPr>
      <w:ind w:left="740"/>
      <w:jc w:val="both"/>
      <w:outlineLvl w:val="2"/>
    </w:pPr>
    <w:rPr>
      <w:rFonts w:ascii="Calibri" w:hAnsi="Calibri" w:eastAsia="Calibri" w:cs="Calibri"/>
      <w:b/>
      <w:bCs/>
      <w:i/>
      <w:sz w:val="22"/>
      <w:szCs w:val="22"/>
    </w:rPr>
  </w:style>
  <w:style w:styleId="Heading3" w:type="paragraph">
    <w:name w:val="Heading 3"/>
    <w:basedOn w:val="Normal"/>
    <w:uiPriority w:val="1"/>
    <w:qFormat/>
    <w:pPr>
      <w:ind w:left="1460" w:hanging="360"/>
      <w:outlineLvl w:val="3"/>
    </w:pPr>
    <w:rPr>
      <w:rFonts w:ascii="Calibri" w:hAnsi="Calibri" w:eastAsia="Calibri" w:cs="Calibri"/>
      <w:sz w:val="22"/>
      <w:szCs w:val="22"/>
    </w:rPr>
  </w:style>
  <w:style w:styleId="ListParagraph" w:type="paragraph">
    <w:name w:val="List Paragraph"/>
    <w:basedOn w:val="Normal"/>
    <w:uiPriority w:val="1"/>
    <w:qFormat/>
    <w:pPr>
      <w:ind w:left="146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yperlink" Target="https://www.regulations.gov/" TargetMode="External"/><Relationship Id="rId8" Type="http://schemas.openxmlformats.org/officeDocument/2006/relationships/hyperlink" Target="mailto:kkrempin@ncpdp.org" TargetMode="External"/><Relationship Id="rId9" Type="http://schemas.openxmlformats.org/officeDocument/2006/relationships/image" Target="media/image3.png"/><Relationship Id="rId10" Type="http://schemas.openxmlformats.org/officeDocument/2006/relationships/hyperlink" Target="mailto:lstember@ncpdp.org" TargetMode="External"/><Relationship Id="rId11" Type="http://schemas.openxmlformats.org/officeDocument/2006/relationships/header" Target="header1.xml"/><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pmcelroy</dc:creator>
  <dcterms:created xsi:type="dcterms:W3CDTF">2018-06-12T23:28:48Z</dcterms:created>
  <dcterms:modified xsi:type="dcterms:W3CDTF">2018-06-12T23:28:48Z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