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B9C" w:rsidRDefault="00C81B9C">
      <w:pPr>
        <w:pStyle w:val="BodyText"/>
        <w:spacing w:before="5"/>
        <w:rPr>
          <w:rFonts w:ascii="Times New Roman"/>
          <w:sz w:val="27"/>
        </w:rPr>
      </w:pPr>
    </w:p>
    <w:p w:rsidR="00C81B9C" w:rsidRDefault="00C81B9C">
      <w:pPr>
        <w:rPr>
          <w:rFonts w:ascii="Times New Roman"/>
          <w:sz w:val="27"/>
        </w:rPr>
        <w:sectPr w:rsidR="00C81B9C">
          <w:type w:val="continuous"/>
          <w:pgSz w:w="12240" w:h="15840"/>
          <w:pgMar w:top="40" w:right="20" w:bottom="0" w:left="580" w:header="720" w:footer="720" w:gutter="0"/>
          <w:cols w:space="720"/>
        </w:sectPr>
      </w:pPr>
    </w:p>
    <w:p w:rsidR="00C81B9C" w:rsidRDefault="00A7632B">
      <w:pPr>
        <w:spacing w:before="85" w:line="339" w:lineRule="exact"/>
        <w:ind w:left="112"/>
        <w:rPr>
          <w:rFonts w:ascii="Times New Roman"/>
          <w:sz w:val="37"/>
        </w:rPr>
      </w:pPr>
      <w:r>
        <w:pict>
          <v:line id="_x0000_s1027" style="position:absolute;left:0;text-align:left;z-index:251657216;mso-position-horizontal-relative:page" from="143.05pt,42.35pt" to="143.05pt,7.4pt" strokeweight=".25342mm">
            <w10:wrap anchorx="page"/>
          </v:line>
        </w:pict>
      </w:r>
      <w:r>
        <w:rPr>
          <w:rFonts w:ascii="Times New Roman"/>
          <w:w w:val="95"/>
          <w:sz w:val="37"/>
        </w:rPr>
        <w:t>lndeP.endent</w:t>
      </w:r>
    </w:p>
    <w:p w:rsidR="00C81B9C" w:rsidRDefault="00A7632B">
      <w:pPr>
        <w:spacing w:line="523" w:lineRule="exact"/>
        <w:ind w:left="794"/>
        <w:rPr>
          <w:rFonts w:ascii="Times New Roman" w:hAnsi="Times New Roman"/>
          <w:sz w:val="53"/>
        </w:rPr>
      </w:pPr>
      <w:r>
        <w:rPr>
          <w:rFonts w:ascii="Times New Roman" w:hAnsi="Times New Roman"/>
          <w:w w:val="65"/>
          <w:sz w:val="53"/>
        </w:rPr>
        <w:t>Health®</w:t>
      </w:r>
    </w:p>
    <w:p w:rsidR="00C81B9C" w:rsidRDefault="00A7632B">
      <w:pPr>
        <w:pStyle w:val="BodyText"/>
        <w:spacing w:before="8"/>
        <w:rPr>
          <w:rFonts w:ascii="Times New Roman"/>
          <w:sz w:val="25"/>
        </w:rPr>
      </w:pPr>
      <w:r>
        <w:br w:type="column"/>
      </w:r>
    </w:p>
    <w:p w:rsidR="00C81B9C" w:rsidRDefault="00A7632B">
      <w:pPr>
        <w:spacing w:before="1" w:line="252" w:lineRule="auto"/>
        <w:ind w:left="123" w:right="7434" w:hanging="11"/>
        <w:rPr>
          <w:rFonts w:ascii="Times New Roman"/>
          <w:sz w:val="19"/>
        </w:rPr>
      </w:pPr>
      <w:r>
        <w:rPr>
          <w:rFonts w:ascii="Times New Roman"/>
          <w:w w:val="95"/>
          <w:sz w:val="19"/>
        </w:rPr>
        <w:t xml:space="preserve">511 Farber Lakes Drive </w:t>
      </w:r>
      <w:r>
        <w:rPr>
          <w:rFonts w:ascii="Times New Roman"/>
          <w:w w:val="90"/>
          <w:sz w:val="19"/>
        </w:rPr>
        <w:t>Buffalo, NY 14221</w:t>
      </w:r>
    </w:p>
    <w:p w:rsidR="00C81B9C" w:rsidRDefault="00C81B9C">
      <w:pPr>
        <w:spacing w:line="252" w:lineRule="auto"/>
        <w:rPr>
          <w:rFonts w:ascii="Times New Roman"/>
          <w:sz w:val="19"/>
        </w:rPr>
        <w:sectPr w:rsidR="00C81B9C">
          <w:type w:val="continuous"/>
          <w:pgSz w:w="12240" w:h="15840"/>
          <w:pgMar w:top="40" w:right="20" w:bottom="0" w:left="580" w:header="720" w:footer="720" w:gutter="0"/>
          <w:cols w:num="2" w:space="720" w:equalWidth="0">
            <w:col w:w="2065" w:space="289"/>
            <w:col w:w="9286"/>
          </w:cols>
        </w:sectPr>
      </w:pPr>
    </w:p>
    <w:p w:rsidR="00C81B9C" w:rsidRDefault="00C81B9C">
      <w:pPr>
        <w:pStyle w:val="BodyText"/>
        <w:rPr>
          <w:rFonts w:ascii="Times New Roman"/>
          <w:sz w:val="20"/>
        </w:rPr>
      </w:pPr>
    </w:p>
    <w:p w:rsidR="00C81B9C" w:rsidRDefault="00C81B9C">
      <w:pPr>
        <w:pStyle w:val="BodyText"/>
        <w:spacing w:before="6"/>
        <w:rPr>
          <w:rFonts w:ascii="Times New Roman"/>
          <w:sz w:val="23"/>
        </w:rPr>
      </w:pPr>
    </w:p>
    <w:p w:rsidR="00C81B9C" w:rsidRDefault="00A7632B">
      <w:pPr>
        <w:pStyle w:val="BodyText"/>
        <w:spacing w:before="94"/>
        <w:ind w:left="812"/>
      </w:pPr>
      <w:r>
        <w:pict>
          <v:line id="_x0000_s1026" style="position:absolute;left:0;text-align:left;z-index:251658240;mso-position-horizontal-relative:page" from="605.75pt,-27.15pt" to="605.75pt,-88pt" strokeweight=".08447mm">
            <w10:wrap anchorx="page"/>
          </v:line>
        </w:pict>
      </w:r>
      <w:r>
        <w:rPr>
          <w:w w:val="105"/>
        </w:rPr>
        <w:t>March 5, 2018</w:t>
      </w:r>
    </w:p>
    <w:p w:rsidR="00C81B9C" w:rsidRDefault="00C81B9C">
      <w:pPr>
        <w:pStyle w:val="BodyText"/>
        <w:spacing w:before="7"/>
        <w:rPr>
          <w:sz w:val="25"/>
        </w:rPr>
      </w:pPr>
    </w:p>
    <w:p w:rsidR="00C81B9C" w:rsidRDefault="00A7632B">
      <w:pPr>
        <w:pStyle w:val="BodyText"/>
        <w:spacing w:before="1"/>
        <w:ind w:left="808"/>
      </w:pPr>
      <w:r>
        <w:rPr>
          <w:w w:val="105"/>
        </w:rPr>
        <w:t>Seema Verma, Administrator</w:t>
      </w:r>
    </w:p>
    <w:p w:rsidR="00C81B9C" w:rsidRDefault="00A7632B">
      <w:pPr>
        <w:pStyle w:val="BodyText"/>
        <w:spacing w:before="28" w:line="290" w:lineRule="auto"/>
        <w:ind w:left="810" w:right="6655" w:firstLine="1"/>
      </w:pPr>
      <w:r>
        <w:t xml:space="preserve">Centers for Medicare </w:t>
      </w:r>
      <w:r>
        <w:rPr>
          <w:rFonts w:ascii="Times New Roman"/>
          <w:sz w:val="23"/>
        </w:rPr>
        <w:t xml:space="preserve">&amp; </w:t>
      </w:r>
      <w:r>
        <w:t>Medicaid Services Department of Health and Human Services Hubert H. Humphrey Building, Room 445-G 200 Independence  Avenue, SW Washington,  DC 20201</w:t>
      </w:r>
    </w:p>
    <w:p w:rsidR="00C81B9C" w:rsidRDefault="00C81B9C">
      <w:pPr>
        <w:pStyle w:val="BodyText"/>
        <w:rPr>
          <w:sz w:val="22"/>
        </w:rPr>
      </w:pPr>
    </w:p>
    <w:p w:rsidR="00C81B9C" w:rsidRDefault="00C81B9C">
      <w:pPr>
        <w:pStyle w:val="BodyText"/>
        <w:spacing w:before="4"/>
        <w:rPr>
          <w:sz w:val="24"/>
        </w:rPr>
      </w:pPr>
    </w:p>
    <w:p w:rsidR="00C81B9C" w:rsidRDefault="00A7632B">
      <w:pPr>
        <w:pStyle w:val="BodyText"/>
        <w:ind w:left="799"/>
      </w:pPr>
      <w:r>
        <w:rPr>
          <w:w w:val="105"/>
        </w:rPr>
        <w:t xml:space="preserve">Submitted via </w:t>
      </w:r>
      <w:hyperlink r:id="rId6">
        <w:r>
          <w:rPr>
            <w:w w:val="105"/>
            <w:u w:val="single"/>
          </w:rPr>
          <w:t>www.regulations.gov</w:t>
        </w:r>
      </w:hyperlink>
    </w:p>
    <w:p w:rsidR="00C81B9C" w:rsidRDefault="00C81B9C">
      <w:pPr>
        <w:pStyle w:val="BodyText"/>
        <w:spacing w:before="7"/>
        <w:rPr>
          <w:sz w:val="25"/>
        </w:rPr>
      </w:pPr>
    </w:p>
    <w:p w:rsidR="00C81B9C" w:rsidRDefault="00A7632B">
      <w:pPr>
        <w:pStyle w:val="BodyText"/>
        <w:spacing w:line="333" w:lineRule="auto"/>
        <w:ind w:left="805" w:right="1656" w:firstLine="1"/>
      </w:pPr>
      <w:r>
        <w:t>Re: Advance Notice of Methodological Changes for Calendar Year (CY) 2019 for Medicare Advantage (MA) Capitation Rates, Part C and Part D Payment Policies and 2019 draft Call Letter (CMS-2017-0163)</w:t>
      </w:r>
    </w:p>
    <w:p w:rsidR="00C81B9C" w:rsidRDefault="00C81B9C">
      <w:pPr>
        <w:pStyle w:val="BodyText"/>
        <w:rPr>
          <w:sz w:val="22"/>
        </w:rPr>
      </w:pPr>
    </w:p>
    <w:p w:rsidR="00C81B9C" w:rsidRDefault="00C81B9C">
      <w:pPr>
        <w:pStyle w:val="BodyText"/>
        <w:spacing w:before="1"/>
      </w:pPr>
    </w:p>
    <w:p w:rsidR="00C81B9C" w:rsidRDefault="00A7632B">
      <w:pPr>
        <w:pStyle w:val="BodyText"/>
        <w:ind w:left="802"/>
      </w:pPr>
      <w:r>
        <w:rPr>
          <w:w w:val="105"/>
        </w:rPr>
        <w:t>Dear Administrator Verma:</w:t>
      </w:r>
    </w:p>
    <w:p w:rsidR="00C81B9C" w:rsidRDefault="00C81B9C">
      <w:pPr>
        <w:pStyle w:val="BodyText"/>
        <w:rPr>
          <w:sz w:val="22"/>
        </w:rPr>
      </w:pPr>
    </w:p>
    <w:p w:rsidR="00C81B9C" w:rsidRDefault="00C81B9C">
      <w:pPr>
        <w:pStyle w:val="BodyText"/>
        <w:spacing w:before="3"/>
        <w:rPr>
          <w:sz w:val="25"/>
        </w:rPr>
      </w:pPr>
    </w:p>
    <w:p w:rsidR="00C81B9C" w:rsidRDefault="00A7632B">
      <w:pPr>
        <w:pStyle w:val="BodyText"/>
        <w:spacing w:before="1" w:line="290" w:lineRule="auto"/>
        <w:ind w:left="794" w:right="1735" w:firstLine="4"/>
      </w:pPr>
      <w:r>
        <w:t>Thank you for the opportunity to comment on the CY 2019 Advance Notice of Methodological Changes for Medicare Advantage Capitation Rates, Part C and Part D Payment Policies and draft Call Letter  (CMS-2017-0163).  Independent  Health  Association  (IHA) is</w:t>
      </w:r>
      <w:r>
        <w:t xml:space="preserve"> a not-for-profit health plan that continually aims to provide our Western New  York community  with innovative  health­ care products and services, which enable affordable access to quality health care. Our award­ winning customer service, dedication to q</w:t>
      </w:r>
      <w:r>
        <w:t>uality health care and unmatched relationships with physicians and providers has allowed us to be consistently recognized as one of the highest­  ranked health insurance plans in the  nation. Additionally, IHA's contracts each received  an   overall star r</w:t>
      </w:r>
      <w:r>
        <w:t xml:space="preserve">ating of 4.5 in the 2018 star ratings. IHA offers Medicare Advantage Plans and Prescription Drug Plans.  Please see our comments </w:t>
      </w:r>
      <w:r>
        <w:rPr>
          <w:spacing w:val="48"/>
        </w:rPr>
        <w:t xml:space="preserve"> </w:t>
      </w:r>
      <w:r>
        <w:t>below.</w:t>
      </w:r>
    </w:p>
    <w:p w:rsidR="00C81B9C" w:rsidRDefault="00C81B9C">
      <w:pPr>
        <w:pStyle w:val="BodyText"/>
        <w:rPr>
          <w:sz w:val="22"/>
        </w:rPr>
      </w:pPr>
    </w:p>
    <w:p w:rsidR="00C81B9C" w:rsidRDefault="00C81B9C">
      <w:pPr>
        <w:pStyle w:val="BodyText"/>
        <w:rPr>
          <w:sz w:val="22"/>
        </w:rPr>
      </w:pPr>
    </w:p>
    <w:p w:rsidR="00C81B9C" w:rsidRDefault="00C81B9C">
      <w:pPr>
        <w:pStyle w:val="BodyText"/>
        <w:spacing w:before="10"/>
        <w:rPr>
          <w:sz w:val="19"/>
        </w:rPr>
      </w:pPr>
    </w:p>
    <w:p w:rsidR="00C81B9C" w:rsidRDefault="00A7632B">
      <w:pPr>
        <w:pStyle w:val="BodyText"/>
        <w:spacing w:line="537" w:lineRule="auto"/>
        <w:ind w:left="789" w:right="3471" w:firstLine="10"/>
      </w:pPr>
      <w:r>
        <w:t>Attachment II Changes in the Part C Payment Methodology for CY 2019 Section G</w:t>
      </w:r>
    </w:p>
    <w:p w:rsidR="00C81B9C" w:rsidRDefault="00A7632B">
      <w:pPr>
        <w:pStyle w:val="BodyText"/>
        <w:spacing w:line="236" w:lineRule="exact"/>
        <w:ind w:left="792"/>
      </w:pPr>
      <w:r>
        <w:rPr>
          <w:w w:val="105"/>
        </w:rPr>
        <w:t>MA Employer Group Waiver Plans (EGWP)</w:t>
      </w:r>
    </w:p>
    <w:p w:rsidR="00C81B9C" w:rsidRDefault="00C81B9C">
      <w:pPr>
        <w:pStyle w:val="BodyText"/>
        <w:spacing w:before="8"/>
        <w:rPr>
          <w:sz w:val="25"/>
        </w:rPr>
      </w:pPr>
    </w:p>
    <w:p w:rsidR="00C81B9C" w:rsidRDefault="00A7632B">
      <w:pPr>
        <w:pStyle w:val="BodyText"/>
        <w:spacing w:line="338" w:lineRule="auto"/>
        <w:ind w:left="791" w:right="1793" w:firstLine="2"/>
      </w:pPr>
      <w:r>
        <w:rPr>
          <w:w w:val="105"/>
        </w:rPr>
        <w:t>CMS proposes to fully transition in 2019 to using only individual market plan bids to calculate the bid-to-benchmark (B2B) ratios to set EGWP payments.</w:t>
      </w:r>
    </w:p>
    <w:p w:rsidR="00C81B9C" w:rsidRDefault="00C81B9C">
      <w:pPr>
        <w:pStyle w:val="BodyText"/>
        <w:rPr>
          <w:sz w:val="22"/>
        </w:rPr>
      </w:pPr>
    </w:p>
    <w:p w:rsidR="00C81B9C" w:rsidRDefault="00C81B9C">
      <w:pPr>
        <w:pStyle w:val="BodyText"/>
        <w:rPr>
          <w:sz w:val="22"/>
        </w:rPr>
      </w:pPr>
    </w:p>
    <w:p w:rsidR="00C81B9C" w:rsidRDefault="00C81B9C">
      <w:pPr>
        <w:pStyle w:val="BodyText"/>
        <w:rPr>
          <w:sz w:val="22"/>
        </w:rPr>
      </w:pPr>
    </w:p>
    <w:p w:rsidR="00C81B9C" w:rsidRDefault="00C81B9C">
      <w:pPr>
        <w:pStyle w:val="BodyText"/>
        <w:spacing w:before="11"/>
        <w:rPr>
          <w:sz w:val="18"/>
        </w:rPr>
      </w:pPr>
    </w:p>
    <w:p w:rsidR="00C81B9C" w:rsidRDefault="00A7632B">
      <w:pPr>
        <w:tabs>
          <w:tab w:val="left" w:pos="5373"/>
          <w:tab w:val="left" w:pos="7942"/>
        </w:tabs>
        <w:ind w:left="103"/>
        <w:rPr>
          <w:rFonts w:ascii="Times New Roman"/>
          <w:sz w:val="19"/>
        </w:rPr>
      </w:pPr>
      <w:r>
        <w:rPr>
          <w:rFonts w:ascii="Times New Roman"/>
          <w:sz w:val="19"/>
        </w:rPr>
        <w:t>This document contains</w:t>
      </w:r>
      <w:r>
        <w:rPr>
          <w:rFonts w:ascii="Times New Roman"/>
          <w:spacing w:val="33"/>
          <w:sz w:val="19"/>
        </w:rPr>
        <w:t xml:space="preserve"> </w:t>
      </w:r>
      <w:r>
        <w:rPr>
          <w:b/>
          <w:sz w:val="17"/>
        </w:rPr>
        <w:t>confidential</w:t>
      </w:r>
      <w:r>
        <w:rPr>
          <w:b/>
          <w:spacing w:val="25"/>
          <w:sz w:val="17"/>
        </w:rPr>
        <w:t xml:space="preserve"> </w:t>
      </w:r>
      <w:r>
        <w:rPr>
          <w:rFonts w:ascii="Times New Roman"/>
          <w:sz w:val="19"/>
        </w:rPr>
        <w:t>information.</w:t>
      </w:r>
      <w:r>
        <w:rPr>
          <w:rFonts w:ascii="Times New Roman"/>
          <w:sz w:val="19"/>
        </w:rPr>
        <w:tab/>
      </w:r>
      <w:r>
        <w:rPr>
          <w:rFonts w:ascii="Times New Roman"/>
          <w:position w:val="8"/>
          <w:sz w:val="20"/>
        </w:rPr>
        <w:t>1</w:t>
      </w:r>
      <w:r>
        <w:rPr>
          <w:rFonts w:ascii="Times New Roman"/>
          <w:position w:val="8"/>
          <w:sz w:val="20"/>
        </w:rPr>
        <w:tab/>
      </w:r>
      <w:r>
        <w:rPr>
          <w:rFonts w:ascii="Times New Roman"/>
          <w:sz w:val="19"/>
        </w:rPr>
        <w:t>independenthealth.com</w:t>
      </w:r>
    </w:p>
    <w:p w:rsidR="00C81B9C" w:rsidRDefault="00A7632B">
      <w:pPr>
        <w:spacing w:before="137" w:line="178" w:lineRule="exact"/>
        <w:ind w:left="114" w:right="1855"/>
        <w:rPr>
          <w:rFonts w:ascii="Times New Roman"/>
          <w:i/>
          <w:sz w:val="16"/>
        </w:rPr>
      </w:pPr>
      <w:r>
        <w:rPr>
          <w:rFonts w:ascii="Times New Roman"/>
          <w:i/>
          <w:w w:val="75"/>
          <w:sz w:val="16"/>
        </w:rPr>
        <w:t>Independent Health'</w:t>
      </w:r>
      <w:r>
        <w:rPr>
          <w:rFonts w:ascii="Times New Roman"/>
          <w:i/>
          <w:w w:val="75"/>
          <w:sz w:val="16"/>
        </w:rPr>
        <w:t>s family of companies: Independent Health Association, Inc., Independent Health Corporation, Independent Health Foundation, Independent Health Benefits Corporation, Individual Practice Association of WNY, Inc., Nova Healthcare Administrators, Inc., Pharmac</w:t>
      </w:r>
      <w:r>
        <w:rPr>
          <w:rFonts w:ascii="Times New Roman"/>
          <w:i/>
          <w:w w:val="75"/>
          <w:sz w:val="16"/>
        </w:rPr>
        <w:t>y Benefit Dimensions, LLC, Specialty Pharmacy Management, LLC, DxlD,  LLC.</w:t>
      </w:r>
    </w:p>
    <w:p w:rsidR="00C81B9C" w:rsidRDefault="00A7632B">
      <w:pPr>
        <w:tabs>
          <w:tab w:val="left" w:pos="10363"/>
        </w:tabs>
        <w:spacing w:before="11"/>
        <w:ind w:left="119"/>
        <w:rPr>
          <w:rFonts w:ascii="Times New Roman"/>
          <w:sz w:val="15"/>
        </w:rPr>
      </w:pPr>
      <w:r>
        <w:rPr>
          <w:rFonts w:ascii="Times New Roman"/>
          <w:i/>
          <w:w w:val="80"/>
          <w:position w:val="2"/>
          <w:sz w:val="16"/>
        </w:rPr>
        <w:t>Independent</w:t>
      </w:r>
      <w:r>
        <w:rPr>
          <w:rFonts w:ascii="Times New Roman"/>
          <w:i/>
          <w:spacing w:val="-12"/>
          <w:w w:val="80"/>
          <w:position w:val="2"/>
          <w:sz w:val="16"/>
        </w:rPr>
        <w:t xml:space="preserve"> </w:t>
      </w:r>
      <w:r>
        <w:rPr>
          <w:rFonts w:ascii="Times New Roman"/>
          <w:i/>
          <w:w w:val="80"/>
          <w:position w:val="2"/>
          <w:sz w:val="16"/>
        </w:rPr>
        <w:t>Health</w:t>
      </w:r>
      <w:r>
        <w:rPr>
          <w:rFonts w:ascii="Times New Roman"/>
          <w:i/>
          <w:spacing w:val="-20"/>
          <w:w w:val="80"/>
          <w:position w:val="2"/>
          <w:sz w:val="16"/>
        </w:rPr>
        <w:t xml:space="preserve"> </w:t>
      </w:r>
      <w:r>
        <w:rPr>
          <w:rFonts w:ascii="Times New Roman"/>
          <w:i/>
          <w:w w:val="80"/>
          <w:position w:val="2"/>
          <w:sz w:val="16"/>
        </w:rPr>
        <w:t>does</w:t>
      </w:r>
      <w:r>
        <w:rPr>
          <w:rFonts w:ascii="Times New Roman"/>
          <w:i/>
          <w:spacing w:val="-18"/>
          <w:w w:val="80"/>
          <w:position w:val="2"/>
          <w:sz w:val="16"/>
        </w:rPr>
        <w:t xml:space="preserve"> </w:t>
      </w:r>
      <w:r>
        <w:rPr>
          <w:rFonts w:ascii="Times New Roman"/>
          <w:i/>
          <w:w w:val="80"/>
          <w:position w:val="2"/>
          <w:sz w:val="16"/>
        </w:rPr>
        <w:t>not</w:t>
      </w:r>
      <w:r>
        <w:rPr>
          <w:rFonts w:ascii="Times New Roman"/>
          <w:i/>
          <w:spacing w:val="-20"/>
          <w:w w:val="80"/>
          <w:position w:val="2"/>
          <w:sz w:val="16"/>
        </w:rPr>
        <w:t xml:space="preserve"> </w:t>
      </w:r>
      <w:r>
        <w:rPr>
          <w:rFonts w:ascii="Times New Roman"/>
          <w:i/>
          <w:w w:val="80"/>
          <w:position w:val="2"/>
          <w:sz w:val="16"/>
        </w:rPr>
        <w:t>accept</w:t>
      </w:r>
      <w:r>
        <w:rPr>
          <w:rFonts w:ascii="Times New Roman"/>
          <w:i/>
          <w:spacing w:val="-18"/>
          <w:w w:val="80"/>
          <w:position w:val="2"/>
          <w:sz w:val="16"/>
        </w:rPr>
        <w:t xml:space="preserve"> </w:t>
      </w:r>
      <w:r>
        <w:rPr>
          <w:rFonts w:ascii="Times New Roman"/>
          <w:i/>
          <w:w w:val="80"/>
          <w:position w:val="2"/>
          <w:sz w:val="16"/>
        </w:rPr>
        <w:t>service</w:t>
      </w:r>
      <w:r>
        <w:rPr>
          <w:rFonts w:ascii="Times New Roman"/>
          <w:i/>
          <w:spacing w:val="-18"/>
          <w:w w:val="80"/>
          <w:position w:val="2"/>
          <w:sz w:val="16"/>
        </w:rPr>
        <w:t xml:space="preserve"> </w:t>
      </w:r>
      <w:r>
        <w:rPr>
          <w:rFonts w:ascii="Times New Roman"/>
          <w:i/>
          <w:w w:val="80"/>
          <w:position w:val="2"/>
          <w:sz w:val="16"/>
        </w:rPr>
        <w:t>of</w:t>
      </w:r>
      <w:r>
        <w:rPr>
          <w:rFonts w:ascii="Times New Roman"/>
          <w:i/>
          <w:spacing w:val="-12"/>
          <w:w w:val="80"/>
          <w:position w:val="2"/>
          <w:sz w:val="16"/>
        </w:rPr>
        <w:t xml:space="preserve"> </w:t>
      </w:r>
      <w:r>
        <w:rPr>
          <w:rFonts w:ascii="Times New Roman"/>
          <w:i/>
          <w:w w:val="80"/>
          <w:position w:val="2"/>
          <w:sz w:val="16"/>
        </w:rPr>
        <w:t>papers</w:t>
      </w:r>
      <w:r>
        <w:rPr>
          <w:rFonts w:ascii="Times New Roman"/>
          <w:i/>
          <w:spacing w:val="-23"/>
          <w:w w:val="80"/>
          <w:position w:val="2"/>
          <w:sz w:val="16"/>
        </w:rPr>
        <w:t xml:space="preserve"> </w:t>
      </w:r>
      <w:r>
        <w:rPr>
          <w:rFonts w:ascii="Times New Roman"/>
          <w:i/>
          <w:w w:val="80"/>
          <w:position w:val="2"/>
          <w:sz w:val="16"/>
        </w:rPr>
        <w:t>electronically</w:t>
      </w:r>
      <w:r>
        <w:rPr>
          <w:rFonts w:ascii="Times New Roman"/>
          <w:i/>
          <w:spacing w:val="-21"/>
          <w:w w:val="80"/>
          <w:position w:val="2"/>
          <w:sz w:val="16"/>
        </w:rPr>
        <w:t xml:space="preserve"> </w:t>
      </w:r>
      <w:r>
        <w:rPr>
          <w:rFonts w:ascii="Times New Roman"/>
          <w:i/>
          <w:w w:val="80"/>
          <w:position w:val="2"/>
          <w:sz w:val="16"/>
        </w:rPr>
        <w:t>under</w:t>
      </w:r>
      <w:r>
        <w:rPr>
          <w:rFonts w:ascii="Times New Roman"/>
          <w:i/>
          <w:spacing w:val="-20"/>
          <w:w w:val="80"/>
          <w:position w:val="2"/>
          <w:sz w:val="16"/>
        </w:rPr>
        <w:t xml:space="preserve"> </w:t>
      </w:r>
      <w:r>
        <w:rPr>
          <w:rFonts w:ascii="Times New Roman"/>
          <w:i/>
          <w:w w:val="80"/>
          <w:position w:val="2"/>
          <w:sz w:val="16"/>
        </w:rPr>
        <w:t>CPLR</w:t>
      </w:r>
      <w:r>
        <w:rPr>
          <w:rFonts w:ascii="Times New Roman"/>
          <w:i/>
          <w:spacing w:val="-21"/>
          <w:w w:val="80"/>
          <w:position w:val="2"/>
          <w:sz w:val="16"/>
        </w:rPr>
        <w:t xml:space="preserve"> </w:t>
      </w:r>
      <w:r>
        <w:rPr>
          <w:rFonts w:ascii="Times New Roman"/>
          <w:w w:val="80"/>
          <w:position w:val="2"/>
          <w:sz w:val="15"/>
        </w:rPr>
        <w:t>2103.</w:t>
      </w:r>
      <w:r>
        <w:rPr>
          <w:rFonts w:ascii="Times New Roman"/>
          <w:w w:val="80"/>
          <w:position w:val="2"/>
          <w:sz w:val="15"/>
        </w:rPr>
        <w:tab/>
      </w:r>
      <w:r>
        <w:rPr>
          <w:rFonts w:ascii="Times New Roman"/>
          <w:noProof/>
          <w:sz w:val="15"/>
        </w:rPr>
        <w:drawing>
          <wp:inline distT="0" distB="0" distL="0" distR="0">
            <wp:extent cx="438911" cy="13411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38911" cy="134112"/>
                    </a:xfrm>
                    <a:prstGeom prst="rect">
                      <a:avLst/>
                    </a:prstGeom>
                  </pic:spPr>
                </pic:pic>
              </a:graphicData>
            </a:graphic>
          </wp:inline>
        </w:drawing>
      </w:r>
    </w:p>
    <w:p w:rsidR="00C81B9C" w:rsidRDefault="00C81B9C">
      <w:pPr>
        <w:rPr>
          <w:rFonts w:ascii="Times New Roman"/>
          <w:sz w:val="15"/>
        </w:rPr>
        <w:sectPr w:rsidR="00C81B9C">
          <w:type w:val="continuous"/>
          <w:pgSz w:w="12240" w:h="15840"/>
          <w:pgMar w:top="40" w:right="20" w:bottom="0" w:left="580" w:header="720" w:footer="720" w:gutter="0"/>
          <w:cols w:space="720"/>
        </w:sectPr>
      </w:pPr>
    </w:p>
    <w:p w:rsidR="00C81B9C" w:rsidRDefault="00A7632B">
      <w:pPr>
        <w:pStyle w:val="BodyText"/>
        <w:spacing w:before="64" w:line="333" w:lineRule="auto"/>
        <w:ind w:left="141" w:right="113" w:firstLine="8"/>
      </w:pPr>
      <w:r>
        <w:rPr>
          <w:w w:val="105"/>
        </w:rPr>
        <w:lastRenderedPageBreak/>
        <w:t>IHA believes a better approach would be to maintain the payment methodology that was applied in calculating the 2017 and 2018 MA EGWP payment rates for 2019. Maintaining this payment methodology would allow for stability in group premium rates, which would</w:t>
      </w:r>
      <w:r>
        <w:rPr>
          <w:w w:val="105"/>
        </w:rPr>
        <w:t xml:space="preserve"> benefit group beneficiaries. Moreover, since CMS will not be announcing bid-to-benchmark ratios for 2019 until the 2019 Rate Announcement, we do not have the information necessary to make a full assessment of the proposal at this time. Therefore, we belie</w:t>
      </w:r>
      <w:r>
        <w:rPr>
          <w:w w:val="105"/>
        </w:rPr>
        <w:t>ve it would be better to defer the transition to using only individual market plan bids to set EGWP payments until there can be a full understanding of the impact.</w:t>
      </w:r>
    </w:p>
    <w:p w:rsidR="00C81B9C" w:rsidRDefault="00C81B9C">
      <w:pPr>
        <w:pStyle w:val="BodyText"/>
        <w:rPr>
          <w:sz w:val="22"/>
        </w:rPr>
      </w:pPr>
    </w:p>
    <w:p w:rsidR="00C81B9C" w:rsidRDefault="00C81B9C">
      <w:pPr>
        <w:pStyle w:val="BodyText"/>
        <w:rPr>
          <w:sz w:val="22"/>
        </w:rPr>
      </w:pPr>
    </w:p>
    <w:p w:rsidR="00C81B9C" w:rsidRDefault="00C81B9C">
      <w:pPr>
        <w:pStyle w:val="BodyText"/>
        <w:spacing w:before="8"/>
        <w:rPr>
          <w:sz w:val="20"/>
        </w:rPr>
      </w:pPr>
    </w:p>
    <w:p w:rsidR="00C81B9C" w:rsidRDefault="00A7632B">
      <w:pPr>
        <w:spacing w:before="1" w:line="542" w:lineRule="auto"/>
        <w:ind w:left="133" w:right="4928" w:firstLine="2"/>
        <w:rPr>
          <w:b/>
          <w:sz w:val="20"/>
        </w:rPr>
      </w:pPr>
      <w:r>
        <w:rPr>
          <w:b/>
          <w:sz w:val="20"/>
        </w:rPr>
        <w:t xml:space="preserve">Attachment VI Draft CY 2019 Call Letter Section </w:t>
      </w:r>
      <w:r>
        <w:rPr>
          <w:rFonts w:ascii="Times New Roman"/>
        </w:rPr>
        <w:t xml:space="preserve">I - </w:t>
      </w:r>
      <w:r>
        <w:rPr>
          <w:b/>
          <w:sz w:val="20"/>
        </w:rPr>
        <w:t>Parts C and D</w:t>
      </w:r>
    </w:p>
    <w:p w:rsidR="00C81B9C" w:rsidRDefault="00C81B9C">
      <w:pPr>
        <w:pStyle w:val="BodyText"/>
        <w:rPr>
          <w:b/>
          <w:sz w:val="24"/>
        </w:rPr>
      </w:pPr>
    </w:p>
    <w:p w:rsidR="00C81B9C" w:rsidRDefault="00C81B9C">
      <w:pPr>
        <w:pStyle w:val="BodyText"/>
        <w:spacing w:before="9"/>
        <w:rPr>
          <w:b/>
        </w:rPr>
      </w:pPr>
    </w:p>
    <w:p w:rsidR="00C81B9C" w:rsidRDefault="00A7632B">
      <w:pPr>
        <w:spacing w:line="559" w:lineRule="auto"/>
        <w:ind w:left="135" w:right="1934"/>
        <w:rPr>
          <w:b/>
          <w:sz w:val="20"/>
        </w:rPr>
      </w:pPr>
      <w:r>
        <w:rPr>
          <w:b/>
          <w:w w:val="105"/>
          <w:sz w:val="20"/>
        </w:rPr>
        <w:t>Enhancements</w:t>
      </w:r>
      <w:r>
        <w:rPr>
          <w:b/>
          <w:spacing w:val="-11"/>
          <w:w w:val="105"/>
          <w:sz w:val="20"/>
        </w:rPr>
        <w:t xml:space="preserve"> </w:t>
      </w:r>
      <w:r>
        <w:rPr>
          <w:b/>
          <w:w w:val="105"/>
          <w:sz w:val="20"/>
        </w:rPr>
        <w:t>to</w:t>
      </w:r>
      <w:r>
        <w:rPr>
          <w:b/>
          <w:spacing w:val="-21"/>
          <w:w w:val="105"/>
          <w:sz w:val="20"/>
        </w:rPr>
        <w:t xml:space="preserve"> </w:t>
      </w:r>
      <w:r>
        <w:rPr>
          <w:b/>
          <w:w w:val="105"/>
          <w:sz w:val="20"/>
        </w:rPr>
        <w:t>the</w:t>
      </w:r>
      <w:r>
        <w:rPr>
          <w:b/>
          <w:spacing w:val="-4"/>
          <w:w w:val="105"/>
          <w:sz w:val="20"/>
        </w:rPr>
        <w:t xml:space="preserve"> </w:t>
      </w:r>
      <w:r>
        <w:rPr>
          <w:b/>
          <w:w w:val="105"/>
          <w:sz w:val="20"/>
        </w:rPr>
        <w:t>2</w:t>
      </w:r>
      <w:r>
        <w:rPr>
          <w:b/>
          <w:w w:val="105"/>
          <w:sz w:val="20"/>
        </w:rPr>
        <w:t>019</w:t>
      </w:r>
      <w:r>
        <w:rPr>
          <w:b/>
          <w:spacing w:val="-18"/>
          <w:w w:val="105"/>
          <w:sz w:val="20"/>
        </w:rPr>
        <w:t xml:space="preserve"> </w:t>
      </w:r>
      <w:r>
        <w:rPr>
          <w:b/>
          <w:w w:val="105"/>
          <w:sz w:val="20"/>
        </w:rPr>
        <w:t>Star</w:t>
      </w:r>
      <w:r>
        <w:rPr>
          <w:b/>
          <w:spacing w:val="-10"/>
          <w:w w:val="105"/>
          <w:sz w:val="20"/>
        </w:rPr>
        <w:t xml:space="preserve"> </w:t>
      </w:r>
      <w:r>
        <w:rPr>
          <w:b/>
          <w:w w:val="105"/>
          <w:sz w:val="20"/>
        </w:rPr>
        <w:t>Ratings</w:t>
      </w:r>
      <w:r>
        <w:rPr>
          <w:b/>
          <w:spacing w:val="-14"/>
          <w:w w:val="105"/>
          <w:sz w:val="20"/>
        </w:rPr>
        <w:t xml:space="preserve"> </w:t>
      </w:r>
      <w:r>
        <w:rPr>
          <w:b/>
          <w:w w:val="105"/>
          <w:sz w:val="20"/>
        </w:rPr>
        <w:t>and</w:t>
      </w:r>
      <w:r>
        <w:rPr>
          <w:b/>
          <w:spacing w:val="-17"/>
          <w:w w:val="105"/>
          <w:sz w:val="20"/>
        </w:rPr>
        <w:t xml:space="preserve"> </w:t>
      </w:r>
      <w:r>
        <w:rPr>
          <w:b/>
          <w:w w:val="105"/>
          <w:sz w:val="20"/>
        </w:rPr>
        <w:t>Future</w:t>
      </w:r>
      <w:r>
        <w:rPr>
          <w:b/>
          <w:spacing w:val="-12"/>
          <w:w w:val="105"/>
          <w:sz w:val="20"/>
        </w:rPr>
        <w:t xml:space="preserve"> </w:t>
      </w:r>
      <w:r>
        <w:rPr>
          <w:b/>
          <w:w w:val="105"/>
          <w:sz w:val="20"/>
        </w:rPr>
        <w:t>Measurement</w:t>
      </w:r>
      <w:r>
        <w:rPr>
          <w:b/>
          <w:spacing w:val="2"/>
          <w:w w:val="105"/>
          <w:sz w:val="20"/>
        </w:rPr>
        <w:t xml:space="preserve"> </w:t>
      </w:r>
      <w:r>
        <w:rPr>
          <w:b/>
          <w:w w:val="105"/>
          <w:sz w:val="20"/>
        </w:rPr>
        <w:t>Concepts Proposed</w:t>
      </w:r>
      <w:r>
        <w:rPr>
          <w:b/>
          <w:spacing w:val="-35"/>
          <w:w w:val="105"/>
          <w:sz w:val="20"/>
        </w:rPr>
        <w:t xml:space="preserve"> </w:t>
      </w:r>
      <w:r>
        <w:rPr>
          <w:b/>
          <w:w w:val="105"/>
          <w:sz w:val="20"/>
        </w:rPr>
        <w:t>Scaled</w:t>
      </w:r>
      <w:r>
        <w:rPr>
          <w:b/>
          <w:spacing w:val="-38"/>
          <w:w w:val="105"/>
          <w:sz w:val="20"/>
        </w:rPr>
        <w:t xml:space="preserve"> </w:t>
      </w:r>
      <w:r>
        <w:rPr>
          <w:b/>
          <w:w w:val="105"/>
          <w:sz w:val="20"/>
        </w:rPr>
        <w:t>Reductions</w:t>
      </w:r>
      <w:r>
        <w:rPr>
          <w:b/>
          <w:spacing w:val="-35"/>
          <w:w w:val="105"/>
          <w:sz w:val="20"/>
        </w:rPr>
        <w:t xml:space="preserve"> </w:t>
      </w:r>
      <w:r>
        <w:rPr>
          <w:b/>
          <w:w w:val="105"/>
          <w:sz w:val="20"/>
        </w:rPr>
        <w:t>for</w:t>
      </w:r>
      <w:r>
        <w:rPr>
          <w:b/>
          <w:spacing w:val="-38"/>
          <w:w w:val="105"/>
          <w:sz w:val="20"/>
        </w:rPr>
        <w:t xml:space="preserve"> </w:t>
      </w:r>
      <w:r>
        <w:rPr>
          <w:b/>
          <w:w w:val="105"/>
          <w:sz w:val="20"/>
        </w:rPr>
        <w:t>Appeals</w:t>
      </w:r>
      <w:r>
        <w:rPr>
          <w:b/>
          <w:spacing w:val="-38"/>
          <w:w w:val="105"/>
          <w:sz w:val="20"/>
        </w:rPr>
        <w:t xml:space="preserve"> </w:t>
      </w:r>
      <w:r>
        <w:rPr>
          <w:b/>
          <w:w w:val="105"/>
          <w:sz w:val="20"/>
        </w:rPr>
        <w:t>IRE</w:t>
      </w:r>
      <w:r>
        <w:rPr>
          <w:b/>
          <w:spacing w:val="-42"/>
          <w:w w:val="105"/>
          <w:sz w:val="20"/>
        </w:rPr>
        <w:t xml:space="preserve"> </w:t>
      </w:r>
      <w:r>
        <w:rPr>
          <w:b/>
          <w:w w:val="105"/>
          <w:sz w:val="20"/>
        </w:rPr>
        <w:t>Data</w:t>
      </w:r>
      <w:r>
        <w:rPr>
          <w:b/>
          <w:spacing w:val="-37"/>
          <w:w w:val="105"/>
          <w:sz w:val="20"/>
        </w:rPr>
        <w:t xml:space="preserve"> </w:t>
      </w:r>
      <w:r>
        <w:rPr>
          <w:b/>
          <w:w w:val="105"/>
          <w:sz w:val="20"/>
        </w:rPr>
        <w:t>Completeness</w:t>
      </w:r>
      <w:r>
        <w:rPr>
          <w:b/>
          <w:spacing w:val="-35"/>
          <w:w w:val="105"/>
          <w:sz w:val="20"/>
        </w:rPr>
        <w:t xml:space="preserve"> </w:t>
      </w:r>
      <w:r>
        <w:rPr>
          <w:b/>
          <w:w w:val="105"/>
          <w:sz w:val="20"/>
        </w:rPr>
        <w:t>Issues</w:t>
      </w:r>
    </w:p>
    <w:p w:rsidR="00C81B9C" w:rsidRDefault="00A7632B">
      <w:pPr>
        <w:pStyle w:val="BodyText"/>
        <w:spacing w:line="333" w:lineRule="auto"/>
        <w:ind w:left="127" w:right="113" w:hanging="2"/>
      </w:pPr>
      <w:r>
        <w:rPr>
          <w:w w:val="105"/>
        </w:rPr>
        <w:t>IHA</w:t>
      </w:r>
      <w:r>
        <w:rPr>
          <w:spacing w:val="-19"/>
          <w:w w:val="105"/>
        </w:rPr>
        <w:t xml:space="preserve"> </w:t>
      </w:r>
      <w:r>
        <w:rPr>
          <w:w w:val="105"/>
        </w:rPr>
        <w:t>thanks</w:t>
      </w:r>
      <w:r>
        <w:rPr>
          <w:spacing w:val="-8"/>
          <w:w w:val="105"/>
        </w:rPr>
        <w:t xml:space="preserve"> </w:t>
      </w:r>
      <w:r>
        <w:rPr>
          <w:w w:val="105"/>
        </w:rPr>
        <w:t>CMS</w:t>
      </w:r>
      <w:r>
        <w:rPr>
          <w:spacing w:val="-22"/>
          <w:w w:val="105"/>
        </w:rPr>
        <w:t xml:space="preserve"> </w:t>
      </w:r>
      <w:r>
        <w:rPr>
          <w:w w:val="105"/>
        </w:rPr>
        <w:t>for</w:t>
      </w:r>
      <w:r>
        <w:rPr>
          <w:spacing w:val="-14"/>
          <w:w w:val="105"/>
        </w:rPr>
        <w:t xml:space="preserve"> </w:t>
      </w:r>
      <w:r>
        <w:rPr>
          <w:w w:val="105"/>
        </w:rPr>
        <w:t>recognizing</w:t>
      </w:r>
      <w:r>
        <w:rPr>
          <w:spacing w:val="-27"/>
          <w:w w:val="105"/>
        </w:rPr>
        <w:t xml:space="preserve"> </w:t>
      </w:r>
      <w:r>
        <w:rPr>
          <w:w w:val="105"/>
        </w:rPr>
        <w:t>that</w:t>
      </w:r>
      <w:r>
        <w:rPr>
          <w:spacing w:val="-16"/>
          <w:w w:val="105"/>
        </w:rPr>
        <w:t xml:space="preserve"> </w:t>
      </w:r>
      <w:r>
        <w:rPr>
          <w:w w:val="105"/>
        </w:rPr>
        <w:t>there</w:t>
      </w:r>
      <w:r>
        <w:rPr>
          <w:spacing w:val="-15"/>
          <w:w w:val="105"/>
        </w:rPr>
        <w:t xml:space="preserve"> </w:t>
      </w:r>
      <w:r>
        <w:rPr>
          <w:w w:val="105"/>
        </w:rPr>
        <w:t>are</w:t>
      </w:r>
      <w:r>
        <w:rPr>
          <w:spacing w:val="-18"/>
          <w:w w:val="105"/>
        </w:rPr>
        <w:t xml:space="preserve"> </w:t>
      </w:r>
      <w:r>
        <w:rPr>
          <w:w w:val="105"/>
        </w:rPr>
        <w:t>varying</w:t>
      </w:r>
      <w:r>
        <w:rPr>
          <w:spacing w:val="-18"/>
          <w:w w:val="105"/>
        </w:rPr>
        <w:t xml:space="preserve"> </w:t>
      </w:r>
      <w:r>
        <w:rPr>
          <w:w w:val="105"/>
        </w:rPr>
        <w:t>degrees</w:t>
      </w:r>
      <w:r>
        <w:rPr>
          <w:spacing w:val="-15"/>
          <w:w w:val="105"/>
        </w:rPr>
        <w:t xml:space="preserve"> </w:t>
      </w:r>
      <w:r>
        <w:rPr>
          <w:w w:val="105"/>
        </w:rPr>
        <w:t>of</w:t>
      </w:r>
      <w:r>
        <w:rPr>
          <w:spacing w:val="-17"/>
          <w:w w:val="105"/>
        </w:rPr>
        <w:t xml:space="preserve"> </w:t>
      </w:r>
      <w:r>
        <w:rPr>
          <w:w w:val="105"/>
        </w:rPr>
        <w:t>data</w:t>
      </w:r>
      <w:r>
        <w:rPr>
          <w:spacing w:val="-13"/>
          <w:w w:val="105"/>
        </w:rPr>
        <w:t xml:space="preserve"> </w:t>
      </w:r>
      <w:r>
        <w:rPr>
          <w:w w:val="105"/>
        </w:rPr>
        <w:t>completeness</w:t>
      </w:r>
      <w:r>
        <w:rPr>
          <w:spacing w:val="-5"/>
          <w:w w:val="105"/>
        </w:rPr>
        <w:t xml:space="preserve"> </w:t>
      </w:r>
      <w:r>
        <w:rPr>
          <w:w w:val="105"/>
        </w:rPr>
        <w:t>issues</w:t>
      </w:r>
      <w:r>
        <w:rPr>
          <w:spacing w:val="-12"/>
          <w:w w:val="105"/>
        </w:rPr>
        <w:t xml:space="preserve"> </w:t>
      </w:r>
      <w:r>
        <w:rPr>
          <w:w w:val="105"/>
        </w:rPr>
        <w:t>and this merits a methodology for reductions in star ratings that reflects the degree of the data accuracy issue for a contract, rather than a "one-size-fits-all" approach. We support the methodology that would employ scaled reductions in star ratings base</w:t>
      </w:r>
      <w:r>
        <w:rPr>
          <w:w w:val="105"/>
        </w:rPr>
        <w:t>d on the degree of missing/compromised IRE data as well as CMS intent to employ multiple data sources and to address</w:t>
      </w:r>
      <w:r>
        <w:rPr>
          <w:spacing w:val="-18"/>
          <w:w w:val="105"/>
        </w:rPr>
        <w:t xml:space="preserve"> </w:t>
      </w:r>
      <w:r>
        <w:rPr>
          <w:w w:val="105"/>
        </w:rPr>
        <w:t>small</w:t>
      </w:r>
      <w:r>
        <w:rPr>
          <w:spacing w:val="-21"/>
          <w:w w:val="105"/>
        </w:rPr>
        <w:t xml:space="preserve"> </w:t>
      </w:r>
      <w:r>
        <w:rPr>
          <w:w w:val="105"/>
        </w:rPr>
        <w:t>sample</w:t>
      </w:r>
      <w:r>
        <w:rPr>
          <w:spacing w:val="-14"/>
          <w:w w:val="105"/>
        </w:rPr>
        <w:t xml:space="preserve"> </w:t>
      </w:r>
      <w:r>
        <w:rPr>
          <w:w w:val="105"/>
        </w:rPr>
        <w:t>size</w:t>
      </w:r>
      <w:r>
        <w:rPr>
          <w:spacing w:val="-23"/>
          <w:w w:val="105"/>
        </w:rPr>
        <w:t xml:space="preserve"> </w:t>
      </w:r>
      <w:r>
        <w:rPr>
          <w:w w:val="105"/>
        </w:rPr>
        <w:t>and</w:t>
      </w:r>
      <w:r>
        <w:rPr>
          <w:spacing w:val="-21"/>
          <w:w w:val="105"/>
        </w:rPr>
        <w:t xml:space="preserve"> </w:t>
      </w:r>
      <w:r>
        <w:rPr>
          <w:w w:val="105"/>
        </w:rPr>
        <w:t>other</w:t>
      </w:r>
      <w:r>
        <w:rPr>
          <w:spacing w:val="-18"/>
          <w:w w:val="105"/>
        </w:rPr>
        <w:t xml:space="preserve"> </w:t>
      </w:r>
      <w:r>
        <w:rPr>
          <w:w w:val="105"/>
        </w:rPr>
        <w:t>methodological</w:t>
      </w:r>
      <w:r>
        <w:rPr>
          <w:spacing w:val="-30"/>
          <w:w w:val="105"/>
        </w:rPr>
        <w:t xml:space="preserve"> </w:t>
      </w:r>
      <w:r>
        <w:rPr>
          <w:w w:val="105"/>
        </w:rPr>
        <w:t>safeguards.</w:t>
      </w:r>
    </w:p>
    <w:p w:rsidR="00C81B9C" w:rsidRDefault="00C81B9C">
      <w:pPr>
        <w:pStyle w:val="BodyText"/>
        <w:rPr>
          <w:sz w:val="22"/>
        </w:rPr>
      </w:pPr>
    </w:p>
    <w:p w:rsidR="00C81B9C" w:rsidRDefault="00C81B9C">
      <w:pPr>
        <w:pStyle w:val="BodyText"/>
        <w:rPr>
          <w:sz w:val="22"/>
        </w:rPr>
      </w:pPr>
    </w:p>
    <w:p w:rsidR="00C81B9C" w:rsidRDefault="00C81B9C">
      <w:pPr>
        <w:pStyle w:val="BodyText"/>
        <w:spacing w:before="9"/>
        <w:rPr>
          <w:sz w:val="20"/>
        </w:rPr>
      </w:pPr>
    </w:p>
    <w:p w:rsidR="00C81B9C" w:rsidRDefault="00A7632B">
      <w:pPr>
        <w:ind w:left="121"/>
        <w:rPr>
          <w:b/>
          <w:sz w:val="20"/>
        </w:rPr>
      </w:pPr>
      <w:r>
        <w:rPr>
          <w:b/>
          <w:w w:val="105"/>
          <w:sz w:val="20"/>
        </w:rPr>
        <w:t>New Measures for 2019 Star Ratings</w:t>
      </w:r>
    </w:p>
    <w:p w:rsidR="00C81B9C" w:rsidRDefault="00C81B9C">
      <w:pPr>
        <w:pStyle w:val="BodyText"/>
        <w:spacing w:before="7"/>
        <w:rPr>
          <w:b/>
          <w:sz w:val="26"/>
        </w:rPr>
      </w:pPr>
    </w:p>
    <w:p w:rsidR="00C81B9C" w:rsidRDefault="00A7632B">
      <w:pPr>
        <w:ind w:left="119"/>
        <w:rPr>
          <w:b/>
          <w:sz w:val="20"/>
        </w:rPr>
      </w:pPr>
      <w:r>
        <w:rPr>
          <w:b/>
          <w:w w:val="105"/>
          <w:sz w:val="20"/>
        </w:rPr>
        <w:t>Statin Use in Persons with Diabetes (SUPD) (Part D)</w:t>
      </w:r>
    </w:p>
    <w:p w:rsidR="00C81B9C" w:rsidRDefault="00C81B9C">
      <w:pPr>
        <w:pStyle w:val="BodyText"/>
        <w:spacing w:before="9"/>
        <w:rPr>
          <w:b/>
          <w:sz w:val="25"/>
        </w:rPr>
      </w:pPr>
    </w:p>
    <w:p w:rsidR="00C81B9C" w:rsidRDefault="00A7632B">
      <w:pPr>
        <w:pStyle w:val="BodyText"/>
        <w:spacing w:line="333" w:lineRule="auto"/>
        <w:ind w:left="120" w:right="113"/>
      </w:pPr>
      <w:r>
        <w:rPr>
          <w:w w:val="105"/>
        </w:rPr>
        <w:t>IHA supports the weighting of 1 for the first year of this measure. This will allow time to work with physicians and gain some experience with the membership prior to the weighting of the measure going t</w:t>
      </w:r>
      <w:r>
        <w:rPr>
          <w:w w:val="105"/>
        </w:rPr>
        <w:t>o 3, as an intermediate outcome measure, in subsequent years.</w:t>
      </w:r>
    </w:p>
    <w:p w:rsidR="00C81B9C" w:rsidRDefault="00A7632B">
      <w:pPr>
        <w:spacing w:before="194"/>
        <w:ind w:left="114"/>
        <w:rPr>
          <w:b/>
        </w:rPr>
      </w:pPr>
      <w:r>
        <w:rPr>
          <w:b/>
          <w:sz w:val="20"/>
        </w:rPr>
        <w:t xml:space="preserve">Statin Therapy  for Patients with Cardiovascular Disease (Part </w:t>
      </w:r>
      <w:r>
        <w:rPr>
          <w:b/>
          <w:spacing w:val="52"/>
          <w:sz w:val="20"/>
        </w:rPr>
        <w:t xml:space="preserve"> </w:t>
      </w:r>
      <w:r>
        <w:rPr>
          <w:b/>
        </w:rPr>
        <w:t>C)</w:t>
      </w:r>
    </w:p>
    <w:p w:rsidR="00C81B9C" w:rsidRDefault="00C81B9C">
      <w:pPr>
        <w:pStyle w:val="BodyText"/>
        <w:spacing w:before="5"/>
        <w:rPr>
          <w:b/>
          <w:sz w:val="25"/>
        </w:rPr>
      </w:pPr>
    </w:p>
    <w:p w:rsidR="00C81B9C" w:rsidRDefault="00A7632B">
      <w:pPr>
        <w:pStyle w:val="BodyText"/>
        <w:spacing w:line="333" w:lineRule="auto"/>
        <w:ind w:left="113" w:hanging="2"/>
      </w:pPr>
      <w:r>
        <w:rPr>
          <w:w w:val="105"/>
        </w:rPr>
        <w:t>IHA</w:t>
      </w:r>
      <w:r>
        <w:rPr>
          <w:spacing w:val="-15"/>
          <w:w w:val="105"/>
        </w:rPr>
        <w:t xml:space="preserve"> </w:t>
      </w:r>
      <w:r>
        <w:rPr>
          <w:w w:val="105"/>
        </w:rPr>
        <w:t>supports</w:t>
      </w:r>
      <w:r>
        <w:rPr>
          <w:spacing w:val="-10"/>
          <w:w w:val="105"/>
        </w:rPr>
        <w:t xml:space="preserve"> </w:t>
      </w:r>
      <w:r>
        <w:rPr>
          <w:w w:val="105"/>
        </w:rPr>
        <w:t>the</w:t>
      </w:r>
      <w:r>
        <w:rPr>
          <w:spacing w:val="-14"/>
          <w:w w:val="105"/>
        </w:rPr>
        <w:t xml:space="preserve"> </w:t>
      </w:r>
      <w:r>
        <w:rPr>
          <w:w w:val="105"/>
        </w:rPr>
        <w:t>weighting</w:t>
      </w:r>
      <w:r>
        <w:rPr>
          <w:spacing w:val="-15"/>
          <w:w w:val="105"/>
        </w:rPr>
        <w:t xml:space="preserve"> </w:t>
      </w:r>
      <w:r>
        <w:rPr>
          <w:w w:val="105"/>
        </w:rPr>
        <w:t>of</w:t>
      </w:r>
      <w:r>
        <w:rPr>
          <w:spacing w:val="-11"/>
          <w:w w:val="105"/>
        </w:rPr>
        <w:t xml:space="preserve"> </w:t>
      </w:r>
      <w:r>
        <w:rPr>
          <w:w w:val="105"/>
        </w:rPr>
        <w:t>1</w:t>
      </w:r>
      <w:r>
        <w:rPr>
          <w:spacing w:val="-21"/>
          <w:w w:val="105"/>
        </w:rPr>
        <w:t xml:space="preserve"> </w:t>
      </w:r>
      <w:r>
        <w:rPr>
          <w:w w:val="105"/>
        </w:rPr>
        <w:t>as</w:t>
      </w:r>
      <w:r>
        <w:rPr>
          <w:spacing w:val="-14"/>
          <w:w w:val="105"/>
        </w:rPr>
        <w:t xml:space="preserve"> </w:t>
      </w:r>
      <w:r>
        <w:rPr>
          <w:w w:val="105"/>
        </w:rPr>
        <w:t>a</w:t>
      </w:r>
      <w:r>
        <w:rPr>
          <w:spacing w:val="-21"/>
          <w:w w:val="105"/>
        </w:rPr>
        <w:t xml:space="preserve"> </w:t>
      </w:r>
      <w:r>
        <w:rPr>
          <w:w w:val="105"/>
        </w:rPr>
        <w:t>process</w:t>
      </w:r>
      <w:r>
        <w:rPr>
          <w:spacing w:val="-14"/>
          <w:w w:val="105"/>
        </w:rPr>
        <w:t xml:space="preserve"> </w:t>
      </w:r>
      <w:r>
        <w:rPr>
          <w:w w:val="105"/>
        </w:rPr>
        <w:t>measure</w:t>
      </w:r>
      <w:r>
        <w:rPr>
          <w:spacing w:val="-9"/>
          <w:w w:val="105"/>
        </w:rPr>
        <w:t xml:space="preserve"> </w:t>
      </w:r>
      <w:r>
        <w:rPr>
          <w:w w:val="105"/>
        </w:rPr>
        <w:t>in</w:t>
      </w:r>
      <w:r>
        <w:rPr>
          <w:spacing w:val="-23"/>
          <w:w w:val="105"/>
        </w:rPr>
        <w:t xml:space="preserve"> </w:t>
      </w:r>
      <w:r>
        <w:rPr>
          <w:w w:val="105"/>
        </w:rPr>
        <w:t>the</w:t>
      </w:r>
      <w:r>
        <w:rPr>
          <w:spacing w:val="-7"/>
          <w:w w:val="105"/>
        </w:rPr>
        <w:t xml:space="preserve"> </w:t>
      </w:r>
      <w:r>
        <w:rPr>
          <w:w w:val="105"/>
        </w:rPr>
        <w:t>2019</w:t>
      </w:r>
      <w:r>
        <w:rPr>
          <w:spacing w:val="-21"/>
          <w:w w:val="105"/>
        </w:rPr>
        <w:t xml:space="preserve"> </w:t>
      </w:r>
      <w:r>
        <w:rPr>
          <w:w w:val="105"/>
        </w:rPr>
        <w:t>Star</w:t>
      </w:r>
      <w:r>
        <w:rPr>
          <w:spacing w:val="-10"/>
          <w:w w:val="105"/>
        </w:rPr>
        <w:t xml:space="preserve"> </w:t>
      </w:r>
      <w:r>
        <w:rPr>
          <w:w w:val="105"/>
        </w:rPr>
        <w:t>Ratings</w:t>
      </w:r>
      <w:r>
        <w:rPr>
          <w:spacing w:val="-8"/>
          <w:w w:val="105"/>
        </w:rPr>
        <w:t xml:space="preserve"> </w:t>
      </w:r>
      <w:r>
        <w:rPr>
          <w:w w:val="105"/>
        </w:rPr>
        <w:t>and</w:t>
      </w:r>
      <w:r>
        <w:rPr>
          <w:spacing w:val="-17"/>
          <w:w w:val="105"/>
        </w:rPr>
        <w:t xml:space="preserve"> </w:t>
      </w:r>
      <w:r>
        <w:rPr>
          <w:w w:val="105"/>
        </w:rPr>
        <w:t>recommends that this measure continue as a process measure and retain a weight of 1 in subsequent years beyond</w:t>
      </w:r>
      <w:r>
        <w:rPr>
          <w:spacing w:val="1"/>
          <w:w w:val="105"/>
        </w:rPr>
        <w:t xml:space="preserve"> </w:t>
      </w:r>
      <w:r>
        <w:rPr>
          <w:w w:val="105"/>
        </w:rPr>
        <w:t>2019.</w:t>
      </w:r>
    </w:p>
    <w:p w:rsidR="00C81B9C" w:rsidRDefault="00C81B9C">
      <w:pPr>
        <w:spacing w:line="333" w:lineRule="auto"/>
        <w:sectPr w:rsidR="00C81B9C">
          <w:footerReference w:type="default" r:id="rId8"/>
          <w:pgSz w:w="12240" w:h="15840"/>
          <w:pgMar w:top="1440" w:right="1420" w:bottom="1200" w:left="1320" w:header="0" w:footer="1012" w:gutter="0"/>
          <w:pgNumType w:start="2"/>
          <w:cols w:space="720"/>
        </w:sectPr>
      </w:pPr>
    </w:p>
    <w:p w:rsidR="00C81B9C" w:rsidRDefault="00A7632B">
      <w:pPr>
        <w:pStyle w:val="BodyText"/>
        <w:spacing w:before="68"/>
        <w:ind w:left="148"/>
      </w:pPr>
      <w:r>
        <w:rPr>
          <w:w w:val="105"/>
        </w:rPr>
        <w:lastRenderedPageBreak/>
        <w:t>Plan Finder Civil Money Penalty (CMP) Icon or Other Type of Notice</w:t>
      </w:r>
    </w:p>
    <w:p w:rsidR="00C81B9C" w:rsidRDefault="00C81B9C">
      <w:pPr>
        <w:pStyle w:val="BodyText"/>
        <w:spacing w:before="8"/>
        <w:rPr>
          <w:sz w:val="25"/>
        </w:rPr>
      </w:pPr>
    </w:p>
    <w:p w:rsidR="00C81B9C" w:rsidRDefault="00A7632B">
      <w:pPr>
        <w:pStyle w:val="BodyText"/>
        <w:spacing w:line="333" w:lineRule="auto"/>
        <w:ind w:left="141" w:right="194" w:firstLine="2"/>
      </w:pPr>
      <w:r>
        <w:t>CMS proposes to begin displaying the CMP icon (or other type of notice) on Plan Finder for the 2019 Annual Election Period (AEP} for any sponsoring organization that receives a CMP in 2018</w:t>
      </w:r>
      <w:r>
        <w:t xml:space="preserve"> (or receives a CMP for a 2017 Program Audit). Beginning in 2019, CMS proposes that regular updates  would  occur throughout  the year.</w:t>
      </w:r>
    </w:p>
    <w:p w:rsidR="00C81B9C" w:rsidRDefault="00C81B9C">
      <w:pPr>
        <w:pStyle w:val="BodyText"/>
        <w:spacing w:before="9"/>
        <w:rPr>
          <w:sz w:val="17"/>
        </w:rPr>
      </w:pPr>
    </w:p>
    <w:p w:rsidR="00C81B9C" w:rsidRDefault="00A7632B">
      <w:pPr>
        <w:pStyle w:val="BodyText"/>
        <w:spacing w:line="333" w:lineRule="auto"/>
        <w:ind w:left="132" w:right="117" w:firstLine="8"/>
      </w:pPr>
      <w:r>
        <w:rPr>
          <w:w w:val="105"/>
        </w:rPr>
        <w:t>In the interest of transparency, it is good for beneficiaries to know about CMP's. Transparency can</w:t>
      </w:r>
      <w:r>
        <w:rPr>
          <w:spacing w:val="-15"/>
          <w:w w:val="105"/>
        </w:rPr>
        <w:t xml:space="preserve"> </w:t>
      </w:r>
      <w:r>
        <w:rPr>
          <w:w w:val="105"/>
        </w:rPr>
        <w:t>help</w:t>
      </w:r>
      <w:r>
        <w:rPr>
          <w:spacing w:val="-6"/>
          <w:w w:val="105"/>
        </w:rPr>
        <w:t xml:space="preserve"> </w:t>
      </w:r>
      <w:r>
        <w:rPr>
          <w:w w:val="105"/>
        </w:rPr>
        <w:t>a</w:t>
      </w:r>
      <w:r>
        <w:rPr>
          <w:spacing w:val="-16"/>
          <w:w w:val="105"/>
        </w:rPr>
        <w:t xml:space="preserve"> </w:t>
      </w:r>
      <w:r>
        <w:rPr>
          <w:w w:val="105"/>
        </w:rPr>
        <w:t>beneficiary</w:t>
      </w:r>
      <w:r>
        <w:rPr>
          <w:spacing w:val="-4"/>
          <w:w w:val="105"/>
        </w:rPr>
        <w:t xml:space="preserve"> </w:t>
      </w:r>
      <w:r>
        <w:rPr>
          <w:w w:val="105"/>
        </w:rPr>
        <w:t>avoid</w:t>
      </w:r>
      <w:r>
        <w:rPr>
          <w:spacing w:val="-6"/>
          <w:w w:val="105"/>
        </w:rPr>
        <w:t xml:space="preserve"> </w:t>
      </w:r>
      <w:r>
        <w:rPr>
          <w:w w:val="105"/>
        </w:rPr>
        <w:t>making</w:t>
      </w:r>
      <w:r>
        <w:rPr>
          <w:spacing w:val="-19"/>
          <w:w w:val="105"/>
        </w:rPr>
        <w:t xml:space="preserve"> </w:t>
      </w:r>
      <w:r>
        <w:rPr>
          <w:w w:val="105"/>
        </w:rPr>
        <w:t>a</w:t>
      </w:r>
      <w:r>
        <w:rPr>
          <w:spacing w:val="-12"/>
          <w:w w:val="105"/>
        </w:rPr>
        <w:t xml:space="preserve"> </w:t>
      </w:r>
      <w:r>
        <w:rPr>
          <w:w w:val="105"/>
        </w:rPr>
        <w:t>choice</w:t>
      </w:r>
      <w:r>
        <w:rPr>
          <w:spacing w:val="-15"/>
          <w:w w:val="105"/>
        </w:rPr>
        <w:t xml:space="preserve"> </w:t>
      </w:r>
      <w:r>
        <w:rPr>
          <w:w w:val="105"/>
        </w:rPr>
        <w:t>they</w:t>
      </w:r>
      <w:r>
        <w:rPr>
          <w:spacing w:val="-13"/>
          <w:w w:val="105"/>
        </w:rPr>
        <w:t xml:space="preserve"> </w:t>
      </w:r>
      <w:r>
        <w:rPr>
          <w:w w:val="105"/>
        </w:rPr>
        <w:t>may</w:t>
      </w:r>
      <w:r>
        <w:rPr>
          <w:spacing w:val="-15"/>
          <w:w w:val="105"/>
        </w:rPr>
        <w:t xml:space="preserve"> </w:t>
      </w:r>
      <w:r>
        <w:rPr>
          <w:w w:val="105"/>
        </w:rPr>
        <w:t>later</w:t>
      </w:r>
      <w:r>
        <w:rPr>
          <w:spacing w:val="-9"/>
          <w:w w:val="105"/>
        </w:rPr>
        <w:t xml:space="preserve"> </w:t>
      </w:r>
      <w:r>
        <w:rPr>
          <w:w w:val="105"/>
        </w:rPr>
        <w:t>regret.</w:t>
      </w:r>
      <w:r>
        <w:rPr>
          <w:spacing w:val="38"/>
          <w:w w:val="105"/>
        </w:rPr>
        <w:t xml:space="preserve"> </w:t>
      </w:r>
      <w:r>
        <w:rPr>
          <w:w w:val="105"/>
        </w:rPr>
        <w:t>However,</w:t>
      </w:r>
      <w:r>
        <w:rPr>
          <w:spacing w:val="-4"/>
          <w:w w:val="105"/>
        </w:rPr>
        <w:t xml:space="preserve"> </w:t>
      </w:r>
      <w:r>
        <w:rPr>
          <w:w w:val="105"/>
        </w:rPr>
        <w:t>this</w:t>
      </w:r>
      <w:r>
        <w:rPr>
          <w:spacing w:val="-13"/>
          <w:w w:val="105"/>
        </w:rPr>
        <w:t xml:space="preserve"> </w:t>
      </w:r>
      <w:r>
        <w:rPr>
          <w:w w:val="105"/>
        </w:rPr>
        <w:t>only</w:t>
      </w:r>
      <w:r>
        <w:rPr>
          <w:spacing w:val="-9"/>
          <w:w w:val="105"/>
        </w:rPr>
        <w:t xml:space="preserve"> </w:t>
      </w:r>
      <w:r>
        <w:rPr>
          <w:w w:val="105"/>
        </w:rPr>
        <w:t>happens when the transparency is easily interpreted by the consumer. When transparency is not easily interpreted by consumers, it can create more questions and confusion, and could be detrimental to the process of a beneficiary selecting the plan that is r</w:t>
      </w:r>
      <w:r>
        <w:rPr>
          <w:w w:val="105"/>
        </w:rPr>
        <w:t>ight for them. The root cause</w:t>
      </w:r>
      <w:r>
        <w:rPr>
          <w:spacing w:val="-21"/>
          <w:w w:val="105"/>
        </w:rPr>
        <w:t xml:space="preserve"> </w:t>
      </w:r>
      <w:r>
        <w:rPr>
          <w:w w:val="105"/>
        </w:rPr>
        <w:t>of</w:t>
      </w:r>
      <w:r>
        <w:rPr>
          <w:spacing w:val="-6"/>
          <w:w w:val="105"/>
        </w:rPr>
        <w:t xml:space="preserve"> </w:t>
      </w:r>
      <w:r>
        <w:rPr>
          <w:w w:val="105"/>
        </w:rPr>
        <w:t>a</w:t>
      </w:r>
      <w:r>
        <w:rPr>
          <w:spacing w:val="-26"/>
          <w:w w:val="105"/>
        </w:rPr>
        <w:t xml:space="preserve"> </w:t>
      </w:r>
      <w:r>
        <w:rPr>
          <w:w w:val="105"/>
        </w:rPr>
        <w:t>CMP</w:t>
      </w:r>
      <w:r>
        <w:rPr>
          <w:spacing w:val="-26"/>
          <w:w w:val="105"/>
        </w:rPr>
        <w:t xml:space="preserve"> </w:t>
      </w:r>
      <w:r>
        <w:rPr>
          <w:w w:val="105"/>
        </w:rPr>
        <w:t>is</w:t>
      </w:r>
      <w:r>
        <w:rPr>
          <w:spacing w:val="-31"/>
          <w:w w:val="105"/>
        </w:rPr>
        <w:t xml:space="preserve"> </w:t>
      </w:r>
      <w:r>
        <w:rPr>
          <w:w w:val="105"/>
        </w:rPr>
        <w:t>explained</w:t>
      </w:r>
      <w:r>
        <w:rPr>
          <w:spacing w:val="-21"/>
          <w:w w:val="105"/>
        </w:rPr>
        <w:t xml:space="preserve"> </w:t>
      </w:r>
      <w:r>
        <w:rPr>
          <w:w w:val="105"/>
        </w:rPr>
        <w:t>by</w:t>
      </w:r>
      <w:r>
        <w:rPr>
          <w:spacing w:val="-28"/>
          <w:w w:val="105"/>
        </w:rPr>
        <w:t xml:space="preserve"> </w:t>
      </w:r>
      <w:r>
        <w:rPr>
          <w:w w:val="105"/>
        </w:rPr>
        <w:t>CMS</w:t>
      </w:r>
      <w:r>
        <w:rPr>
          <w:spacing w:val="-30"/>
          <w:w w:val="105"/>
        </w:rPr>
        <w:t xml:space="preserve"> </w:t>
      </w:r>
      <w:r>
        <w:rPr>
          <w:w w:val="105"/>
        </w:rPr>
        <w:t>to</w:t>
      </w:r>
      <w:r>
        <w:rPr>
          <w:spacing w:val="-2"/>
          <w:w w:val="105"/>
        </w:rPr>
        <w:t xml:space="preserve"> </w:t>
      </w:r>
      <w:r>
        <w:rPr>
          <w:w w:val="105"/>
        </w:rPr>
        <w:t>the</w:t>
      </w:r>
      <w:r>
        <w:rPr>
          <w:spacing w:val="-7"/>
          <w:w w:val="105"/>
        </w:rPr>
        <w:t xml:space="preserve"> </w:t>
      </w:r>
      <w:r>
        <w:rPr>
          <w:w w:val="105"/>
        </w:rPr>
        <w:t>Medicare</w:t>
      </w:r>
      <w:r>
        <w:rPr>
          <w:spacing w:val="-20"/>
          <w:w w:val="105"/>
        </w:rPr>
        <w:t xml:space="preserve"> </w:t>
      </w:r>
      <w:r>
        <w:rPr>
          <w:w w:val="105"/>
        </w:rPr>
        <w:t>Advantage</w:t>
      </w:r>
      <w:r>
        <w:rPr>
          <w:spacing w:val="-22"/>
          <w:w w:val="105"/>
        </w:rPr>
        <w:t xml:space="preserve"> </w:t>
      </w:r>
      <w:r>
        <w:rPr>
          <w:w w:val="105"/>
        </w:rPr>
        <w:t>Organization's</w:t>
      </w:r>
      <w:r>
        <w:rPr>
          <w:spacing w:val="-31"/>
          <w:w w:val="105"/>
        </w:rPr>
        <w:t xml:space="preserve"> </w:t>
      </w:r>
      <w:r>
        <w:rPr>
          <w:w w:val="105"/>
        </w:rPr>
        <w:t>CEO</w:t>
      </w:r>
      <w:r>
        <w:rPr>
          <w:spacing w:val="-26"/>
          <w:w w:val="105"/>
        </w:rPr>
        <w:t xml:space="preserve"> </w:t>
      </w:r>
      <w:r>
        <w:rPr>
          <w:w w:val="105"/>
        </w:rPr>
        <w:t>in</w:t>
      </w:r>
      <w:r>
        <w:rPr>
          <w:spacing w:val="-6"/>
          <w:w w:val="105"/>
        </w:rPr>
        <w:t xml:space="preserve"> </w:t>
      </w:r>
      <w:r>
        <w:rPr>
          <w:w w:val="105"/>
        </w:rPr>
        <w:t>the</w:t>
      </w:r>
      <w:r>
        <w:rPr>
          <w:spacing w:val="3"/>
          <w:w w:val="105"/>
        </w:rPr>
        <w:t xml:space="preserve"> </w:t>
      </w:r>
      <w:r>
        <w:rPr>
          <w:w w:val="105"/>
        </w:rPr>
        <w:t>form of</w:t>
      </w:r>
      <w:r>
        <w:rPr>
          <w:spacing w:val="-7"/>
          <w:w w:val="105"/>
        </w:rPr>
        <w:t xml:space="preserve"> </w:t>
      </w:r>
      <w:r>
        <w:rPr>
          <w:w w:val="105"/>
        </w:rPr>
        <w:t>an</w:t>
      </w:r>
      <w:r>
        <w:rPr>
          <w:spacing w:val="-11"/>
          <w:w w:val="105"/>
        </w:rPr>
        <w:t xml:space="preserve"> </w:t>
      </w:r>
      <w:r>
        <w:rPr>
          <w:w w:val="105"/>
        </w:rPr>
        <w:t>enforcement</w:t>
      </w:r>
      <w:r>
        <w:rPr>
          <w:spacing w:val="9"/>
          <w:w w:val="105"/>
        </w:rPr>
        <w:t xml:space="preserve"> </w:t>
      </w:r>
      <w:r>
        <w:rPr>
          <w:w w:val="105"/>
        </w:rPr>
        <w:t>letter.</w:t>
      </w:r>
      <w:r>
        <w:rPr>
          <w:spacing w:val="-13"/>
          <w:w w:val="105"/>
        </w:rPr>
        <w:t xml:space="preserve"> </w:t>
      </w:r>
      <w:r>
        <w:rPr>
          <w:w w:val="105"/>
        </w:rPr>
        <w:t>CMS</w:t>
      </w:r>
      <w:r>
        <w:rPr>
          <w:spacing w:val="-17"/>
          <w:w w:val="105"/>
        </w:rPr>
        <w:t xml:space="preserve"> </w:t>
      </w:r>
      <w:r>
        <w:rPr>
          <w:w w:val="105"/>
        </w:rPr>
        <w:t>intends</w:t>
      </w:r>
      <w:r>
        <w:rPr>
          <w:spacing w:val="-8"/>
          <w:w w:val="105"/>
        </w:rPr>
        <w:t xml:space="preserve"> </w:t>
      </w:r>
      <w:r>
        <w:rPr>
          <w:w w:val="105"/>
        </w:rPr>
        <w:t>to</w:t>
      </w:r>
      <w:r>
        <w:rPr>
          <w:spacing w:val="3"/>
          <w:w w:val="105"/>
        </w:rPr>
        <w:t xml:space="preserve"> </w:t>
      </w:r>
      <w:r>
        <w:rPr>
          <w:w w:val="105"/>
        </w:rPr>
        <w:t>possibly</w:t>
      </w:r>
      <w:r>
        <w:rPr>
          <w:spacing w:val="-6"/>
          <w:w w:val="105"/>
        </w:rPr>
        <w:t xml:space="preserve"> </w:t>
      </w:r>
      <w:r>
        <w:rPr>
          <w:w w:val="105"/>
        </w:rPr>
        <w:t>link</w:t>
      </w:r>
      <w:r>
        <w:rPr>
          <w:spacing w:val="-8"/>
          <w:w w:val="105"/>
        </w:rPr>
        <w:t xml:space="preserve"> </w:t>
      </w:r>
      <w:r>
        <w:rPr>
          <w:w w:val="105"/>
        </w:rPr>
        <w:t>Medicare Plan</w:t>
      </w:r>
      <w:r>
        <w:rPr>
          <w:spacing w:val="-9"/>
          <w:w w:val="105"/>
        </w:rPr>
        <w:t xml:space="preserve"> </w:t>
      </w:r>
      <w:r>
        <w:rPr>
          <w:w w:val="105"/>
        </w:rPr>
        <w:t>Finder</w:t>
      </w:r>
      <w:r>
        <w:rPr>
          <w:spacing w:val="1"/>
          <w:w w:val="105"/>
        </w:rPr>
        <w:t xml:space="preserve"> </w:t>
      </w:r>
      <w:r>
        <w:rPr>
          <w:w w:val="105"/>
        </w:rPr>
        <w:t>to</w:t>
      </w:r>
      <w:r>
        <w:rPr>
          <w:spacing w:val="5"/>
          <w:w w:val="105"/>
        </w:rPr>
        <w:t xml:space="preserve"> </w:t>
      </w:r>
      <w:r>
        <w:rPr>
          <w:w w:val="105"/>
        </w:rPr>
        <w:t>the</w:t>
      </w:r>
      <w:r>
        <w:rPr>
          <w:spacing w:val="-14"/>
          <w:w w:val="105"/>
        </w:rPr>
        <w:t xml:space="preserve"> </w:t>
      </w:r>
      <w:r>
        <w:rPr>
          <w:w w:val="105"/>
        </w:rPr>
        <w:t>enforcement letter. The enforcement letter is not a letter that is written with the consumer in mind and can be very easily misinterpreted. In these situations, the desired outcome of a better understanding of the violation could have the unintended conseq</w:t>
      </w:r>
      <w:r>
        <w:rPr>
          <w:w w:val="105"/>
        </w:rPr>
        <w:t>uence of more</w:t>
      </w:r>
      <w:r>
        <w:rPr>
          <w:spacing w:val="-23"/>
          <w:w w:val="105"/>
        </w:rPr>
        <w:t xml:space="preserve"> </w:t>
      </w:r>
      <w:r>
        <w:rPr>
          <w:w w:val="105"/>
        </w:rPr>
        <w:t>confusion.</w:t>
      </w:r>
    </w:p>
    <w:p w:rsidR="00C81B9C" w:rsidRDefault="00C81B9C">
      <w:pPr>
        <w:pStyle w:val="BodyText"/>
        <w:spacing w:before="9"/>
        <w:rPr>
          <w:sz w:val="17"/>
        </w:rPr>
      </w:pPr>
    </w:p>
    <w:p w:rsidR="00C81B9C" w:rsidRDefault="00A7632B">
      <w:pPr>
        <w:pStyle w:val="BodyText"/>
        <w:spacing w:line="333" w:lineRule="auto"/>
        <w:ind w:left="123" w:right="194" w:firstLine="5"/>
      </w:pPr>
      <w:r>
        <w:t>For beneficiaries who only see the icon and do not attempt to understand the root cause of the violation, all violations may appear to be equal, which is simply not true. Some violations are substantially  more impactful than othe</w:t>
      </w:r>
      <w:r>
        <w:t>rs. If an icon is present, it  will appear  to  the beneficiary  that CMS considers these to be the same level of egregiousness. If the goal is "to enable beneficiaries to make an informed enrollment  decision,"  CMS may wish to  consider only having  an i</w:t>
      </w:r>
      <w:r>
        <w:t>con if the transgression affected a certain percentage of the overall plan membership, there  was a high level of severity associated with the infraction (e.g. systemic},  and the  magnitude of  the CMP was</w:t>
      </w:r>
      <w:r>
        <w:rPr>
          <w:spacing w:val="-11"/>
        </w:rPr>
        <w:t xml:space="preserve"> </w:t>
      </w:r>
      <w:r>
        <w:t>large-scale.</w:t>
      </w:r>
    </w:p>
    <w:p w:rsidR="00C81B9C" w:rsidRDefault="00C81B9C">
      <w:pPr>
        <w:pStyle w:val="BodyText"/>
        <w:rPr>
          <w:sz w:val="22"/>
        </w:rPr>
      </w:pPr>
    </w:p>
    <w:p w:rsidR="00C81B9C" w:rsidRDefault="00C81B9C">
      <w:pPr>
        <w:pStyle w:val="BodyText"/>
        <w:rPr>
          <w:sz w:val="22"/>
        </w:rPr>
      </w:pPr>
    </w:p>
    <w:p w:rsidR="00C81B9C" w:rsidRDefault="00C81B9C">
      <w:pPr>
        <w:pStyle w:val="BodyText"/>
        <w:spacing w:before="6"/>
        <w:rPr>
          <w:sz w:val="20"/>
        </w:rPr>
      </w:pPr>
    </w:p>
    <w:p w:rsidR="00C81B9C" w:rsidRDefault="00A7632B">
      <w:pPr>
        <w:pStyle w:val="BodyText"/>
        <w:ind w:left="126"/>
      </w:pPr>
      <w:r>
        <w:rPr>
          <w:w w:val="105"/>
        </w:rPr>
        <w:t>Audit of the Sponsoring Organizat</w:t>
      </w:r>
      <w:r>
        <w:rPr>
          <w:w w:val="105"/>
        </w:rPr>
        <w:t>ion's Compliance Program Effectiveness</w:t>
      </w:r>
    </w:p>
    <w:p w:rsidR="00C81B9C" w:rsidRDefault="00C81B9C">
      <w:pPr>
        <w:pStyle w:val="BodyText"/>
        <w:spacing w:before="8"/>
        <w:rPr>
          <w:sz w:val="25"/>
        </w:rPr>
      </w:pPr>
    </w:p>
    <w:p w:rsidR="00C81B9C" w:rsidRDefault="00A7632B">
      <w:pPr>
        <w:pStyle w:val="BodyText"/>
        <w:spacing w:line="333" w:lineRule="auto"/>
        <w:ind w:left="118" w:right="194" w:firstLine="2"/>
      </w:pPr>
      <w:r>
        <w:rPr>
          <w:w w:val="105"/>
        </w:rPr>
        <w:t>CMS</w:t>
      </w:r>
      <w:r>
        <w:rPr>
          <w:spacing w:val="-22"/>
          <w:w w:val="105"/>
        </w:rPr>
        <w:t xml:space="preserve"> </w:t>
      </w:r>
      <w:r>
        <w:rPr>
          <w:w w:val="105"/>
        </w:rPr>
        <w:t>is</w:t>
      </w:r>
      <w:r>
        <w:rPr>
          <w:spacing w:val="-22"/>
          <w:w w:val="105"/>
        </w:rPr>
        <w:t xml:space="preserve"> </w:t>
      </w:r>
      <w:r>
        <w:rPr>
          <w:w w:val="105"/>
        </w:rPr>
        <w:t>considering</w:t>
      </w:r>
      <w:r>
        <w:rPr>
          <w:spacing w:val="-16"/>
          <w:w w:val="105"/>
        </w:rPr>
        <w:t xml:space="preserve"> </w:t>
      </w:r>
      <w:r>
        <w:rPr>
          <w:w w:val="105"/>
        </w:rPr>
        <w:t>allowing</w:t>
      </w:r>
      <w:r>
        <w:rPr>
          <w:spacing w:val="-16"/>
          <w:w w:val="105"/>
        </w:rPr>
        <w:t xml:space="preserve"> </w:t>
      </w:r>
      <w:r>
        <w:rPr>
          <w:w w:val="105"/>
        </w:rPr>
        <w:t>sponsoring</w:t>
      </w:r>
      <w:r>
        <w:rPr>
          <w:spacing w:val="-15"/>
          <w:w w:val="105"/>
        </w:rPr>
        <w:t xml:space="preserve"> </w:t>
      </w:r>
      <w:r>
        <w:rPr>
          <w:w w:val="105"/>
        </w:rPr>
        <w:t>organizations</w:t>
      </w:r>
      <w:r>
        <w:rPr>
          <w:spacing w:val="-11"/>
          <w:w w:val="105"/>
        </w:rPr>
        <w:t xml:space="preserve"> </w:t>
      </w:r>
      <w:r>
        <w:rPr>
          <w:w w:val="105"/>
        </w:rPr>
        <w:t>that</w:t>
      </w:r>
      <w:r>
        <w:rPr>
          <w:spacing w:val="-14"/>
          <w:w w:val="105"/>
        </w:rPr>
        <w:t xml:space="preserve"> </w:t>
      </w:r>
      <w:r>
        <w:rPr>
          <w:w w:val="105"/>
        </w:rPr>
        <w:t>have</w:t>
      </w:r>
      <w:r>
        <w:rPr>
          <w:spacing w:val="-19"/>
          <w:w w:val="105"/>
        </w:rPr>
        <w:t xml:space="preserve"> </w:t>
      </w:r>
      <w:r>
        <w:rPr>
          <w:w w:val="105"/>
        </w:rPr>
        <w:t>recently</w:t>
      </w:r>
      <w:r>
        <w:rPr>
          <w:spacing w:val="-14"/>
          <w:w w:val="105"/>
        </w:rPr>
        <w:t xml:space="preserve"> </w:t>
      </w:r>
      <w:r>
        <w:rPr>
          <w:w w:val="105"/>
        </w:rPr>
        <w:t>undergone</w:t>
      </w:r>
      <w:r>
        <w:rPr>
          <w:spacing w:val="-3"/>
          <w:w w:val="105"/>
        </w:rPr>
        <w:t xml:space="preserve"> </w:t>
      </w:r>
      <w:r>
        <w:rPr>
          <w:w w:val="105"/>
        </w:rPr>
        <w:t>a</w:t>
      </w:r>
      <w:r>
        <w:rPr>
          <w:spacing w:val="-20"/>
          <w:w w:val="105"/>
        </w:rPr>
        <w:t xml:space="preserve"> </w:t>
      </w:r>
      <w:r>
        <w:rPr>
          <w:w w:val="105"/>
        </w:rPr>
        <w:t>program audit to treat the program audit as meeting the annual compliance program audit requirement for one year from the date of th</w:t>
      </w:r>
      <w:r>
        <w:rPr>
          <w:w w:val="105"/>
        </w:rPr>
        <w:t>e CMS program audit. When a CMS program audit is conducted,</w:t>
      </w:r>
      <w:r>
        <w:rPr>
          <w:spacing w:val="-19"/>
          <w:w w:val="105"/>
        </w:rPr>
        <w:t xml:space="preserve"> </w:t>
      </w:r>
      <w:r>
        <w:rPr>
          <w:w w:val="105"/>
        </w:rPr>
        <w:t>IHA</w:t>
      </w:r>
      <w:r>
        <w:rPr>
          <w:spacing w:val="-12"/>
          <w:w w:val="105"/>
        </w:rPr>
        <w:t xml:space="preserve"> </w:t>
      </w:r>
      <w:r>
        <w:rPr>
          <w:w w:val="105"/>
        </w:rPr>
        <w:t>agrees</w:t>
      </w:r>
      <w:r>
        <w:rPr>
          <w:spacing w:val="-24"/>
          <w:w w:val="105"/>
        </w:rPr>
        <w:t xml:space="preserve"> </w:t>
      </w:r>
      <w:r>
        <w:rPr>
          <w:w w:val="105"/>
        </w:rPr>
        <w:t>that</w:t>
      </w:r>
      <w:r>
        <w:rPr>
          <w:spacing w:val="-13"/>
          <w:w w:val="105"/>
        </w:rPr>
        <w:t xml:space="preserve"> </w:t>
      </w:r>
      <w:r>
        <w:rPr>
          <w:w w:val="105"/>
        </w:rPr>
        <w:t>having</w:t>
      </w:r>
      <w:r>
        <w:rPr>
          <w:spacing w:val="-22"/>
          <w:w w:val="105"/>
        </w:rPr>
        <w:t xml:space="preserve"> </w:t>
      </w:r>
      <w:r>
        <w:rPr>
          <w:w w:val="105"/>
        </w:rPr>
        <w:t>a</w:t>
      </w:r>
      <w:r>
        <w:rPr>
          <w:spacing w:val="-26"/>
          <w:w w:val="105"/>
        </w:rPr>
        <w:t xml:space="preserve"> </w:t>
      </w:r>
      <w:r>
        <w:rPr>
          <w:w w:val="105"/>
        </w:rPr>
        <w:t>Compliance</w:t>
      </w:r>
      <w:r>
        <w:rPr>
          <w:spacing w:val="-11"/>
          <w:w w:val="105"/>
        </w:rPr>
        <w:t xml:space="preserve"> </w:t>
      </w:r>
      <w:r>
        <w:rPr>
          <w:w w:val="105"/>
        </w:rPr>
        <w:t>Program</w:t>
      </w:r>
      <w:r>
        <w:rPr>
          <w:spacing w:val="-10"/>
          <w:w w:val="105"/>
        </w:rPr>
        <w:t xml:space="preserve"> </w:t>
      </w:r>
      <w:r>
        <w:rPr>
          <w:w w:val="105"/>
        </w:rPr>
        <w:t>Effectiveness</w:t>
      </w:r>
      <w:r>
        <w:rPr>
          <w:spacing w:val="-13"/>
          <w:w w:val="105"/>
        </w:rPr>
        <w:t xml:space="preserve"> </w:t>
      </w:r>
      <w:r>
        <w:rPr>
          <w:w w:val="105"/>
        </w:rPr>
        <w:t>audit</w:t>
      </w:r>
      <w:r>
        <w:rPr>
          <w:spacing w:val="-15"/>
          <w:w w:val="105"/>
        </w:rPr>
        <w:t xml:space="preserve"> </w:t>
      </w:r>
      <w:r>
        <w:rPr>
          <w:w w:val="105"/>
        </w:rPr>
        <w:t>is</w:t>
      </w:r>
      <w:r>
        <w:rPr>
          <w:spacing w:val="-19"/>
          <w:w w:val="105"/>
        </w:rPr>
        <w:t xml:space="preserve"> </w:t>
      </w:r>
      <w:r>
        <w:rPr>
          <w:w w:val="105"/>
        </w:rPr>
        <w:t>duplicative,</w:t>
      </w:r>
      <w:r>
        <w:rPr>
          <w:spacing w:val="-11"/>
          <w:w w:val="105"/>
        </w:rPr>
        <w:t xml:space="preserve"> </w:t>
      </w:r>
      <w:r>
        <w:rPr>
          <w:w w:val="105"/>
        </w:rPr>
        <w:t>in light of the extensive compliance operations review that occurs during a program audit. We also agree that if CMS finalizes this proposal, there would be a reduction in burden on sponsoring</w:t>
      </w:r>
      <w:r>
        <w:rPr>
          <w:spacing w:val="-37"/>
          <w:w w:val="105"/>
        </w:rPr>
        <w:t xml:space="preserve"> </w:t>
      </w:r>
      <w:r>
        <w:rPr>
          <w:w w:val="105"/>
        </w:rPr>
        <w:t>organizations.</w:t>
      </w:r>
    </w:p>
    <w:p w:rsidR="00C81B9C" w:rsidRDefault="00C81B9C">
      <w:pPr>
        <w:spacing w:line="333" w:lineRule="auto"/>
        <w:sectPr w:rsidR="00C81B9C">
          <w:pgSz w:w="12240" w:h="15840"/>
          <w:pgMar w:top="1280" w:right="1480" w:bottom="1320" w:left="1280" w:header="0" w:footer="1012" w:gutter="0"/>
          <w:cols w:space="720"/>
        </w:sectPr>
      </w:pPr>
    </w:p>
    <w:p w:rsidR="00C81B9C" w:rsidRDefault="00A7632B">
      <w:pPr>
        <w:spacing w:before="79"/>
        <w:ind w:left="136"/>
        <w:rPr>
          <w:b/>
          <w:sz w:val="20"/>
        </w:rPr>
      </w:pPr>
      <w:r>
        <w:rPr>
          <w:b/>
          <w:sz w:val="20"/>
        </w:rPr>
        <w:lastRenderedPageBreak/>
        <w:t xml:space="preserve">Section </w:t>
      </w:r>
      <w:r>
        <w:rPr>
          <w:rFonts w:ascii="Times New Roman"/>
        </w:rPr>
        <w:t xml:space="preserve">II - </w:t>
      </w:r>
      <w:r>
        <w:rPr>
          <w:b/>
          <w:sz w:val="20"/>
        </w:rPr>
        <w:t>Part C</w:t>
      </w:r>
    </w:p>
    <w:p w:rsidR="00C81B9C" w:rsidRDefault="00C81B9C">
      <w:pPr>
        <w:pStyle w:val="BodyText"/>
        <w:spacing w:before="9"/>
        <w:rPr>
          <w:b/>
          <w:sz w:val="25"/>
        </w:rPr>
      </w:pPr>
    </w:p>
    <w:p w:rsidR="00C81B9C" w:rsidRDefault="00A7632B">
      <w:pPr>
        <w:ind w:left="129"/>
        <w:rPr>
          <w:b/>
          <w:sz w:val="20"/>
        </w:rPr>
      </w:pPr>
      <w:r>
        <w:rPr>
          <w:b/>
          <w:sz w:val="20"/>
        </w:rPr>
        <w:t>Total Beneficiary Cost (TBC)</w:t>
      </w:r>
    </w:p>
    <w:p w:rsidR="00C81B9C" w:rsidRDefault="00C81B9C">
      <w:pPr>
        <w:pStyle w:val="BodyText"/>
        <w:spacing w:before="5"/>
        <w:rPr>
          <w:b/>
          <w:sz w:val="25"/>
        </w:rPr>
      </w:pPr>
    </w:p>
    <w:p w:rsidR="00C81B9C" w:rsidRDefault="00A7632B">
      <w:pPr>
        <w:pStyle w:val="BodyText"/>
        <w:spacing w:line="338" w:lineRule="auto"/>
        <w:ind w:left="125" w:right="145" w:firstLine="7"/>
      </w:pPr>
      <w:r>
        <w:rPr>
          <w:w w:val="105"/>
        </w:rPr>
        <w:t xml:space="preserve">CMS is considering the elimination of the current TBC evaluation in future years, subject to statutory and regulatory limitations or changes. IHA supports eliminating the TBC in future years and believes this would accomplish </w:t>
      </w:r>
      <w:r>
        <w:rPr>
          <w:w w:val="105"/>
        </w:rPr>
        <w:t>the stated goal of promoting innovation, improving available benefit offerings, and providing beneficiaries with affordable plans better tailored to their health care needs.</w:t>
      </w:r>
    </w:p>
    <w:p w:rsidR="00C81B9C" w:rsidRDefault="00A7632B">
      <w:pPr>
        <w:pStyle w:val="BodyText"/>
        <w:spacing w:before="195" w:line="333" w:lineRule="auto"/>
        <w:ind w:left="120" w:right="145" w:firstLine="7"/>
      </w:pPr>
      <w:r>
        <w:rPr>
          <w:w w:val="105"/>
        </w:rPr>
        <w:t>CMS rightly works to control the growth of beneficiary costs. However, the impleme</w:t>
      </w:r>
      <w:r>
        <w:rPr>
          <w:w w:val="105"/>
        </w:rPr>
        <w:t xml:space="preserve">ntation of TBC can have unintended effects of plans choosing not to improve benefits so that the TBC constraints can be met. Rather than an artificial pricing constraint, Medicare beneficiaries who do not see value in premium and cost sharing increases or </w:t>
      </w:r>
      <w:r>
        <w:rPr>
          <w:w w:val="105"/>
        </w:rPr>
        <w:t>benefit decreases will choose to go to another plan. Where there is robust competition in many markets, this will help keep the premiums in check. If CMS believes that to be insufficient, it could establish "guardrails" that would trigger  additional justi</w:t>
      </w:r>
      <w:r>
        <w:rPr>
          <w:w w:val="105"/>
        </w:rPr>
        <w:t>fication.</w:t>
      </w:r>
    </w:p>
    <w:p w:rsidR="00C81B9C" w:rsidRDefault="00C81B9C">
      <w:pPr>
        <w:pStyle w:val="BodyText"/>
        <w:rPr>
          <w:sz w:val="22"/>
        </w:rPr>
      </w:pPr>
    </w:p>
    <w:p w:rsidR="00C81B9C" w:rsidRDefault="00C81B9C">
      <w:pPr>
        <w:pStyle w:val="BodyText"/>
        <w:rPr>
          <w:sz w:val="22"/>
        </w:rPr>
      </w:pPr>
    </w:p>
    <w:p w:rsidR="00C81B9C" w:rsidRDefault="00C81B9C">
      <w:pPr>
        <w:pStyle w:val="BodyText"/>
        <w:spacing w:before="10"/>
        <w:rPr>
          <w:sz w:val="20"/>
        </w:rPr>
      </w:pPr>
    </w:p>
    <w:p w:rsidR="00C81B9C" w:rsidRDefault="00A7632B">
      <w:pPr>
        <w:spacing w:before="1"/>
        <w:ind w:left="119"/>
        <w:rPr>
          <w:b/>
          <w:sz w:val="20"/>
        </w:rPr>
      </w:pPr>
      <w:r>
        <w:rPr>
          <w:b/>
          <w:w w:val="105"/>
          <w:sz w:val="20"/>
        </w:rPr>
        <w:t>Maximum Out-of-Pocket (MOOP) Limits</w:t>
      </w:r>
    </w:p>
    <w:p w:rsidR="00C81B9C" w:rsidRDefault="00C81B9C">
      <w:pPr>
        <w:pStyle w:val="BodyText"/>
        <w:spacing w:before="10"/>
        <w:rPr>
          <w:b/>
          <w:sz w:val="25"/>
        </w:rPr>
      </w:pPr>
    </w:p>
    <w:p w:rsidR="00C81B9C" w:rsidRDefault="00A7632B">
      <w:pPr>
        <w:pStyle w:val="BodyText"/>
        <w:ind w:left="119"/>
      </w:pPr>
      <w:r>
        <w:rPr>
          <w:w w:val="105"/>
        </w:rPr>
        <w:t>Again in 2019, CMS will leave the voluntary MOOP at $3,400 and the mandatory MOOP at</w:t>
      </w:r>
    </w:p>
    <w:p w:rsidR="00C81B9C" w:rsidRDefault="00A7632B">
      <w:pPr>
        <w:pStyle w:val="BodyText"/>
        <w:spacing w:before="93" w:line="333" w:lineRule="auto"/>
        <w:ind w:left="117" w:firstLine="3"/>
      </w:pPr>
      <w:r>
        <w:rPr>
          <w:w w:val="105"/>
        </w:rPr>
        <w:t>$6,700. The purpose of having a voluntary MOOP is to give plans more flexibility with their cost sharing levels. CMS does</w:t>
      </w:r>
      <w:r>
        <w:rPr>
          <w:w w:val="105"/>
        </w:rPr>
        <w:t xml:space="preserve"> not allow any additional benefit cost share flexibility if the MOOP is</w:t>
      </w:r>
    </w:p>
    <w:p w:rsidR="00C81B9C" w:rsidRDefault="00A7632B">
      <w:pPr>
        <w:pStyle w:val="BodyText"/>
        <w:spacing w:before="2" w:line="336" w:lineRule="auto"/>
        <w:ind w:left="109" w:right="136" w:firstLine="6"/>
      </w:pPr>
      <w:r>
        <w:t>$3,401 -$6,699.   There  could be more incentive  for  Medicare  Advantage  Organizations  to  have a MOOP other  than  at  $6,700 if  the  copay  differentials  that  are permitted  b</w:t>
      </w:r>
      <w:r>
        <w:t>etween  voluntary and mandatory MOOP were enough to justify having a lower MOOP.  IHA suggests that CMS  utilize a MOOP sliding scale, similar to  what was done between the Part D deductible and the     Tier 5 maximum cost sharing. In that case, the higher</w:t>
      </w:r>
      <w:r>
        <w:t xml:space="preserve"> the deductible, the lower the Tier 5 copay  must be. In this way, beneficiaries  who usually do not  hit  their MOOP would still be able to   benefit from some reduced cost   </w:t>
      </w:r>
      <w:r>
        <w:rPr>
          <w:spacing w:val="4"/>
        </w:rPr>
        <w:t xml:space="preserve"> </w:t>
      </w:r>
      <w:r>
        <w:t>sharing.</w:t>
      </w:r>
    </w:p>
    <w:p w:rsidR="00C81B9C" w:rsidRDefault="00C81B9C">
      <w:pPr>
        <w:pStyle w:val="BodyText"/>
        <w:rPr>
          <w:sz w:val="22"/>
        </w:rPr>
      </w:pPr>
    </w:p>
    <w:p w:rsidR="00C81B9C" w:rsidRDefault="00C81B9C">
      <w:pPr>
        <w:pStyle w:val="BodyText"/>
        <w:rPr>
          <w:sz w:val="22"/>
        </w:rPr>
      </w:pPr>
    </w:p>
    <w:p w:rsidR="00C81B9C" w:rsidRDefault="00C81B9C">
      <w:pPr>
        <w:pStyle w:val="BodyText"/>
        <w:spacing w:before="1"/>
      </w:pPr>
    </w:p>
    <w:p w:rsidR="00C81B9C" w:rsidRDefault="00A7632B">
      <w:pPr>
        <w:ind w:left="109"/>
        <w:rPr>
          <w:b/>
          <w:sz w:val="20"/>
        </w:rPr>
      </w:pPr>
      <w:r>
        <w:rPr>
          <w:b/>
          <w:w w:val="105"/>
          <w:sz w:val="20"/>
        </w:rPr>
        <w:t>Health Related Supplemental Benefits</w:t>
      </w:r>
    </w:p>
    <w:p w:rsidR="00C81B9C" w:rsidRDefault="00C81B9C">
      <w:pPr>
        <w:pStyle w:val="BodyText"/>
        <w:spacing w:before="5"/>
        <w:rPr>
          <w:b/>
          <w:sz w:val="25"/>
        </w:rPr>
      </w:pPr>
    </w:p>
    <w:p w:rsidR="00C81B9C" w:rsidRDefault="00A7632B">
      <w:pPr>
        <w:pStyle w:val="BodyText"/>
        <w:spacing w:line="333" w:lineRule="auto"/>
        <w:ind w:left="105" w:firstLine="2"/>
      </w:pPr>
      <w:r>
        <w:rPr>
          <w:w w:val="110"/>
        </w:rPr>
        <w:t>CMS</w:t>
      </w:r>
      <w:r>
        <w:rPr>
          <w:spacing w:val="-32"/>
          <w:w w:val="110"/>
        </w:rPr>
        <w:t xml:space="preserve"> </w:t>
      </w:r>
      <w:r>
        <w:rPr>
          <w:w w:val="110"/>
        </w:rPr>
        <w:t>is</w:t>
      </w:r>
      <w:r>
        <w:rPr>
          <w:spacing w:val="-37"/>
          <w:w w:val="110"/>
        </w:rPr>
        <w:t xml:space="preserve"> </w:t>
      </w:r>
      <w:r>
        <w:rPr>
          <w:w w:val="110"/>
        </w:rPr>
        <w:t>considering</w:t>
      </w:r>
      <w:r>
        <w:rPr>
          <w:spacing w:val="-33"/>
          <w:w w:val="110"/>
        </w:rPr>
        <w:t xml:space="preserve"> </w:t>
      </w:r>
      <w:r>
        <w:rPr>
          <w:w w:val="110"/>
        </w:rPr>
        <w:t>changing</w:t>
      </w:r>
      <w:r>
        <w:rPr>
          <w:spacing w:val="-34"/>
          <w:w w:val="110"/>
        </w:rPr>
        <w:t xml:space="preserve"> </w:t>
      </w:r>
      <w:r>
        <w:rPr>
          <w:w w:val="110"/>
        </w:rPr>
        <w:t>supplemental</w:t>
      </w:r>
      <w:r>
        <w:rPr>
          <w:spacing w:val="-24"/>
          <w:w w:val="110"/>
        </w:rPr>
        <w:t xml:space="preserve"> </w:t>
      </w:r>
      <w:r>
        <w:rPr>
          <w:w w:val="110"/>
        </w:rPr>
        <w:t>benefits</w:t>
      </w:r>
      <w:r>
        <w:rPr>
          <w:spacing w:val="-26"/>
          <w:w w:val="110"/>
        </w:rPr>
        <w:t xml:space="preserve"> </w:t>
      </w:r>
      <w:r>
        <w:rPr>
          <w:w w:val="110"/>
        </w:rPr>
        <w:t>by</w:t>
      </w:r>
      <w:r>
        <w:rPr>
          <w:spacing w:val="-37"/>
          <w:w w:val="110"/>
        </w:rPr>
        <w:t xml:space="preserve"> </w:t>
      </w:r>
      <w:r>
        <w:rPr>
          <w:w w:val="110"/>
        </w:rPr>
        <w:t>broadening</w:t>
      </w:r>
      <w:r>
        <w:rPr>
          <w:spacing w:val="-30"/>
          <w:w w:val="110"/>
        </w:rPr>
        <w:t xml:space="preserve"> </w:t>
      </w:r>
      <w:r>
        <w:rPr>
          <w:w w:val="110"/>
        </w:rPr>
        <w:t>the</w:t>
      </w:r>
      <w:r>
        <w:rPr>
          <w:spacing w:val="-24"/>
          <w:w w:val="110"/>
        </w:rPr>
        <w:t xml:space="preserve"> </w:t>
      </w:r>
      <w:r>
        <w:rPr>
          <w:w w:val="110"/>
        </w:rPr>
        <w:t>definition</w:t>
      </w:r>
      <w:r>
        <w:rPr>
          <w:spacing w:val="-27"/>
          <w:w w:val="110"/>
        </w:rPr>
        <w:t xml:space="preserve"> </w:t>
      </w:r>
      <w:r>
        <w:rPr>
          <w:w w:val="110"/>
        </w:rPr>
        <w:t>of</w:t>
      </w:r>
      <w:r>
        <w:rPr>
          <w:spacing w:val="-30"/>
          <w:w w:val="110"/>
        </w:rPr>
        <w:t xml:space="preserve"> </w:t>
      </w:r>
      <w:r>
        <w:rPr>
          <w:w w:val="110"/>
        </w:rPr>
        <w:t>what</w:t>
      </w:r>
      <w:r>
        <w:rPr>
          <w:spacing w:val="-30"/>
          <w:w w:val="110"/>
        </w:rPr>
        <w:t xml:space="preserve"> </w:t>
      </w:r>
      <w:r>
        <w:rPr>
          <w:w w:val="110"/>
        </w:rPr>
        <w:t>is "primarily</w:t>
      </w:r>
      <w:r>
        <w:rPr>
          <w:spacing w:val="-17"/>
          <w:w w:val="110"/>
        </w:rPr>
        <w:t xml:space="preserve"> </w:t>
      </w:r>
      <w:r>
        <w:rPr>
          <w:w w:val="110"/>
        </w:rPr>
        <w:t>health</w:t>
      </w:r>
      <w:r>
        <w:rPr>
          <w:spacing w:val="-25"/>
          <w:w w:val="110"/>
        </w:rPr>
        <w:t xml:space="preserve"> </w:t>
      </w:r>
      <w:r>
        <w:rPr>
          <w:w w:val="110"/>
        </w:rPr>
        <w:t>related."</w:t>
      </w:r>
      <w:r>
        <w:rPr>
          <w:spacing w:val="2"/>
          <w:w w:val="110"/>
        </w:rPr>
        <w:t xml:space="preserve"> </w:t>
      </w:r>
      <w:r>
        <w:rPr>
          <w:w w:val="110"/>
        </w:rPr>
        <w:t>IHA</w:t>
      </w:r>
      <w:r>
        <w:rPr>
          <w:spacing w:val="-22"/>
          <w:w w:val="110"/>
        </w:rPr>
        <w:t xml:space="preserve"> </w:t>
      </w:r>
      <w:r>
        <w:rPr>
          <w:w w:val="110"/>
        </w:rPr>
        <w:t>believes</w:t>
      </w:r>
      <w:r>
        <w:rPr>
          <w:spacing w:val="-19"/>
          <w:w w:val="110"/>
        </w:rPr>
        <w:t xml:space="preserve"> </w:t>
      </w:r>
      <w:r>
        <w:rPr>
          <w:w w:val="110"/>
        </w:rPr>
        <w:t>this</w:t>
      </w:r>
      <w:r>
        <w:rPr>
          <w:spacing w:val="-23"/>
          <w:w w:val="110"/>
        </w:rPr>
        <w:t xml:space="preserve"> </w:t>
      </w:r>
      <w:r>
        <w:rPr>
          <w:w w:val="110"/>
        </w:rPr>
        <w:t>will</w:t>
      </w:r>
      <w:r>
        <w:rPr>
          <w:spacing w:val="-26"/>
          <w:w w:val="110"/>
        </w:rPr>
        <w:t xml:space="preserve"> </w:t>
      </w:r>
      <w:r>
        <w:rPr>
          <w:w w:val="110"/>
        </w:rPr>
        <w:t>provide</w:t>
      </w:r>
      <w:r>
        <w:rPr>
          <w:spacing w:val="-21"/>
          <w:w w:val="110"/>
        </w:rPr>
        <w:t xml:space="preserve"> </w:t>
      </w:r>
      <w:r>
        <w:rPr>
          <w:w w:val="110"/>
        </w:rPr>
        <w:t>more</w:t>
      </w:r>
      <w:r>
        <w:rPr>
          <w:spacing w:val="-19"/>
          <w:w w:val="110"/>
        </w:rPr>
        <w:t xml:space="preserve"> </w:t>
      </w:r>
      <w:r>
        <w:rPr>
          <w:w w:val="110"/>
        </w:rPr>
        <w:t>benefit</w:t>
      </w:r>
      <w:r>
        <w:rPr>
          <w:spacing w:val="-22"/>
          <w:w w:val="110"/>
        </w:rPr>
        <w:t xml:space="preserve"> </w:t>
      </w:r>
      <w:r>
        <w:rPr>
          <w:w w:val="110"/>
        </w:rPr>
        <w:t>flexibility</w:t>
      </w:r>
      <w:r>
        <w:rPr>
          <w:spacing w:val="-14"/>
          <w:w w:val="110"/>
        </w:rPr>
        <w:t xml:space="preserve"> </w:t>
      </w:r>
      <w:r>
        <w:rPr>
          <w:w w:val="110"/>
        </w:rPr>
        <w:t>when</w:t>
      </w:r>
      <w:r>
        <w:rPr>
          <w:spacing w:val="-13"/>
          <w:w w:val="110"/>
        </w:rPr>
        <w:t xml:space="preserve"> </w:t>
      </w:r>
      <w:r>
        <w:rPr>
          <w:w w:val="110"/>
        </w:rPr>
        <w:t>a</w:t>
      </w:r>
      <w:r>
        <w:rPr>
          <w:spacing w:val="-28"/>
          <w:w w:val="110"/>
        </w:rPr>
        <w:t xml:space="preserve"> </w:t>
      </w:r>
      <w:r>
        <w:rPr>
          <w:w w:val="110"/>
        </w:rPr>
        <w:t>plan chooses</w:t>
      </w:r>
      <w:r>
        <w:rPr>
          <w:spacing w:val="-27"/>
          <w:w w:val="110"/>
        </w:rPr>
        <w:t xml:space="preserve"> </w:t>
      </w:r>
      <w:r>
        <w:rPr>
          <w:w w:val="110"/>
        </w:rPr>
        <w:t>to</w:t>
      </w:r>
      <w:r>
        <w:rPr>
          <w:spacing w:val="-12"/>
          <w:w w:val="110"/>
        </w:rPr>
        <w:t xml:space="preserve"> </w:t>
      </w:r>
      <w:r>
        <w:rPr>
          <w:w w:val="110"/>
        </w:rPr>
        <w:t>offer</w:t>
      </w:r>
      <w:r>
        <w:rPr>
          <w:spacing w:val="-31"/>
          <w:w w:val="110"/>
        </w:rPr>
        <w:t xml:space="preserve"> </w:t>
      </w:r>
      <w:r>
        <w:rPr>
          <w:w w:val="110"/>
        </w:rPr>
        <w:t>this</w:t>
      </w:r>
      <w:r>
        <w:rPr>
          <w:spacing w:val="-27"/>
          <w:w w:val="110"/>
        </w:rPr>
        <w:t xml:space="preserve"> </w:t>
      </w:r>
      <w:r>
        <w:rPr>
          <w:w w:val="110"/>
        </w:rPr>
        <w:t>coverage</w:t>
      </w:r>
      <w:r>
        <w:rPr>
          <w:spacing w:val="-20"/>
          <w:w w:val="110"/>
        </w:rPr>
        <w:t xml:space="preserve"> </w:t>
      </w:r>
      <w:r>
        <w:rPr>
          <w:w w:val="110"/>
        </w:rPr>
        <w:t>and</w:t>
      </w:r>
      <w:r>
        <w:rPr>
          <w:spacing w:val="-30"/>
          <w:w w:val="110"/>
        </w:rPr>
        <w:t xml:space="preserve"> </w:t>
      </w:r>
      <w:r>
        <w:rPr>
          <w:w w:val="110"/>
        </w:rPr>
        <w:t>urge</w:t>
      </w:r>
      <w:r>
        <w:rPr>
          <w:spacing w:val="-28"/>
          <w:w w:val="110"/>
        </w:rPr>
        <w:t xml:space="preserve"> </w:t>
      </w:r>
      <w:r>
        <w:rPr>
          <w:w w:val="110"/>
        </w:rPr>
        <w:t>CMS</w:t>
      </w:r>
      <w:r>
        <w:rPr>
          <w:spacing w:val="-27"/>
          <w:w w:val="110"/>
        </w:rPr>
        <w:t xml:space="preserve"> </w:t>
      </w:r>
      <w:r>
        <w:rPr>
          <w:w w:val="110"/>
        </w:rPr>
        <w:t>to</w:t>
      </w:r>
      <w:r>
        <w:rPr>
          <w:spacing w:val="-8"/>
          <w:w w:val="110"/>
        </w:rPr>
        <w:t xml:space="preserve"> </w:t>
      </w:r>
      <w:r>
        <w:rPr>
          <w:w w:val="110"/>
        </w:rPr>
        <w:t>follow-through</w:t>
      </w:r>
      <w:r>
        <w:rPr>
          <w:spacing w:val="-27"/>
          <w:w w:val="110"/>
        </w:rPr>
        <w:t xml:space="preserve"> </w:t>
      </w:r>
      <w:r>
        <w:rPr>
          <w:w w:val="110"/>
        </w:rPr>
        <w:t>on</w:t>
      </w:r>
      <w:r>
        <w:rPr>
          <w:spacing w:val="-28"/>
          <w:w w:val="110"/>
        </w:rPr>
        <w:t xml:space="preserve"> </w:t>
      </w:r>
      <w:r>
        <w:rPr>
          <w:w w:val="110"/>
        </w:rPr>
        <w:t>this</w:t>
      </w:r>
      <w:r>
        <w:rPr>
          <w:spacing w:val="-28"/>
          <w:w w:val="110"/>
        </w:rPr>
        <w:t xml:space="preserve"> </w:t>
      </w:r>
      <w:r>
        <w:rPr>
          <w:w w:val="110"/>
        </w:rPr>
        <w:t>proposal.</w:t>
      </w:r>
      <w:r>
        <w:rPr>
          <w:spacing w:val="15"/>
          <w:w w:val="110"/>
        </w:rPr>
        <w:t xml:space="preserve"> </w:t>
      </w:r>
      <w:r>
        <w:rPr>
          <w:w w:val="110"/>
        </w:rPr>
        <w:t>We</w:t>
      </w:r>
      <w:r>
        <w:rPr>
          <w:spacing w:val="-25"/>
          <w:w w:val="110"/>
        </w:rPr>
        <w:t xml:space="preserve"> </w:t>
      </w:r>
      <w:r>
        <w:rPr>
          <w:w w:val="110"/>
        </w:rPr>
        <w:t>look forward</w:t>
      </w:r>
      <w:r>
        <w:rPr>
          <w:spacing w:val="-18"/>
          <w:w w:val="110"/>
        </w:rPr>
        <w:t xml:space="preserve"> </w:t>
      </w:r>
      <w:r>
        <w:rPr>
          <w:w w:val="110"/>
        </w:rPr>
        <w:t>to</w:t>
      </w:r>
      <w:r>
        <w:rPr>
          <w:spacing w:val="-7"/>
          <w:w w:val="110"/>
        </w:rPr>
        <w:t xml:space="preserve"> </w:t>
      </w:r>
      <w:r>
        <w:rPr>
          <w:w w:val="110"/>
        </w:rPr>
        <w:t>detailed</w:t>
      </w:r>
      <w:r>
        <w:rPr>
          <w:spacing w:val="-21"/>
          <w:w w:val="110"/>
        </w:rPr>
        <w:t xml:space="preserve"> </w:t>
      </w:r>
      <w:r>
        <w:rPr>
          <w:w w:val="110"/>
        </w:rPr>
        <w:t>future</w:t>
      </w:r>
      <w:r>
        <w:rPr>
          <w:spacing w:val="-16"/>
          <w:w w:val="110"/>
        </w:rPr>
        <w:t xml:space="preserve"> </w:t>
      </w:r>
      <w:r>
        <w:rPr>
          <w:w w:val="110"/>
        </w:rPr>
        <w:t>guidance</w:t>
      </w:r>
      <w:r>
        <w:rPr>
          <w:spacing w:val="-20"/>
          <w:w w:val="110"/>
        </w:rPr>
        <w:t xml:space="preserve"> </w:t>
      </w:r>
      <w:r>
        <w:rPr>
          <w:w w:val="110"/>
        </w:rPr>
        <w:t>on</w:t>
      </w:r>
      <w:r>
        <w:rPr>
          <w:spacing w:val="-27"/>
          <w:w w:val="110"/>
        </w:rPr>
        <w:t xml:space="preserve"> </w:t>
      </w:r>
      <w:r>
        <w:rPr>
          <w:w w:val="110"/>
        </w:rPr>
        <w:t>this</w:t>
      </w:r>
      <w:r>
        <w:rPr>
          <w:spacing w:val="-25"/>
          <w:w w:val="110"/>
        </w:rPr>
        <w:t xml:space="preserve"> </w:t>
      </w:r>
      <w:r>
        <w:rPr>
          <w:w w:val="110"/>
        </w:rPr>
        <w:t>topic,</w:t>
      </w:r>
      <w:r>
        <w:rPr>
          <w:spacing w:val="-27"/>
          <w:w w:val="110"/>
        </w:rPr>
        <w:t xml:space="preserve"> </w:t>
      </w:r>
      <w:r>
        <w:rPr>
          <w:w w:val="110"/>
        </w:rPr>
        <w:t>not</w:t>
      </w:r>
      <w:r>
        <w:rPr>
          <w:spacing w:val="-17"/>
          <w:w w:val="110"/>
        </w:rPr>
        <w:t xml:space="preserve"> </w:t>
      </w:r>
      <w:r>
        <w:rPr>
          <w:w w:val="110"/>
        </w:rPr>
        <w:t>only</w:t>
      </w:r>
      <w:r>
        <w:rPr>
          <w:spacing w:val="-26"/>
          <w:w w:val="110"/>
        </w:rPr>
        <w:t xml:space="preserve"> </w:t>
      </w:r>
      <w:r>
        <w:rPr>
          <w:w w:val="110"/>
        </w:rPr>
        <w:t>regarding</w:t>
      </w:r>
      <w:r>
        <w:rPr>
          <w:spacing w:val="-26"/>
          <w:w w:val="110"/>
        </w:rPr>
        <w:t xml:space="preserve"> </w:t>
      </w:r>
      <w:r>
        <w:rPr>
          <w:w w:val="110"/>
        </w:rPr>
        <w:t>the</w:t>
      </w:r>
      <w:r>
        <w:rPr>
          <w:spacing w:val="-10"/>
          <w:w w:val="110"/>
        </w:rPr>
        <w:t xml:space="preserve"> </w:t>
      </w:r>
      <w:r>
        <w:rPr>
          <w:w w:val="110"/>
        </w:rPr>
        <w:t>nature</w:t>
      </w:r>
      <w:r>
        <w:rPr>
          <w:spacing w:val="-25"/>
          <w:w w:val="110"/>
        </w:rPr>
        <w:t xml:space="preserve"> </w:t>
      </w:r>
      <w:r>
        <w:rPr>
          <w:w w:val="110"/>
        </w:rPr>
        <w:t>of</w:t>
      </w:r>
      <w:r>
        <w:rPr>
          <w:spacing w:val="-21"/>
          <w:w w:val="110"/>
        </w:rPr>
        <w:t xml:space="preserve"> </w:t>
      </w:r>
      <w:r>
        <w:rPr>
          <w:w w:val="110"/>
        </w:rPr>
        <w:t>benefits</w:t>
      </w:r>
    </w:p>
    <w:p w:rsidR="00C81B9C" w:rsidRDefault="00C81B9C">
      <w:pPr>
        <w:spacing w:line="333" w:lineRule="auto"/>
        <w:sectPr w:rsidR="00C81B9C">
          <w:footerReference w:type="default" r:id="rId9"/>
          <w:pgSz w:w="12240" w:h="15840"/>
          <w:pgMar w:top="1400" w:right="1360" w:bottom="1200" w:left="1340" w:header="0" w:footer="1014" w:gutter="0"/>
          <w:pgNumType w:start="4"/>
          <w:cols w:space="720"/>
        </w:sectPr>
      </w:pPr>
    </w:p>
    <w:p w:rsidR="00C81B9C" w:rsidRDefault="00A7632B">
      <w:pPr>
        <w:pStyle w:val="BodyText"/>
        <w:spacing w:before="69" w:line="333" w:lineRule="auto"/>
        <w:ind w:left="155" w:firstLine="5"/>
      </w:pPr>
      <w:r>
        <w:rPr>
          <w:w w:val="105"/>
        </w:rPr>
        <w:lastRenderedPageBreak/>
        <w:t>(such as the illustrative list currently in the Medicare Advantage Manual), but also on the requirement for an order by a "licensed prov</w:t>
      </w:r>
      <w:r>
        <w:rPr>
          <w:w w:val="105"/>
        </w:rPr>
        <w:t>ider as part of a care plan...".</w:t>
      </w:r>
    </w:p>
    <w:p w:rsidR="00C81B9C" w:rsidRDefault="00C81B9C">
      <w:pPr>
        <w:pStyle w:val="BodyText"/>
        <w:rPr>
          <w:sz w:val="22"/>
        </w:rPr>
      </w:pPr>
    </w:p>
    <w:p w:rsidR="00C81B9C" w:rsidRDefault="00C81B9C">
      <w:pPr>
        <w:pStyle w:val="BodyText"/>
        <w:rPr>
          <w:sz w:val="22"/>
        </w:rPr>
      </w:pPr>
    </w:p>
    <w:p w:rsidR="00C81B9C" w:rsidRDefault="00C81B9C">
      <w:pPr>
        <w:pStyle w:val="BodyText"/>
        <w:spacing w:before="5"/>
        <w:rPr>
          <w:sz w:val="20"/>
        </w:rPr>
      </w:pPr>
    </w:p>
    <w:p w:rsidR="00C81B9C" w:rsidRDefault="00A7632B">
      <w:pPr>
        <w:pStyle w:val="BodyText"/>
        <w:spacing w:before="1"/>
        <w:ind w:left="153"/>
      </w:pPr>
      <w:r>
        <w:rPr>
          <w:w w:val="110"/>
        </w:rPr>
        <w:t>Uniformity Flexibility</w:t>
      </w:r>
    </w:p>
    <w:p w:rsidR="00C81B9C" w:rsidRDefault="00C81B9C">
      <w:pPr>
        <w:pStyle w:val="BodyText"/>
        <w:spacing w:before="8"/>
        <w:rPr>
          <w:sz w:val="25"/>
        </w:rPr>
      </w:pPr>
    </w:p>
    <w:p w:rsidR="00C81B9C" w:rsidRDefault="00A7632B">
      <w:pPr>
        <w:pStyle w:val="BodyText"/>
        <w:spacing w:line="336" w:lineRule="auto"/>
        <w:ind w:left="135" w:firstLine="13"/>
      </w:pPr>
      <w:r>
        <w:rPr>
          <w:w w:val="105"/>
        </w:rPr>
        <w:t>Conceptually, IHA believes having uniformity flexibility in benefits tied to health status or disease state is a very good idea. Flexibility to address the health care needs of particularly vulnerable beneficiaries can-and should-be accomplished without th</w:t>
      </w:r>
      <w:r>
        <w:rPr>
          <w:w w:val="105"/>
        </w:rPr>
        <w:t>e risk of discriminatory effects which CMS notes. We look forward to additional guidance and details on this proposal, and the implementation of a CMS mailbox to take questions from plans for the 2019 plan year.</w:t>
      </w:r>
    </w:p>
    <w:p w:rsidR="00C81B9C" w:rsidRDefault="00C81B9C">
      <w:pPr>
        <w:pStyle w:val="BodyText"/>
        <w:rPr>
          <w:sz w:val="22"/>
        </w:rPr>
      </w:pPr>
    </w:p>
    <w:p w:rsidR="00C81B9C" w:rsidRDefault="00C81B9C">
      <w:pPr>
        <w:pStyle w:val="BodyText"/>
        <w:rPr>
          <w:sz w:val="22"/>
        </w:rPr>
      </w:pPr>
    </w:p>
    <w:p w:rsidR="00C81B9C" w:rsidRDefault="00C81B9C">
      <w:pPr>
        <w:pStyle w:val="BodyText"/>
        <w:spacing w:before="5"/>
        <w:rPr>
          <w:sz w:val="19"/>
        </w:rPr>
      </w:pPr>
    </w:p>
    <w:p w:rsidR="00C81B9C" w:rsidRDefault="00A7632B">
      <w:pPr>
        <w:pStyle w:val="BodyText"/>
        <w:spacing w:line="535" w:lineRule="auto"/>
        <w:ind w:left="137" w:right="6536" w:hanging="3"/>
      </w:pPr>
      <w:r>
        <w:rPr>
          <w:w w:val="105"/>
        </w:rPr>
        <w:t>Section Ill - Part D Formulary Submissions</w:t>
      </w:r>
    </w:p>
    <w:p w:rsidR="00C81B9C" w:rsidRDefault="00C81B9C">
      <w:pPr>
        <w:pStyle w:val="BodyText"/>
        <w:rPr>
          <w:sz w:val="22"/>
        </w:rPr>
      </w:pPr>
    </w:p>
    <w:p w:rsidR="00C81B9C" w:rsidRDefault="00C81B9C">
      <w:pPr>
        <w:pStyle w:val="BodyText"/>
        <w:spacing w:before="4"/>
        <w:rPr>
          <w:sz w:val="25"/>
        </w:rPr>
      </w:pPr>
    </w:p>
    <w:p w:rsidR="00C81B9C" w:rsidRDefault="00A7632B">
      <w:pPr>
        <w:pStyle w:val="BodyText"/>
        <w:ind w:left="135"/>
      </w:pPr>
      <w:r>
        <w:t>CY 2019 Formulary Reference File (FRF)</w:t>
      </w:r>
    </w:p>
    <w:p w:rsidR="00C81B9C" w:rsidRDefault="00C81B9C">
      <w:pPr>
        <w:pStyle w:val="BodyText"/>
        <w:spacing w:before="8"/>
        <w:rPr>
          <w:sz w:val="25"/>
        </w:rPr>
      </w:pPr>
    </w:p>
    <w:p w:rsidR="00C81B9C" w:rsidRDefault="00A7632B">
      <w:pPr>
        <w:pStyle w:val="BodyText"/>
        <w:spacing w:line="333" w:lineRule="auto"/>
        <w:ind w:left="124" w:right="95" w:firstLine="6"/>
      </w:pPr>
      <w:r>
        <w:rPr>
          <w:w w:val="105"/>
        </w:rPr>
        <w:t>IHA supports moving the release of the summer update window from July to August, and we recommend having the window close in mid-August to allow for sufficient time for fo</w:t>
      </w:r>
      <w:r>
        <w:rPr>
          <w:w w:val="105"/>
        </w:rPr>
        <w:t>rmulary printing. As CMS states, moving the summer update window from July to August would allow for the inclusion of newly approved drugs to the formulary, and would reduce the number of drugs that would appear on the future year's February FRF release. T</w:t>
      </w:r>
      <w:r>
        <w:rPr>
          <w:w w:val="105"/>
        </w:rPr>
        <w:t>his will lead to more accuracy and consistency between the current and future year formulary files regarding the removal of brand drugs and the addition of any new drugs. This would also reduce the amount of formulary changes and negative change requests t</w:t>
      </w:r>
      <w:r>
        <w:rPr>
          <w:w w:val="105"/>
        </w:rPr>
        <w:t>hat would occur during the first couple of formulary submissions for the future year.</w:t>
      </w:r>
    </w:p>
    <w:p w:rsidR="00C81B9C" w:rsidRDefault="00C81B9C">
      <w:pPr>
        <w:pStyle w:val="BodyText"/>
        <w:rPr>
          <w:sz w:val="22"/>
        </w:rPr>
      </w:pPr>
    </w:p>
    <w:p w:rsidR="00C81B9C" w:rsidRDefault="00C81B9C">
      <w:pPr>
        <w:pStyle w:val="BodyText"/>
        <w:rPr>
          <w:sz w:val="22"/>
        </w:rPr>
      </w:pPr>
    </w:p>
    <w:p w:rsidR="00C81B9C" w:rsidRDefault="00C81B9C">
      <w:pPr>
        <w:pStyle w:val="BodyText"/>
        <w:spacing w:before="2"/>
        <w:rPr>
          <w:sz w:val="22"/>
        </w:rPr>
      </w:pPr>
    </w:p>
    <w:p w:rsidR="00C81B9C" w:rsidRDefault="00A7632B">
      <w:pPr>
        <w:ind w:left="122"/>
        <w:rPr>
          <w:b/>
          <w:sz w:val="19"/>
        </w:rPr>
      </w:pPr>
      <w:r>
        <w:rPr>
          <w:b/>
          <w:w w:val="105"/>
          <w:sz w:val="19"/>
        </w:rPr>
        <w:t>Changes for CY2019 Formulary Submissions</w:t>
      </w:r>
    </w:p>
    <w:p w:rsidR="00C81B9C" w:rsidRDefault="00C81B9C">
      <w:pPr>
        <w:pStyle w:val="BodyText"/>
        <w:spacing w:before="1"/>
        <w:rPr>
          <w:b/>
          <w:sz w:val="26"/>
        </w:rPr>
      </w:pPr>
    </w:p>
    <w:p w:rsidR="00C81B9C" w:rsidRDefault="00A7632B">
      <w:pPr>
        <w:pStyle w:val="BodyText"/>
        <w:spacing w:line="336" w:lineRule="auto"/>
        <w:ind w:left="113" w:right="192" w:firstLine="7"/>
      </w:pPr>
      <w:r>
        <w:rPr>
          <w:w w:val="105"/>
        </w:rPr>
        <w:t xml:space="preserve">IHA supports the proposal for removing the NDS supplemental file from the formulary submission. We are in agreement with the </w:t>
      </w:r>
      <w:r>
        <w:rPr>
          <w:w w:val="105"/>
        </w:rPr>
        <w:t>reasoning provided in the Call Letter, that the NDS supplemental file has been operationally challenging and a burden to maintain, outweighing any benefit. Moreover, as CMS points out, plans will continue to identify any drugs for which they impose a one m</w:t>
      </w:r>
      <w:r>
        <w:rPr>
          <w:w w:val="105"/>
        </w:rPr>
        <w:t>onth supply limit in their PBP submissions.</w:t>
      </w:r>
    </w:p>
    <w:p w:rsidR="00C81B9C" w:rsidRDefault="00C81B9C">
      <w:pPr>
        <w:spacing w:line="336" w:lineRule="auto"/>
        <w:sectPr w:rsidR="00C81B9C">
          <w:pgSz w:w="12240" w:h="15840"/>
          <w:pgMar w:top="1260" w:right="1540" w:bottom="1340" w:left="1280" w:header="0" w:footer="1014" w:gutter="0"/>
          <w:cols w:space="720"/>
        </w:sectPr>
      </w:pPr>
    </w:p>
    <w:p w:rsidR="00C81B9C" w:rsidRDefault="00A7632B">
      <w:pPr>
        <w:spacing w:before="79" w:line="554" w:lineRule="auto"/>
        <w:ind w:left="144" w:right="1993" w:firstLine="5"/>
        <w:rPr>
          <w:b/>
          <w:sz w:val="20"/>
        </w:rPr>
      </w:pPr>
      <w:bookmarkStart w:id="0" w:name="_GoBack"/>
      <w:r>
        <w:rPr>
          <w:b/>
          <w:w w:val="105"/>
          <w:sz w:val="20"/>
        </w:rPr>
        <w:lastRenderedPageBreak/>
        <w:t xml:space="preserve">Improving Drug Utilization Review Controls in Medicare Part D </w:t>
      </w:r>
      <w:r>
        <w:rPr>
          <w:b/>
          <w:sz w:val="20"/>
        </w:rPr>
        <w:t>Concurrent DUR</w:t>
      </w:r>
    </w:p>
    <w:p w:rsidR="00C81B9C" w:rsidRDefault="00A7632B">
      <w:pPr>
        <w:spacing w:before="13"/>
        <w:ind w:left="144"/>
        <w:rPr>
          <w:b/>
          <w:sz w:val="20"/>
        </w:rPr>
      </w:pPr>
      <w:r>
        <w:rPr>
          <w:b/>
          <w:sz w:val="20"/>
        </w:rPr>
        <w:t>Days Supply Limits for Opioid Na"ive Patients</w:t>
      </w:r>
    </w:p>
    <w:p w:rsidR="00C81B9C" w:rsidRDefault="00C81B9C">
      <w:pPr>
        <w:pStyle w:val="BodyText"/>
        <w:spacing w:before="9"/>
        <w:rPr>
          <w:b/>
          <w:sz w:val="25"/>
        </w:rPr>
      </w:pPr>
    </w:p>
    <w:p w:rsidR="00C81B9C" w:rsidRDefault="00A7632B">
      <w:pPr>
        <w:pStyle w:val="BodyText"/>
        <w:spacing w:line="333" w:lineRule="auto"/>
        <w:ind w:left="130" w:right="19" w:firstLine="3"/>
      </w:pPr>
      <w:r>
        <w:rPr>
          <w:w w:val="105"/>
        </w:rPr>
        <w:t xml:space="preserve">IHA supports a 7-day supply limit. We believe there are circumstances where an acute supply of an opiate prescription requires longer treatment than 3 to 5 days. We ask CMS to define what criteria constitutes an initial fill. We also ask CMS to define the </w:t>
      </w:r>
      <w:r>
        <w:rPr>
          <w:w w:val="105"/>
        </w:rPr>
        <w:t>requirements regarding transition fills for these drugs when applicable. Transition supplies are required when the plan cannot distinguish ongoing versus new therapy. Because claims history would not be available for new members from another parent organiz</w:t>
      </w:r>
      <w:r>
        <w:rPr>
          <w:w w:val="105"/>
        </w:rPr>
        <w:t>ation, we ask that CMS define expectations of plan sponsors as far as whether plan sponsors are to treat these initial fills as ongoing therapy and allow up to a 30-day supply transition fill.</w:t>
      </w:r>
    </w:p>
    <w:p w:rsidR="00C81B9C" w:rsidRDefault="00C81B9C">
      <w:pPr>
        <w:pStyle w:val="BodyText"/>
        <w:rPr>
          <w:sz w:val="22"/>
        </w:rPr>
      </w:pPr>
    </w:p>
    <w:p w:rsidR="00C81B9C" w:rsidRDefault="00C81B9C">
      <w:pPr>
        <w:pStyle w:val="BodyText"/>
        <w:rPr>
          <w:sz w:val="22"/>
        </w:rPr>
      </w:pPr>
    </w:p>
    <w:p w:rsidR="00C81B9C" w:rsidRDefault="00C81B9C">
      <w:pPr>
        <w:pStyle w:val="BodyText"/>
        <w:spacing w:before="11"/>
        <w:rPr>
          <w:sz w:val="19"/>
        </w:rPr>
      </w:pPr>
    </w:p>
    <w:p w:rsidR="00C81B9C" w:rsidRDefault="00A7632B">
      <w:pPr>
        <w:pStyle w:val="BodyText"/>
        <w:spacing w:line="333" w:lineRule="auto"/>
        <w:ind w:left="114" w:firstLine="10"/>
      </w:pPr>
      <w:r>
        <w:rPr>
          <w:w w:val="105"/>
        </w:rPr>
        <w:t>Thank you again for the opportunity to comment and thank you</w:t>
      </w:r>
      <w:r>
        <w:rPr>
          <w:w w:val="105"/>
        </w:rPr>
        <w:t xml:space="preserve"> for considering IHA's views on the CY 2019 Advance Notice of Methodological Changes for Medicare Advantage Capitation Rates, Part C and Part D Payment Policies and draft Call Letter (CMS-2017-0163). If there are any questions or additional information is </w:t>
      </w:r>
      <w:r>
        <w:rPr>
          <w:w w:val="105"/>
        </w:rPr>
        <w:t xml:space="preserve">needed, please contact Jeremy Laubacker at </w:t>
      </w:r>
      <w:hyperlink r:id="rId10">
        <w:r>
          <w:rPr>
            <w:w w:val="105"/>
            <w:u w:val="single"/>
          </w:rPr>
          <w:t>Jeremy.Laubacker@independenthealth.com</w:t>
        </w:r>
        <w:r>
          <w:rPr>
            <w:w w:val="105"/>
          </w:rPr>
          <w:t>.</w:t>
        </w:r>
      </w:hyperlink>
    </w:p>
    <w:p w:rsidR="00C81B9C" w:rsidRDefault="00C81B9C">
      <w:pPr>
        <w:pStyle w:val="BodyText"/>
        <w:rPr>
          <w:sz w:val="22"/>
        </w:rPr>
      </w:pPr>
    </w:p>
    <w:p w:rsidR="00C81B9C" w:rsidRDefault="00C81B9C">
      <w:pPr>
        <w:pStyle w:val="BodyText"/>
        <w:rPr>
          <w:sz w:val="22"/>
        </w:rPr>
      </w:pPr>
    </w:p>
    <w:p w:rsidR="00C81B9C" w:rsidRDefault="00C81B9C">
      <w:pPr>
        <w:pStyle w:val="BodyText"/>
        <w:rPr>
          <w:sz w:val="22"/>
        </w:rPr>
      </w:pPr>
    </w:p>
    <w:p w:rsidR="00C81B9C" w:rsidRDefault="00C81B9C">
      <w:pPr>
        <w:pStyle w:val="BodyText"/>
        <w:rPr>
          <w:sz w:val="22"/>
        </w:rPr>
      </w:pPr>
    </w:p>
    <w:p w:rsidR="00C81B9C" w:rsidRDefault="00A7632B">
      <w:pPr>
        <w:spacing w:before="155"/>
        <w:ind w:left="118"/>
        <w:rPr>
          <w:b/>
          <w:sz w:val="20"/>
        </w:rPr>
      </w:pPr>
      <w:r>
        <w:rPr>
          <w:b/>
          <w:w w:val="600"/>
          <w:sz w:val="20"/>
        </w:rPr>
        <w:t>Si</w:t>
      </w:r>
    </w:p>
    <w:p w:rsidR="00C81B9C" w:rsidRDefault="00C81B9C">
      <w:pPr>
        <w:pStyle w:val="BodyText"/>
        <w:rPr>
          <w:b/>
          <w:sz w:val="22"/>
        </w:rPr>
      </w:pPr>
    </w:p>
    <w:p w:rsidR="00C81B9C" w:rsidRDefault="00A7632B">
      <w:pPr>
        <w:pStyle w:val="BodyText"/>
        <w:spacing w:before="159"/>
        <w:ind w:left="113"/>
      </w:pPr>
      <w:r>
        <w:t>Robert Tracy</w:t>
      </w:r>
    </w:p>
    <w:p w:rsidR="00C81B9C" w:rsidRDefault="00A7632B">
      <w:pPr>
        <w:pStyle w:val="BodyText"/>
        <w:spacing w:before="50"/>
        <w:ind w:left="110"/>
      </w:pPr>
      <w:r>
        <w:t>Senior Vice President, Government  Programs</w:t>
      </w:r>
      <w:bookmarkEnd w:id="0"/>
    </w:p>
    <w:sectPr w:rsidR="00C81B9C">
      <w:footerReference w:type="default" r:id="rId11"/>
      <w:pgSz w:w="12240" w:h="15840"/>
      <w:pgMar w:top="1420" w:right="1480" w:bottom="1220" w:left="1340" w:header="0" w:footer="102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7632B">
      <w:r>
        <w:separator/>
      </w:r>
    </w:p>
  </w:endnote>
  <w:endnote w:type="continuationSeparator" w:id="0">
    <w:p w:rsidR="00000000" w:rsidRDefault="00A76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B9C" w:rsidRDefault="00A7632B">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97.4pt;margin-top:724.05pt;width:12.5pt;height:19pt;z-index:-5632;mso-position-horizontal-relative:page;mso-position-vertical-relative:page" filled="f" stroked="f">
          <v:textbox inset="0,0,0,0">
            <w:txbxContent>
              <w:p w:rsidR="00C81B9C" w:rsidRDefault="00A7632B">
                <w:pPr>
                  <w:spacing w:before="140"/>
                  <w:ind w:left="99"/>
                  <w:rPr>
                    <w:sz w:val="19"/>
                  </w:rPr>
                </w:pPr>
                <w:r>
                  <w:fldChar w:fldCharType="begin"/>
                </w:r>
                <w:r>
                  <w:rPr>
                    <w:w w:val="103"/>
                    <w:sz w:val="19"/>
                  </w:rPr>
                  <w:instrText xml:space="preserve"> PAGE </w:instrText>
                </w:r>
                <w:r>
                  <w:fldChar w:fldCharType="separate"/>
                </w:r>
                <w:r>
                  <w:rPr>
                    <w:noProof/>
                    <w:w w:val="103"/>
                    <w:sz w:val="19"/>
                  </w:rPr>
                  <w:t>3</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B9C" w:rsidRDefault="00A7632B">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7.4pt;margin-top:723.1pt;width:13.45pt;height:19.85pt;z-index:-5608;mso-position-horizontal-relative:page;mso-position-vertical-relative:page" filled="f" stroked="f">
          <v:textbox inset="0,0,0,0">
            <w:txbxContent>
              <w:p w:rsidR="00C81B9C" w:rsidRDefault="00A7632B">
                <w:pPr>
                  <w:spacing w:before="158"/>
                  <w:ind w:left="112"/>
                  <w:rPr>
                    <w:sz w:val="19"/>
                  </w:rPr>
                </w:pPr>
                <w:r>
                  <w:fldChar w:fldCharType="begin"/>
                </w:r>
                <w:r>
                  <w:rPr>
                    <w:w w:val="109"/>
                    <w:sz w:val="19"/>
                  </w:rPr>
                  <w:instrText xml:space="preserve"> PAGE </w:instrText>
                </w:r>
                <w:r>
                  <w:fldChar w:fldCharType="separate"/>
                </w:r>
                <w:r>
                  <w:rPr>
                    <w:noProof/>
                    <w:w w:val="109"/>
                    <w:sz w:val="19"/>
                  </w:rPr>
                  <w:t>5</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B9C" w:rsidRDefault="00A7632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1.3pt;margin-top:729.7pt;width:7.55pt;height:12.65pt;z-index:-5584;mso-position-horizontal-relative:page;mso-position-vertical-relative:page" filled="f" stroked="f">
          <v:textbox inset="0,0,0,0">
            <w:txbxContent>
              <w:p w:rsidR="00C81B9C" w:rsidRDefault="00A7632B">
                <w:pPr>
                  <w:spacing w:before="13"/>
                  <w:ind w:left="20"/>
                  <w:rPr>
                    <w:sz w:val="19"/>
                  </w:rPr>
                </w:pPr>
                <w:r>
                  <w:rPr>
                    <w:w w:val="104"/>
                    <w:sz w:val="19"/>
                  </w:rPr>
                  <w:t>6</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7632B">
      <w:r>
        <w:separator/>
      </w:r>
    </w:p>
  </w:footnote>
  <w:footnote w:type="continuationSeparator" w:id="0">
    <w:p w:rsidR="00000000" w:rsidRDefault="00A763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81B9C"/>
    <w:rsid w:val="00A7632B"/>
    <w:rsid w:val="00C81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51FB0445-8266-4170-BC1F-3B64E865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gulations.gov/" TargetMode="Externa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yperlink" Target="mailto:Jeremy.Laubacker@independenthealth.com" TargetMode="Externa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1960</Words>
  <Characters>10509</Characters>
  <Application>Microsoft Office Word</Application>
  <DocSecurity>0</DocSecurity>
  <Lines>285</Lines>
  <Paragraphs>56</Paragraphs>
  <ScaleCrop>false</ScaleCrop>
  <Company>CMS</Company>
  <LinksUpToDate>false</LinksUpToDate>
  <CharactersWithSpaces>12480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2018-06-12T23:29:00Z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2018-06-13T00:00:00Z</vt:filetime>
  </property>
</Properties>
</file>