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C351C" w14:textId="278E1730" w:rsidR="00D43669" w:rsidRDefault="00D43669" w:rsidP="00D43669">
      <w:pPr>
        <w:rPr>
          <w:rFonts w:ascii="Calibri" w:hAnsi="Calibri" w:cs="Calibri"/>
          <w:b/>
          <w:bCs/>
          <w:color w:val="000000"/>
          <w:sz w:val="28"/>
          <w:szCs w:val="28"/>
        </w:rPr>
      </w:pPr>
      <w:r w:rsidRPr="009509E5">
        <w:rPr>
          <w:rFonts w:ascii="Calibri" w:hAnsi="Calibri" w:cs="Calibri"/>
          <w:b/>
          <w:bCs/>
          <w:color w:val="000000"/>
          <w:sz w:val="28"/>
          <w:szCs w:val="28"/>
        </w:rPr>
        <w:t xml:space="preserve">Advance Notice of Methodological Changes for CY </w:t>
      </w:r>
      <w:r w:rsidR="005B36B0">
        <w:rPr>
          <w:rFonts w:ascii="Calibri" w:hAnsi="Calibri" w:cs="Calibri"/>
          <w:b/>
          <w:bCs/>
          <w:color w:val="000000"/>
          <w:sz w:val="28"/>
          <w:szCs w:val="28"/>
        </w:rPr>
        <w:t>2019</w:t>
      </w:r>
      <w:r w:rsidRPr="009509E5">
        <w:rPr>
          <w:rFonts w:ascii="Calibri" w:hAnsi="Calibri" w:cs="Calibri"/>
          <w:b/>
          <w:bCs/>
          <w:color w:val="000000"/>
          <w:sz w:val="28"/>
          <w:szCs w:val="28"/>
        </w:rPr>
        <w:t xml:space="preserve"> for Medicare Advantage, Part D and 201</w:t>
      </w:r>
      <w:r w:rsidR="005B36B0">
        <w:rPr>
          <w:rFonts w:ascii="Calibri" w:hAnsi="Calibri" w:cs="Calibri"/>
          <w:b/>
          <w:bCs/>
          <w:color w:val="000000"/>
          <w:sz w:val="28"/>
          <w:szCs w:val="28"/>
        </w:rPr>
        <w:t>9</w:t>
      </w:r>
      <w:r w:rsidRPr="009509E5">
        <w:rPr>
          <w:rFonts w:ascii="Calibri" w:hAnsi="Calibri" w:cs="Calibri"/>
          <w:b/>
          <w:bCs/>
          <w:color w:val="000000"/>
          <w:sz w:val="28"/>
          <w:szCs w:val="28"/>
        </w:rPr>
        <w:t xml:space="preserve"> Call Letter Draft</w:t>
      </w:r>
    </w:p>
    <w:p w14:paraId="70DE66C9" w14:textId="4671F642" w:rsidR="002B6B8F" w:rsidRPr="009509E5" w:rsidRDefault="009509E5" w:rsidP="00D43669">
      <w:pPr>
        <w:rPr>
          <w:sz w:val="28"/>
          <w:szCs w:val="28"/>
        </w:rPr>
      </w:pPr>
      <w:r w:rsidRPr="009509E5">
        <w:rPr>
          <w:b/>
          <w:sz w:val="28"/>
          <w:szCs w:val="28"/>
        </w:rPr>
        <w:t>Organization</w:t>
      </w:r>
      <w:r>
        <w:rPr>
          <w:sz w:val="28"/>
          <w:szCs w:val="28"/>
        </w:rPr>
        <w:t xml:space="preserve">: </w:t>
      </w:r>
      <w:r w:rsidR="00A010A9">
        <w:rPr>
          <w:sz w:val="28"/>
          <w:szCs w:val="28"/>
        </w:rPr>
        <w:t>MII Life, Inc.</w:t>
      </w:r>
      <w:r w:rsidR="000917DB" w:rsidRPr="009509E5">
        <w:rPr>
          <w:sz w:val="28"/>
          <w:szCs w:val="28"/>
        </w:rPr>
        <w:tab/>
      </w:r>
      <w:r w:rsidR="000917DB" w:rsidRPr="009509E5">
        <w:rPr>
          <w:b/>
          <w:sz w:val="28"/>
          <w:szCs w:val="28"/>
        </w:rPr>
        <w:t>Contact</w:t>
      </w:r>
      <w:r w:rsidR="000917DB" w:rsidRPr="009509E5">
        <w:rPr>
          <w:sz w:val="28"/>
          <w:szCs w:val="28"/>
        </w:rPr>
        <w:t xml:space="preserve">: </w:t>
      </w:r>
      <w:r w:rsidRPr="009509E5">
        <w:rPr>
          <w:sz w:val="28"/>
          <w:szCs w:val="28"/>
        </w:rPr>
        <w:t>Amy Luhmann</w:t>
      </w:r>
      <w:r w:rsidRPr="009509E5">
        <w:rPr>
          <w:sz w:val="28"/>
          <w:szCs w:val="28"/>
        </w:rPr>
        <w:tab/>
      </w:r>
      <w:hyperlink r:id="rId8" w:history="1">
        <w:r w:rsidRPr="009509E5">
          <w:rPr>
            <w:rStyle w:val="Hyperlink"/>
            <w:sz w:val="28"/>
            <w:szCs w:val="28"/>
          </w:rPr>
          <w:t>amy.luhmann@clearstonesolutions.com</w:t>
        </w:r>
      </w:hyperlink>
      <w:r w:rsidRPr="009509E5">
        <w:rPr>
          <w:sz w:val="28"/>
          <w:szCs w:val="28"/>
        </w:rPr>
        <w:tab/>
        <w:t>651-662-3162</w:t>
      </w:r>
    </w:p>
    <w:tbl>
      <w:tblPr>
        <w:tblStyle w:val="TableGrid"/>
        <w:tblW w:w="13866" w:type="dxa"/>
        <w:tblLook w:val="04A0" w:firstRow="1" w:lastRow="0" w:firstColumn="1" w:lastColumn="0" w:noHBand="0" w:noVBand="1"/>
      </w:tblPr>
      <w:tblGrid>
        <w:gridCol w:w="2605"/>
        <w:gridCol w:w="5760"/>
        <w:gridCol w:w="5501"/>
      </w:tblGrid>
      <w:tr w:rsidR="00F07381" w:rsidRPr="005B36B0" w14:paraId="0A18842C" w14:textId="77777777" w:rsidTr="00F36620">
        <w:trPr>
          <w:trHeight w:val="314"/>
          <w:tblHeader/>
        </w:trPr>
        <w:tc>
          <w:tcPr>
            <w:tcW w:w="2605" w:type="dxa"/>
            <w:tcBorders>
              <w:bottom w:val="single" w:sz="4" w:space="0" w:color="auto"/>
            </w:tcBorders>
            <w:shd w:val="clear" w:color="auto" w:fill="000000" w:themeFill="text1"/>
          </w:tcPr>
          <w:p w14:paraId="46186590" w14:textId="02EF6CDA" w:rsidR="00D43669" w:rsidRPr="005B36B0" w:rsidRDefault="00D43669" w:rsidP="005B36B0">
            <w:pPr>
              <w:rPr>
                <w:rFonts w:cs="Aharoni"/>
                <w:b/>
                <w:sz w:val="24"/>
                <w:szCs w:val="24"/>
              </w:rPr>
            </w:pPr>
            <w:r w:rsidRPr="005B36B0">
              <w:rPr>
                <w:rFonts w:cs="Aharoni"/>
                <w:b/>
                <w:sz w:val="24"/>
                <w:szCs w:val="24"/>
              </w:rPr>
              <w:t>Section</w:t>
            </w:r>
            <w:r w:rsidR="005B36B0">
              <w:rPr>
                <w:rFonts w:cs="Aharoni"/>
                <w:b/>
                <w:sz w:val="24"/>
                <w:szCs w:val="24"/>
              </w:rPr>
              <w:t>/</w:t>
            </w:r>
            <w:r w:rsidRPr="005B36B0">
              <w:rPr>
                <w:rFonts w:cs="Aharoni"/>
                <w:b/>
                <w:sz w:val="24"/>
                <w:szCs w:val="24"/>
              </w:rPr>
              <w:t>Page #</w:t>
            </w:r>
          </w:p>
        </w:tc>
        <w:tc>
          <w:tcPr>
            <w:tcW w:w="5760" w:type="dxa"/>
            <w:tcBorders>
              <w:bottom w:val="single" w:sz="4" w:space="0" w:color="auto"/>
            </w:tcBorders>
            <w:shd w:val="clear" w:color="auto" w:fill="000000" w:themeFill="text1"/>
          </w:tcPr>
          <w:p w14:paraId="30FD242C" w14:textId="77777777" w:rsidR="00D43669" w:rsidRPr="005B36B0" w:rsidRDefault="00431E4C" w:rsidP="00F07381">
            <w:pPr>
              <w:jc w:val="center"/>
              <w:rPr>
                <w:rFonts w:cs="Aharoni"/>
                <w:b/>
                <w:sz w:val="24"/>
                <w:szCs w:val="24"/>
              </w:rPr>
            </w:pPr>
            <w:r w:rsidRPr="005B36B0">
              <w:rPr>
                <w:rFonts w:cs="Aharoni"/>
                <w:b/>
                <w:sz w:val="24"/>
                <w:szCs w:val="24"/>
              </w:rPr>
              <w:t>CMS Proposal</w:t>
            </w:r>
          </w:p>
        </w:tc>
        <w:tc>
          <w:tcPr>
            <w:tcW w:w="5501" w:type="dxa"/>
            <w:tcBorders>
              <w:bottom w:val="single" w:sz="4" w:space="0" w:color="auto"/>
            </w:tcBorders>
            <w:shd w:val="clear" w:color="auto" w:fill="000000" w:themeFill="text1"/>
          </w:tcPr>
          <w:p w14:paraId="7A61842C" w14:textId="77777777" w:rsidR="00D43669" w:rsidRPr="005B36B0" w:rsidRDefault="00D43669" w:rsidP="00F07381">
            <w:pPr>
              <w:jc w:val="center"/>
              <w:rPr>
                <w:rFonts w:cs="Aharoni"/>
                <w:b/>
                <w:sz w:val="24"/>
                <w:szCs w:val="24"/>
              </w:rPr>
            </w:pPr>
            <w:r w:rsidRPr="005B36B0">
              <w:rPr>
                <w:rFonts w:cs="Aharoni"/>
                <w:b/>
                <w:sz w:val="24"/>
                <w:szCs w:val="24"/>
              </w:rPr>
              <w:t>Comments</w:t>
            </w:r>
          </w:p>
        </w:tc>
      </w:tr>
      <w:tr w:rsidR="00217C10" w:rsidRPr="000F5399" w14:paraId="178C0D68" w14:textId="77777777" w:rsidTr="00F36620">
        <w:trPr>
          <w:trHeight w:val="278"/>
        </w:trPr>
        <w:tc>
          <w:tcPr>
            <w:tcW w:w="2605" w:type="dxa"/>
            <w:shd w:val="clear" w:color="auto" w:fill="CCFF66"/>
          </w:tcPr>
          <w:p w14:paraId="69934CF2" w14:textId="77777777" w:rsidR="00217C10" w:rsidRPr="000F5399" w:rsidRDefault="00217C10" w:rsidP="007B58AD">
            <w:pPr>
              <w:pStyle w:val="ListParagraph"/>
              <w:numPr>
                <w:ilvl w:val="0"/>
                <w:numId w:val="6"/>
              </w:numPr>
              <w:rPr>
                <w:rFonts w:cstheme="minorHAnsi"/>
                <w:b/>
              </w:rPr>
            </w:pPr>
            <w:r w:rsidRPr="000F5399">
              <w:rPr>
                <w:rFonts w:cstheme="minorHAnsi"/>
                <w:b/>
              </w:rPr>
              <w:t>Parts C and D</w:t>
            </w:r>
          </w:p>
        </w:tc>
        <w:tc>
          <w:tcPr>
            <w:tcW w:w="5760" w:type="dxa"/>
            <w:shd w:val="clear" w:color="auto" w:fill="CCFF66"/>
          </w:tcPr>
          <w:p w14:paraId="52FBCC42" w14:textId="77777777" w:rsidR="00217C10" w:rsidRPr="000F5399" w:rsidRDefault="00217C10" w:rsidP="007B58AD">
            <w:pPr>
              <w:rPr>
                <w:rFonts w:cstheme="minorHAnsi"/>
              </w:rPr>
            </w:pPr>
          </w:p>
        </w:tc>
        <w:tc>
          <w:tcPr>
            <w:tcW w:w="5501" w:type="dxa"/>
            <w:shd w:val="clear" w:color="auto" w:fill="CCFF66"/>
          </w:tcPr>
          <w:p w14:paraId="20D7F2D8" w14:textId="77777777" w:rsidR="00217C10" w:rsidRPr="000F5399" w:rsidRDefault="00217C10" w:rsidP="00217C10">
            <w:pPr>
              <w:rPr>
                <w:rFonts w:cstheme="minorHAnsi"/>
              </w:rPr>
            </w:pPr>
          </w:p>
        </w:tc>
      </w:tr>
      <w:tr w:rsidR="007C062F" w:rsidRPr="007D37D7" w14:paraId="7E68C745" w14:textId="77777777" w:rsidTr="00F36620">
        <w:tc>
          <w:tcPr>
            <w:tcW w:w="8365" w:type="dxa"/>
            <w:gridSpan w:val="2"/>
            <w:shd w:val="clear" w:color="auto" w:fill="000000" w:themeFill="text1"/>
          </w:tcPr>
          <w:p w14:paraId="5BA521FC" w14:textId="7330A97B" w:rsidR="007C062F" w:rsidRPr="007C062F" w:rsidRDefault="007C062F" w:rsidP="00FC0844">
            <w:pPr>
              <w:rPr>
                <w:rFonts w:cstheme="minorHAnsi"/>
                <w:b/>
                <w:sz w:val="20"/>
                <w:szCs w:val="20"/>
              </w:rPr>
            </w:pPr>
            <w:r w:rsidRPr="007C062F">
              <w:rPr>
                <w:rFonts w:cstheme="minorHAnsi"/>
                <w:b/>
                <w:sz w:val="20"/>
                <w:szCs w:val="20"/>
              </w:rPr>
              <w:t>Enhancements to the 2019 Star Ratings and Future Measurement Concepts</w:t>
            </w:r>
          </w:p>
        </w:tc>
        <w:tc>
          <w:tcPr>
            <w:tcW w:w="5501" w:type="dxa"/>
            <w:shd w:val="clear" w:color="auto" w:fill="000000" w:themeFill="text1"/>
          </w:tcPr>
          <w:p w14:paraId="6915A506" w14:textId="255A1B30" w:rsidR="007C062F" w:rsidRPr="007D37D7" w:rsidRDefault="007C062F" w:rsidP="00F24ED9">
            <w:pPr>
              <w:rPr>
                <w:rFonts w:cstheme="minorHAnsi"/>
                <w:sz w:val="20"/>
                <w:szCs w:val="20"/>
              </w:rPr>
            </w:pPr>
          </w:p>
        </w:tc>
      </w:tr>
      <w:tr w:rsidR="00C31F70" w:rsidRPr="007D37D7" w14:paraId="7510E367" w14:textId="77777777" w:rsidTr="00F36620">
        <w:trPr>
          <w:trHeight w:val="305"/>
        </w:trPr>
        <w:tc>
          <w:tcPr>
            <w:tcW w:w="2605" w:type="dxa"/>
          </w:tcPr>
          <w:p w14:paraId="263383C9" w14:textId="5BFC01B1" w:rsidR="00C31F70" w:rsidRDefault="00C31F70" w:rsidP="00C31F70">
            <w:pPr>
              <w:rPr>
                <w:rFonts w:cstheme="minorHAnsi"/>
                <w:sz w:val="20"/>
                <w:szCs w:val="20"/>
              </w:rPr>
            </w:pPr>
            <w:r>
              <w:rPr>
                <w:rFonts w:cstheme="minorHAnsi"/>
                <w:sz w:val="20"/>
                <w:szCs w:val="20"/>
              </w:rPr>
              <w:t>Removal of Measures Pg 112</w:t>
            </w:r>
          </w:p>
        </w:tc>
        <w:tc>
          <w:tcPr>
            <w:tcW w:w="5760" w:type="dxa"/>
          </w:tcPr>
          <w:p w14:paraId="21536FCB" w14:textId="032F3B40" w:rsidR="00C31F70" w:rsidRPr="007D37D7" w:rsidRDefault="00C31F70" w:rsidP="00C31F70">
            <w:pPr>
              <w:rPr>
                <w:rFonts w:cstheme="minorHAnsi"/>
                <w:sz w:val="20"/>
                <w:szCs w:val="20"/>
              </w:rPr>
            </w:pPr>
            <w:r>
              <w:rPr>
                <w:rFonts w:cstheme="minorHAnsi"/>
                <w:sz w:val="20"/>
                <w:szCs w:val="20"/>
              </w:rPr>
              <w:t xml:space="preserve">Retire </w:t>
            </w:r>
            <w:r w:rsidR="00E5675A">
              <w:rPr>
                <w:rFonts w:cstheme="minorHAnsi"/>
                <w:sz w:val="20"/>
                <w:szCs w:val="20"/>
              </w:rPr>
              <w:t xml:space="preserve">current </w:t>
            </w:r>
            <w:r>
              <w:rPr>
                <w:rFonts w:cstheme="minorHAnsi"/>
                <w:sz w:val="20"/>
                <w:szCs w:val="20"/>
              </w:rPr>
              <w:t>BAPP for 2019 star ratings</w:t>
            </w:r>
            <w:r w:rsidR="00E5675A">
              <w:rPr>
                <w:rFonts w:cstheme="minorHAnsi"/>
                <w:sz w:val="20"/>
                <w:szCs w:val="20"/>
              </w:rPr>
              <w:t>. Modify to only include Compliance Activity Module (CAM) data</w:t>
            </w:r>
            <w:r w:rsidR="00B77387">
              <w:rPr>
                <w:rFonts w:cstheme="minorHAnsi"/>
                <w:sz w:val="20"/>
                <w:szCs w:val="20"/>
              </w:rPr>
              <w:t xml:space="preserve"> and be on display page for 2019 star ratings.</w:t>
            </w:r>
          </w:p>
        </w:tc>
        <w:tc>
          <w:tcPr>
            <w:tcW w:w="5501" w:type="dxa"/>
          </w:tcPr>
          <w:p w14:paraId="6ACA162C" w14:textId="15DAA043" w:rsidR="00C31F70" w:rsidRDefault="00866D53" w:rsidP="00C31F70">
            <w:pPr>
              <w:rPr>
                <w:rFonts w:cstheme="minorHAnsi"/>
                <w:sz w:val="20"/>
                <w:szCs w:val="20"/>
              </w:rPr>
            </w:pPr>
            <w:r>
              <w:rPr>
                <w:rFonts w:cstheme="minorHAnsi"/>
                <w:sz w:val="20"/>
                <w:szCs w:val="20"/>
              </w:rPr>
              <w:t>We recommend retiring this measure permanently in a move toward separating auditing and enforcement activities from STAR ratings</w:t>
            </w:r>
            <w:r w:rsidR="00E95A92">
              <w:rPr>
                <w:rFonts w:cstheme="minorHAnsi"/>
                <w:sz w:val="20"/>
                <w:szCs w:val="20"/>
              </w:rPr>
              <w:t>.</w:t>
            </w:r>
            <w:r>
              <w:rPr>
                <w:rFonts w:cstheme="minorHAnsi"/>
                <w:sz w:val="20"/>
                <w:szCs w:val="20"/>
              </w:rPr>
              <w:t xml:space="preserve"> </w:t>
            </w:r>
            <w:r w:rsidR="00E95A92">
              <w:rPr>
                <w:rFonts w:cstheme="minorHAnsi"/>
                <w:sz w:val="20"/>
                <w:szCs w:val="20"/>
              </w:rPr>
              <w:t>I</w:t>
            </w:r>
            <w:r w:rsidRPr="00866D53">
              <w:rPr>
                <w:rFonts w:cstheme="minorHAnsi"/>
                <w:sz w:val="20"/>
                <w:szCs w:val="20"/>
              </w:rPr>
              <w:t>nconsistenc</w:t>
            </w:r>
            <w:r>
              <w:rPr>
                <w:rFonts w:cstheme="minorHAnsi"/>
                <w:sz w:val="20"/>
                <w:szCs w:val="20"/>
              </w:rPr>
              <w:t>ies</w:t>
            </w:r>
            <w:r w:rsidRPr="00866D53">
              <w:rPr>
                <w:rFonts w:cstheme="minorHAnsi"/>
                <w:sz w:val="20"/>
                <w:szCs w:val="20"/>
              </w:rPr>
              <w:t xml:space="preserve"> in </w:t>
            </w:r>
            <w:r>
              <w:rPr>
                <w:rFonts w:cstheme="minorHAnsi"/>
                <w:sz w:val="20"/>
                <w:szCs w:val="20"/>
              </w:rPr>
              <w:t>n</w:t>
            </w:r>
            <w:r w:rsidRPr="00866D53">
              <w:rPr>
                <w:rFonts w:cstheme="minorHAnsi"/>
                <w:sz w:val="20"/>
                <w:szCs w:val="20"/>
              </w:rPr>
              <w:t>otices of non-compliance</w:t>
            </w:r>
            <w:r>
              <w:rPr>
                <w:rFonts w:cstheme="minorHAnsi"/>
                <w:sz w:val="20"/>
                <w:szCs w:val="20"/>
              </w:rPr>
              <w:t xml:space="preserve"> and</w:t>
            </w:r>
            <w:r w:rsidRPr="00866D53">
              <w:rPr>
                <w:rFonts w:cstheme="minorHAnsi"/>
                <w:sz w:val="20"/>
                <w:szCs w:val="20"/>
              </w:rPr>
              <w:t xml:space="preserve"> warning letters</w:t>
            </w:r>
            <w:r>
              <w:rPr>
                <w:rFonts w:cstheme="minorHAnsi"/>
                <w:sz w:val="20"/>
                <w:szCs w:val="20"/>
              </w:rPr>
              <w:t xml:space="preserve"> amongst different organization</w:t>
            </w:r>
            <w:r w:rsidR="00F5485B">
              <w:rPr>
                <w:rFonts w:cstheme="minorHAnsi"/>
                <w:sz w:val="20"/>
                <w:szCs w:val="20"/>
              </w:rPr>
              <w:t>s are cause for concern when considering impact to STARs</w:t>
            </w:r>
            <w:r>
              <w:rPr>
                <w:rFonts w:cstheme="minorHAnsi"/>
                <w:sz w:val="20"/>
                <w:szCs w:val="20"/>
              </w:rPr>
              <w:t xml:space="preserve">. </w:t>
            </w:r>
          </w:p>
          <w:p w14:paraId="18F473F3" w14:textId="1B34323D" w:rsidR="00866D53" w:rsidRPr="007D37D7" w:rsidRDefault="00866D53" w:rsidP="00C31F70">
            <w:pPr>
              <w:rPr>
                <w:rFonts w:cstheme="minorHAnsi"/>
                <w:sz w:val="20"/>
                <w:szCs w:val="20"/>
              </w:rPr>
            </w:pPr>
          </w:p>
        </w:tc>
      </w:tr>
      <w:tr w:rsidR="00C31F70" w:rsidRPr="007D37D7" w14:paraId="5625676E" w14:textId="77777777" w:rsidTr="001C5573">
        <w:trPr>
          <w:trHeight w:val="1610"/>
        </w:trPr>
        <w:tc>
          <w:tcPr>
            <w:tcW w:w="2605" w:type="dxa"/>
          </w:tcPr>
          <w:p w14:paraId="040A45E4" w14:textId="77777777" w:rsidR="00C31F70" w:rsidRDefault="00C31F70" w:rsidP="00C31F70">
            <w:pPr>
              <w:rPr>
                <w:rFonts w:cstheme="minorHAnsi"/>
                <w:sz w:val="20"/>
                <w:szCs w:val="20"/>
              </w:rPr>
            </w:pPr>
            <w:r>
              <w:rPr>
                <w:rFonts w:cstheme="minorHAnsi"/>
                <w:sz w:val="20"/>
                <w:szCs w:val="20"/>
              </w:rPr>
              <w:t>Data Integrity</w:t>
            </w:r>
          </w:p>
          <w:p w14:paraId="2F5BBC02" w14:textId="254C1CFD" w:rsidR="00C31F70" w:rsidRDefault="00C31F70" w:rsidP="00C31F70">
            <w:pPr>
              <w:rPr>
                <w:rFonts w:cstheme="minorHAnsi"/>
                <w:sz w:val="20"/>
                <w:szCs w:val="20"/>
              </w:rPr>
            </w:pPr>
            <w:r>
              <w:rPr>
                <w:rFonts w:cstheme="minorHAnsi"/>
                <w:sz w:val="20"/>
                <w:szCs w:val="20"/>
              </w:rPr>
              <w:t>Pg 113</w:t>
            </w:r>
          </w:p>
        </w:tc>
        <w:tc>
          <w:tcPr>
            <w:tcW w:w="5760" w:type="dxa"/>
          </w:tcPr>
          <w:p w14:paraId="6D4867D9" w14:textId="27099402" w:rsidR="00C31F70" w:rsidRPr="007D37D7" w:rsidRDefault="00C31F70" w:rsidP="00C31F70">
            <w:pPr>
              <w:rPr>
                <w:rFonts w:cstheme="minorHAnsi"/>
                <w:sz w:val="20"/>
                <w:szCs w:val="20"/>
              </w:rPr>
            </w:pPr>
            <w:r>
              <w:rPr>
                <w:rFonts w:cstheme="minorHAnsi"/>
                <w:sz w:val="20"/>
                <w:szCs w:val="20"/>
              </w:rPr>
              <w:t>Propose to define a contract as non-compliant if it either receives a “No” or a 1, 2, or 3 on the 5-point Likert scale in the specific data element’s data validation.</w:t>
            </w:r>
          </w:p>
        </w:tc>
        <w:tc>
          <w:tcPr>
            <w:tcW w:w="5501" w:type="dxa"/>
          </w:tcPr>
          <w:p w14:paraId="0DC4E8D8" w14:textId="030B43CB" w:rsidR="00C31F70" w:rsidRPr="001C5573" w:rsidRDefault="007A37CB" w:rsidP="00C31F70">
            <w:pPr>
              <w:rPr>
                <w:rFonts w:cstheme="minorHAnsi"/>
                <w:sz w:val="20"/>
                <w:szCs w:val="20"/>
              </w:rPr>
            </w:pPr>
            <w:r w:rsidRPr="001C5573">
              <w:rPr>
                <w:sz w:val="20"/>
                <w:szCs w:val="20"/>
              </w:rPr>
              <w:t>There are hundreds of data points in data validation</w:t>
            </w:r>
            <w:r w:rsidR="009E0768" w:rsidRPr="001C5573">
              <w:rPr>
                <w:sz w:val="20"/>
                <w:szCs w:val="20"/>
              </w:rPr>
              <w:t>. R</w:t>
            </w:r>
            <w:r w:rsidRPr="001C5573">
              <w:rPr>
                <w:sz w:val="20"/>
                <w:szCs w:val="20"/>
              </w:rPr>
              <w:t xml:space="preserve">eceiving a ‘no’ on any one element would not necessarily mean an entire contract is non-compliant.  </w:t>
            </w:r>
            <w:r w:rsidR="00734EC5" w:rsidRPr="001C5573">
              <w:rPr>
                <w:sz w:val="20"/>
                <w:szCs w:val="20"/>
              </w:rPr>
              <w:t>Please clarify that the proposal is to define a specific data element for a contract as non-compliant if it scores 3 or less, as opposed to the entire contract being non-compliant.</w:t>
            </w:r>
          </w:p>
        </w:tc>
      </w:tr>
      <w:tr w:rsidR="00C31F70" w:rsidRPr="007D37D7" w14:paraId="35B9FAC2" w14:textId="77777777" w:rsidTr="00F36620">
        <w:tc>
          <w:tcPr>
            <w:tcW w:w="8365" w:type="dxa"/>
            <w:gridSpan w:val="2"/>
            <w:shd w:val="clear" w:color="auto" w:fill="000000" w:themeFill="text1"/>
          </w:tcPr>
          <w:p w14:paraId="2D061D6A" w14:textId="45DDE678" w:rsidR="00C31F70" w:rsidRPr="006E25E6" w:rsidRDefault="00C31F70" w:rsidP="00C31F70">
            <w:pPr>
              <w:rPr>
                <w:rFonts w:cstheme="minorHAnsi"/>
                <w:b/>
                <w:sz w:val="20"/>
                <w:szCs w:val="20"/>
              </w:rPr>
            </w:pPr>
            <w:r w:rsidRPr="006E25E6">
              <w:rPr>
                <w:rFonts w:cstheme="minorHAnsi"/>
                <w:b/>
                <w:sz w:val="20"/>
                <w:szCs w:val="20"/>
              </w:rPr>
              <w:t>Validation Audits</w:t>
            </w:r>
          </w:p>
        </w:tc>
        <w:tc>
          <w:tcPr>
            <w:tcW w:w="5501" w:type="dxa"/>
            <w:shd w:val="clear" w:color="auto" w:fill="000000" w:themeFill="text1"/>
          </w:tcPr>
          <w:p w14:paraId="5EA331CA" w14:textId="65DE536F" w:rsidR="00C31F70" w:rsidRPr="006E25E6" w:rsidRDefault="00C31F70" w:rsidP="00C31F70">
            <w:pPr>
              <w:rPr>
                <w:rFonts w:cstheme="minorHAnsi"/>
                <w:b/>
                <w:sz w:val="20"/>
                <w:szCs w:val="20"/>
              </w:rPr>
            </w:pPr>
          </w:p>
        </w:tc>
      </w:tr>
      <w:tr w:rsidR="00B47FA4" w:rsidRPr="007D37D7" w14:paraId="6980EA8F" w14:textId="77777777" w:rsidTr="000962EA">
        <w:trPr>
          <w:cantSplit/>
          <w:trHeight w:val="845"/>
        </w:trPr>
        <w:tc>
          <w:tcPr>
            <w:tcW w:w="2605" w:type="dxa"/>
            <w:shd w:val="clear" w:color="auto" w:fill="FFFFFF" w:themeFill="background1"/>
          </w:tcPr>
          <w:p w14:paraId="194C169F" w14:textId="7C90031F" w:rsidR="00B47FA4" w:rsidRPr="006E52D0" w:rsidRDefault="00B47FA4" w:rsidP="00C31F70">
            <w:pPr>
              <w:rPr>
                <w:rFonts w:cstheme="minorHAnsi"/>
                <w:sz w:val="20"/>
                <w:szCs w:val="20"/>
              </w:rPr>
            </w:pPr>
            <w:r>
              <w:rPr>
                <w:rFonts w:cstheme="minorHAnsi"/>
                <w:sz w:val="20"/>
                <w:szCs w:val="20"/>
              </w:rPr>
              <w:t>Threshold for Requiring an Independent Validation Audit Pg. 160</w:t>
            </w:r>
          </w:p>
        </w:tc>
        <w:tc>
          <w:tcPr>
            <w:tcW w:w="5760" w:type="dxa"/>
            <w:shd w:val="clear" w:color="auto" w:fill="FFFFFF" w:themeFill="background1"/>
          </w:tcPr>
          <w:p w14:paraId="170C9892" w14:textId="2C73C34E" w:rsidR="00B47FA4" w:rsidRPr="007D37D7" w:rsidRDefault="00B47FA4" w:rsidP="0077353C">
            <w:pPr>
              <w:rPr>
                <w:rFonts w:cstheme="minorHAnsi"/>
                <w:sz w:val="20"/>
                <w:szCs w:val="20"/>
              </w:rPr>
            </w:pPr>
            <w:r>
              <w:rPr>
                <w:rFonts w:cstheme="minorHAnsi"/>
                <w:sz w:val="20"/>
                <w:szCs w:val="20"/>
              </w:rPr>
              <w:t>Change</w:t>
            </w:r>
            <w:r w:rsidR="005A45A7">
              <w:rPr>
                <w:rFonts w:cstheme="minorHAnsi"/>
                <w:sz w:val="20"/>
                <w:szCs w:val="20"/>
              </w:rPr>
              <w:t xml:space="preserve"> threshold</w:t>
            </w:r>
            <w:r>
              <w:rPr>
                <w:rFonts w:cstheme="minorHAnsi"/>
                <w:sz w:val="20"/>
                <w:szCs w:val="20"/>
              </w:rPr>
              <w:t xml:space="preserve"> from &gt;5 program audit conditions to &gt;5 </w:t>
            </w:r>
            <w:r w:rsidRPr="00622032">
              <w:rPr>
                <w:rFonts w:cstheme="minorHAnsi"/>
                <w:sz w:val="20"/>
                <w:szCs w:val="20"/>
                <w:u w:val="single"/>
              </w:rPr>
              <w:t>non-CPE</w:t>
            </w:r>
            <w:r>
              <w:rPr>
                <w:rFonts w:cstheme="minorHAnsi"/>
                <w:sz w:val="20"/>
                <w:szCs w:val="20"/>
              </w:rPr>
              <w:t xml:space="preserve"> conditions cited in final audit report.</w:t>
            </w:r>
          </w:p>
        </w:tc>
        <w:tc>
          <w:tcPr>
            <w:tcW w:w="5501" w:type="dxa"/>
            <w:shd w:val="clear" w:color="auto" w:fill="FFFFFF" w:themeFill="background1"/>
          </w:tcPr>
          <w:p w14:paraId="5945E577" w14:textId="36004E66" w:rsidR="00B47FA4" w:rsidRPr="007D37D7" w:rsidRDefault="00B47FA4" w:rsidP="0077353C">
            <w:pPr>
              <w:rPr>
                <w:rFonts w:cstheme="minorHAnsi"/>
                <w:sz w:val="20"/>
                <w:szCs w:val="20"/>
              </w:rPr>
            </w:pPr>
            <w:r>
              <w:rPr>
                <w:rFonts w:cstheme="minorHAnsi"/>
                <w:sz w:val="20"/>
                <w:szCs w:val="20"/>
              </w:rPr>
              <w:t>We support this change and thank the agency for addressing this issue.</w:t>
            </w:r>
            <w:r w:rsidR="00BE5BF8">
              <w:rPr>
                <w:rFonts w:cstheme="minorHAnsi"/>
                <w:sz w:val="20"/>
                <w:szCs w:val="20"/>
              </w:rPr>
              <w:t xml:space="preserve"> </w:t>
            </w:r>
          </w:p>
        </w:tc>
      </w:tr>
      <w:tr w:rsidR="0077353C" w:rsidRPr="007D37D7" w14:paraId="64873AE8" w14:textId="77777777" w:rsidTr="00E151FE">
        <w:trPr>
          <w:trHeight w:val="269"/>
        </w:trPr>
        <w:tc>
          <w:tcPr>
            <w:tcW w:w="8365" w:type="dxa"/>
            <w:gridSpan w:val="2"/>
            <w:tcBorders>
              <w:bottom w:val="single" w:sz="4" w:space="0" w:color="000000" w:themeColor="text1"/>
            </w:tcBorders>
            <w:shd w:val="clear" w:color="auto" w:fill="000000" w:themeFill="text1"/>
          </w:tcPr>
          <w:p w14:paraId="2B6B453A" w14:textId="7E869FE1" w:rsidR="0077353C" w:rsidRPr="006E52D0" w:rsidRDefault="0077353C" w:rsidP="0077353C">
            <w:pPr>
              <w:rPr>
                <w:rFonts w:cstheme="minorHAnsi"/>
                <w:b/>
                <w:sz w:val="20"/>
                <w:szCs w:val="20"/>
              </w:rPr>
            </w:pPr>
            <w:bookmarkStart w:id="0" w:name="_Hlk505776748"/>
            <w:r>
              <w:rPr>
                <w:rFonts w:cstheme="minorHAnsi"/>
                <w:b/>
                <w:sz w:val="20"/>
                <w:szCs w:val="20"/>
              </w:rPr>
              <w:t>Plan Finder Civil Money Penalty (CMP) Icon or Other Type of Notice</w:t>
            </w:r>
          </w:p>
        </w:tc>
        <w:tc>
          <w:tcPr>
            <w:tcW w:w="5501" w:type="dxa"/>
            <w:tcBorders>
              <w:bottom w:val="single" w:sz="4" w:space="0" w:color="000000" w:themeColor="text1"/>
            </w:tcBorders>
            <w:shd w:val="clear" w:color="auto" w:fill="000000" w:themeFill="text1"/>
          </w:tcPr>
          <w:p w14:paraId="4D4B8056" w14:textId="77777777" w:rsidR="0077353C" w:rsidRPr="006E52D0" w:rsidRDefault="0077353C" w:rsidP="0077353C">
            <w:pPr>
              <w:rPr>
                <w:rFonts w:cstheme="minorHAnsi"/>
                <w:b/>
                <w:sz w:val="20"/>
                <w:szCs w:val="20"/>
              </w:rPr>
            </w:pPr>
          </w:p>
        </w:tc>
      </w:tr>
      <w:bookmarkEnd w:id="0"/>
      <w:tr w:rsidR="0077353C" w:rsidRPr="007D37D7" w14:paraId="5BB3B798" w14:textId="77777777" w:rsidTr="00EA579E">
        <w:trPr>
          <w:trHeight w:val="1556"/>
        </w:trPr>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91400E" w14:textId="60D83F87" w:rsidR="0077353C" w:rsidRDefault="0077353C" w:rsidP="0077353C">
            <w:pPr>
              <w:rPr>
                <w:rFonts w:cstheme="minorHAnsi"/>
                <w:sz w:val="20"/>
                <w:szCs w:val="20"/>
              </w:rPr>
            </w:pPr>
            <w:r>
              <w:rPr>
                <w:rFonts w:cstheme="minorHAnsi"/>
                <w:sz w:val="20"/>
                <w:szCs w:val="20"/>
              </w:rPr>
              <w:t>Pg. 164</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8337E" w14:textId="0B55355A" w:rsidR="0077353C" w:rsidRPr="00582593" w:rsidRDefault="0077353C" w:rsidP="00582593">
            <w:pPr>
              <w:rPr>
                <w:rFonts w:cstheme="minorHAnsi"/>
                <w:sz w:val="20"/>
                <w:szCs w:val="20"/>
              </w:rPr>
            </w:pPr>
            <w:r>
              <w:rPr>
                <w:rFonts w:cstheme="minorHAnsi"/>
                <w:sz w:val="20"/>
                <w:szCs w:val="20"/>
              </w:rPr>
              <w:t xml:space="preserve">Starting with 2019 AEP, CMS intends to display icon on Plan Finder for organizations that have received a CMP in 2018 (or receives a CMP for a 2017 Program Audit.) </w:t>
            </w:r>
          </w:p>
        </w:tc>
        <w:tc>
          <w:tcPr>
            <w:tcW w:w="55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A735E" w14:textId="77777777" w:rsidR="003B1F46" w:rsidRDefault="00025825" w:rsidP="0077353C">
            <w:pPr>
              <w:rPr>
                <w:rFonts w:cstheme="minorHAnsi"/>
                <w:sz w:val="20"/>
                <w:szCs w:val="20"/>
              </w:rPr>
            </w:pPr>
            <w:r>
              <w:rPr>
                <w:rFonts w:cstheme="minorHAnsi"/>
                <w:sz w:val="20"/>
                <w:szCs w:val="20"/>
              </w:rPr>
              <w:t xml:space="preserve">This provision raises numerous concerns. </w:t>
            </w:r>
          </w:p>
          <w:p w14:paraId="73262F28" w14:textId="4E1F2D16" w:rsidR="003B1F46" w:rsidRPr="003B1F46" w:rsidRDefault="00025825" w:rsidP="003B1F46">
            <w:pPr>
              <w:pStyle w:val="ListParagraph"/>
              <w:numPr>
                <w:ilvl w:val="0"/>
                <w:numId w:val="20"/>
              </w:numPr>
              <w:rPr>
                <w:rFonts w:cstheme="minorHAnsi"/>
                <w:sz w:val="20"/>
                <w:szCs w:val="20"/>
              </w:rPr>
            </w:pPr>
            <w:r w:rsidRPr="003B1F46">
              <w:rPr>
                <w:rFonts w:cstheme="minorHAnsi"/>
                <w:sz w:val="20"/>
                <w:szCs w:val="20"/>
              </w:rPr>
              <w:t xml:space="preserve">It is not clear how this information </w:t>
            </w:r>
            <w:r w:rsidR="003B1F46" w:rsidRPr="003B1F46">
              <w:rPr>
                <w:rFonts w:cstheme="minorHAnsi"/>
                <w:sz w:val="20"/>
                <w:szCs w:val="20"/>
              </w:rPr>
              <w:t>would be</w:t>
            </w:r>
            <w:r w:rsidRPr="003B1F46">
              <w:rPr>
                <w:rFonts w:cstheme="minorHAnsi"/>
                <w:sz w:val="20"/>
                <w:szCs w:val="20"/>
              </w:rPr>
              <w:t xml:space="preserve"> helpful to beneficiaries. </w:t>
            </w:r>
            <w:r w:rsidR="00BE5BF8">
              <w:rPr>
                <w:rFonts w:cstheme="minorHAnsi"/>
                <w:sz w:val="20"/>
                <w:szCs w:val="20"/>
              </w:rPr>
              <w:t>The icon itself would not provide useful information as the reasons for CMP can vary widely.</w:t>
            </w:r>
          </w:p>
          <w:p w14:paraId="3AA36837" w14:textId="69E8E424" w:rsidR="003B1F46" w:rsidRDefault="00025825" w:rsidP="003B1F46">
            <w:pPr>
              <w:pStyle w:val="ListParagraph"/>
              <w:numPr>
                <w:ilvl w:val="0"/>
                <w:numId w:val="20"/>
              </w:numPr>
              <w:rPr>
                <w:rFonts w:cstheme="minorHAnsi"/>
                <w:sz w:val="20"/>
                <w:szCs w:val="20"/>
              </w:rPr>
            </w:pPr>
            <w:r w:rsidRPr="003B1F46">
              <w:rPr>
                <w:rFonts w:cstheme="minorHAnsi"/>
                <w:sz w:val="20"/>
                <w:szCs w:val="20"/>
              </w:rPr>
              <w:t>The CMP letters CMS suggest</w:t>
            </w:r>
            <w:r w:rsidR="00BE5BF8">
              <w:rPr>
                <w:rFonts w:cstheme="minorHAnsi"/>
                <w:sz w:val="20"/>
                <w:szCs w:val="20"/>
              </w:rPr>
              <w:t>s</w:t>
            </w:r>
            <w:r w:rsidRPr="003B1F46">
              <w:rPr>
                <w:rFonts w:cstheme="minorHAnsi"/>
                <w:sz w:val="20"/>
                <w:szCs w:val="20"/>
              </w:rPr>
              <w:t xml:space="preserve"> would be linked to the icon do not use beneficiary</w:t>
            </w:r>
            <w:r w:rsidR="003B1F46" w:rsidRPr="003B1F46">
              <w:rPr>
                <w:rFonts w:cstheme="minorHAnsi"/>
                <w:sz w:val="20"/>
                <w:szCs w:val="20"/>
              </w:rPr>
              <w:t>-</w:t>
            </w:r>
            <w:r w:rsidRPr="003B1F46">
              <w:rPr>
                <w:rFonts w:cstheme="minorHAnsi"/>
                <w:sz w:val="20"/>
                <w:szCs w:val="20"/>
              </w:rPr>
              <w:t xml:space="preserve">friendly language and would be very difficult for them to </w:t>
            </w:r>
            <w:r w:rsidR="003B1F46" w:rsidRPr="003B1F46">
              <w:rPr>
                <w:rFonts w:cstheme="minorHAnsi"/>
                <w:sz w:val="20"/>
                <w:szCs w:val="20"/>
              </w:rPr>
              <w:t>fully understand</w:t>
            </w:r>
            <w:r w:rsidRPr="003B1F46">
              <w:rPr>
                <w:rFonts w:cstheme="minorHAnsi"/>
                <w:sz w:val="20"/>
                <w:szCs w:val="20"/>
              </w:rPr>
              <w:t xml:space="preserve">. The letters include Federal Register and CMS Manual </w:t>
            </w:r>
            <w:r w:rsidR="003B1F46" w:rsidRPr="003B1F46">
              <w:rPr>
                <w:rFonts w:cstheme="minorHAnsi"/>
                <w:sz w:val="20"/>
                <w:szCs w:val="20"/>
              </w:rPr>
              <w:t xml:space="preserve">references that </w:t>
            </w:r>
            <w:r w:rsidR="00DE52F4">
              <w:rPr>
                <w:rFonts w:cstheme="minorHAnsi"/>
                <w:sz w:val="20"/>
                <w:szCs w:val="20"/>
              </w:rPr>
              <w:t xml:space="preserve">most </w:t>
            </w:r>
            <w:r w:rsidR="00DE52F4" w:rsidRPr="003B1F46">
              <w:rPr>
                <w:rFonts w:cstheme="minorHAnsi"/>
                <w:sz w:val="20"/>
                <w:szCs w:val="20"/>
              </w:rPr>
              <w:t>beneficiaries</w:t>
            </w:r>
            <w:r w:rsidR="003B1F46" w:rsidRPr="003B1F46">
              <w:rPr>
                <w:rFonts w:cstheme="minorHAnsi"/>
                <w:sz w:val="20"/>
                <w:szCs w:val="20"/>
              </w:rPr>
              <w:t xml:space="preserve"> </w:t>
            </w:r>
            <w:r w:rsidR="00F36620">
              <w:rPr>
                <w:rFonts w:cstheme="minorHAnsi"/>
                <w:sz w:val="20"/>
                <w:szCs w:val="20"/>
              </w:rPr>
              <w:t>wouldn’t know where to</w:t>
            </w:r>
            <w:r w:rsidR="003B1F46" w:rsidRPr="003B1F46">
              <w:rPr>
                <w:rFonts w:cstheme="minorHAnsi"/>
                <w:sz w:val="20"/>
                <w:szCs w:val="20"/>
              </w:rPr>
              <w:t xml:space="preserve"> locate. </w:t>
            </w:r>
          </w:p>
          <w:p w14:paraId="77953822" w14:textId="63EDAC14" w:rsidR="00F36620" w:rsidRDefault="003B1F46" w:rsidP="003B1F46">
            <w:pPr>
              <w:pStyle w:val="ListParagraph"/>
              <w:numPr>
                <w:ilvl w:val="0"/>
                <w:numId w:val="20"/>
              </w:numPr>
              <w:rPr>
                <w:rFonts w:cstheme="minorHAnsi"/>
                <w:sz w:val="20"/>
                <w:szCs w:val="20"/>
              </w:rPr>
            </w:pPr>
            <w:r w:rsidRPr="003B1F46">
              <w:rPr>
                <w:rFonts w:cstheme="minorHAnsi"/>
                <w:sz w:val="20"/>
                <w:szCs w:val="20"/>
              </w:rPr>
              <w:t xml:space="preserve">The link doesn’t provide any </w:t>
            </w:r>
            <w:r w:rsidR="002F5E06">
              <w:rPr>
                <w:rFonts w:cstheme="minorHAnsi"/>
                <w:sz w:val="20"/>
                <w:szCs w:val="20"/>
              </w:rPr>
              <w:t>context for beneficiaries</w:t>
            </w:r>
            <w:r w:rsidRPr="003B1F46">
              <w:rPr>
                <w:rFonts w:cstheme="minorHAnsi"/>
                <w:sz w:val="20"/>
                <w:szCs w:val="20"/>
              </w:rPr>
              <w:t xml:space="preserve"> as to how common a finding may be across contractor</w:t>
            </w:r>
            <w:r w:rsidR="00F36620">
              <w:rPr>
                <w:rFonts w:cstheme="minorHAnsi"/>
                <w:sz w:val="20"/>
                <w:szCs w:val="20"/>
              </w:rPr>
              <w:t>s</w:t>
            </w:r>
            <w:r w:rsidR="002F5E06">
              <w:rPr>
                <w:rFonts w:cstheme="minorHAnsi"/>
                <w:sz w:val="20"/>
                <w:szCs w:val="20"/>
              </w:rPr>
              <w:t>.</w:t>
            </w:r>
          </w:p>
          <w:p w14:paraId="093E6955" w14:textId="1DAC7867" w:rsidR="003B1F46" w:rsidRDefault="003B1F46" w:rsidP="003B1F46">
            <w:pPr>
              <w:pStyle w:val="ListParagraph"/>
              <w:numPr>
                <w:ilvl w:val="0"/>
                <w:numId w:val="20"/>
              </w:numPr>
              <w:rPr>
                <w:rFonts w:cstheme="minorHAnsi"/>
                <w:sz w:val="20"/>
                <w:szCs w:val="20"/>
              </w:rPr>
            </w:pPr>
            <w:r w:rsidRPr="003B1F46">
              <w:rPr>
                <w:rFonts w:cstheme="minorHAnsi"/>
                <w:sz w:val="20"/>
                <w:szCs w:val="20"/>
              </w:rPr>
              <w:t xml:space="preserve">Beneficiaries have no </w:t>
            </w:r>
            <w:r>
              <w:rPr>
                <w:rFonts w:cstheme="minorHAnsi"/>
                <w:sz w:val="20"/>
                <w:szCs w:val="20"/>
              </w:rPr>
              <w:t>knowledge of</w:t>
            </w:r>
            <w:r w:rsidRPr="003B1F46">
              <w:rPr>
                <w:rFonts w:cstheme="minorHAnsi"/>
                <w:sz w:val="20"/>
                <w:szCs w:val="20"/>
              </w:rPr>
              <w:t xml:space="preserve"> how the dollar amounts for CMPs are determined. </w:t>
            </w:r>
            <w:r w:rsidR="00582593">
              <w:rPr>
                <w:rFonts w:cstheme="minorHAnsi"/>
                <w:sz w:val="20"/>
                <w:szCs w:val="20"/>
              </w:rPr>
              <w:t>Amounts that are calculated on a per beneficiary basis will appear more serious in a larger plan than a small plan.</w:t>
            </w:r>
          </w:p>
          <w:p w14:paraId="7C93D75D" w14:textId="4C4F2A39" w:rsidR="00BE5BF8" w:rsidRPr="003B1F46" w:rsidRDefault="00BE5BF8" w:rsidP="003B1F46">
            <w:pPr>
              <w:pStyle w:val="ListParagraph"/>
              <w:numPr>
                <w:ilvl w:val="0"/>
                <w:numId w:val="20"/>
              </w:numPr>
              <w:rPr>
                <w:rFonts w:cstheme="minorHAnsi"/>
                <w:sz w:val="20"/>
                <w:szCs w:val="20"/>
              </w:rPr>
            </w:pPr>
            <w:r>
              <w:rPr>
                <w:rFonts w:cstheme="minorHAnsi"/>
                <w:sz w:val="20"/>
                <w:szCs w:val="20"/>
              </w:rPr>
              <w:lastRenderedPageBreak/>
              <w:t>This again raises the issue of fairness in that many CMPs are based on audit findings and not all plans are audited every year.</w:t>
            </w:r>
          </w:p>
          <w:p w14:paraId="127CA5E2" w14:textId="77777777" w:rsidR="00025825" w:rsidRDefault="00025825" w:rsidP="0077353C">
            <w:pPr>
              <w:rPr>
                <w:rFonts w:cstheme="minorHAnsi"/>
                <w:sz w:val="20"/>
                <w:szCs w:val="20"/>
              </w:rPr>
            </w:pPr>
          </w:p>
          <w:p w14:paraId="6ABC7A7B" w14:textId="3BEED9E1" w:rsidR="002D680E" w:rsidRPr="007D37D7" w:rsidRDefault="003B1F46" w:rsidP="00582593">
            <w:pPr>
              <w:rPr>
                <w:rFonts w:cstheme="minorHAnsi"/>
                <w:sz w:val="20"/>
                <w:szCs w:val="20"/>
              </w:rPr>
            </w:pPr>
            <w:r>
              <w:rPr>
                <w:rFonts w:cstheme="minorHAnsi"/>
                <w:sz w:val="20"/>
                <w:szCs w:val="20"/>
              </w:rPr>
              <w:t>In addition, i</w:t>
            </w:r>
            <w:r w:rsidR="00025825">
              <w:rPr>
                <w:rFonts w:cstheme="minorHAnsi"/>
                <w:sz w:val="20"/>
                <w:szCs w:val="20"/>
              </w:rPr>
              <w:t xml:space="preserve">t is not clear how </w:t>
            </w:r>
            <w:r w:rsidR="0077353C">
              <w:rPr>
                <w:rFonts w:cstheme="minorHAnsi"/>
                <w:sz w:val="20"/>
                <w:szCs w:val="20"/>
              </w:rPr>
              <w:t xml:space="preserve">long </w:t>
            </w:r>
            <w:r w:rsidR="00025825">
              <w:rPr>
                <w:rFonts w:cstheme="minorHAnsi"/>
                <w:sz w:val="20"/>
                <w:szCs w:val="20"/>
              </w:rPr>
              <w:t>the</w:t>
            </w:r>
            <w:r w:rsidR="0077353C">
              <w:rPr>
                <w:rFonts w:cstheme="minorHAnsi"/>
                <w:sz w:val="20"/>
                <w:szCs w:val="20"/>
              </w:rPr>
              <w:t xml:space="preserve"> icon</w:t>
            </w:r>
            <w:r w:rsidR="00025825">
              <w:rPr>
                <w:rFonts w:cstheme="minorHAnsi"/>
                <w:sz w:val="20"/>
                <w:szCs w:val="20"/>
              </w:rPr>
              <w:t xml:space="preserve"> would</w:t>
            </w:r>
            <w:r w:rsidR="0077353C">
              <w:rPr>
                <w:rFonts w:cstheme="minorHAnsi"/>
                <w:sz w:val="20"/>
                <w:szCs w:val="20"/>
              </w:rPr>
              <w:t xml:space="preserve"> be displayed</w:t>
            </w:r>
            <w:r w:rsidR="00BE5BF8">
              <w:rPr>
                <w:rFonts w:cstheme="minorHAnsi"/>
                <w:sz w:val="20"/>
                <w:szCs w:val="20"/>
              </w:rPr>
              <w:t xml:space="preserve"> or</w:t>
            </w:r>
            <w:r w:rsidR="00025825">
              <w:rPr>
                <w:rFonts w:cstheme="minorHAnsi"/>
                <w:sz w:val="20"/>
                <w:szCs w:val="20"/>
              </w:rPr>
              <w:t xml:space="preserve"> what would happen if the CMP were in the appeal process. </w:t>
            </w:r>
            <w:r w:rsidR="0077353C">
              <w:rPr>
                <w:rFonts w:cstheme="minorHAnsi"/>
                <w:sz w:val="20"/>
                <w:szCs w:val="20"/>
              </w:rPr>
              <w:t xml:space="preserve"> </w:t>
            </w:r>
            <w:r>
              <w:rPr>
                <w:rFonts w:cstheme="minorHAnsi"/>
                <w:sz w:val="20"/>
                <w:szCs w:val="20"/>
              </w:rPr>
              <w:t xml:space="preserve"> </w:t>
            </w:r>
            <w:r w:rsidR="0077353C">
              <w:rPr>
                <w:rFonts w:cstheme="minorHAnsi"/>
                <w:sz w:val="20"/>
                <w:szCs w:val="20"/>
              </w:rPr>
              <w:t xml:space="preserve"> </w:t>
            </w:r>
          </w:p>
        </w:tc>
      </w:tr>
      <w:tr w:rsidR="0077353C" w:rsidRPr="006E52D0" w14:paraId="39B51B7C" w14:textId="77777777" w:rsidTr="0071461B">
        <w:trPr>
          <w:cantSplit/>
          <w:trHeight w:val="341"/>
        </w:trPr>
        <w:tc>
          <w:tcPr>
            <w:tcW w:w="8365" w:type="dxa"/>
            <w:gridSpan w:val="2"/>
            <w:tcBorders>
              <w:top w:val="single" w:sz="4" w:space="0" w:color="000000" w:themeColor="text1"/>
              <w:bottom w:val="nil"/>
            </w:tcBorders>
            <w:shd w:val="clear" w:color="auto" w:fill="000000" w:themeFill="text1"/>
            <w:vAlign w:val="center"/>
          </w:tcPr>
          <w:p w14:paraId="6E81D9C1" w14:textId="6369BA46" w:rsidR="0077353C" w:rsidRPr="006E52D0" w:rsidRDefault="0077353C" w:rsidP="0071461B">
            <w:pPr>
              <w:rPr>
                <w:rFonts w:cstheme="minorHAnsi"/>
                <w:b/>
                <w:sz w:val="20"/>
                <w:szCs w:val="20"/>
              </w:rPr>
            </w:pPr>
            <w:r>
              <w:rPr>
                <w:rFonts w:cstheme="minorHAnsi"/>
                <w:b/>
                <w:sz w:val="20"/>
                <w:szCs w:val="20"/>
              </w:rPr>
              <w:lastRenderedPageBreak/>
              <w:t>Audit of the Sponsoring Organization’s Compliance Program Effectiveness</w:t>
            </w:r>
          </w:p>
        </w:tc>
        <w:tc>
          <w:tcPr>
            <w:tcW w:w="5501" w:type="dxa"/>
            <w:tcBorders>
              <w:top w:val="single" w:sz="4" w:space="0" w:color="000000" w:themeColor="text1"/>
              <w:bottom w:val="nil"/>
            </w:tcBorders>
            <w:shd w:val="clear" w:color="auto" w:fill="000000" w:themeFill="text1"/>
            <w:vAlign w:val="center"/>
          </w:tcPr>
          <w:p w14:paraId="068BBBED" w14:textId="77777777" w:rsidR="0077353C" w:rsidRPr="006E52D0" w:rsidRDefault="0077353C" w:rsidP="0071461B">
            <w:pPr>
              <w:rPr>
                <w:rFonts w:cstheme="minorHAnsi"/>
                <w:b/>
                <w:sz w:val="20"/>
                <w:szCs w:val="20"/>
              </w:rPr>
            </w:pPr>
          </w:p>
        </w:tc>
      </w:tr>
      <w:tr w:rsidR="0077353C" w:rsidRPr="007D37D7" w14:paraId="1A1E0AFB" w14:textId="77777777" w:rsidTr="00EA579E">
        <w:trPr>
          <w:cantSplit/>
          <w:trHeight w:val="1359"/>
        </w:trPr>
        <w:tc>
          <w:tcPr>
            <w:tcW w:w="2605" w:type="dxa"/>
            <w:tcBorders>
              <w:top w:val="nil"/>
            </w:tcBorders>
            <w:shd w:val="clear" w:color="auto" w:fill="FFFFFF" w:themeFill="background1"/>
          </w:tcPr>
          <w:p w14:paraId="47BDC449" w14:textId="0E2E602F" w:rsidR="0077353C" w:rsidRDefault="0077353C" w:rsidP="0077353C">
            <w:pPr>
              <w:rPr>
                <w:rFonts w:cstheme="minorHAnsi"/>
                <w:sz w:val="20"/>
                <w:szCs w:val="20"/>
              </w:rPr>
            </w:pPr>
            <w:r>
              <w:rPr>
                <w:rFonts w:cstheme="minorHAnsi"/>
                <w:sz w:val="20"/>
                <w:szCs w:val="20"/>
              </w:rPr>
              <w:t>Pg. 166</w:t>
            </w:r>
          </w:p>
        </w:tc>
        <w:tc>
          <w:tcPr>
            <w:tcW w:w="5760" w:type="dxa"/>
            <w:tcBorders>
              <w:top w:val="nil"/>
            </w:tcBorders>
            <w:shd w:val="clear" w:color="auto" w:fill="FFFFFF" w:themeFill="background1"/>
          </w:tcPr>
          <w:p w14:paraId="56201044" w14:textId="77535EB8" w:rsidR="0077353C" w:rsidRPr="007D37D7" w:rsidRDefault="0077353C" w:rsidP="0077353C">
            <w:pPr>
              <w:rPr>
                <w:rFonts w:cstheme="minorHAnsi"/>
                <w:sz w:val="20"/>
                <w:szCs w:val="20"/>
              </w:rPr>
            </w:pPr>
            <w:r>
              <w:rPr>
                <w:rFonts w:cstheme="minorHAnsi"/>
                <w:sz w:val="20"/>
                <w:szCs w:val="20"/>
              </w:rPr>
              <w:t xml:space="preserve">Considering allowing sponsoring organizations that have undergone a program audit to count it as meeting the annual compliance program audit requirement for one year from the date of the CMS program audit. How would this impact burden for organizations undergoing a program audit? </w:t>
            </w:r>
          </w:p>
        </w:tc>
        <w:tc>
          <w:tcPr>
            <w:tcW w:w="5501" w:type="dxa"/>
            <w:tcBorders>
              <w:top w:val="nil"/>
            </w:tcBorders>
            <w:shd w:val="clear" w:color="auto" w:fill="FFFFFF" w:themeFill="background1"/>
          </w:tcPr>
          <w:p w14:paraId="271CE230" w14:textId="1D36CD71" w:rsidR="0077353C" w:rsidRPr="007D37D7" w:rsidRDefault="00F36620" w:rsidP="0077353C">
            <w:pPr>
              <w:rPr>
                <w:rFonts w:cstheme="minorHAnsi"/>
                <w:sz w:val="20"/>
                <w:szCs w:val="20"/>
              </w:rPr>
            </w:pPr>
            <w:r>
              <w:rPr>
                <w:rFonts w:cstheme="minorHAnsi"/>
                <w:sz w:val="20"/>
                <w:szCs w:val="20"/>
              </w:rPr>
              <w:t>W</w:t>
            </w:r>
            <w:r w:rsidR="0077353C">
              <w:rPr>
                <w:rFonts w:cstheme="minorHAnsi"/>
                <w:sz w:val="20"/>
                <w:szCs w:val="20"/>
              </w:rPr>
              <w:t xml:space="preserve">e </w:t>
            </w:r>
            <w:r>
              <w:rPr>
                <w:rFonts w:cstheme="minorHAnsi"/>
                <w:sz w:val="20"/>
                <w:szCs w:val="20"/>
              </w:rPr>
              <w:t xml:space="preserve">strongly </w:t>
            </w:r>
            <w:r w:rsidR="0077353C">
              <w:rPr>
                <w:rFonts w:cstheme="minorHAnsi"/>
                <w:sz w:val="20"/>
                <w:szCs w:val="20"/>
              </w:rPr>
              <w:t>support</w:t>
            </w:r>
            <w:r>
              <w:rPr>
                <w:rFonts w:cstheme="minorHAnsi"/>
                <w:sz w:val="20"/>
                <w:szCs w:val="20"/>
              </w:rPr>
              <w:t xml:space="preserve"> this provision. It is a more efficient use of resources for plans and CMS.</w:t>
            </w:r>
          </w:p>
        </w:tc>
      </w:tr>
      <w:tr w:rsidR="0077353C" w:rsidRPr="007D37D7" w14:paraId="4CFA4975" w14:textId="77777777" w:rsidTr="00F36620">
        <w:trPr>
          <w:cantSplit/>
          <w:trHeight w:val="341"/>
        </w:trPr>
        <w:tc>
          <w:tcPr>
            <w:tcW w:w="2605" w:type="dxa"/>
            <w:shd w:val="clear" w:color="auto" w:fill="8EAADB" w:themeFill="accent5" w:themeFillTint="99"/>
          </w:tcPr>
          <w:p w14:paraId="0391ED21" w14:textId="77777777" w:rsidR="0077353C" w:rsidRPr="007D37D7" w:rsidRDefault="0077353C" w:rsidP="0077353C">
            <w:pPr>
              <w:pStyle w:val="ListParagraph"/>
              <w:numPr>
                <w:ilvl w:val="0"/>
                <w:numId w:val="9"/>
              </w:numPr>
              <w:rPr>
                <w:rFonts w:cstheme="minorHAnsi"/>
                <w:b/>
                <w:bCs/>
                <w:sz w:val="20"/>
                <w:szCs w:val="20"/>
              </w:rPr>
            </w:pPr>
            <w:r w:rsidRPr="007D37D7">
              <w:rPr>
                <w:rFonts w:cstheme="minorHAnsi"/>
                <w:b/>
                <w:bCs/>
                <w:sz w:val="20"/>
                <w:szCs w:val="20"/>
              </w:rPr>
              <w:t>Part D</w:t>
            </w:r>
          </w:p>
        </w:tc>
        <w:tc>
          <w:tcPr>
            <w:tcW w:w="5760" w:type="dxa"/>
            <w:shd w:val="clear" w:color="auto" w:fill="8EAADB" w:themeFill="accent5" w:themeFillTint="99"/>
          </w:tcPr>
          <w:p w14:paraId="1042B207" w14:textId="77777777" w:rsidR="0077353C" w:rsidRPr="007D37D7" w:rsidRDefault="0077353C" w:rsidP="0077353C">
            <w:pPr>
              <w:rPr>
                <w:rFonts w:cstheme="minorHAnsi"/>
                <w:sz w:val="20"/>
                <w:szCs w:val="20"/>
              </w:rPr>
            </w:pPr>
          </w:p>
        </w:tc>
        <w:tc>
          <w:tcPr>
            <w:tcW w:w="5501" w:type="dxa"/>
            <w:shd w:val="clear" w:color="auto" w:fill="8EAADB" w:themeFill="accent5" w:themeFillTint="99"/>
          </w:tcPr>
          <w:p w14:paraId="69B4825E" w14:textId="77777777" w:rsidR="0077353C" w:rsidRPr="007D37D7" w:rsidRDefault="0077353C" w:rsidP="0077353C">
            <w:pPr>
              <w:rPr>
                <w:rFonts w:cstheme="minorHAnsi"/>
                <w:sz w:val="20"/>
                <w:szCs w:val="20"/>
              </w:rPr>
            </w:pPr>
          </w:p>
        </w:tc>
      </w:tr>
      <w:tr w:rsidR="001C1864" w:rsidRPr="007D37D7" w14:paraId="351C6446" w14:textId="77777777" w:rsidTr="00805267">
        <w:trPr>
          <w:cantSplit/>
          <w:trHeight w:val="305"/>
        </w:trPr>
        <w:tc>
          <w:tcPr>
            <w:tcW w:w="8365" w:type="dxa"/>
            <w:gridSpan w:val="2"/>
            <w:shd w:val="clear" w:color="auto" w:fill="000000" w:themeFill="text1"/>
            <w:vAlign w:val="center"/>
          </w:tcPr>
          <w:p w14:paraId="128D78C1" w14:textId="36E52E89" w:rsidR="001C1864" w:rsidRPr="001C1864" w:rsidRDefault="00BB53CB" w:rsidP="001C1864">
            <w:pPr>
              <w:rPr>
                <w:rFonts w:cstheme="minorHAnsi"/>
                <w:bCs/>
                <w:color w:val="FFFFFF" w:themeColor="background1"/>
                <w:sz w:val="20"/>
                <w:szCs w:val="20"/>
              </w:rPr>
            </w:pPr>
            <w:r>
              <w:rPr>
                <w:rFonts w:cstheme="minorHAnsi"/>
                <w:bCs/>
                <w:color w:val="FFFFFF" w:themeColor="background1"/>
                <w:sz w:val="20"/>
                <w:szCs w:val="20"/>
              </w:rPr>
              <w:t xml:space="preserve">Improving Drug Utilization Review Controls in Medicare Part D </w:t>
            </w:r>
            <w:r w:rsidR="001C1864" w:rsidRPr="001C1864">
              <w:rPr>
                <w:rFonts w:cstheme="minorHAnsi"/>
                <w:bCs/>
                <w:color w:val="FFFFFF" w:themeColor="background1"/>
                <w:sz w:val="20"/>
                <w:szCs w:val="20"/>
              </w:rPr>
              <w:t xml:space="preserve"> </w:t>
            </w:r>
          </w:p>
        </w:tc>
        <w:tc>
          <w:tcPr>
            <w:tcW w:w="5501" w:type="dxa"/>
            <w:shd w:val="clear" w:color="auto" w:fill="000000" w:themeFill="text1"/>
          </w:tcPr>
          <w:p w14:paraId="585E4F7D" w14:textId="2C7C5143" w:rsidR="001C1864" w:rsidRPr="007D37D7" w:rsidRDefault="001C1864" w:rsidP="0077353C">
            <w:pPr>
              <w:rPr>
                <w:rFonts w:cstheme="minorHAnsi"/>
                <w:sz w:val="20"/>
                <w:szCs w:val="20"/>
              </w:rPr>
            </w:pPr>
          </w:p>
        </w:tc>
      </w:tr>
      <w:tr w:rsidR="00BF15D2" w:rsidRPr="007D37D7" w14:paraId="1B69EDB8" w14:textId="77777777" w:rsidTr="00805267">
        <w:trPr>
          <w:cantSplit/>
          <w:trHeight w:val="2681"/>
        </w:trPr>
        <w:tc>
          <w:tcPr>
            <w:tcW w:w="2605" w:type="dxa"/>
          </w:tcPr>
          <w:p w14:paraId="2358608F" w14:textId="77777777" w:rsidR="00BF15D2" w:rsidRDefault="00BF15D2" w:rsidP="0077353C">
            <w:pPr>
              <w:rPr>
                <w:rFonts w:cstheme="minorHAnsi"/>
                <w:sz w:val="20"/>
                <w:szCs w:val="20"/>
              </w:rPr>
            </w:pPr>
            <w:r>
              <w:rPr>
                <w:rFonts w:cstheme="minorHAnsi"/>
                <w:sz w:val="20"/>
                <w:szCs w:val="20"/>
              </w:rPr>
              <w:t>Retrospective DUR</w:t>
            </w:r>
          </w:p>
          <w:p w14:paraId="4540D6CA" w14:textId="77777777" w:rsidR="00BF15D2" w:rsidRDefault="00BF15D2" w:rsidP="0077353C">
            <w:pPr>
              <w:ind w:left="720"/>
              <w:rPr>
                <w:rFonts w:cstheme="minorHAnsi"/>
                <w:bCs/>
                <w:sz w:val="20"/>
                <w:szCs w:val="20"/>
              </w:rPr>
            </w:pPr>
            <w:r w:rsidRPr="003F1D23">
              <w:rPr>
                <w:rFonts w:cstheme="minorHAnsi"/>
                <w:bCs/>
                <w:i/>
                <w:sz w:val="20"/>
                <w:szCs w:val="20"/>
              </w:rPr>
              <w:t>OMS Metrics</w:t>
            </w:r>
            <w:r>
              <w:rPr>
                <w:rFonts w:cstheme="minorHAnsi"/>
                <w:bCs/>
                <w:sz w:val="20"/>
                <w:szCs w:val="20"/>
              </w:rPr>
              <w:t xml:space="preserve">  </w:t>
            </w:r>
          </w:p>
          <w:p w14:paraId="1D988DF8" w14:textId="0F54DA21" w:rsidR="00BF15D2" w:rsidRDefault="00BF15D2" w:rsidP="0077353C">
            <w:pPr>
              <w:ind w:left="720"/>
              <w:rPr>
                <w:rFonts w:cstheme="minorHAnsi"/>
                <w:bCs/>
                <w:sz w:val="20"/>
                <w:szCs w:val="20"/>
              </w:rPr>
            </w:pPr>
            <w:r>
              <w:rPr>
                <w:rFonts w:cstheme="minorHAnsi"/>
                <w:bCs/>
                <w:sz w:val="20"/>
                <w:szCs w:val="20"/>
              </w:rPr>
              <w:t>Pg. 205</w:t>
            </w:r>
          </w:p>
        </w:tc>
        <w:tc>
          <w:tcPr>
            <w:tcW w:w="5760" w:type="dxa"/>
          </w:tcPr>
          <w:p w14:paraId="7008ACCB" w14:textId="77777777" w:rsidR="00BF15D2" w:rsidRDefault="00BF15D2" w:rsidP="0077353C">
            <w:pPr>
              <w:autoSpaceDE w:val="0"/>
              <w:autoSpaceDN w:val="0"/>
              <w:adjustRightInd w:val="0"/>
              <w:rPr>
                <w:rFonts w:cs="Times New Roman"/>
                <w:color w:val="000000"/>
                <w:sz w:val="20"/>
                <w:szCs w:val="20"/>
              </w:rPr>
            </w:pPr>
            <w:r>
              <w:rPr>
                <w:rFonts w:cs="Times New Roman"/>
                <w:color w:val="000000"/>
                <w:sz w:val="20"/>
                <w:szCs w:val="20"/>
              </w:rPr>
              <w:t>P</w:t>
            </w:r>
            <w:r w:rsidRPr="00044E6C">
              <w:rPr>
                <w:rFonts w:cs="Times New Roman"/>
                <w:color w:val="000000"/>
                <w:sz w:val="20"/>
                <w:szCs w:val="20"/>
              </w:rPr>
              <w:t xml:space="preserve">ropose to report a second Opioid Daily Dose rate with a 90 MME threshold </w:t>
            </w:r>
          </w:p>
          <w:p w14:paraId="17D9D1B3" w14:textId="77777777" w:rsidR="00BF15D2" w:rsidRPr="00044E6C" w:rsidRDefault="00BF15D2" w:rsidP="0077353C">
            <w:pPr>
              <w:autoSpaceDE w:val="0"/>
              <w:autoSpaceDN w:val="0"/>
              <w:adjustRightInd w:val="0"/>
              <w:rPr>
                <w:rFonts w:cs="Times New Roman"/>
                <w:color w:val="000000"/>
                <w:sz w:val="20"/>
                <w:szCs w:val="20"/>
              </w:rPr>
            </w:pPr>
            <w:r w:rsidRPr="00044E6C">
              <w:rPr>
                <w:rFonts w:cs="Times New Roman"/>
                <w:color w:val="000000"/>
                <w:sz w:val="20"/>
                <w:szCs w:val="20"/>
              </w:rPr>
              <w:t xml:space="preserve">Therefore, in the April 2018 OMS reports, CMS will report: </w:t>
            </w:r>
          </w:p>
          <w:p w14:paraId="1A4E6D83" w14:textId="77777777" w:rsidR="00BF15D2"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90 MME Opioid Daily Dose rate: # opioid days &gt; 90 MME/1000 Opioid utilization days during the last 6 months. </w:t>
            </w:r>
          </w:p>
          <w:p w14:paraId="4DCBF7E1" w14:textId="77777777" w:rsidR="00BF15D2" w:rsidRPr="00044E6C"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120 MME Opioid Daily Dose rate: # opioid days &gt; 120 MME/1000 Opioid utilization days during the last 6 months. </w:t>
            </w:r>
          </w:p>
          <w:p w14:paraId="008B2423" w14:textId="24F162E8" w:rsidR="00BF15D2" w:rsidRPr="00044E6C" w:rsidRDefault="00BF15D2" w:rsidP="0077353C">
            <w:pPr>
              <w:rPr>
                <w:rFonts w:cstheme="minorHAnsi"/>
                <w:bCs/>
                <w:sz w:val="20"/>
                <w:szCs w:val="20"/>
              </w:rPr>
            </w:pPr>
            <w:r>
              <w:rPr>
                <w:rFonts w:cs="Times New Roman"/>
                <w:color w:val="000000"/>
                <w:sz w:val="20"/>
                <w:szCs w:val="20"/>
              </w:rPr>
              <w:t>P</w:t>
            </w:r>
            <w:r w:rsidRPr="00044E6C">
              <w:rPr>
                <w:rFonts w:cs="Times New Roman"/>
                <w:color w:val="000000"/>
                <w:sz w:val="20"/>
                <w:szCs w:val="20"/>
              </w:rPr>
              <w:t>ropose to discontinue reporting the 120 MME Opioid Daily Dose rate in the 2019 OMS reports.</w:t>
            </w:r>
          </w:p>
        </w:tc>
        <w:tc>
          <w:tcPr>
            <w:tcW w:w="5501" w:type="dxa"/>
          </w:tcPr>
          <w:p w14:paraId="74F5F94D" w14:textId="629A6891" w:rsidR="00BF15D2" w:rsidRPr="007D37D7" w:rsidRDefault="00BB53CB" w:rsidP="0077353C">
            <w:pPr>
              <w:rPr>
                <w:rFonts w:cstheme="minorHAnsi"/>
                <w:sz w:val="20"/>
                <w:szCs w:val="20"/>
              </w:rPr>
            </w:pPr>
            <w:r>
              <w:rPr>
                <w:rFonts w:cstheme="minorHAnsi"/>
                <w:sz w:val="20"/>
                <w:szCs w:val="20"/>
              </w:rPr>
              <w:t xml:space="preserve">We recommend </w:t>
            </w:r>
            <w:r w:rsidR="00C125D7">
              <w:rPr>
                <w:rFonts w:cstheme="minorHAnsi"/>
                <w:sz w:val="20"/>
                <w:szCs w:val="20"/>
              </w:rPr>
              <w:t xml:space="preserve">discontinuing reporting the 120 MME Opioid Daily Dose rate for </w:t>
            </w:r>
            <w:r w:rsidR="00C125D7" w:rsidRPr="00FE7016">
              <w:rPr>
                <w:rFonts w:cstheme="minorHAnsi"/>
                <w:sz w:val="20"/>
                <w:szCs w:val="20"/>
                <w:u w:val="single"/>
              </w:rPr>
              <w:t>2018</w:t>
            </w:r>
            <w:r w:rsidR="00C125D7">
              <w:rPr>
                <w:rFonts w:cstheme="minorHAnsi"/>
                <w:sz w:val="20"/>
                <w:szCs w:val="20"/>
              </w:rPr>
              <w:t xml:space="preserve"> as it is no longer relevant to the OMS targeting and is not in alignment with CDC recommended maximum MME of 90 mg/day.</w:t>
            </w:r>
          </w:p>
        </w:tc>
      </w:tr>
      <w:tr w:rsidR="0077353C" w:rsidRPr="007D37D7" w14:paraId="7B72C002" w14:textId="77777777" w:rsidTr="007F115F">
        <w:trPr>
          <w:trHeight w:val="3626"/>
        </w:trPr>
        <w:tc>
          <w:tcPr>
            <w:tcW w:w="2605" w:type="dxa"/>
          </w:tcPr>
          <w:p w14:paraId="14C9B5B9" w14:textId="0C95B95A" w:rsidR="0077353C" w:rsidRDefault="0077353C" w:rsidP="0077353C">
            <w:pPr>
              <w:rPr>
                <w:rFonts w:cstheme="minorHAnsi"/>
                <w:bCs/>
                <w:sz w:val="20"/>
                <w:szCs w:val="20"/>
              </w:rPr>
            </w:pPr>
            <w:r>
              <w:rPr>
                <w:rFonts w:cstheme="minorHAnsi"/>
                <w:sz w:val="20"/>
                <w:szCs w:val="20"/>
              </w:rPr>
              <w:lastRenderedPageBreak/>
              <w:t>Cumulative MME Daily Safety Edits for High, Chronic Prescription Opioid Users Pg. 209-12</w:t>
            </w:r>
          </w:p>
        </w:tc>
        <w:tc>
          <w:tcPr>
            <w:tcW w:w="5760" w:type="dxa"/>
          </w:tcPr>
          <w:p w14:paraId="116A7435" w14:textId="77777777" w:rsidR="0077353C" w:rsidRDefault="0077353C" w:rsidP="0077353C">
            <w:pPr>
              <w:autoSpaceDE w:val="0"/>
              <w:autoSpaceDN w:val="0"/>
              <w:adjustRightInd w:val="0"/>
              <w:rPr>
                <w:rFonts w:cs="Times New Roman"/>
                <w:sz w:val="20"/>
                <w:szCs w:val="20"/>
              </w:rPr>
            </w:pPr>
            <w:r w:rsidRPr="00E22765">
              <w:rPr>
                <w:rFonts w:cs="Times New Roman"/>
                <w:sz w:val="20"/>
                <w:szCs w:val="20"/>
              </w:rPr>
              <w:t>Propose that all sponsors should implement a hard edit in 2019 triggered when cumulative daily MME reaches or exceeds 90 mg (meaning the MME threshold should only be set at 90 MME). Sponsors should not include multiple prescriber or multiple pharmacy criteria in these edits. Continue to apply specifications to account for known exceptions</w:t>
            </w:r>
            <w:r>
              <w:rPr>
                <w:rFonts w:cs="Times New Roman"/>
                <w:sz w:val="20"/>
                <w:szCs w:val="20"/>
              </w:rPr>
              <w:t>. Don’t impede access to medication-assisted treatment (buprenorphine).</w:t>
            </w:r>
          </w:p>
          <w:p w14:paraId="7E4F5487" w14:textId="77777777" w:rsidR="0077353C" w:rsidRDefault="0077353C" w:rsidP="0077353C">
            <w:pPr>
              <w:autoSpaceDE w:val="0"/>
              <w:autoSpaceDN w:val="0"/>
              <w:adjustRightInd w:val="0"/>
              <w:rPr>
                <w:rFonts w:cs="Times New Roman"/>
                <w:sz w:val="20"/>
                <w:szCs w:val="20"/>
              </w:rPr>
            </w:pPr>
          </w:p>
          <w:p w14:paraId="194D309C" w14:textId="7F3E09FD" w:rsidR="0077353C" w:rsidRPr="00E22765" w:rsidRDefault="0077353C" w:rsidP="0077353C">
            <w:pPr>
              <w:autoSpaceDE w:val="0"/>
              <w:autoSpaceDN w:val="0"/>
              <w:adjustRightInd w:val="0"/>
              <w:rPr>
                <w:rFonts w:cs="Times New Roman"/>
                <w:sz w:val="20"/>
                <w:szCs w:val="20"/>
              </w:rPr>
            </w:pPr>
            <w:r>
              <w:rPr>
                <w:rFonts w:cs="Times New Roman"/>
                <w:sz w:val="20"/>
                <w:szCs w:val="20"/>
              </w:rPr>
              <w:t>CMS generally expects coverage determination requests seeking exceptions to the MME edit to meet criteria for expedited review (24 hours)</w:t>
            </w:r>
          </w:p>
        </w:tc>
        <w:tc>
          <w:tcPr>
            <w:tcW w:w="5501" w:type="dxa"/>
          </w:tcPr>
          <w:p w14:paraId="6579A657" w14:textId="4B3A1A53" w:rsidR="007F115F" w:rsidRDefault="0058612E" w:rsidP="0077353C">
            <w:pPr>
              <w:rPr>
                <w:rFonts w:cstheme="minorHAnsi"/>
                <w:sz w:val="20"/>
                <w:szCs w:val="20"/>
              </w:rPr>
            </w:pPr>
            <w:r>
              <w:rPr>
                <w:rFonts w:cstheme="minorHAnsi"/>
                <w:sz w:val="20"/>
                <w:szCs w:val="20"/>
              </w:rPr>
              <w:t xml:space="preserve">We do not support this change because the </w:t>
            </w:r>
            <w:r w:rsidR="0077353C" w:rsidRPr="00A05E5A">
              <w:rPr>
                <w:rFonts w:cstheme="minorHAnsi"/>
                <w:sz w:val="20"/>
                <w:szCs w:val="20"/>
              </w:rPr>
              <w:t>7</w:t>
            </w:r>
            <w:r w:rsidR="001C1864" w:rsidRPr="00A05E5A">
              <w:rPr>
                <w:rFonts w:cstheme="minorHAnsi"/>
                <w:sz w:val="20"/>
                <w:szCs w:val="20"/>
              </w:rPr>
              <w:t>-</w:t>
            </w:r>
            <w:r w:rsidR="0077353C" w:rsidRPr="00A05E5A">
              <w:rPr>
                <w:rFonts w:cstheme="minorHAnsi"/>
                <w:sz w:val="20"/>
                <w:szCs w:val="20"/>
              </w:rPr>
              <w:t xml:space="preserve">day supply </w:t>
            </w:r>
            <w:r w:rsidR="00F36620" w:rsidRPr="00A05E5A">
              <w:rPr>
                <w:rFonts w:cstheme="minorHAnsi"/>
                <w:sz w:val="20"/>
                <w:szCs w:val="20"/>
              </w:rPr>
              <w:t xml:space="preserve">presents </w:t>
            </w:r>
            <w:r w:rsidR="003B16BF" w:rsidRPr="00A05E5A">
              <w:rPr>
                <w:rFonts w:cstheme="minorHAnsi"/>
                <w:sz w:val="20"/>
                <w:szCs w:val="20"/>
              </w:rPr>
              <w:t>challenges</w:t>
            </w:r>
            <w:r>
              <w:rPr>
                <w:rFonts w:cstheme="minorHAnsi"/>
                <w:sz w:val="20"/>
                <w:szCs w:val="20"/>
              </w:rPr>
              <w:t>, including the following:</w:t>
            </w:r>
            <w:r w:rsidR="0077353C" w:rsidRPr="00A05E5A">
              <w:rPr>
                <w:rFonts w:cstheme="minorHAnsi"/>
                <w:sz w:val="20"/>
                <w:szCs w:val="20"/>
              </w:rPr>
              <w:t xml:space="preserve"> </w:t>
            </w:r>
          </w:p>
          <w:p w14:paraId="783009B6" w14:textId="359948D3" w:rsidR="0077353C" w:rsidRPr="00A05E5A" w:rsidRDefault="003B16BF" w:rsidP="0077353C">
            <w:pPr>
              <w:rPr>
                <w:rFonts w:cstheme="minorHAnsi"/>
                <w:sz w:val="20"/>
                <w:szCs w:val="20"/>
              </w:rPr>
            </w:pPr>
            <w:r w:rsidRPr="00A05E5A">
              <w:rPr>
                <w:rFonts w:cstheme="minorHAnsi"/>
                <w:sz w:val="20"/>
                <w:szCs w:val="20"/>
              </w:rPr>
              <w:t>A</w:t>
            </w:r>
            <w:r w:rsidR="0077353C" w:rsidRPr="00A05E5A">
              <w:rPr>
                <w:rFonts w:cstheme="minorHAnsi"/>
                <w:sz w:val="20"/>
                <w:szCs w:val="20"/>
              </w:rPr>
              <w:t xml:space="preserve"> prescription </w:t>
            </w:r>
            <w:r w:rsidRPr="00A05E5A">
              <w:rPr>
                <w:rFonts w:cstheme="minorHAnsi"/>
                <w:sz w:val="20"/>
                <w:szCs w:val="20"/>
              </w:rPr>
              <w:t xml:space="preserve">written for </w:t>
            </w:r>
            <w:r w:rsidR="0077353C" w:rsidRPr="00A05E5A">
              <w:rPr>
                <w:rFonts w:cstheme="minorHAnsi"/>
                <w:sz w:val="20"/>
                <w:szCs w:val="20"/>
              </w:rPr>
              <w:t>more</w:t>
            </w:r>
            <w:r w:rsidRPr="00A05E5A">
              <w:rPr>
                <w:rFonts w:cstheme="minorHAnsi"/>
                <w:sz w:val="20"/>
                <w:szCs w:val="20"/>
              </w:rPr>
              <w:t xml:space="preserve"> than 7-day supply would require the </w:t>
            </w:r>
            <w:r w:rsidR="0077353C" w:rsidRPr="00A05E5A">
              <w:rPr>
                <w:rFonts w:cstheme="minorHAnsi"/>
                <w:sz w:val="20"/>
                <w:szCs w:val="20"/>
              </w:rPr>
              <w:t>bene</w:t>
            </w:r>
            <w:r w:rsidRPr="00A05E5A">
              <w:rPr>
                <w:rFonts w:cstheme="minorHAnsi"/>
                <w:sz w:val="20"/>
                <w:szCs w:val="20"/>
              </w:rPr>
              <w:t xml:space="preserve">ficiary to </w:t>
            </w:r>
            <w:r w:rsidR="002F5E06" w:rsidRPr="00A05E5A">
              <w:rPr>
                <w:rFonts w:cstheme="minorHAnsi"/>
                <w:sz w:val="20"/>
                <w:szCs w:val="20"/>
              </w:rPr>
              <w:t>return to their prescriber for</w:t>
            </w:r>
            <w:r w:rsidR="0077353C" w:rsidRPr="00A05E5A">
              <w:rPr>
                <w:rFonts w:cstheme="minorHAnsi"/>
                <w:sz w:val="20"/>
                <w:szCs w:val="20"/>
              </w:rPr>
              <w:t xml:space="preserve"> a new prescription</w:t>
            </w:r>
            <w:r w:rsidR="00925AA4" w:rsidRPr="00A05E5A">
              <w:rPr>
                <w:rFonts w:cstheme="minorHAnsi"/>
                <w:sz w:val="20"/>
                <w:szCs w:val="20"/>
              </w:rPr>
              <w:t xml:space="preserve"> for </w:t>
            </w:r>
            <w:r w:rsidR="0058612E">
              <w:rPr>
                <w:rFonts w:cstheme="minorHAnsi"/>
                <w:sz w:val="20"/>
                <w:szCs w:val="20"/>
              </w:rPr>
              <w:t xml:space="preserve">the 7-day supply for </w:t>
            </w:r>
            <w:r w:rsidR="00925AA4" w:rsidRPr="00A05E5A">
              <w:rPr>
                <w:rFonts w:cstheme="minorHAnsi"/>
                <w:sz w:val="20"/>
                <w:szCs w:val="20"/>
              </w:rPr>
              <w:t>schedule II drugs</w:t>
            </w:r>
            <w:r w:rsidR="0058612E">
              <w:rPr>
                <w:rFonts w:cstheme="minorHAnsi"/>
                <w:sz w:val="20"/>
                <w:szCs w:val="20"/>
              </w:rPr>
              <w:t xml:space="preserve">, and again for subsequent fills. </w:t>
            </w:r>
            <w:r w:rsidR="002F5E06" w:rsidRPr="00A05E5A">
              <w:rPr>
                <w:rFonts w:cstheme="minorHAnsi"/>
                <w:sz w:val="20"/>
                <w:szCs w:val="20"/>
              </w:rPr>
              <w:t xml:space="preserve">We believe this may inadvertently drive patients to </w:t>
            </w:r>
            <w:r w:rsidR="007F115F">
              <w:rPr>
                <w:rFonts w:cstheme="minorHAnsi"/>
                <w:sz w:val="20"/>
                <w:szCs w:val="20"/>
              </w:rPr>
              <w:t xml:space="preserve">emergency </w:t>
            </w:r>
            <w:r w:rsidR="0058612E">
              <w:rPr>
                <w:rFonts w:cstheme="minorHAnsi"/>
                <w:sz w:val="20"/>
                <w:szCs w:val="20"/>
              </w:rPr>
              <w:t>departments</w:t>
            </w:r>
            <w:r w:rsidR="002F5E06" w:rsidRPr="00A05E5A">
              <w:rPr>
                <w:rFonts w:cstheme="minorHAnsi"/>
                <w:sz w:val="20"/>
                <w:szCs w:val="20"/>
              </w:rPr>
              <w:t>.</w:t>
            </w:r>
            <w:r w:rsidR="0077353C" w:rsidRPr="00A05E5A">
              <w:rPr>
                <w:rFonts w:cstheme="minorHAnsi"/>
                <w:sz w:val="20"/>
                <w:szCs w:val="20"/>
              </w:rPr>
              <w:t xml:space="preserve"> </w:t>
            </w:r>
          </w:p>
          <w:p w14:paraId="7B790CC1" w14:textId="77777777" w:rsidR="002F5E06" w:rsidRPr="00A05E5A" w:rsidRDefault="002F5E06" w:rsidP="0077353C">
            <w:pPr>
              <w:rPr>
                <w:rFonts w:cstheme="minorHAnsi"/>
                <w:sz w:val="20"/>
                <w:szCs w:val="20"/>
              </w:rPr>
            </w:pPr>
          </w:p>
          <w:p w14:paraId="75F893A6" w14:textId="77777777" w:rsidR="0077353C" w:rsidRDefault="00A05E5A" w:rsidP="007F115F">
            <w:pPr>
              <w:pStyle w:val="Default"/>
              <w:rPr>
                <w:rFonts w:asciiTheme="minorHAnsi" w:hAnsiTheme="minorHAnsi"/>
                <w:sz w:val="20"/>
                <w:szCs w:val="20"/>
              </w:rPr>
            </w:pPr>
            <w:r>
              <w:rPr>
                <w:rFonts w:asciiTheme="minorHAnsi" w:hAnsiTheme="minorHAnsi" w:cstheme="minorHAnsi"/>
                <w:sz w:val="20"/>
                <w:szCs w:val="20"/>
              </w:rPr>
              <w:t xml:space="preserve">The </w:t>
            </w:r>
            <w:r w:rsidR="007F115F">
              <w:rPr>
                <w:rFonts w:asciiTheme="minorHAnsi" w:hAnsiTheme="minorHAnsi" w:cstheme="minorHAnsi"/>
                <w:sz w:val="20"/>
                <w:szCs w:val="20"/>
              </w:rPr>
              <w:t xml:space="preserve">expedited review period may result in requests being denied due to lack of information as this may not provide enough time to reach a prescriber and get a response, particularly on weekends/holidays. </w:t>
            </w:r>
            <w:r w:rsidR="00CE72E4" w:rsidRPr="00CE72E4">
              <w:rPr>
                <w:rFonts w:asciiTheme="minorHAnsi" w:hAnsiTheme="minorHAnsi"/>
                <w:sz w:val="20"/>
                <w:szCs w:val="20"/>
              </w:rPr>
              <w:t xml:space="preserve">We recommend that CMS not require all coverage determination requests for a rejected POS edit be treated as expedited (unless requested by the beneficiary or the prescriber). </w:t>
            </w:r>
          </w:p>
          <w:p w14:paraId="414E7F34" w14:textId="0BDB4527" w:rsidR="009E0768" w:rsidRPr="007F115F" w:rsidRDefault="009E0768" w:rsidP="007F115F">
            <w:pPr>
              <w:pStyle w:val="Default"/>
              <w:rPr>
                <w:rFonts w:asciiTheme="minorHAnsi" w:hAnsiTheme="minorHAnsi"/>
                <w:sz w:val="20"/>
                <w:szCs w:val="20"/>
              </w:rPr>
            </w:pPr>
          </w:p>
        </w:tc>
      </w:tr>
      <w:tr w:rsidR="0077353C" w:rsidRPr="007D37D7" w14:paraId="51692760" w14:textId="77777777" w:rsidTr="00F36620">
        <w:trPr>
          <w:trHeight w:val="1286"/>
        </w:trPr>
        <w:tc>
          <w:tcPr>
            <w:tcW w:w="2605" w:type="dxa"/>
          </w:tcPr>
          <w:p w14:paraId="66F45C67" w14:textId="77777777" w:rsidR="0077353C" w:rsidRDefault="0077353C" w:rsidP="0077353C">
            <w:pPr>
              <w:rPr>
                <w:rFonts w:cstheme="minorHAnsi"/>
                <w:sz w:val="20"/>
                <w:szCs w:val="20"/>
              </w:rPr>
            </w:pPr>
            <w:r>
              <w:rPr>
                <w:rFonts w:cstheme="minorHAnsi"/>
                <w:sz w:val="20"/>
                <w:szCs w:val="20"/>
              </w:rPr>
              <w:t>Days Supply Limits for Opioid Naïve Patients</w:t>
            </w:r>
          </w:p>
          <w:p w14:paraId="7A4AC252" w14:textId="4789C9CA" w:rsidR="0077353C" w:rsidRDefault="0077353C" w:rsidP="0077353C">
            <w:pPr>
              <w:rPr>
                <w:rFonts w:cstheme="minorHAnsi"/>
                <w:bCs/>
                <w:sz w:val="20"/>
                <w:szCs w:val="20"/>
              </w:rPr>
            </w:pPr>
            <w:r>
              <w:rPr>
                <w:rFonts w:cstheme="minorHAnsi"/>
                <w:sz w:val="20"/>
                <w:szCs w:val="20"/>
              </w:rPr>
              <w:t>Pg. 212</w:t>
            </w:r>
          </w:p>
        </w:tc>
        <w:tc>
          <w:tcPr>
            <w:tcW w:w="5760" w:type="dxa"/>
          </w:tcPr>
          <w:p w14:paraId="7A597F92" w14:textId="1FC7E41C" w:rsidR="0077353C" w:rsidRPr="00F369D3" w:rsidRDefault="0077353C" w:rsidP="0077353C">
            <w:pPr>
              <w:autoSpaceDE w:val="0"/>
              <w:autoSpaceDN w:val="0"/>
              <w:adjustRightInd w:val="0"/>
              <w:rPr>
                <w:rFonts w:cs="Times New Roman"/>
                <w:sz w:val="20"/>
                <w:szCs w:val="20"/>
              </w:rPr>
            </w:pPr>
            <w:r>
              <w:rPr>
                <w:rFonts w:cs="Times New Roman"/>
                <w:sz w:val="20"/>
                <w:szCs w:val="20"/>
              </w:rPr>
              <w:t>E</w:t>
            </w:r>
            <w:r w:rsidRPr="00F369D3">
              <w:rPr>
                <w:rFonts w:cs="Times New Roman"/>
                <w:sz w:val="20"/>
                <w:szCs w:val="20"/>
              </w:rPr>
              <w:t>xpect all Part D sponsors to implement a hard safety edit for initial opioid prescription fills</w:t>
            </w:r>
            <w:r>
              <w:rPr>
                <w:rFonts w:cs="Times New Roman"/>
                <w:sz w:val="20"/>
                <w:szCs w:val="20"/>
              </w:rPr>
              <w:t xml:space="preserve"> </w:t>
            </w:r>
            <w:r w:rsidRPr="00F369D3">
              <w:rPr>
                <w:rFonts w:cs="Times New Roman"/>
                <w:sz w:val="20"/>
                <w:szCs w:val="20"/>
              </w:rPr>
              <w:t>that exceed 7 days for the treatment of acute pain.</w:t>
            </w:r>
            <w:r>
              <w:rPr>
                <w:rFonts w:cs="Times New Roman"/>
                <w:sz w:val="20"/>
                <w:szCs w:val="20"/>
              </w:rPr>
              <w:t xml:space="preserve"> </w:t>
            </w:r>
          </w:p>
          <w:p w14:paraId="1341E525" w14:textId="387AEDD7" w:rsidR="0077353C" w:rsidRPr="00F369D3" w:rsidRDefault="0077353C" w:rsidP="0077353C">
            <w:pPr>
              <w:rPr>
                <w:rFonts w:cs="Times New Roman"/>
                <w:sz w:val="20"/>
                <w:szCs w:val="20"/>
              </w:rPr>
            </w:pPr>
          </w:p>
          <w:p w14:paraId="560A92EE" w14:textId="271CE589" w:rsidR="0077353C" w:rsidRDefault="0077353C" w:rsidP="0077353C">
            <w:pPr>
              <w:autoSpaceDE w:val="0"/>
              <w:autoSpaceDN w:val="0"/>
              <w:adjustRightInd w:val="0"/>
              <w:rPr>
                <w:rFonts w:cs="Times New Roman"/>
                <w:sz w:val="20"/>
                <w:szCs w:val="20"/>
              </w:rPr>
            </w:pPr>
            <w:r>
              <w:rPr>
                <w:rFonts w:cs="Times New Roman"/>
                <w:sz w:val="20"/>
                <w:szCs w:val="20"/>
              </w:rPr>
              <w:t xml:space="preserve">Would </w:t>
            </w:r>
            <w:r w:rsidRPr="00F369D3">
              <w:rPr>
                <w:rFonts w:cs="Times New Roman"/>
                <w:sz w:val="20"/>
                <w:szCs w:val="20"/>
              </w:rPr>
              <w:t>a days supply limit</w:t>
            </w:r>
            <w:r>
              <w:rPr>
                <w:rFonts w:cs="Times New Roman"/>
                <w:sz w:val="20"/>
                <w:szCs w:val="20"/>
              </w:rPr>
              <w:t xml:space="preserve"> </w:t>
            </w:r>
            <w:r w:rsidRPr="00F369D3">
              <w:rPr>
                <w:rFonts w:cs="Times New Roman"/>
                <w:sz w:val="20"/>
                <w:szCs w:val="20"/>
              </w:rPr>
              <w:t>with or without a daily dose maximum (e.g., 50 MME per day) be more effective</w:t>
            </w:r>
            <w:r>
              <w:rPr>
                <w:rFonts w:cs="Times New Roman"/>
                <w:sz w:val="20"/>
                <w:szCs w:val="20"/>
              </w:rPr>
              <w:t>?</w:t>
            </w:r>
            <w:r w:rsidRPr="00F369D3">
              <w:rPr>
                <w:rFonts w:cs="Times New Roman"/>
                <w:sz w:val="20"/>
                <w:szCs w:val="20"/>
              </w:rPr>
              <w:t xml:space="preserve"> </w:t>
            </w:r>
          </w:p>
          <w:p w14:paraId="5412D88E" w14:textId="77777777" w:rsidR="0077353C" w:rsidRDefault="0077353C" w:rsidP="0077353C">
            <w:pPr>
              <w:autoSpaceDE w:val="0"/>
              <w:autoSpaceDN w:val="0"/>
              <w:adjustRightInd w:val="0"/>
              <w:rPr>
                <w:rFonts w:cs="Times New Roman"/>
                <w:sz w:val="20"/>
                <w:szCs w:val="20"/>
              </w:rPr>
            </w:pPr>
          </w:p>
          <w:p w14:paraId="210DB8FB" w14:textId="0D139306" w:rsidR="0077353C" w:rsidRPr="00BE1D95" w:rsidRDefault="0077353C" w:rsidP="0077353C">
            <w:pPr>
              <w:autoSpaceDE w:val="0"/>
              <w:autoSpaceDN w:val="0"/>
              <w:adjustRightInd w:val="0"/>
              <w:rPr>
                <w:rFonts w:cs="Times New Roman"/>
                <w:sz w:val="20"/>
                <w:szCs w:val="20"/>
              </w:rPr>
            </w:pPr>
            <w:r>
              <w:rPr>
                <w:rFonts w:cs="Times New Roman"/>
                <w:sz w:val="20"/>
                <w:szCs w:val="20"/>
              </w:rPr>
              <w:t>R</w:t>
            </w:r>
            <w:r w:rsidRPr="00F369D3">
              <w:rPr>
                <w:rFonts w:cs="Times New Roman"/>
                <w:sz w:val="20"/>
                <w:szCs w:val="20"/>
              </w:rPr>
              <w:t>equest information on both inclusions and exceptions for specific clinical</w:t>
            </w:r>
            <w:r>
              <w:rPr>
                <w:rFonts w:cs="Times New Roman"/>
                <w:sz w:val="20"/>
                <w:szCs w:val="20"/>
              </w:rPr>
              <w:t xml:space="preserve"> </w:t>
            </w:r>
            <w:r w:rsidRPr="00F369D3">
              <w:rPr>
                <w:rFonts w:cs="Times New Roman"/>
                <w:sz w:val="20"/>
                <w:szCs w:val="20"/>
              </w:rPr>
              <w:t>situations (i.e., whether and to what extent a supply limit could be based on specific indications</w:t>
            </w:r>
            <w:r>
              <w:rPr>
                <w:rFonts w:cs="Times New Roman"/>
                <w:sz w:val="20"/>
                <w:szCs w:val="20"/>
              </w:rPr>
              <w:t xml:space="preserve"> </w:t>
            </w:r>
            <w:r w:rsidRPr="00F369D3">
              <w:rPr>
                <w:rFonts w:cs="Times New Roman"/>
                <w:sz w:val="20"/>
                <w:szCs w:val="20"/>
              </w:rPr>
              <w:t>or other criteria) and other parameters and what safeguards should be in place to protect</w:t>
            </w:r>
            <w:r>
              <w:rPr>
                <w:rFonts w:cs="Times New Roman"/>
                <w:sz w:val="20"/>
                <w:szCs w:val="20"/>
              </w:rPr>
              <w:t xml:space="preserve"> </w:t>
            </w:r>
            <w:r w:rsidRPr="00F369D3">
              <w:rPr>
                <w:rFonts w:cs="Times New Roman"/>
                <w:sz w:val="20"/>
                <w:szCs w:val="20"/>
              </w:rPr>
              <w:t>appropriate beneficiary access.</w:t>
            </w:r>
          </w:p>
        </w:tc>
        <w:tc>
          <w:tcPr>
            <w:tcW w:w="5501" w:type="dxa"/>
          </w:tcPr>
          <w:p w14:paraId="1D9FA0AC" w14:textId="095B754A" w:rsidR="008C0AB3" w:rsidRPr="00537C54" w:rsidRDefault="00316F46" w:rsidP="0077353C">
            <w:pPr>
              <w:rPr>
                <w:rFonts w:cstheme="minorHAnsi"/>
                <w:sz w:val="20"/>
                <w:szCs w:val="20"/>
              </w:rPr>
            </w:pPr>
            <w:r w:rsidRPr="00537C54">
              <w:rPr>
                <w:rFonts w:cstheme="minorHAnsi"/>
                <w:sz w:val="20"/>
                <w:szCs w:val="20"/>
              </w:rPr>
              <w:t>Plans need clarification as to</w:t>
            </w:r>
            <w:r w:rsidR="00152A37" w:rsidRPr="00537C54">
              <w:rPr>
                <w:rFonts w:cstheme="minorHAnsi"/>
                <w:sz w:val="20"/>
                <w:szCs w:val="20"/>
              </w:rPr>
              <w:t xml:space="preserve"> how </w:t>
            </w:r>
            <w:r w:rsidR="002F5E06" w:rsidRPr="00537C54">
              <w:rPr>
                <w:rFonts w:cstheme="minorHAnsi"/>
                <w:sz w:val="20"/>
                <w:szCs w:val="20"/>
              </w:rPr>
              <w:t>“acute pain”</w:t>
            </w:r>
            <w:r w:rsidR="00AA72BB" w:rsidRPr="00537C54">
              <w:rPr>
                <w:rFonts w:cstheme="minorHAnsi"/>
                <w:sz w:val="20"/>
                <w:szCs w:val="20"/>
              </w:rPr>
              <w:t xml:space="preserve"> and “opioid n</w:t>
            </w:r>
            <w:r w:rsidR="00EA579E">
              <w:rPr>
                <w:rFonts w:cstheme="minorHAnsi"/>
                <w:sz w:val="20"/>
                <w:szCs w:val="20"/>
              </w:rPr>
              <w:t>ai</w:t>
            </w:r>
            <w:r w:rsidR="00AA72BB" w:rsidRPr="00537C54">
              <w:rPr>
                <w:rFonts w:cstheme="minorHAnsi"/>
                <w:sz w:val="20"/>
                <w:szCs w:val="20"/>
              </w:rPr>
              <w:t xml:space="preserve">ve” </w:t>
            </w:r>
            <w:r w:rsidR="00152A37" w:rsidRPr="00537C54">
              <w:rPr>
                <w:rFonts w:cstheme="minorHAnsi"/>
                <w:sz w:val="20"/>
                <w:szCs w:val="20"/>
              </w:rPr>
              <w:t>would be defined</w:t>
            </w:r>
            <w:r w:rsidR="002F5E06" w:rsidRPr="00537C54">
              <w:rPr>
                <w:rFonts w:cstheme="minorHAnsi"/>
                <w:sz w:val="20"/>
                <w:szCs w:val="20"/>
              </w:rPr>
              <w:t>.</w:t>
            </w:r>
            <w:r w:rsidR="0077353C" w:rsidRPr="00537C54">
              <w:rPr>
                <w:rFonts w:cstheme="minorHAnsi"/>
                <w:sz w:val="20"/>
                <w:szCs w:val="20"/>
              </w:rPr>
              <w:t xml:space="preserve"> </w:t>
            </w:r>
          </w:p>
          <w:p w14:paraId="3F3E8E1A" w14:textId="77777777" w:rsidR="00316F46" w:rsidRPr="00537C54" w:rsidRDefault="00316F46" w:rsidP="00316F46">
            <w:pPr>
              <w:autoSpaceDE w:val="0"/>
              <w:autoSpaceDN w:val="0"/>
              <w:adjustRightInd w:val="0"/>
              <w:rPr>
                <w:rFonts w:cs="Times New Roman"/>
                <w:color w:val="000000"/>
                <w:sz w:val="20"/>
                <w:szCs w:val="20"/>
              </w:rPr>
            </w:pPr>
          </w:p>
          <w:p w14:paraId="5F9F22E6" w14:textId="388E8546"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We do not recommend adding an MME limit in addition to the 7 days’ supply. This would make the development of the edit more complex and not realistic for 1/1/19 effective.</w:t>
            </w:r>
            <w:r w:rsidR="00537C54" w:rsidRPr="00537C54">
              <w:rPr>
                <w:rFonts w:cs="Times New Roman"/>
                <w:color w:val="000000"/>
                <w:sz w:val="20"/>
                <w:szCs w:val="20"/>
              </w:rPr>
              <w:t xml:space="preserve"> It would also be </w:t>
            </w:r>
            <w:r w:rsidR="00C63EA2">
              <w:rPr>
                <w:rFonts w:cs="Times New Roman"/>
                <w:color w:val="000000"/>
                <w:sz w:val="20"/>
                <w:szCs w:val="20"/>
              </w:rPr>
              <w:t xml:space="preserve">difficult to explain the complexities to </w:t>
            </w:r>
            <w:r w:rsidR="00537C54" w:rsidRPr="00537C54">
              <w:rPr>
                <w:rFonts w:cs="Times New Roman"/>
                <w:color w:val="000000"/>
                <w:sz w:val="20"/>
                <w:szCs w:val="20"/>
              </w:rPr>
              <w:t>beneficiar</w:t>
            </w:r>
            <w:r w:rsidR="00C63EA2">
              <w:rPr>
                <w:rFonts w:cs="Times New Roman"/>
                <w:color w:val="000000"/>
                <w:sz w:val="20"/>
                <w:szCs w:val="20"/>
              </w:rPr>
              <w:t>ies</w:t>
            </w:r>
            <w:r w:rsidR="00537C54" w:rsidRPr="00537C54">
              <w:rPr>
                <w:rFonts w:cs="Times New Roman"/>
                <w:color w:val="000000"/>
                <w:sz w:val="20"/>
                <w:szCs w:val="20"/>
              </w:rPr>
              <w:t>.</w:t>
            </w:r>
          </w:p>
          <w:p w14:paraId="4DDBE909" w14:textId="77777777" w:rsidR="00316F46" w:rsidRPr="00537C54" w:rsidRDefault="00316F46" w:rsidP="0077353C">
            <w:pPr>
              <w:rPr>
                <w:rFonts w:cstheme="minorHAnsi"/>
                <w:sz w:val="20"/>
                <w:szCs w:val="20"/>
              </w:rPr>
            </w:pPr>
          </w:p>
          <w:p w14:paraId="4D72460D" w14:textId="67E822C2"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 xml:space="preserve">Beneficiaries in LTC facilities should be exempt from the initial fill for acute pain requirement. </w:t>
            </w:r>
          </w:p>
          <w:p w14:paraId="1F067BDE" w14:textId="6098E326" w:rsidR="00316F46" w:rsidRPr="00537C54" w:rsidRDefault="00316F46" w:rsidP="0077353C">
            <w:pPr>
              <w:rPr>
                <w:rFonts w:cstheme="minorHAnsi"/>
                <w:sz w:val="20"/>
                <w:szCs w:val="20"/>
              </w:rPr>
            </w:pPr>
          </w:p>
          <w:p w14:paraId="644F245C" w14:textId="22D48076" w:rsidR="00316F46" w:rsidRPr="00537C54" w:rsidRDefault="00316F46" w:rsidP="0077353C">
            <w:pPr>
              <w:rPr>
                <w:rFonts w:cstheme="minorHAnsi"/>
                <w:sz w:val="20"/>
                <w:szCs w:val="20"/>
              </w:rPr>
            </w:pPr>
            <w:r w:rsidRPr="00537C54">
              <w:rPr>
                <w:rFonts w:cstheme="minorHAnsi"/>
                <w:sz w:val="20"/>
                <w:szCs w:val="20"/>
              </w:rPr>
              <w:t>Please provide guidance as to what plans should do when there is no prior claims history (new to plan).</w:t>
            </w:r>
          </w:p>
          <w:p w14:paraId="4D510602" w14:textId="77777777" w:rsidR="00316F46" w:rsidRPr="00537C54" w:rsidRDefault="00316F46" w:rsidP="0077353C">
            <w:pPr>
              <w:rPr>
                <w:rFonts w:cstheme="minorHAnsi"/>
                <w:sz w:val="20"/>
                <w:szCs w:val="20"/>
              </w:rPr>
            </w:pPr>
          </w:p>
          <w:p w14:paraId="3ADB84E0" w14:textId="5B1F651A" w:rsidR="0077353C" w:rsidRPr="00537C54" w:rsidRDefault="00537C54" w:rsidP="0077353C">
            <w:pPr>
              <w:rPr>
                <w:rFonts w:cstheme="minorHAnsi"/>
                <w:sz w:val="20"/>
                <w:szCs w:val="20"/>
              </w:rPr>
            </w:pPr>
            <w:r w:rsidRPr="00537C54">
              <w:rPr>
                <w:rFonts w:cstheme="minorHAnsi"/>
                <w:sz w:val="20"/>
                <w:szCs w:val="20"/>
              </w:rPr>
              <w:t>See also the comments above related to Cumulative MME Daily Safety Edits. They would</w:t>
            </w:r>
            <w:r w:rsidR="00AA72BB" w:rsidRPr="00537C54">
              <w:rPr>
                <w:rFonts w:cstheme="minorHAnsi"/>
                <w:sz w:val="20"/>
                <w:szCs w:val="20"/>
              </w:rPr>
              <w:t xml:space="preserve"> also be of concern with this provision.</w:t>
            </w:r>
          </w:p>
          <w:p w14:paraId="267E2BF5" w14:textId="3CAFAF0E" w:rsidR="0077353C" w:rsidRPr="00537C54" w:rsidRDefault="0077353C" w:rsidP="0077353C">
            <w:pPr>
              <w:rPr>
                <w:rFonts w:cstheme="minorHAnsi"/>
                <w:sz w:val="20"/>
                <w:szCs w:val="20"/>
              </w:rPr>
            </w:pPr>
          </w:p>
        </w:tc>
      </w:tr>
      <w:tr w:rsidR="0077353C" w:rsidRPr="007D37D7" w14:paraId="2FDAD044" w14:textId="77777777" w:rsidTr="00EA579E">
        <w:trPr>
          <w:trHeight w:val="2276"/>
        </w:trPr>
        <w:tc>
          <w:tcPr>
            <w:tcW w:w="2605" w:type="dxa"/>
          </w:tcPr>
          <w:p w14:paraId="3960EDBD" w14:textId="77777777" w:rsidR="0077353C" w:rsidRDefault="0077353C" w:rsidP="0077353C">
            <w:pPr>
              <w:rPr>
                <w:rFonts w:cstheme="minorHAnsi"/>
                <w:sz w:val="20"/>
                <w:szCs w:val="20"/>
              </w:rPr>
            </w:pPr>
            <w:bookmarkStart w:id="1" w:name="_GoBack"/>
            <w:r>
              <w:rPr>
                <w:rFonts w:cstheme="minorHAnsi"/>
                <w:sz w:val="20"/>
                <w:szCs w:val="20"/>
              </w:rPr>
              <w:lastRenderedPageBreak/>
              <w:t>Opioid Duplicative Therapy Safety Edits</w:t>
            </w:r>
          </w:p>
          <w:p w14:paraId="5669D0AF" w14:textId="568D2D72" w:rsidR="0077353C" w:rsidRPr="007D37D7" w:rsidRDefault="0077353C" w:rsidP="0077353C">
            <w:pPr>
              <w:rPr>
                <w:rFonts w:cstheme="minorHAnsi"/>
                <w:bCs/>
                <w:sz w:val="20"/>
                <w:szCs w:val="20"/>
              </w:rPr>
            </w:pPr>
            <w:r>
              <w:rPr>
                <w:rFonts w:cstheme="minorHAnsi"/>
                <w:sz w:val="20"/>
                <w:szCs w:val="20"/>
              </w:rPr>
              <w:t>Pg. 215</w:t>
            </w:r>
          </w:p>
        </w:tc>
        <w:tc>
          <w:tcPr>
            <w:tcW w:w="5760" w:type="dxa"/>
          </w:tcPr>
          <w:p w14:paraId="42FF7543" w14:textId="791C28B9"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 xml:space="preserve">Expect all Part D plan sponsors to implement a soft POS edit for duplicative LA opioid therapy beginning in 2019, with or without a multiple prescriber criterion. </w:t>
            </w:r>
          </w:p>
          <w:p w14:paraId="6392FD31" w14:textId="77777777" w:rsidR="0077353C" w:rsidRPr="00AF3D8E" w:rsidRDefault="0077353C" w:rsidP="0077353C">
            <w:pPr>
              <w:contextualSpacing/>
              <w:rPr>
                <w:rFonts w:cstheme="minorHAnsi"/>
                <w:sz w:val="20"/>
                <w:szCs w:val="20"/>
              </w:rPr>
            </w:pPr>
          </w:p>
          <w:p w14:paraId="43AA5E9E" w14:textId="77777777"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We also recognize that multiple opioid POS edits could potentially</w:t>
            </w:r>
          </w:p>
          <w:p w14:paraId="3477AEF4" w14:textId="45D4AE1C"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generate a combination of messages and soft or hard rejects that may cause confusion. Therefore, we recommend that contracts create a hierarchy for the opioid POS edit messaging in an effort to reduce confusion.</w:t>
            </w:r>
          </w:p>
        </w:tc>
        <w:tc>
          <w:tcPr>
            <w:tcW w:w="5501" w:type="dxa"/>
          </w:tcPr>
          <w:p w14:paraId="6E7F9743" w14:textId="5F637078" w:rsidR="0077353C" w:rsidRPr="007E3971" w:rsidRDefault="00925AA4" w:rsidP="0077353C">
            <w:pPr>
              <w:rPr>
                <w:rFonts w:cstheme="minorHAnsi"/>
                <w:sz w:val="20"/>
                <w:szCs w:val="20"/>
              </w:rPr>
            </w:pPr>
            <w:r w:rsidRPr="007E3971">
              <w:rPr>
                <w:rFonts w:cstheme="minorHAnsi"/>
                <w:sz w:val="20"/>
                <w:szCs w:val="20"/>
              </w:rPr>
              <w:t xml:space="preserve">Multiple </w:t>
            </w:r>
            <w:r w:rsidR="00A36C4A">
              <w:rPr>
                <w:rFonts w:cstheme="minorHAnsi"/>
                <w:sz w:val="20"/>
                <w:szCs w:val="20"/>
              </w:rPr>
              <w:t xml:space="preserve">opioid edits could create confusion at POS. It will be important for all plans to utilize the same hierarchy for edits. </w:t>
            </w:r>
            <w:r w:rsidR="00845844">
              <w:rPr>
                <w:rFonts w:cstheme="minorHAnsi"/>
                <w:sz w:val="20"/>
                <w:szCs w:val="20"/>
              </w:rPr>
              <w:t>We recommend that CMS develop a standard hierarchy list with input from PCMA and NCPDP.</w:t>
            </w:r>
            <w:r w:rsidRPr="007E3971">
              <w:rPr>
                <w:rFonts w:cstheme="minorHAnsi"/>
                <w:sz w:val="20"/>
                <w:szCs w:val="20"/>
              </w:rPr>
              <w:t xml:space="preserve"> </w:t>
            </w:r>
          </w:p>
        </w:tc>
      </w:tr>
      <w:tr w:rsidR="0077353C" w:rsidRPr="007D37D7" w14:paraId="126276E1" w14:textId="77777777" w:rsidTr="005A45A7">
        <w:trPr>
          <w:trHeight w:val="2150"/>
        </w:trPr>
        <w:tc>
          <w:tcPr>
            <w:tcW w:w="2605" w:type="dxa"/>
          </w:tcPr>
          <w:p w14:paraId="2B44D779" w14:textId="77777777" w:rsidR="0077353C" w:rsidRDefault="0077353C" w:rsidP="0077353C">
            <w:pPr>
              <w:rPr>
                <w:rFonts w:cstheme="minorHAnsi"/>
                <w:sz w:val="20"/>
                <w:szCs w:val="20"/>
              </w:rPr>
            </w:pPr>
            <w:r w:rsidRPr="00FF2B7F">
              <w:rPr>
                <w:rFonts w:cstheme="minorHAnsi"/>
                <w:sz w:val="20"/>
                <w:szCs w:val="20"/>
              </w:rPr>
              <w:t>Access to Medication-Assisted Treatment</w:t>
            </w:r>
          </w:p>
          <w:p w14:paraId="145F4AF1" w14:textId="0B0B0604" w:rsidR="0077353C" w:rsidRDefault="0077353C" w:rsidP="0077353C">
            <w:pPr>
              <w:rPr>
                <w:rFonts w:cstheme="minorHAnsi"/>
                <w:sz w:val="20"/>
                <w:szCs w:val="20"/>
              </w:rPr>
            </w:pPr>
            <w:r>
              <w:rPr>
                <w:rFonts w:cstheme="minorHAnsi"/>
                <w:sz w:val="20"/>
                <w:szCs w:val="20"/>
              </w:rPr>
              <w:t>Pg. 216</w:t>
            </w:r>
          </w:p>
        </w:tc>
        <w:tc>
          <w:tcPr>
            <w:tcW w:w="5760" w:type="dxa"/>
          </w:tcPr>
          <w:p w14:paraId="26CABF04" w14:textId="6060FD20" w:rsidR="0077353C" w:rsidRPr="00393F63" w:rsidRDefault="0077353C" w:rsidP="0077353C">
            <w:pPr>
              <w:autoSpaceDE w:val="0"/>
              <w:autoSpaceDN w:val="0"/>
              <w:adjustRightInd w:val="0"/>
              <w:rPr>
                <w:rFonts w:cs="Times New Roman"/>
                <w:sz w:val="20"/>
                <w:szCs w:val="20"/>
              </w:rPr>
            </w:pPr>
            <w:r w:rsidRPr="00393F63">
              <w:rPr>
                <w:rFonts w:cs="Times New Roman"/>
                <w:sz w:val="20"/>
                <w:szCs w:val="20"/>
              </w:rPr>
              <w:t>Benefit designs that would substantially discourage enrollment by beneficiaries who need these therapies will not be approved.</w:t>
            </w:r>
          </w:p>
          <w:p w14:paraId="2469FDB0" w14:textId="77777777" w:rsidR="0077353C" w:rsidRPr="00B45CA1" w:rsidRDefault="0077353C" w:rsidP="0077353C">
            <w:pPr>
              <w:autoSpaceDE w:val="0"/>
              <w:autoSpaceDN w:val="0"/>
              <w:adjustRightInd w:val="0"/>
              <w:rPr>
                <w:rFonts w:cs="Times New Roman"/>
                <w:sz w:val="20"/>
                <w:szCs w:val="20"/>
              </w:rPr>
            </w:pPr>
            <w:r w:rsidRPr="00393F63">
              <w:rPr>
                <w:rFonts w:cs="Times New Roman"/>
                <w:sz w:val="20"/>
                <w:szCs w:val="20"/>
              </w:rPr>
              <w:t>Avoid placing generic drugs indicated for MAT in brand tiers.</w:t>
            </w:r>
            <w:r>
              <w:rPr>
                <w:rFonts w:cs="Times New Roman"/>
                <w:sz w:val="20"/>
                <w:szCs w:val="20"/>
              </w:rPr>
              <w:t xml:space="preserve"> </w:t>
            </w:r>
            <w:r w:rsidRPr="00B45CA1">
              <w:rPr>
                <w:rFonts w:cs="Times New Roman"/>
                <w:sz w:val="20"/>
                <w:szCs w:val="20"/>
              </w:rPr>
              <w:t>CMS will not approve PA criteria that requires a beneficiary to</w:t>
            </w:r>
          </w:p>
          <w:p w14:paraId="5070C995" w14:textId="159F4840" w:rsidR="0077353C" w:rsidRPr="0043240B" w:rsidRDefault="0077353C" w:rsidP="0043240B">
            <w:pPr>
              <w:autoSpaceDE w:val="0"/>
              <w:autoSpaceDN w:val="0"/>
              <w:adjustRightInd w:val="0"/>
              <w:rPr>
                <w:rFonts w:cs="Times New Roman"/>
                <w:sz w:val="20"/>
                <w:szCs w:val="20"/>
              </w:rPr>
            </w:pPr>
            <w:r w:rsidRPr="00B45CA1">
              <w:rPr>
                <w:rFonts w:cs="Times New Roman"/>
                <w:sz w:val="20"/>
                <w:szCs w:val="20"/>
              </w:rPr>
              <w:t>need an authorization any more frequently than once during a plan year</w:t>
            </w:r>
            <w:r w:rsidRPr="00393F63">
              <w:rPr>
                <w:rFonts w:cs="Times New Roman"/>
                <w:sz w:val="20"/>
                <w:szCs w:val="20"/>
              </w:rPr>
              <w:t xml:space="preserve">. </w:t>
            </w:r>
            <w:r w:rsidRPr="00B45CA1">
              <w:rPr>
                <w:rFonts w:cs="Times New Roman"/>
                <w:sz w:val="20"/>
                <w:szCs w:val="20"/>
                <w:highlight w:val="yellow"/>
              </w:rPr>
              <w:t>Further, when a sponsor has authorized MAT for a beneficiary in the prior plan year,</w:t>
            </w:r>
            <w:r w:rsidRPr="00393F63">
              <w:rPr>
                <w:rFonts w:cs="Times New Roman"/>
                <w:sz w:val="20"/>
                <w:szCs w:val="20"/>
              </w:rPr>
              <w:t xml:space="preserve"> </w:t>
            </w:r>
            <w:r w:rsidRPr="00AC6C7A">
              <w:rPr>
                <w:rFonts w:cs="Times New Roman"/>
                <w:sz w:val="20"/>
                <w:szCs w:val="20"/>
                <w:highlight w:val="yellow"/>
              </w:rPr>
              <w:t xml:space="preserve">we expect that the sponsor would carry </w:t>
            </w:r>
            <w:r w:rsidRPr="00DB13EE">
              <w:rPr>
                <w:rFonts w:cs="Times New Roman"/>
                <w:sz w:val="20"/>
                <w:szCs w:val="20"/>
                <w:highlight w:val="yellow"/>
              </w:rPr>
              <w:t>that authorization through to the next plan year.</w:t>
            </w:r>
          </w:p>
        </w:tc>
        <w:tc>
          <w:tcPr>
            <w:tcW w:w="5501" w:type="dxa"/>
          </w:tcPr>
          <w:p w14:paraId="4B0ED086" w14:textId="08384D8E" w:rsidR="0077353C" w:rsidRPr="007D37D7" w:rsidRDefault="003C0468" w:rsidP="0077353C">
            <w:pPr>
              <w:rPr>
                <w:rFonts w:cstheme="minorHAnsi"/>
                <w:sz w:val="20"/>
                <w:szCs w:val="20"/>
              </w:rPr>
            </w:pPr>
            <w:r>
              <w:rPr>
                <w:rFonts w:cstheme="minorHAnsi"/>
                <w:sz w:val="20"/>
                <w:szCs w:val="20"/>
              </w:rPr>
              <w:t xml:space="preserve">The highlighted text </w:t>
            </w:r>
            <w:r w:rsidR="004D286F">
              <w:rPr>
                <w:rFonts w:cstheme="minorHAnsi"/>
                <w:sz w:val="20"/>
                <w:szCs w:val="20"/>
              </w:rPr>
              <w:t xml:space="preserve">indicating CMS expects a sponsor to carry an authorization through to the next plan year is inconsistent with current guidance in </w:t>
            </w:r>
            <w:r w:rsidR="00B45CA1">
              <w:rPr>
                <w:rFonts w:cstheme="minorHAnsi"/>
                <w:sz w:val="20"/>
                <w:szCs w:val="20"/>
              </w:rPr>
              <w:t xml:space="preserve">Chapter 18 of the Prescription Drug Benefit Manual </w:t>
            </w:r>
            <w:r w:rsidR="004D286F">
              <w:rPr>
                <w:rFonts w:cstheme="minorHAnsi"/>
                <w:sz w:val="20"/>
                <w:szCs w:val="20"/>
              </w:rPr>
              <w:t>Section 30.2.</w:t>
            </w:r>
          </w:p>
        </w:tc>
      </w:tr>
      <w:tr w:rsidR="0077353C" w:rsidRPr="007D37D7" w14:paraId="77A9D69B" w14:textId="77777777" w:rsidTr="0043240B">
        <w:trPr>
          <w:cantSplit/>
        </w:trPr>
        <w:tc>
          <w:tcPr>
            <w:tcW w:w="13866" w:type="dxa"/>
            <w:gridSpan w:val="3"/>
            <w:tcBorders>
              <w:bottom w:val="nil"/>
            </w:tcBorders>
            <w:shd w:val="clear" w:color="auto" w:fill="000000" w:themeFill="text1"/>
          </w:tcPr>
          <w:p w14:paraId="336653CE" w14:textId="48307909" w:rsidR="0077353C" w:rsidRPr="0063281F" w:rsidRDefault="0077353C" w:rsidP="0077353C">
            <w:pPr>
              <w:rPr>
                <w:rFonts w:cstheme="minorHAnsi"/>
                <w:color w:val="FFFFFF" w:themeColor="background1"/>
                <w:sz w:val="20"/>
                <w:szCs w:val="20"/>
              </w:rPr>
            </w:pPr>
            <w:r>
              <w:rPr>
                <w:rFonts w:cs="Times New Roman"/>
                <w:color w:val="FFFFFF" w:themeColor="background1"/>
                <w:sz w:val="20"/>
                <w:szCs w:val="20"/>
              </w:rPr>
              <w:t>Using the Best Available Information when making B vs. D Coverage Determinations for Immunosuppressants and Inhalation DME Supply Drugs</w:t>
            </w:r>
          </w:p>
        </w:tc>
      </w:tr>
      <w:tr w:rsidR="00A82432" w:rsidRPr="007D37D7" w14:paraId="6539CDE2" w14:textId="77777777" w:rsidTr="005A45A7">
        <w:trPr>
          <w:cantSplit/>
          <w:trHeight w:val="2088"/>
        </w:trPr>
        <w:tc>
          <w:tcPr>
            <w:tcW w:w="2605" w:type="dxa"/>
            <w:vMerge w:val="restart"/>
            <w:tcBorders>
              <w:top w:val="nil"/>
            </w:tcBorders>
          </w:tcPr>
          <w:p w14:paraId="0A1CFBB3" w14:textId="7A8C607A" w:rsidR="00A82432" w:rsidRPr="00430125" w:rsidRDefault="00A82432" w:rsidP="0077353C">
            <w:pPr>
              <w:rPr>
                <w:rFonts w:cstheme="minorHAnsi"/>
                <w:sz w:val="20"/>
                <w:szCs w:val="20"/>
              </w:rPr>
            </w:pPr>
            <w:r w:rsidRPr="00430125">
              <w:rPr>
                <w:rFonts w:cs="Times New Roman"/>
                <w:sz w:val="20"/>
                <w:szCs w:val="20"/>
              </w:rPr>
              <w:t>Immunosuppressants Used to Prevent Transplant Rejection</w:t>
            </w:r>
          </w:p>
          <w:p w14:paraId="7667C0E9" w14:textId="393D9229" w:rsidR="00A82432" w:rsidRDefault="00A82432" w:rsidP="0077353C">
            <w:pPr>
              <w:rPr>
                <w:rFonts w:cstheme="minorHAnsi"/>
                <w:sz w:val="20"/>
                <w:szCs w:val="20"/>
              </w:rPr>
            </w:pPr>
            <w:r>
              <w:rPr>
                <w:rFonts w:cstheme="minorHAnsi"/>
                <w:sz w:val="20"/>
                <w:szCs w:val="20"/>
              </w:rPr>
              <w:t>Pg. 218-20</w:t>
            </w:r>
          </w:p>
        </w:tc>
        <w:tc>
          <w:tcPr>
            <w:tcW w:w="5760" w:type="dxa"/>
            <w:tcBorders>
              <w:top w:val="nil"/>
            </w:tcBorders>
          </w:tcPr>
          <w:p w14:paraId="00563C13"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No Prior Part D Claims History for Immunosuppressants</w:t>
            </w:r>
          </w:p>
          <w:p w14:paraId="074B5DA0" w14:textId="77777777" w:rsidR="00A82432" w:rsidRDefault="00A82432" w:rsidP="0077353C">
            <w:pPr>
              <w:autoSpaceDE w:val="0"/>
              <w:autoSpaceDN w:val="0"/>
              <w:adjustRightInd w:val="0"/>
              <w:rPr>
                <w:rFonts w:cs="Times New Roman"/>
                <w:sz w:val="20"/>
                <w:szCs w:val="20"/>
              </w:rPr>
            </w:pPr>
            <w:r>
              <w:rPr>
                <w:rFonts w:cs="Times New Roman"/>
                <w:sz w:val="20"/>
                <w:szCs w:val="20"/>
              </w:rPr>
              <w:t>-</w:t>
            </w:r>
            <w:r w:rsidRPr="001F6E72">
              <w:rPr>
                <w:rFonts w:cs="Times New Roman"/>
                <w:sz w:val="20"/>
                <w:szCs w:val="20"/>
              </w:rPr>
              <w:t xml:space="preserve"> plans are expected to rely on CMS information and cannot cover immunosuppressants under</w:t>
            </w:r>
            <w:r>
              <w:rPr>
                <w:rFonts w:cs="Times New Roman"/>
                <w:sz w:val="20"/>
                <w:szCs w:val="20"/>
              </w:rPr>
              <w:t xml:space="preserve"> </w:t>
            </w:r>
            <w:r w:rsidRPr="001F6E72">
              <w:rPr>
                <w:rFonts w:cs="Times New Roman"/>
                <w:sz w:val="20"/>
                <w:szCs w:val="20"/>
              </w:rPr>
              <w:t>Part D even if information is also provided by the prescriber that indicates that the</w:t>
            </w:r>
            <w:r>
              <w:rPr>
                <w:rFonts w:cs="Times New Roman"/>
                <w:sz w:val="20"/>
                <w:szCs w:val="20"/>
              </w:rPr>
              <w:t xml:space="preserve"> </w:t>
            </w:r>
            <w:r w:rsidRPr="001F6E72">
              <w:rPr>
                <w:rFonts w:cs="Times New Roman"/>
                <w:sz w:val="20"/>
                <w:szCs w:val="20"/>
              </w:rPr>
              <w:t>transplant was not Medicare covered</w:t>
            </w:r>
          </w:p>
          <w:p w14:paraId="5A559A0A" w14:textId="715389DB" w:rsidR="00A82432" w:rsidRDefault="00A82432" w:rsidP="0077353C">
            <w:pPr>
              <w:autoSpaceDE w:val="0"/>
              <w:autoSpaceDN w:val="0"/>
              <w:adjustRightInd w:val="0"/>
              <w:rPr>
                <w:rFonts w:cs="Times New Roman"/>
                <w:sz w:val="20"/>
                <w:szCs w:val="20"/>
              </w:rPr>
            </w:pPr>
            <w:r>
              <w:rPr>
                <w:rFonts w:cstheme="minorHAnsi"/>
                <w:sz w:val="20"/>
                <w:szCs w:val="20"/>
              </w:rPr>
              <w:t>-if plan has not received info from CMS or from a prescriber, default to covering under Part D (no longer have to reach out to prescribers)</w:t>
            </w:r>
          </w:p>
        </w:tc>
        <w:tc>
          <w:tcPr>
            <w:tcW w:w="5501" w:type="dxa"/>
            <w:vMerge w:val="restart"/>
            <w:tcBorders>
              <w:top w:val="nil"/>
            </w:tcBorders>
          </w:tcPr>
          <w:p w14:paraId="657C1B8D" w14:textId="5124F573" w:rsidR="00A82432" w:rsidRPr="000B53CB" w:rsidRDefault="00A82432" w:rsidP="0077353C">
            <w:pPr>
              <w:autoSpaceDE w:val="0"/>
              <w:autoSpaceDN w:val="0"/>
              <w:adjustRightInd w:val="0"/>
              <w:rPr>
                <w:rFonts w:cs="Times New Roman"/>
                <w:sz w:val="20"/>
                <w:szCs w:val="20"/>
              </w:rPr>
            </w:pPr>
            <w:r w:rsidRPr="000B53CB">
              <w:rPr>
                <w:sz w:val="20"/>
                <w:szCs w:val="20"/>
              </w:rPr>
              <w:t xml:space="preserve">We appreciate CMS’ efforts to improve accuracy and efficiency in the B vs. D decision process.  However, the recommended changes will require plans to continue accepting information from multiple sources and overriding system functionality to apply the expected result.  For example, information from the prescriber that the transplant was not Medicare-covered is often “unreliable” per the draft Call Letter language.  But information from the prescriber that indicates the transplant </w:t>
            </w:r>
            <w:r w:rsidRPr="000B53CB">
              <w:rPr>
                <w:i/>
                <w:sz w:val="20"/>
                <w:szCs w:val="20"/>
                <w:u w:val="single"/>
              </w:rPr>
              <w:t>was</w:t>
            </w:r>
            <w:r w:rsidRPr="000B53CB">
              <w:rPr>
                <w:sz w:val="20"/>
                <w:szCs w:val="20"/>
              </w:rPr>
              <w:t xml:space="preserve"> Medicare-covered should be used to prevent Part D payment.  We recommend CMS allow plans to rely on a single source of truth (MARx) in processing immunosuppressants.  In the instance where CMS confirms a Medicare-covered transplant during an audit, we would recommend that CMS initiate the change in MARx so that claims can begin rejecting under Part D going forward.</w:t>
            </w:r>
          </w:p>
        </w:tc>
      </w:tr>
      <w:tr w:rsidR="00A82432" w:rsidRPr="007D37D7" w14:paraId="05309517" w14:textId="77777777" w:rsidTr="005A45A7">
        <w:trPr>
          <w:trHeight w:val="1115"/>
        </w:trPr>
        <w:tc>
          <w:tcPr>
            <w:tcW w:w="2605" w:type="dxa"/>
            <w:vMerge/>
          </w:tcPr>
          <w:p w14:paraId="0899B68E" w14:textId="77777777" w:rsidR="00A82432" w:rsidRDefault="00A82432" w:rsidP="0077353C">
            <w:pPr>
              <w:rPr>
                <w:rFonts w:cstheme="minorHAnsi"/>
                <w:sz w:val="20"/>
                <w:szCs w:val="20"/>
              </w:rPr>
            </w:pPr>
          </w:p>
        </w:tc>
        <w:tc>
          <w:tcPr>
            <w:tcW w:w="5760" w:type="dxa"/>
          </w:tcPr>
          <w:p w14:paraId="2791B412"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AND MARx currently indicates that Medicare covered transplant</w:t>
            </w:r>
          </w:p>
          <w:p w14:paraId="4173A4AD" w14:textId="56DC3895" w:rsidR="00A82432" w:rsidRPr="001F6E72" w:rsidRDefault="00A82432" w:rsidP="0077353C">
            <w:pPr>
              <w:autoSpaceDE w:val="0"/>
              <w:autoSpaceDN w:val="0"/>
              <w:adjustRightInd w:val="0"/>
              <w:rPr>
                <w:rFonts w:cs="Times New Roman"/>
                <w:sz w:val="20"/>
                <w:szCs w:val="20"/>
              </w:rPr>
            </w:pPr>
            <w:r>
              <w:rPr>
                <w:rFonts w:cs="Times New Roman"/>
                <w:sz w:val="20"/>
                <w:szCs w:val="20"/>
              </w:rPr>
              <w:t xml:space="preserve">-Sponsor must now rely on MARx going forward and notify enrollee that plan can no longer cover </w:t>
            </w:r>
          </w:p>
        </w:tc>
        <w:tc>
          <w:tcPr>
            <w:tcW w:w="5501" w:type="dxa"/>
            <w:vMerge/>
          </w:tcPr>
          <w:p w14:paraId="0BFD0835" w14:textId="759E5B33" w:rsidR="00A82432" w:rsidRPr="001F6E72" w:rsidRDefault="00A82432" w:rsidP="0077353C">
            <w:pPr>
              <w:autoSpaceDE w:val="0"/>
              <w:autoSpaceDN w:val="0"/>
              <w:adjustRightInd w:val="0"/>
              <w:rPr>
                <w:rFonts w:cs="Times New Roman"/>
                <w:sz w:val="20"/>
                <w:szCs w:val="20"/>
              </w:rPr>
            </w:pPr>
          </w:p>
        </w:tc>
      </w:tr>
      <w:tr w:rsidR="00A82432" w:rsidRPr="007D37D7" w14:paraId="4FF001DC" w14:textId="77777777" w:rsidTr="005A45A7">
        <w:trPr>
          <w:trHeight w:val="1205"/>
        </w:trPr>
        <w:tc>
          <w:tcPr>
            <w:tcW w:w="2605" w:type="dxa"/>
            <w:vMerge/>
          </w:tcPr>
          <w:p w14:paraId="33D43530" w14:textId="77777777" w:rsidR="00A82432" w:rsidRDefault="00A82432" w:rsidP="0077353C">
            <w:pPr>
              <w:rPr>
                <w:rFonts w:cstheme="minorHAnsi"/>
                <w:sz w:val="20"/>
                <w:szCs w:val="20"/>
              </w:rPr>
            </w:pPr>
          </w:p>
        </w:tc>
        <w:tc>
          <w:tcPr>
            <w:tcW w:w="5760" w:type="dxa"/>
          </w:tcPr>
          <w:p w14:paraId="0EC12A58"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no MARx indicator BUT Part D sponsor receives info from CMS that transplant was covered by Medicare</w:t>
            </w:r>
          </w:p>
          <w:p w14:paraId="1F02C6AA" w14:textId="375473ED" w:rsidR="00A82432" w:rsidRPr="001F6E72" w:rsidRDefault="00A82432" w:rsidP="0077353C">
            <w:pPr>
              <w:autoSpaceDE w:val="0"/>
              <w:autoSpaceDN w:val="0"/>
              <w:adjustRightInd w:val="0"/>
              <w:rPr>
                <w:rFonts w:cs="Times New Roman"/>
                <w:sz w:val="20"/>
                <w:szCs w:val="20"/>
              </w:rPr>
            </w:pPr>
            <w:r>
              <w:rPr>
                <w:rFonts w:cs="Times New Roman"/>
                <w:sz w:val="20"/>
                <w:szCs w:val="20"/>
              </w:rPr>
              <w:t>-Sponsor must now rely on CMS information going forward and provide notice to the enrollee that the plan will no longer cover</w:t>
            </w:r>
          </w:p>
        </w:tc>
        <w:tc>
          <w:tcPr>
            <w:tcW w:w="5501" w:type="dxa"/>
            <w:vMerge/>
          </w:tcPr>
          <w:p w14:paraId="6F093981" w14:textId="62A69B60" w:rsidR="00A82432" w:rsidRPr="001F6E72" w:rsidRDefault="00A82432" w:rsidP="0077353C">
            <w:pPr>
              <w:autoSpaceDE w:val="0"/>
              <w:autoSpaceDN w:val="0"/>
              <w:adjustRightInd w:val="0"/>
              <w:rPr>
                <w:rFonts w:cs="Times New Roman"/>
                <w:sz w:val="20"/>
                <w:szCs w:val="20"/>
              </w:rPr>
            </w:pPr>
          </w:p>
        </w:tc>
      </w:tr>
      <w:bookmarkEnd w:id="1"/>
    </w:tbl>
    <w:p w14:paraId="1DC916E3" w14:textId="77777777" w:rsidR="00A94641" w:rsidRPr="007D37D7" w:rsidRDefault="00A94641" w:rsidP="00A94641">
      <w:pPr>
        <w:rPr>
          <w:sz w:val="20"/>
          <w:szCs w:val="20"/>
        </w:rPr>
      </w:pPr>
    </w:p>
    <w:sectPr w:rsidR="00A94641" w:rsidRPr="007D37D7" w:rsidSect="00147172">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E8B32" w14:textId="77777777" w:rsidR="00316F46" w:rsidRDefault="00316F46" w:rsidP="00431E4C">
      <w:r>
        <w:separator/>
      </w:r>
    </w:p>
  </w:endnote>
  <w:endnote w:type="continuationSeparator" w:id="0">
    <w:p w14:paraId="359D512B" w14:textId="77777777" w:rsidR="00316F46" w:rsidRDefault="00316F46" w:rsidP="0043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765295"/>
      <w:docPartObj>
        <w:docPartGallery w:val="Page Numbers (Bottom of Page)"/>
        <w:docPartUnique/>
      </w:docPartObj>
    </w:sdtPr>
    <w:sdtEndPr>
      <w:rPr>
        <w:noProof/>
      </w:rPr>
    </w:sdtEndPr>
    <w:sdtContent>
      <w:p w14:paraId="4951287E" w14:textId="660D9A27" w:rsidR="00316F46" w:rsidRDefault="00316F46">
        <w:pPr>
          <w:pStyle w:val="Footer"/>
          <w:jc w:val="center"/>
        </w:pPr>
        <w:r>
          <w:fldChar w:fldCharType="begin"/>
        </w:r>
        <w:r>
          <w:instrText xml:space="preserve"> PAGE   \* MERGEFORMAT </w:instrText>
        </w:r>
        <w:r>
          <w:fldChar w:fldCharType="separate"/>
        </w:r>
        <w:r w:rsidR="000A06F0">
          <w:rPr>
            <w:noProof/>
          </w:rPr>
          <w:t>4</w:t>
        </w:r>
        <w:r>
          <w:rPr>
            <w:noProof/>
          </w:rPr>
          <w:fldChar w:fldCharType="end"/>
        </w:r>
      </w:p>
    </w:sdtContent>
  </w:sdt>
  <w:p w14:paraId="498B4EED" w14:textId="77777777" w:rsidR="00316F46" w:rsidRDefault="00316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2851C" w14:textId="77777777" w:rsidR="00316F46" w:rsidRDefault="00316F46" w:rsidP="00431E4C">
      <w:r>
        <w:separator/>
      </w:r>
    </w:p>
  </w:footnote>
  <w:footnote w:type="continuationSeparator" w:id="0">
    <w:p w14:paraId="658BB2BB" w14:textId="77777777" w:rsidR="00316F46" w:rsidRDefault="00316F46" w:rsidP="00431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97C"/>
    <w:multiLevelType w:val="hybridMultilevel"/>
    <w:tmpl w:val="E188A8C6"/>
    <w:lvl w:ilvl="0" w:tplc="1046C0B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2BF"/>
    <w:multiLevelType w:val="hybridMultilevel"/>
    <w:tmpl w:val="C5C6F63C"/>
    <w:lvl w:ilvl="0" w:tplc="002CF4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91949"/>
    <w:multiLevelType w:val="hybridMultilevel"/>
    <w:tmpl w:val="C6A0A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96E8D"/>
    <w:multiLevelType w:val="hybridMultilevel"/>
    <w:tmpl w:val="ACC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713C"/>
    <w:multiLevelType w:val="hybridMultilevel"/>
    <w:tmpl w:val="D7F8F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6242B"/>
    <w:multiLevelType w:val="hybridMultilevel"/>
    <w:tmpl w:val="7C0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0361"/>
    <w:multiLevelType w:val="hybridMultilevel"/>
    <w:tmpl w:val="C552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A3F19"/>
    <w:multiLevelType w:val="hybridMultilevel"/>
    <w:tmpl w:val="A95EF75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91F40"/>
    <w:multiLevelType w:val="hybridMultilevel"/>
    <w:tmpl w:val="13B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0DC6"/>
    <w:multiLevelType w:val="hybridMultilevel"/>
    <w:tmpl w:val="1334F7B4"/>
    <w:lvl w:ilvl="0" w:tplc="DB2CCE40">
      <w:start w:val="3"/>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C0C69"/>
    <w:multiLevelType w:val="hybridMultilevel"/>
    <w:tmpl w:val="99E2E8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B6063"/>
    <w:multiLevelType w:val="hybridMultilevel"/>
    <w:tmpl w:val="1794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6451"/>
    <w:multiLevelType w:val="hybridMultilevel"/>
    <w:tmpl w:val="9E220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E1B26"/>
    <w:multiLevelType w:val="hybridMultilevel"/>
    <w:tmpl w:val="BB36C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B151CD"/>
    <w:multiLevelType w:val="hybridMultilevel"/>
    <w:tmpl w:val="87EA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6B4155"/>
    <w:multiLevelType w:val="hybridMultilevel"/>
    <w:tmpl w:val="D71CCA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0116FD"/>
    <w:multiLevelType w:val="hybridMultilevel"/>
    <w:tmpl w:val="48EE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1D42F7"/>
    <w:multiLevelType w:val="hybridMultilevel"/>
    <w:tmpl w:val="E1FC341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7714D"/>
    <w:multiLevelType w:val="hybridMultilevel"/>
    <w:tmpl w:val="D8F015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1642D8"/>
    <w:multiLevelType w:val="hybridMultilevel"/>
    <w:tmpl w:val="B2A28286"/>
    <w:lvl w:ilvl="0" w:tplc="597A3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2434A"/>
    <w:multiLevelType w:val="hybridMultilevel"/>
    <w:tmpl w:val="6A18BC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07340"/>
    <w:multiLevelType w:val="hybridMultilevel"/>
    <w:tmpl w:val="43FA5BA6"/>
    <w:lvl w:ilvl="0" w:tplc="CFAA6500">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F81A07"/>
    <w:multiLevelType w:val="hybridMultilevel"/>
    <w:tmpl w:val="CDD034C6"/>
    <w:lvl w:ilvl="0" w:tplc="FC6677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25870"/>
    <w:multiLevelType w:val="hybridMultilevel"/>
    <w:tmpl w:val="2EA2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30553E"/>
    <w:multiLevelType w:val="hybridMultilevel"/>
    <w:tmpl w:val="3E581BA0"/>
    <w:lvl w:ilvl="0" w:tplc="C93A6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E7F6D"/>
    <w:multiLevelType w:val="hybridMultilevel"/>
    <w:tmpl w:val="7D64ECE6"/>
    <w:lvl w:ilvl="0" w:tplc="D1589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955AC"/>
    <w:multiLevelType w:val="hybridMultilevel"/>
    <w:tmpl w:val="C0FAB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C8381A"/>
    <w:multiLevelType w:val="hybridMultilevel"/>
    <w:tmpl w:val="159C76D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A4406"/>
    <w:multiLevelType w:val="hybridMultilevel"/>
    <w:tmpl w:val="C17C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3F28B5"/>
    <w:multiLevelType w:val="hybridMultilevel"/>
    <w:tmpl w:val="E07803B2"/>
    <w:lvl w:ilvl="0" w:tplc="D9D8BB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5"/>
  </w:num>
  <w:num w:numId="3">
    <w:abstractNumId w:val="7"/>
  </w:num>
  <w:num w:numId="4">
    <w:abstractNumId w:val="22"/>
  </w:num>
  <w:num w:numId="5">
    <w:abstractNumId w:val="24"/>
  </w:num>
  <w:num w:numId="6">
    <w:abstractNumId w:val="21"/>
  </w:num>
  <w:num w:numId="7">
    <w:abstractNumId w:val="29"/>
  </w:num>
  <w:num w:numId="8">
    <w:abstractNumId w:val="1"/>
  </w:num>
  <w:num w:numId="9">
    <w:abstractNumId w:val="9"/>
  </w:num>
  <w:num w:numId="10">
    <w:abstractNumId w:val="6"/>
  </w:num>
  <w:num w:numId="11">
    <w:abstractNumId w:val="4"/>
  </w:num>
  <w:num w:numId="12">
    <w:abstractNumId w:val="26"/>
  </w:num>
  <w:num w:numId="13">
    <w:abstractNumId w:val="28"/>
  </w:num>
  <w:num w:numId="14">
    <w:abstractNumId w:val="13"/>
  </w:num>
  <w:num w:numId="15">
    <w:abstractNumId w:val="14"/>
  </w:num>
  <w:num w:numId="16">
    <w:abstractNumId w:val="11"/>
  </w:num>
  <w:num w:numId="17">
    <w:abstractNumId w:val="27"/>
  </w:num>
  <w:num w:numId="18">
    <w:abstractNumId w:val="12"/>
  </w:num>
  <w:num w:numId="19">
    <w:abstractNumId w:val="23"/>
  </w:num>
  <w:num w:numId="20">
    <w:abstractNumId w:val="2"/>
  </w:num>
  <w:num w:numId="21">
    <w:abstractNumId w:val="18"/>
  </w:num>
  <w:num w:numId="22">
    <w:abstractNumId w:val="5"/>
  </w:num>
  <w:num w:numId="23">
    <w:abstractNumId w:val="17"/>
  </w:num>
  <w:num w:numId="24">
    <w:abstractNumId w:val="16"/>
  </w:num>
  <w:num w:numId="25">
    <w:abstractNumId w:val="0"/>
  </w:num>
  <w:num w:numId="26">
    <w:abstractNumId w:val="20"/>
  </w:num>
  <w:num w:numId="27">
    <w:abstractNumId w:val="10"/>
  </w:num>
  <w:num w:numId="28">
    <w:abstractNumId w:val="1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8F"/>
    <w:rsid w:val="00000BB2"/>
    <w:rsid w:val="00024577"/>
    <w:rsid w:val="00025825"/>
    <w:rsid w:val="00044E6C"/>
    <w:rsid w:val="00060D89"/>
    <w:rsid w:val="00074E73"/>
    <w:rsid w:val="000917DB"/>
    <w:rsid w:val="000962EA"/>
    <w:rsid w:val="000A06F0"/>
    <w:rsid w:val="000B53CB"/>
    <w:rsid w:val="000D100E"/>
    <w:rsid w:val="000F5399"/>
    <w:rsid w:val="0010086B"/>
    <w:rsid w:val="00140692"/>
    <w:rsid w:val="00147172"/>
    <w:rsid w:val="00152A37"/>
    <w:rsid w:val="0015502B"/>
    <w:rsid w:val="00177F5D"/>
    <w:rsid w:val="0018171D"/>
    <w:rsid w:val="001B23D5"/>
    <w:rsid w:val="001B3ECC"/>
    <w:rsid w:val="001B47BD"/>
    <w:rsid w:val="001C1864"/>
    <w:rsid w:val="001C5573"/>
    <w:rsid w:val="001D2CB3"/>
    <w:rsid w:val="001F6E72"/>
    <w:rsid w:val="00201E25"/>
    <w:rsid w:val="0020296F"/>
    <w:rsid w:val="002036AF"/>
    <w:rsid w:val="00212103"/>
    <w:rsid w:val="00217C10"/>
    <w:rsid w:val="0023148C"/>
    <w:rsid w:val="00233D36"/>
    <w:rsid w:val="002568EF"/>
    <w:rsid w:val="00257CA4"/>
    <w:rsid w:val="00261C68"/>
    <w:rsid w:val="00262C39"/>
    <w:rsid w:val="00296151"/>
    <w:rsid w:val="002966DC"/>
    <w:rsid w:val="002B464C"/>
    <w:rsid w:val="002B6B8F"/>
    <w:rsid w:val="002D680E"/>
    <w:rsid w:val="002E1772"/>
    <w:rsid w:val="002E19B7"/>
    <w:rsid w:val="002F5E06"/>
    <w:rsid w:val="0030700A"/>
    <w:rsid w:val="00314B63"/>
    <w:rsid w:val="00316F46"/>
    <w:rsid w:val="003264D4"/>
    <w:rsid w:val="00326811"/>
    <w:rsid w:val="00336722"/>
    <w:rsid w:val="00361E12"/>
    <w:rsid w:val="0038176D"/>
    <w:rsid w:val="0038327B"/>
    <w:rsid w:val="00390D5D"/>
    <w:rsid w:val="00393F63"/>
    <w:rsid w:val="003B16BF"/>
    <w:rsid w:val="003B1F46"/>
    <w:rsid w:val="003B6165"/>
    <w:rsid w:val="003C0468"/>
    <w:rsid w:val="003C42C8"/>
    <w:rsid w:val="003C4899"/>
    <w:rsid w:val="003E7138"/>
    <w:rsid w:val="003F0893"/>
    <w:rsid w:val="003F1D23"/>
    <w:rsid w:val="003F4A2E"/>
    <w:rsid w:val="003F5CD5"/>
    <w:rsid w:val="0042161F"/>
    <w:rsid w:val="00427083"/>
    <w:rsid w:val="00430125"/>
    <w:rsid w:val="00431E4C"/>
    <w:rsid w:val="0043240B"/>
    <w:rsid w:val="00445794"/>
    <w:rsid w:val="004479CC"/>
    <w:rsid w:val="00464D94"/>
    <w:rsid w:val="004D286F"/>
    <w:rsid w:val="0050370A"/>
    <w:rsid w:val="00506D7E"/>
    <w:rsid w:val="00515B25"/>
    <w:rsid w:val="00522550"/>
    <w:rsid w:val="00536F2C"/>
    <w:rsid w:val="00537C54"/>
    <w:rsid w:val="00582593"/>
    <w:rsid w:val="0058612E"/>
    <w:rsid w:val="005966FA"/>
    <w:rsid w:val="005A45A7"/>
    <w:rsid w:val="005B36B0"/>
    <w:rsid w:val="005E2895"/>
    <w:rsid w:val="006028B8"/>
    <w:rsid w:val="006100B3"/>
    <w:rsid w:val="00622032"/>
    <w:rsid w:val="0063281F"/>
    <w:rsid w:val="00651154"/>
    <w:rsid w:val="00661234"/>
    <w:rsid w:val="00662BC0"/>
    <w:rsid w:val="006661D1"/>
    <w:rsid w:val="006A0C4A"/>
    <w:rsid w:val="006B36D7"/>
    <w:rsid w:val="006D2D73"/>
    <w:rsid w:val="006E25E6"/>
    <w:rsid w:val="006E52D0"/>
    <w:rsid w:val="006E7835"/>
    <w:rsid w:val="0071461B"/>
    <w:rsid w:val="00717F68"/>
    <w:rsid w:val="00734EC5"/>
    <w:rsid w:val="0073774D"/>
    <w:rsid w:val="00767164"/>
    <w:rsid w:val="0077353C"/>
    <w:rsid w:val="0077527E"/>
    <w:rsid w:val="00794645"/>
    <w:rsid w:val="007A37CB"/>
    <w:rsid w:val="007B58AD"/>
    <w:rsid w:val="007C062F"/>
    <w:rsid w:val="007C40EA"/>
    <w:rsid w:val="007D12F9"/>
    <w:rsid w:val="007D37D7"/>
    <w:rsid w:val="007E3971"/>
    <w:rsid w:val="007F115F"/>
    <w:rsid w:val="007F1CC0"/>
    <w:rsid w:val="00800216"/>
    <w:rsid w:val="00805267"/>
    <w:rsid w:val="00806E04"/>
    <w:rsid w:val="00834EF6"/>
    <w:rsid w:val="00845844"/>
    <w:rsid w:val="00866D53"/>
    <w:rsid w:val="00872218"/>
    <w:rsid w:val="008879DD"/>
    <w:rsid w:val="008B1DF4"/>
    <w:rsid w:val="008B464F"/>
    <w:rsid w:val="008C0AB3"/>
    <w:rsid w:val="008D0AB7"/>
    <w:rsid w:val="008D3084"/>
    <w:rsid w:val="008F4D72"/>
    <w:rsid w:val="008F7B54"/>
    <w:rsid w:val="00925AA4"/>
    <w:rsid w:val="009332A2"/>
    <w:rsid w:val="009509E5"/>
    <w:rsid w:val="0097053A"/>
    <w:rsid w:val="0098445A"/>
    <w:rsid w:val="0098679E"/>
    <w:rsid w:val="009A105E"/>
    <w:rsid w:val="009B1CAC"/>
    <w:rsid w:val="009E0768"/>
    <w:rsid w:val="009E0DBF"/>
    <w:rsid w:val="00A010A9"/>
    <w:rsid w:val="00A05E5A"/>
    <w:rsid w:val="00A15602"/>
    <w:rsid w:val="00A16BF7"/>
    <w:rsid w:val="00A23E07"/>
    <w:rsid w:val="00A33405"/>
    <w:rsid w:val="00A36C4A"/>
    <w:rsid w:val="00A37A8D"/>
    <w:rsid w:val="00A37E4F"/>
    <w:rsid w:val="00A4175B"/>
    <w:rsid w:val="00A55B22"/>
    <w:rsid w:val="00A71CEC"/>
    <w:rsid w:val="00A82432"/>
    <w:rsid w:val="00A94641"/>
    <w:rsid w:val="00A94805"/>
    <w:rsid w:val="00A958D1"/>
    <w:rsid w:val="00AA6676"/>
    <w:rsid w:val="00AA72BB"/>
    <w:rsid w:val="00AC6C7A"/>
    <w:rsid w:val="00AD32D7"/>
    <w:rsid w:val="00AF35AF"/>
    <w:rsid w:val="00AF3BF6"/>
    <w:rsid w:val="00AF3D8E"/>
    <w:rsid w:val="00B15662"/>
    <w:rsid w:val="00B1577B"/>
    <w:rsid w:val="00B1600A"/>
    <w:rsid w:val="00B27C8D"/>
    <w:rsid w:val="00B312DC"/>
    <w:rsid w:val="00B33671"/>
    <w:rsid w:val="00B36D96"/>
    <w:rsid w:val="00B45CA1"/>
    <w:rsid w:val="00B47FA4"/>
    <w:rsid w:val="00B52A78"/>
    <w:rsid w:val="00B77387"/>
    <w:rsid w:val="00B91D0F"/>
    <w:rsid w:val="00B91D39"/>
    <w:rsid w:val="00B95550"/>
    <w:rsid w:val="00B955EE"/>
    <w:rsid w:val="00BB53CB"/>
    <w:rsid w:val="00BC1596"/>
    <w:rsid w:val="00BC5EF9"/>
    <w:rsid w:val="00BC6913"/>
    <w:rsid w:val="00BE1D95"/>
    <w:rsid w:val="00BE5BF8"/>
    <w:rsid w:val="00BF15D2"/>
    <w:rsid w:val="00BF7369"/>
    <w:rsid w:val="00C125D7"/>
    <w:rsid w:val="00C31F70"/>
    <w:rsid w:val="00C43CFC"/>
    <w:rsid w:val="00C631D5"/>
    <w:rsid w:val="00C63EA2"/>
    <w:rsid w:val="00C7734E"/>
    <w:rsid w:val="00C8014E"/>
    <w:rsid w:val="00C96D71"/>
    <w:rsid w:val="00CA192B"/>
    <w:rsid w:val="00CA2273"/>
    <w:rsid w:val="00CA65D3"/>
    <w:rsid w:val="00CD6C36"/>
    <w:rsid w:val="00CE72E4"/>
    <w:rsid w:val="00D00B4F"/>
    <w:rsid w:val="00D411D8"/>
    <w:rsid w:val="00D43669"/>
    <w:rsid w:val="00D61428"/>
    <w:rsid w:val="00D87ACF"/>
    <w:rsid w:val="00DA6A92"/>
    <w:rsid w:val="00DB13EE"/>
    <w:rsid w:val="00DC0D9A"/>
    <w:rsid w:val="00DC10B5"/>
    <w:rsid w:val="00DC6452"/>
    <w:rsid w:val="00DD46C7"/>
    <w:rsid w:val="00DE0589"/>
    <w:rsid w:val="00DE52F4"/>
    <w:rsid w:val="00DF0021"/>
    <w:rsid w:val="00DF2813"/>
    <w:rsid w:val="00DF3398"/>
    <w:rsid w:val="00DF3B90"/>
    <w:rsid w:val="00E031A3"/>
    <w:rsid w:val="00E151FE"/>
    <w:rsid w:val="00E2066C"/>
    <w:rsid w:val="00E21CC5"/>
    <w:rsid w:val="00E22765"/>
    <w:rsid w:val="00E31562"/>
    <w:rsid w:val="00E41DD1"/>
    <w:rsid w:val="00E513C7"/>
    <w:rsid w:val="00E5675A"/>
    <w:rsid w:val="00E7200B"/>
    <w:rsid w:val="00E95A92"/>
    <w:rsid w:val="00EA579E"/>
    <w:rsid w:val="00EB7944"/>
    <w:rsid w:val="00EC70A0"/>
    <w:rsid w:val="00ED665C"/>
    <w:rsid w:val="00ED7AD0"/>
    <w:rsid w:val="00F07381"/>
    <w:rsid w:val="00F21999"/>
    <w:rsid w:val="00F24ED9"/>
    <w:rsid w:val="00F250C9"/>
    <w:rsid w:val="00F33B0A"/>
    <w:rsid w:val="00F36620"/>
    <w:rsid w:val="00F369D3"/>
    <w:rsid w:val="00F54128"/>
    <w:rsid w:val="00F5485B"/>
    <w:rsid w:val="00FA3F81"/>
    <w:rsid w:val="00FB047B"/>
    <w:rsid w:val="00FB5545"/>
    <w:rsid w:val="00FC0844"/>
    <w:rsid w:val="00FE7016"/>
    <w:rsid w:val="00FF2B7F"/>
    <w:rsid w:val="00FF2C30"/>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C40E"/>
  <w15:chartTrackingRefBased/>
  <w15:docId w15:val="{833E5760-482C-4D14-8432-956B870C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B8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2B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641"/>
    <w:rPr>
      <w:color w:val="0563C1" w:themeColor="hyperlink"/>
      <w:u w:val="single"/>
    </w:rPr>
  </w:style>
  <w:style w:type="character" w:styleId="FollowedHyperlink">
    <w:name w:val="FollowedHyperlink"/>
    <w:basedOn w:val="DefaultParagraphFont"/>
    <w:uiPriority w:val="99"/>
    <w:semiHidden/>
    <w:unhideWhenUsed/>
    <w:rsid w:val="00AF3BF6"/>
    <w:rPr>
      <w:color w:val="954F72" w:themeColor="followedHyperlink"/>
      <w:u w:val="single"/>
    </w:rPr>
  </w:style>
  <w:style w:type="character" w:styleId="PlaceholderText">
    <w:name w:val="Placeholder Text"/>
    <w:basedOn w:val="DefaultParagraphFont"/>
    <w:uiPriority w:val="99"/>
    <w:semiHidden/>
    <w:rsid w:val="00E41DD1"/>
    <w:rPr>
      <w:color w:val="808080"/>
    </w:rPr>
  </w:style>
  <w:style w:type="paragraph" w:styleId="ListParagraph">
    <w:name w:val="List Paragraph"/>
    <w:basedOn w:val="Normal"/>
    <w:link w:val="ListParagraphChar"/>
    <w:uiPriority w:val="34"/>
    <w:qFormat/>
    <w:rsid w:val="007B58AD"/>
    <w:pPr>
      <w:ind w:left="720"/>
      <w:contextualSpacing/>
    </w:pPr>
  </w:style>
  <w:style w:type="paragraph" w:styleId="Header">
    <w:name w:val="header"/>
    <w:basedOn w:val="Normal"/>
    <w:link w:val="HeaderChar"/>
    <w:uiPriority w:val="99"/>
    <w:unhideWhenUsed/>
    <w:rsid w:val="00431E4C"/>
    <w:pPr>
      <w:tabs>
        <w:tab w:val="center" w:pos="4680"/>
        <w:tab w:val="right" w:pos="9360"/>
      </w:tabs>
    </w:pPr>
  </w:style>
  <w:style w:type="character" w:customStyle="1" w:styleId="HeaderChar">
    <w:name w:val="Header Char"/>
    <w:basedOn w:val="DefaultParagraphFont"/>
    <w:link w:val="Header"/>
    <w:uiPriority w:val="99"/>
    <w:rsid w:val="00431E4C"/>
  </w:style>
  <w:style w:type="paragraph" w:styleId="Footer">
    <w:name w:val="footer"/>
    <w:basedOn w:val="Normal"/>
    <w:link w:val="FooterChar"/>
    <w:uiPriority w:val="99"/>
    <w:unhideWhenUsed/>
    <w:rsid w:val="00431E4C"/>
    <w:pPr>
      <w:tabs>
        <w:tab w:val="center" w:pos="4680"/>
        <w:tab w:val="right" w:pos="9360"/>
      </w:tabs>
    </w:pPr>
  </w:style>
  <w:style w:type="character" w:customStyle="1" w:styleId="FooterChar">
    <w:name w:val="Footer Char"/>
    <w:basedOn w:val="DefaultParagraphFont"/>
    <w:link w:val="Footer"/>
    <w:uiPriority w:val="99"/>
    <w:rsid w:val="00431E4C"/>
  </w:style>
  <w:style w:type="paragraph" w:styleId="BalloonText">
    <w:name w:val="Balloon Text"/>
    <w:basedOn w:val="Normal"/>
    <w:link w:val="BalloonTextChar"/>
    <w:uiPriority w:val="99"/>
    <w:semiHidden/>
    <w:unhideWhenUsed/>
    <w:rsid w:val="00A95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D1"/>
    <w:rPr>
      <w:rFonts w:ascii="Segoe UI" w:hAnsi="Segoe UI" w:cs="Segoe UI"/>
      <w:sz w:val="18"/>
      <w:szCs w:val="18"/>
    </w:rPr>
  </w:style>
  <w:style w:type="character" w:styleId="CommentReference">
    <w:name w:val="annotation reference"/>
    <w:basedOn w:val="DefaultParagraphFont"/>
    <w:uiPriority w:val="99"/>
    <w:semiHidden/>
    <w:unhideWhenUsed/>
    <w:rsid w:val="0018171D"/>
    <w:rPr>
      <w:sz w:val="16"/>
      <w:szCs w:val="16"/>
    </w:rPr>
  </w:style>
  <w:style w:type="paragraph" w:styleId="CommentText">
    <w:name w:val="annotation text"/>
    <w:basedOn w:val="Normal"/>
    <w:link w:val="CommentTextChar"/>
    <w:uiPriority w:val="99"/>
    <w:unhideWhenUsed/>
    <w:rsid w:val="0018171D"/>
    <w:rPr>
      <w:sz w:val="20"/>
      <w:szCs w:val="20"/>
    </w:rPr>
  </w:style>
  <w:style w:type="character" w:customStyle="1" w:styleId="CommentTextChar">
    <w:name w:val="Comment Text Char"/>
    <w:basedOn w:val="DefaultParagraphFont"/>
    <w:link w:val="CommentText"/>
    <w:uiPriority w:val="99"/>
    <w:rsid w:val="0018171D"/>
    <w:rPr>
      <w:sz w:val="20"/>
      <w:szCs w:val="20"/>
    </w:rPr>
  </w:style>
  <w:style w:type="paragraph" w:styleId="CommentSubject">
    <w:name w:val="annotation subject"/>
    <w:basedOn w:val="CommentText"/>
    <w:next w:val="CommentText"/>
    <w:link w:val="CommentSubjectChar"/>
    <w:uiPriority w:val="99"/>
    <w:semiHidden/>
    <w:unhideWhenUsed/>
    <w:rsid w:val="0018171D"/>
    <w:rPr>
      <w:b/>
      <w:bCs/>
    </w:rPr>
  </w:style>
  <w:style w:type="character" w:customStyle="1" w:styleId="CommentSubjectChar">
    <w:name w:val="Comment Subject Char"/>
    <w:basedOn w:val="CommentTextChar"/>
    <w:link w:val="CommentSubject"/>
    <w:uiPriority w:val="99"/>
    <w:semiHidden/>
    <w:rsid w:val="0018171D"/>
    <w:rPr>
      <w:b/>
      <w:bCs/>
      <w:sz w:val="20"/>
      <w:szCs w:val="20"/>
    </w:rPr>
  </w:style>
  <w:style w:type="character" w:customStyle="1" w:styleId="ListParagraphChar">
    <w:name w:val="List Paragraph Char"/>
    <w:basedOn w:val="DefaultParagraphFont"/>
    <w:link w:val="ListParagraph"/>
    <w:uiPriority w:val="34"/>
    <w:locked/>
    <w:rsid w:val="0058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00958">
      <w:bodyDiv w:val="1"/>
      <w:marLeft w:val="0"/>
      <w:marRight w:val="0"/>
      <w:marTop w:val="0"/>
      <w:marBottom w:val="0"/>
      <w:divBdr>
        <w:top w:val="none" w:sz="0" w:space="0" w:color="auto"/>
        <w:left w:val="none" w:sz="0" w:space="0" w:color="auto"/>
        <w:bottom w:val="none" w:sz="0" w:space="0" w:color="auto"/>
        <w:right w:val="none" w:sz="0" w:space="0" w:color="auto"/>
      </w:divBdr>
    </w:div>
    <w:div w:id="1042484171">
      <w:bodyDiv w:val="1"/>
      <w:marLeft w:val="0"/>
      <w:marRight w:val="0"/>
      <w:marTop w:val="0"/>
      <w:marBottom w:val="0"/>
      <w:divBdr>
        <w:top w:val="none" w:sz="0" w:space="0" w:color="auto"/>
        <w:left w:val="none" w:sz="0" w:space="0" w:color="auto"/>
        <w:bottom w:val="none" w:sz="0" w:space="0" w:color="auto"/>
        <w:right w:val="none" w:sz="0" w:space="0" w:color="auto"/>
      </w:divBdr>
    </w:div>
    <w:div w:id="1753429481">
      <w:bodyDiv w:val="1"/>
      <w:marLeft w:val="0"/>
      <w:marRight w:val="0"/>
      <w:marTop w:val="0"/>
      <w:marBottom w:val="0"/>
      <w:divBdr>
        <w:top w:val="none" w:sz="0" w:space="0" w:color="auto"/>
        <w:left w:val="none" w:sz="0" w:space="0" w:color="auto"/>
        <w:bottom w:val="none" w:sz="0" w:space="0" w:color="auto"/>
        <w:right w:val="none" w:sz="0" w:space="0" w:color="auto"/>
      </w:divBdr>
    </w:div>
    <w:div w:id="18493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luhmann@clearstonesolutio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79B0-773D-43C3-B358-5CE124A9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Pages>
  <Words>1626</Words>
  <Characters>8489</Characters>
  <Application>Microsoft Office Word</Application>
  <DocSecurity>0</DocSecurity>
  <Lines>232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Luhmann, Amy</dc:creator>
  <cp:keywords/>
  <dc:description/>
  <cp:lastModifiedBy>Arthur Pignotti</cp:lastModifiedBy>
  <cp:revision>11</cp:revision>
  <cp:lastPrinted>2018-02-09T19:22:00Z</cp:lastPrinted>
  <dcterms:created xsi:type="dcterms:W3CDTF">2018-02-27T19:11:00Z</dcterms:created>
  <dcterms:modified xsi:type="dcterms:W3CDTF">2018-07-23T20:53:00Z</dcterms:modified>
</cp:coreProperties>
</file>