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082" w:rsidRDefault="00821CCA">
      <w:pPr>
        <w:pStyle w:val="BodyText"/>
        <w:spacing w:before="3"/>
        <w:rPr>
          <w:sz w:val="10"/>
        </w:rPr>
      </w:pPr>
      <w:r>
        <w:rPr>
          <w:noProof/>
        </w:rPr>
        <w:drawing>
          <wp:anchor distT="0" distB="0" distL="0" distR="0" simplePos="0" relativeHeight="268428599" behindDoc="1" locked="0" layoutInCell="1" allowOverlap="1">
            <wp:simplePos x="0" y="0"/>
            <wp:positionH relativeFrom="page">
              <wp:posOffset>0</wp:posOffset>
            </wp:positionH>
            <wp:positionV relativeFrom="page">
              <wp:posOffset>12698</wp:posOffset>
            </wp:positionV>
            <wp:extent cx="7772400" cy="100457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2400" cy="10045701"/>
                    </a:xfrm>
                    <a:prstGeom prst="rect">
                      <a:avLst/>
                    </a:prstGeom>
                  </pic:spPr>
                </pic:pic>
              </a:graphicData>
            </a:graphic>
          </wp:anchor>
        </w:drawing>
      </w:r>
    </w:p>
    <w:p w:rsidR="00BE7082" w:rsidRDefault="00821CCA">
      <w:pPr>
        <w:pStyle w:val="BodyText"/>
        <w:spacing w:before="90"/>
        <w:ind w:left="100"/>
        <w:jc w:val="both"/>
      </w:pPr>
      <w:r>
        <w:t>March 5, 2018</w:t>
      </w:r>
    </w:p>
    <w:p w:rsidR="00BE7082" w:rsidRDefault="00BE7082">
      <w:pPr>
        <w:pStyle w:val="BodyText"/>
        <w:spacing w:before="11"/>
        <w:rPr>
          <w:sz w:val="23"/>
        </w:rPr>
      </w:pPr>
    </w:p>
    <w:p w:rsidR="00BE7082" w:rsidRDefault="00821CCA">
      <w:pPr>
        <w:pStyle w:val="BodyText"/>
        <w:ind w:left="100"/>
        <w:jc w:val="both"/>
      </w:pPr>
      <w:r>
        <w:t>Seema Verma</w:t>
      </w:r>
    </w:p>
    <w:p w:rsidR="00BE7082" w:rsidRDefault="00821CCA">
      <w:pPr>
        <w:pStyle w:val="BodyText"/>
        <w:ind w:left="100"/>
        <w:jc w:val="both"/>
      </w:pPr>
      <w:r>
        <w:t>Centers for Medicare &amp; Medicaid Services</w:t>
      </w:r>
    </w:p>
    <w:p w:rsidR="00BE7082" w:rsidRDefault="00821CCA">
      <w:pPr>
        <w:pStyle w:val="BodyText"/>
        <w:ind w:left="100" w:right="3181"/>
      </w:pPr>
      <w:r>
        <w:t>U.S. Department of Health and Human Services Attention: CMS-4182-P</w:t>
      </w:r>
    </w:p>
    <w:p w:rsidR="00BE7082" w:rsidRDefault="00821CCA">
      <w:pPr>
        <w:pStyle w:val="ListParagraph"/>
        <w:numPr>
          <w:ilvl w:val="1"/>
          <w:numId w:val="1"/>
        </w:numPr>
        <w:tabs>
          <w:tab w:val="left" w:pos="588"/>
        </w:tabs>
        <w:spacing w:before="0"/>
        <w:ind w:right="0" w:hanging="487"/>
        <w:jc w:val="both"/>
        <w:rPr>
          <w:sz w:val="24"/>
        </w:rPr>
      </w:pPr>
      <w:r>
        <w:rPr>
          <w:sz w:val="24"/>
        </w:rPr>
        <w:t>Box</w:t>
      </w:r>
      <w:r>
        <w:rPr>
          <w:spacing w:val="-1"/>
          <w:sz w:val="24"/>
        </w:rPr>
        <w:t xml:space="preserve"> </w:t>
      </w:r>
      <w:r>
        <w:rPr>
          <w:sz w:val="24"/>
        </w:rPr>
        <w:t>8013</w:t>
      </w:r>
    </w:p>
    <w:p w:rsidR="00BE7082" w:rsidRDefault="00821CCA">
      <w:pPr>
        <w:pStyle w:val="BodyText"/>
        <w:spacing w:line="480" w:lineRule="auto"/>
        <w:ind w:left="100" w:right="6053"/>
      </w:pPr>
      <w:r>
        <w:t>Baltimore, MD 21244-8013 Dear Administrator Verma,</w:t>
      </w:r>
    </w:p>
    <w:p w:rsidR="00BE7082" w:rsidRDefault="00821CCA">
      <w:pPr>
        <w:pStyle w:val="BodyText"/>
        <w:spacing w:before="10"/>
        <w:ind w:left="100" w:right="114"/>
        <w:jc w:val="both"/>
      </w:pPr>
      <w:r>
        <w:t>The undersigned members of the Abuse Deterrent Coalition (ADC) offer the following comments for consideration on Docket No. CMS-2017-0163 “2019 Medicare Advantage and Part D Advance Notice Part II and Draft Call Letter.”</w:t>
      </w:r>
    </w:p>
    <w:p w:rsidR="00BE7082" w:rsidRDefault="00BE7082">
      <w:pPr>
        <w:pStyle w:val="BodyText"/>
        <w:spacing w:before="10"/>
        <w:rPr>
          <w:sz w:val="23"/>
        </w:rPr>
      </w:pPr>
    </w:p>
    <w:p w:rsidR="00BE7082" w:rsidRDefault="00821CCA">
      <w:pPr>
        <w:pStyle w:val="BodyText"/>
        <w:spacing w:before="1"/>
        <w:ind w:left="100" w:right="117"/>
        <w:jc w:val="both"/>
      </w:pPr>
      <w:r>
        <w:t>The ADC is a forum of abuse-deterr</w:t>
      </w:r>
      <w:r>
        <w:t>ent formulation technology innovators, patient and issue associations and pharmaceutical manufacturers created to educate the public, policy makers</w:t>
      </w:r>
      <w:r>
        <w:rPr>
          <w:spacing w:val="-5"/>
        </w:rPr>
        <w:t xml:space="preserve"> </w:t>
      </w:r>
      <w:r>
        <w:t>and</w:t>
      </w:r>
      <w:r>
        <w:rPr>
          <w:spacing w:val="-5"/>
        </w:rPr>
        <w:t xml:space="preserve"> </w:t>
      </w:r>
      <w:r>
        <w:t>related</w:t>
      </w:r>
      <w:r>
        <w:rPr>
          <w:spacing w:val="-5"/>
        </w:rPr>
        <w:t xml:space="preserve"> </w:t>
      </w:r>
      <w:r>
        <w:t>regulatory</w:t>
      </w:r>
      <w:r>
        <w:rPr>
          <w:spacing w:val="-7"/>
        </w:rPr>
        <w:t xml:space="preserve"> </w:t>
      </w:r>
      <w:r>
        <w:t>agencies</w:t>
      </w:r>
      <w:r>
        <w:rPr>
          <w:spacing w:val="-5"/>
        </w:rPr>
        <w:t xml:space="preserve"> </w:t>
      </w:r>
      <w:r>
        <w:t>on</w:t>
      </w:r>
      <w:r>
        <w:rPr>
          <w:spacing w:val="-5"/>
        </w:rPr>
        <w:t xml:space="preserve"> </w:t>
      </w:r>
      <w:r>
        <w:t>the</w:t>
      </w:r>
      <w:r>
        <w:rPr>
          <w:spacing w:val="-5"/>
        </w:rPr>
        <w:t xml:space="preserve"> </w:t>
      </w:r>
      <w:r>
        <w:t>importance</w:t>
      </w:r>
      <w:r>
        <w:rPr>
          <w:spacing w:val="-6"/>
        </w:rPr>
        <w:t xml:space="preserve"> </w:t>
      </w:r>
      <w:r>
        <w:t>of</w:t>
      </w:r>
      <w:r>
        <w:rPr>
          <w:spacing w:val="-2"/>
        </w:rPr>
        <w:t xml:space="preserve"> </w:t>
      </w:r>
      <w:r>
        <w:t>abuse-deterrent</w:t>
      </w:r>
      <w:r>
        <w:rPr>
          <w:spacing w:val="-4"/>
        </w:rPr>
        <w:t xml:space="preserve"> </w:t>
      </w:r>
      <w:r>
        <w:t>(AD)</w:t>
      </w:r>
      <w:r>
        <w:rPr>
          <w:spacing w:val="-6"/>
        </w:rPr>
        <w:t xml:space="preserve"> </w:t>
      </w:r>
      <w:r>
        <w:t>opioids technologies</w:t>
      </w:r>
      <w:r>
        <w:rPr>
          <w:spacing w:val="-6"/>
        </w:rPr>
        <w:t xml:space="preserve"> </w:t>
      </w:r>
      <w:r>
        <w:t>utilized</w:t>
      </w:r>
      <w:r>
        <w:rPr>
          <w:spacing w:val="-6"/>
        </w:rPr>
        <w:t xml:space="preserve"> </w:t>
      </w:r>
      <w:r>
        <w:t>in</w:t>
      </w:r>
      <w:r>
        <w:rPr>
          <w:spacing w:val="-6"/>
        </w:rPr>
        <w:t xml:space="preserve"> </w:t>
      </w:r>
      <w:r>
        <w:t>t</w:t>
      </w:r>
      <w:r>
        <w:t>he</w:t>
      </w:r>
      <w:r>
        <w:rPr>
          <w:spacing w:val="-7"/>
        </w:rPr>
        <w:t xml:space="preserve"> </w:t>
      </w:r>
      <w:r>
        <w:t>fight</w:t>
      </w:r>
      <w:r>
        <w:rPr>
          <w:spacing w:val="-6"/>
        </w:rPr>
        <w:t xml:space="preserve"> </w:t>
      </w:r>
      <w:r>
        <w:t>against</w:t>
      </w:r>
      <w:r>
        <w:rPr>
          <w:spacing w:val="-3"/>
        </w:rPr>
        <w:t xml:space="preserve"> </w:t>
      </w:r>
      <w:r>
        <w:t>prescription</w:t>
      </w:r>
      <w:r>
        <w:rPr>
          <w:spacing w:val="-6"/>
        </w:rPr>
        <w:t xml:space="preserve"> </w:t>
      </w:r>
      <w:r>
        <w:t>drug</w:t>
      </w:r>
      <w:r>
        <w:rPr>
          <w:spacing w:val="-9"/>
        </w:rPr>
        <w:t xml:space="preserve"> </w:t>
      </w:r>
      <w:r>
        <w:t>abuse.</w:t>
      </w:r>
      <w:r>
        <w:rPr>
          <w:spacing w:val="-6"/>
        </w:rPr>
        <w:t xml:space="preserve"> </w:t>
      </w:r>
      <w:r>
        <w:t>The</w:t>
      </w:r>
      <w:r>
        <w:rPr>
          <w:spacing w:val="-7"/>
        </w:rPr>
        <w:t xml:space="preserve"> </w:t>
      </w:r>
      <w:r>
        <w:t>Coalition</w:t>
      </w:r>
      <w:r>
        <w:rPr>
          <w:spacing w:val="-6"/>
        </w:rPr>
        <w:t xml:space="preserve"> </w:t>
      </w:r>
      <w:r>
        <w:t>serves</w:t>
      </w:r>
      <w:r>
        <w:rPr>
          <w:spacing w:val="-4"/>
        </w:rPr>
        <w:t xml:space="preserve"> </w:t>
      </w:r>
      <w:r>
        <w:t>as</w:t>
      </w:r>
      <w:r>
        <w:rPr>
          <w:spacing w:val="-6"/>
        </w:rPr>
        <w:t xml:space="preserve"> </w:t>
      </w:r>
      <w:r>
        <w:t>a unified voice for legislative and regulatory initiatives that support the required use of AD opioids for prescription drugs that have a high potential for</w:t>
      </w:r>
      <w:r>
        <w:rPr>
          <w:spacing w:val="-13"/>
        </w:rPr>
        <w:t xml:space="preserve"> </w:t>
      </w:r>
      <w:r>
        <w:t>abuse.</w:t>
      </w:r>
    </w:p>
    <w:p w:rsidR="00BE7082" w:rsidRDefault="00BE7082">
      <w:pPr>
        <w:pStyle w:val="BodyText"/>
        <w:spacing w:before="4"/>
      </w:pPr>
    </w:p>
    <w:p w:rsidR="00BE7082" w:rsidRDefault="00821CCA">
      <w:pPr>
        <w:pStyle w:val="BodyText"/>
        <w:spacing w:before="1"/>
        <w:ind w:left="100" w:right="112"/>
        <w:jc w:val="both"/>
      </w:pPr>
      <w:r>
        <w:t>In the proposed 2018 Draf</w:t>
      </w:r>
      <w:r>
        <w:t>t Call Letter</w:t>
      </w:r>
      <w:r>
        <w:rPr>
          <w:i/>
        </w:rPr>
        <w:t xml:space="preserve">, </w:t>
      </w:r>
      <w:r>
        <w:t xml:space="preserve">CMS’s oversight through the overutilization monitoring system (OMS) suggests it has reduced very high-risk overutilization of prescription opioids in the Part D program, but that it is just one of several key tools CMS uses to combat opioid overuse. Given </w:t>
      </w:r>
      <w:r>
        <w:t>the urgency and scope of the continuing national prescription</w:t>
      </w:r>
      <w:r>
        <w:rPr>
          <w:spacing w:val="-12"/>
        </w:rPr>
        <w:t xml:space="preserve"> </w:t>
      </w:r>
      <w:r>
        <w:t>opioid</w:t>
      </w:r>
      <w:r>
        <w:rPr>
          <w:spacing w:val="-12"/>
        </w:rPr>
        <w:t xml:space="preserve"> </w:t>
      </w:r>
      <w:r>
        <w:t>epidemic,</w:t>
      </w:r>
      <w:r>
        <w:rPr>
          <w:spacing w:val="-12"/>
        </w:rPr>
        <w:t xml:space="preserve"> </w:t>
      </w:r>
      <w:r>
        <w:t>CMS</w:t>
      </w:r>
      <w:r>
        <w:rPr>
          <w:spacing w:val="-13"/>
        </w:rPr>
        <w:t xml:space="preserve"> </w:t>
      </w:r>
      <w:r>
        <w:t>has</w:t>
      </w:r>
      <w:r>
        <w:rPr>
          <w:spacing w:val="-12"/>
        </w:rPr>
        <w:t xml:space="preserve"> </w:t>
      </w:r>
      <w:r>
        <w:t>proposed</w:t>
      </w:r>
      <w:r>
        <w:rPr>
          <w:spacing w:val="-10"/>
        </w:rPr>
        <w:t xml:space="preserve"> </w:t>
      </w:r>
      <w:r>
        <w:t>several</w:t>
      </w:r>
      <w:r>
        <w:rPr>
          <w:spacing w:val="-12"/>
        </w:rPr>
        <w:t xml:space="preserve"> </w:t>
      </w:r>
      <w:r>
        <w:t>new</w:t>
      </w:r>
      <w:r>
        <w:rPr>
          <w:spacing w:val="-13"/>
        </w:rPr>
        <w:t xml:space="preserve"> </w:t>
      </w:r>
      <w:r>
        <w:t>strategies</w:t>
      </w:r>
      <w:r>
        <w:rPr>
          <w:spacing w:val="-12"/>
        </w:rPr>
        <w:t xml:space="preserve"> </w:t>
      </w:r>
      <w:r>
        <w:t>to</w:t>
      </w:r>
      <w:r>
        <w:rPr>
          <w:spacing w:val="-12"/>
        </w:rPr>
        <w:t xml:space="preserve"> </w:t>
      </w:r>
      <w:r>
        <w:t>more</w:t>
      </w:r>
      <w:r>
        <w:rPr>
          <w:spacing w:val="-13"/>
        </w:rPr>
        <w:t xml:space="preserve"> </w:t>
      </w:r>
      <w:r>
        <w:t>effectively address this issue for patients in Part D, including the following two items on which we focus for comment in this</w:t>
      </w:r>
      <w:r>
        <w:rPr>
          <w:spacing w:val="-6"/>
        </w:rPr>
        <w:t xml:space="preserve"> </w:t>
      </w:r>
      <w:r>
        <w:t>le</w:t>
      </w:r>
      <w:r>
        <w:t>tter:</w:t>
      </w:r>
    </w:p>
    <w:p w:rsidR="00BE7082" w:rsidRDefault="00BE7082">
      <w:pPr>
        <w:pStyle w:val="BodyText"/>
        <w:spacing w:before="6"/>
      </w:pPr>
    </w:p>
    <w:p w:rsidR="00BE7082" w:rsidRDefault="00821CCA">
      <w:pPr>
        <w:pStyle w:val="ListParagraph"/>
        <w:numPr>
          <w:ilvl w:val="2"/>
          <w:numId w:val="1"/>
        </w:numPr>
        <w:tabs>
          <w:tab w:val="left" w:pos="1181"/>
        </w:tabs>
        <w:spacing w:before="1"/>
        <w:jc w:val="both"/>
        <w:rPr>
          <w:sz w:val="24"/>
        </w:rPr>
      </w:pPr>
      <w:r>
        <w:rPr>
          <w:sz w:val="24"/>
        </w:rPr>
        <w:t>Expecting all sponsors to implement hard formulary-level cumulative opioid safety edits at point-of-sale (POS) at the pharmacy (which can only be overridden by the sponsor) at 90 morphine milligram equivalent (MME), with a 7 days supply</w:t>
      </w:r>
      <w:r>
        <w:rPr>
          <w:spacing w:val="-7"/>
          <w:sz w:val="24"/>
        </w:rPr>
        <w:t xml:space="preserve"> </w:t>
      </w:r>
      <w:r>
        <w:rPr>
          <w:sz w:val="24"/>
        </w:rPr>
        <w:t>allowance.</w:t>
      </w:r>
    </w:p>
    <w:p w:rsidR="00BE7082" w:rsidRDefault="00821CCA">
      <w:pPr>
        <w:pStyle w:val="ListParagraph"/>
        <w:numPr>
          <w:ilvl w:val="2"/>
          <w:numId w:val="1"/>
        </w:numPr>
        <w:tabs>
          <w:tab w:val="left" w:pos="1181"/>
        </w:tabs>
        <w:spacing w:before="2"/>
        <w:ind w:right="119"/>
        <w:jc w:val="both"/>
        <w:rPr>
          <w:sz w:val="24"/>
        </w:rPr>
      </w:pPr>
      <w:r>
        <w:rPr>
          <w:sz w:val="24"/>
        </w:rPr>
        <w:t>Implementing</w:t>
      </w:r>
      <w:r>
        <w:rPr>
          <w:spacing w:val="-12"/>
          <w:sz w:val="24"/>
        </w:rPr>
        <w:t xml:space="preserve"> </w:t>
      </w:r>
      <w:r>
        <w:rPr>
          <w:sz w:val="24"/>
        </w:rPr>
        <w:t>a</w:t>
      </w:r>
      <w:r>
        <w:rPr>
          <w:spacing w:val="-11"/>
          <w:sz w:val="24"/>
        </w:rPr>
        <w:t xml:space="preserve"> </w:t>
      </w:r>
      <w:r>
        <w:rPr>
          <w:sz w:val="24"/>
        </w:rPr>
        <w:t>supply</w:t>
      </w:r>
      <w:r>
        <w:rPr>
          <w:spacing w:val="-14"/>
          <w:sz w:val="24"/>
        </w:rPr>
        <w:t xml:space="preserve"> </w:t>
      </w:r>
      <w:r>
        <w:rPr>
          <w:sz w:val="24"/>
        </w:rPr>
        <w:t>limit</w:t>
      </w:r>
      <w:r>
        <w:rPr>
          <w:spacing w:val="-9"/>
          <w:sz w:val="24"/>
        </w:rPr>
        <w:t xml:space="preserve"> </w:t>
      </w:r>
      <w:r>
        <w:rPr>
          <w:sz w:val="24"/>
        </w:rPr>
        <w:t>for</w:t>
      </w:r>
      <w:r>
        <w:rPr>
          <w:spacing w:val="-11"/>
          <w:sz w:val="24"/>
        </w:rPr>
        <w:t xml:space="preserve"> </w:t>
      </w:r>
      <w:r>
        <w:rPr>
          <w:sz w:val="24"/>
        </w:rPr>
        <w:t>initial</w:t>
      </w:r>
      <w:r>
        <w:rPr>
          <w:spacing w:val="-9"/>
          <w:sz w:val="24"/>
        </w:rPr>
        <w:t xml:space="preserve"> </w:t>
      </w:r>
      <w:r>
        <w:rPr>
          <w:sz w:val="24"/>
        </w:rPr>
        <w:t>fills</w:t>
      </w:r>
      <w:r>
        <w:rPr>
          <w:spacing w:val="-11"/>
          <w:sz w:val="24"/>
        </w:rPr>
        <w:t xml:space="preserve"> </w:t>
      </w:r>
      <w:r>
        <w:rPr>
          <w:sz w:val="24"/>
        </w:rPr>
        <w:t>of</w:t>
      </w:r>
      <w:r>
        <w:rPr>
          <w:spacing w:val="-10"/>
          <w:sz w:val="24"/>
        </w:rPr>
        <w:t xml:space="preserve"> </w:t>
      </w:r>
      <w:r>
        <w:rPr>
          <w:sz w:val="24"/>
        </w:rPr>
        <w:t>prescription</w:t>
      </w:r>
      <w:r>
        <w:rPr>
          <w:spacing w:val="-10"/>
          <w:sz w:val="24"/>
        </w:rPr>
        <w:t xml:space="preserve"> </w:t>
      </w:r>
      <w:r>
        <w:rPr>
          <w:sz w:val="24"/>
        </w:rPr>
        <w:t>opioids</w:t>
      </w:r>
      <w:r>
        <w:rPr>
          <w:spacing w:val="-9"/>
          <w:sz w:val="24"/>
        </w:rPr>
        <w:t xml:space="preserve"> </w:t>
      </w:r>
      <w:r>
        <w:rPr>
          <w:sz w:val="24"/>
        </w:rPr>
        <w:t>(e.g.,</w:t>
      </w:r>
      <w:r>
        <w:rPr>
          <w:spacing w:val="-10"/>
          <w:sz w:val="24"/>
        </w:rPr>
        <w:t xml:space="preserve"> </w:t>
      </w:r>
      <w:r>
        <w:rPr>
          <w:sz w:val="24"/>
        </w:rPr>
        <w:t>7</w:t>
      </w:r>
      <w:r>
        <w:rPr>
          <w:spacing w:val="-10"/>
          <w:sz w:val="24"/>
        </w:rPr>
        <w:t xml:space="preserve"> </w:t>
      </w:r>
      <w:r>
        <w:rPr>
          <w:sz w:val="24"/>
        </w:rPr>
        <w:t>days) for the treatment of acute pain with or without a daily dose maximum (e.g., 50 MME).</w:t>
      </w:r>
    </w:p>
    <w:p w:rsidR="00BE7082" w:rsidRDefault="00BE7082">
      <w:pPr>
        <w:pStyle w:val="BodyText"/>
        <w:spacing w:before="2"/>
        <w:rPr>
          <w:sz w:val="29"/>
        </w:rPr>
      </w:pPr>
    </w:p>
    <w:p w:rsidR="00BE7082" w:rsidRDefault="00821CCA">
      <w:pPr>
        <w:pStyle w:val="BodyText"/>
        <w:ind w:left="100" w:right="118"/>
        <w:jc w:val="both"/>
      </w:pPr>
      <w:r>
        <w:t xml:space="preserve">Addressing and curtailing the abuse of prescription opioids is a multi-modal process </w:t>
      </w:r>
      <w:r>
        <w:t>requiring action from multiple stakeholders. For example, the Opioid Action Plan developed by the U.S. Food and Drug Administration (FDA) in February 2016 appropriately focuses on both patients and the community at large to ensure balanced access to effect</w:t>
      </w:r>
      <w:r>
        <w:t>ive pain medications, while reducing the societal burden of opioid abuse, misuse and diversion.</w:t>
      </w:r>
    </w:p>
    <w:p w:rsidR="00BE7082" w:rsidRDefault="00BE7082">
      <w:pPr>
        <w:pStyle w:val="BodyText"/>
        <w:spacing w:before="11"/>
        <w:rPr>
          <w:sz w:val="23"/>
        </w:rPr>
      </w:pPr>
    </w:p>
    <w:p w:rsidR="00BE7082" w:rsidRDefault="00821CCA">
      <w:pPr>
        <w:pStyle w:val="BodyText"/>
        <w:ind w:left="100" w:right="118"/>
        <w:jc w:val="both"/>
      </w:pPr>
      <w:r>
        <w:t>In the implementation of both prescription limitation recommendations, the focus in the Draft Call Letter is solely on the scripted moiety without an    additi</w:t>
      </w:r>
      <w:r>
        <w:t>onal recommendation</w:t>
      </w:r>
    </w:p>
    <w:p w:rsidR="00BE7082" w:rsidRDefault="00BE7082">
      <w:pPr>
        <w:jc w:val="both"/>
        <w:sectPr w:rsidR="00BE7082">
          <w:type w:val="continuous"/>
          <w:pgSz w:w="12240" w:h="15840"/>
          <w:pgMar w:top="1500" w:right="1680" w:bottom="280" w:left="1700" w:header="720" w:footer="720" w:gutter="0"/>
          <w:cols w:space="720"/>
        </w:sectPr>
      </w:pPr>
    </w:p>
    <w:p w:rsidR="00BE7082" w:rsidRDefault="00821CCA">
      <w:pPr>
        <w:pStyle w:val="BodyText"/>
        <w:spacing w:before="72"/>
        <w:ind w:left="120" w:right="118"/>
        <w:jc w:val="both"/>
      </w:pPr>
      <w:r>
        <w:lastRenderedPageBreak/>
        <w:t>for a product to include the latest advance in FDA approved abuse-deterrent technology: this is a missed opportunity.</w:t>
      </w:r>
    </w:p>
    <w:p w:rsidR="00BE7082" w:rsidRDefault="00BE7082">
      <w:pPr>
        <w:pStyle w:val="BodyText"/>
        <w:spacing w:before="2"/>
      </w:pPr>
    </w:p>
    <w:p w:rsidR="00BE7082" w:rsidRDefault="00821CCA">
      <w:pPr>
        <w:pStyle w:val="BodyText"/>
        <w:spacing w:before="1" w:line="276" w:lineRule="exact"/>
        <w:ind w:left="120" w:right="114"/>
        <w:jc w:val="both"/>
      </w:pPr>
      <w:r>
        <w:t>The President’s Commission on Combating Drug Addiction and the Opioid Crisis also recognizes the value AD</w:t>
      </w:r>
      <w:r>
        <w:t xml:space="preserve"> opioids can provide as an alternative to non-AD opioid medications.</w:t>
      </w:r>
      <w:r>
        <w:rPr>
          <w:b/>
          <w:position w:val="8"/>
          <w:sz w:val="16"/>
        </w:rPr>
        <w:t xml:space="preserve">1 </w:t>
      </w:r>
      <w:r>
        <w:t>In addition to effective treatment of the negative consequences of opioid abuse (i.e., Naloxone for overdose and medication assisted therapy [MAT] for addiction), supporting the developm</w:t>
      </w:r>
      <w:r>
        <w:t>ent and increasing the availability of AD opioids represents a critical component of drug abuse prevention efforts.</w:t>
      </w:r>
    </w:p>
    <w:p w:rsidR="00BE7082" w:rsidRDefault="00BE7082">
      <w:pPr>
        <w:pStyle w:val="BodyText"/>
        <w:spacing w:before="3"/>
      </w:pPr>
    </w:p>
    <w:p w:rsidR="00BE7082" w:rsidRDefault="00821CCA">
      <w:pPr>
        <w:pStyle w:val="BodyText"/>
        <w:spacing w:line="232" w:lineRule="auto"/>
        <w:ind w:left="120" w:right="116"/>
        <w:jc w:val="both"/>
        <w:rPr>
          <w:sz w:val="16"/>
        </w:rPr>
      </w:pPr>
      <w:r>
        <w:t>In administering Part D, CMS has a tremendous opportunity to add to the effort to reduce and deter the abuse of prescription opioids. The agency’s own statistics show that opioid use by Medicare beneficiaries is ubiquitous: one in every three Medicare Part</w:t>
      </w:r>
      <w:r>
        <w:t xml:space="preserve"> D beneficiaries received at least one prescription opioid in 2016,</w:t>
      </w:r>
      <w:r>
        <w:rPr>
          <w:position w:val="9"/>
          <w:sz w:val="16"/>
        </w:rPr>
        <w:t xml:space="preserve">2 </w:t>
      </w:r>
      <w:r>
        <w:t>and 500,000 beneficiaries received high amounts of opioids through Medicare Part D for extended periods of time.</w:t>
      </w:r>
      <w:r>
        <w:rPr>
          <w:position w:val="9"/>
          <w:sz w:val="16"/>
        </w:rPr>
        <w:t>3</w:t>
      </w:r>
    </w:p>
    <w:p w:rsidR="00BE7082" w:rsidRDefault="00BE7082">
      <w:pPr>
        <w:pStyle w:val="BodyText"/>
        <w:spacing w:before="4"/>
      </w:pPr>
    </w:p>
    <w:p w:rsidR="00BE7082" w:rsidRDefault="00821CCA">
      <w:pPr>
        <w:pStyle w:val="BodyText"/>
        <w:spacing w:line="276" w:lineRule="exact"/>
        <w:ind w:left="120" w:right="116"/>
        <w:jc w:val="both"/>
        <w:rPr>
          <w:sz w:val="16"/>
        </w:rPr>
      </w:pPr>
      <w:r>
        <w:t>CMS has estimated that over 319,000 beneficiaries could be potentially a</w:t>
      </w:r>
      <w:r>
        <w:t>t-risk for opioid overutilization under varying scenarios.</w:t>
      </w:r>
      <w:r>
        <w:rPr>
          <w:position w:val="9"/>
          <w:sz w:val="16"/>
        </w:rPr>
        <w:t xml:space="preserve">4 </w:t>
      </w:r>
      <w:r>
        <w:t>The Department of Health &amp; Human Services Office of the Inspector General (HHS OIG) also has acknowledged that although beneficiaries may receive opioids for legitimate purposes, these high number</w:t>
      </w:r>
      <w:r>
        <w:t xml:space="preserve"> of at-risk beneficiaries appropriately raises concern.</w:t>
      </w:r>
      <w:r>
        <w:rPr>
          <w:position w:val="9"/>
          <w:sz w:val="16"/>
        </w:rPr>
        <w:t>5</w:t>
      </w:r>
    </w:p>
    <w:p w:rsidR="00BE7082" w:rsidRDefault="00BE7082">
      <w:pPr>
        <w:pStyle w:val="BodyText"/>
        <w:spacing w:before="7"/>
        <w:rPr>
          <w:sz w:val="23"/>
        </w:rPr>
      </w:pPr>
    </w:p>
    <w:p w:rsidR="00BE7082" w:rsidRDefault="00821CCA">
      <w:pPr>
        <w:pStyle w:val="BodyText"/>
        <w:spacing w:before="1"/>
        <w:ind w:left="120" w:right="115"/>
        <w:jc w:val="both"/>
      </w:pPr>
      <w:r>
        <w:t>It is important to note that AD opioids are a currently available tool specifically designed to</w:t>
      </w:r>
      <w:r>
        <w:rPr>
          <w:spacing w:val="-14"/>
        </w:rPr>
        <w:t xml:space="preserve"> </w:t>
      </w:r>
      <w:r>
        <w:t>help</w:t>
      </w:r>
      <w:r>
        <w:rPr>
          <w:spacing w:val="-13"/>
        </w:rPr>
        <w:t xml:space="preserve"> </w:t>
      </w:r>
      <w:r>
        <w:t>reduce</w:t>
      </w:r>
      <w:r>
        <w:rPr>
          <w:spacing w:val="-14"/>
        </w:rPr>
        <w:t xml:space="preserve"> </w:t>
      </w:r>
      <w:r>
        <w:t>the</w:t>
      </w:r>
      <w:r>
        <w:rPr>
          <w:spacing w:val="-14"/>
        </w:rPr>
        <w:t xml:space="preserve"> </w:t>
      </w:r>
      <w:r>
        <w:t>risks</w:t>
      </w:r>
      <w:r>
        <w:rPr>
          <w:spacing w:val="-13"/>
        </w:rPr>
        <w:t xml:space="preserve"> </w:t>
      </w:r>
      <w:r>
        <w:t>associated</w:t>
      </w:r>
      <w:r>
        <w:rPr>
          <w:spacing w:val="-14"/>
        </w:rPr>
        <w:t xml:space="preserve"> </w:t>
      </w:r>
      <w:r>
        <w:t>with</w:t>
      </w:r>
      <w:r>
        <w:rPr>
          <w:spacing w:val="-13"/>
        </w:rPr>
        <w:t xml:space="preserve"> </w:t>
      </w:r>
      <w:r>
        <w:t>abuse,</w:t>
      </w:r>
      <w:r>
        <w:rPr>
          <w:spacing w:val="-13"/>
        </w:rPr>
        <w:t xml:space="preserve"> </w:t>
      </w:r>
      <w:r>
        <w:t>misuse</w:t>
      </w:r>
      <w:r>
        <w:rPr>
          <w:spacing w:val="-14"/>
        </w:rPr>
        <w:t xml:space="preserve"> </w:t>
      </w:r>
      <w:r>
        <w:t>and</w:t>
      </w:r>
      <w:r>
        <w:rPr>
          <w:spacing w:val="-13"/>
        </w:rPr>
        <w:t xml:space="preserve"> </w:t>
      </w:r>
      <w:r>
        <w:t>diversion</w:t>
      </w:r>
      <w:r>
        <w:rPr>
          <w:spacing w:val="-13"/>
        </w:rPr>
        <w:t xml:space="preserve"> </w:t>
      </w:r>
      <w:r>
        <w:t>of</w:t>
      </w:r>
      <w:r>
        <w:rPr>
          <w:spacing w:val="-14"/>
        </w:rPr>
        <w:t xml:space="preserve"> </w:t>
      </w:r>
      <w:r>
        <w:t>prescription</w:t>
      </w:r>
      <w:r>
        <w:rPr>
          <w:spacing w:val="-13"/>
        </w:rPr>
        <w:t xml:space="preserve"> </w:t>
      </w:r>
      <w:r>
        <w:t>opioids. Moreover, AD opioids not only deter abuse, misuse and diversion of the drug for whom they are prescribed – in this case, Medicare beneficiaries – but also others who may have access to the products in the home (family members, household staff,</w:t>
      </w:r>
      <w:r>
        <w:rPr>
          <w:spacing w:val="-10"/>
        </w:rPr>
        <w:t xml:space="preserve"> </w:t>
      </w:r>
      <w:r>
        <w:t>etc</w:t>
      </w:r>
      <w:r>
        <w:t>.).</w:t>
      </w:r>
    </w:p>
    <w:p w:rsidR="00BE7082" w:rsidRDefault="00BE7082">
      <w:pPr>
        <w:pStyle w:val="BodyText"/>
      </w:pPr>
    </w:p>
    <w:p w:rsidR="00BE7082" w:rsidRDefault="00821CCA">
      <w:pPr>
        <w:pStyle w:val="BodyText"/>
        <w:ind w:left="120" w:right="114"/>
        <w:jc w:val="both"/>
      </w:pPr>
      <w:r>
        <w:rPr>
          <w:color w:val="201D1E"/>
        </w:rPr>
        <w:t>Opioids with abuse-deterrent properties are not abuse-proof and do not prevent or reduce the</w:t>
      </w:r>
      <w:r>
        <w:rPr>
          <w:color w:val="201D1E"/>
          <w:spacing w:val="-9"/>
        </w:rPr>
        <w:t xml:space="preserve"> </w:t>
      </w:r>
      <w:r>
        <w:rPr>
          <w:color w:val="201D1E"/>
        </w:rPr>
        <w:t>risk</w:t>
      </w:r>
      <w:r>
        <w:rPr>
          <w:color w:val="201D1E"/>
          <w:spacing w:val="-9"/>
        </w:rPr>
        <w:t xml:space="preserve"> </w:t>
      </w:r>
      <w:r>
        <w:rPr>
          <w:color w:val="201D1E"/>
        </w:rPr>
        <w:t>of</w:t>
      </w:r>
      <w:r>
        <w:rPr>
          <w:color w:val="201D1E"/>
          <w:spacing w:val="-9"/>
        </w:rPr>
        <w:t xml:space="preserve"> </w:t>
      </w:r>
      <w:r>
        <w:rPr>
          <w:color w:val="201D1E"/>
        </w:rPr>
        <w:t>addiction.</w:t>
      </w:r>
      <w:r>
        <w:rPr>
          <w:color w:val="201D1E"/>
          <w:spacing w:val="44"/>
        </w:rPr>
        <w:t xml:space="preserve"> </w:t>
      </w:r>
      <w:r>
        <w:t>AD</w:t>
      </w:r>
      <w:r>
        <w:rPr>
          <w:spacing w:val="-9"/>
        </w:rPr>
        <w:t xml:space="preserve"> </w:t>
      </w:r>
      <w:r>
        <w:t>opioids</w:t>
      </w:r>
      <w:r>
        <w:rPr>
          <w:spacing w:val="-8"/>
        </w:rPr>
        <w:t xml:space="preserve"> </w:t>
      </w:r>
      <w:r>
        <w:t>do</w:t>
      </w:r>
      <w:r>
        <w:rPr>
          <w:spacing w:val="-9"/>
        </w:rPr>
        <w:t xml:space="preserve"> </w:t>
      </w:r>
      <w:r>
        <w:t>offer</w:t>
      </w:r>
      <w:r>
        <w:rPr>
          <w:spacing w:val="-9"/>
        </w:rPr>
        <w:t xml:space="preserve"> </w:t>
      </w:r>
      <w:r>
        <w:t>the</w:t>
      </w:r>
      <w:r>
        <w:rPr>
          <w:spacing w:val="-9"/>
        </w:rPr>
        <w:t xml:space="preserve"> </w:t>
      </w:r>
      <w:r>
        <w:t>promise</w:t>
      </w:r>
      <w:r>
        <w:rPr>
          <w:spacing w:val="-9"/>
        </w:rPr>
        <w:t xml:space="preserve"> </w:t>
      </w:r>
      <w:r>
        <w:t>of</w:t>
      </w:r>
      <w:r>
        <w:rPr>
          <w:spacing w:val="-9"/>
        </w:rPr>
        <w:t xml:space="preserve"> </w:t>
      </w:r>
      <w:r>
        <w:t>a</w:t>
      </w:r>
      <w:r>
        <w:rPr>
          <w:spacing w:val="-10"/>
        </w:rPr>
        <w:t xml:space="preserve"> </w:t>
      </w:r>
      <w:r>
        <w:t>significant</w:t>
      </w:r>
      <w:r>
        <w:rPr>
          <w:spacing w:val="-8"/>
        </w:rPr>
        <w:t xml:space="preserve"> </w:t>
      </w:r>
      <w:r>
        <w:t>public</w:t>
      </w:r>
      <w:r>
        <w:rPr>
          <w:spacing w:val="-9"/>
        </w:rPr>
        <w:t xml:space="preserve"> </w:t>
      </w:r>
      <w:r>
        <w:t>health</w:t>
      </w:r>
      <w:r>
        <w:rPr>
          <w:spacing w:val="-9"/>
        </w:rPr>
        <w:t xml:space="preserve"> </w:t>
      </w:r>
      <w:r>
        <w:t>benefit by</w:t>
      </w:r>
      <w:r>
        <w:rPr>
          <w:spacing w:val="-14"/>
        </w:rPr>
        <w:t xml:space="preserve"> </w:t>
      </w:r>
      <w:r>
        <w:t>deterring</w:t>
      </w:r>
      <w:r>
        <w:rPr>
          <w:spacing w:val="-11"/>
        </w:rPr>
        <w:t xml:space="preserve"> </w:t>
      </w:r>
      <w:r>
        <w:t>the</w:t>
      </w:r>
      <w:r>
        <w:rPr>
          <w:spacing w:val="-9"/>
        </w:rPr>
        <w:t xml:space="preserve"> </w:t>
      </w:r>
      <w:r>
        <w:t>illegal</w:t>
      </w:r>
      <w:r>
        <w:rPr>
          <w:spacing w:val="-8"/>
        </w:rPr>
        <w:t xml:space="preserve"> </w:t>
      </w:r>
      <w:r>
        <w:t>diversion</w:t>
      </w:r>
      <w:r>
        <w:rPr>
          <w:spacing w:val="-8"/>
        </w:rPr>
        <w:t xml:space="preserve"> </w:t>
      </w:r>
      <w:r>
        <w:t>of</w:t>
      </w:r>
      <w:r>
        <w:rPr>
          <w:spacing w:val="-9"/>
        </w:rPr>
        <w:t xml:space="preserve"> </w:t>
      </w:r>
      <w:r>
        <w:t>opioids.</w:t>
      </w:r>
      <w:r>
        <w:rPr>
          <w:spacing w:val="-8"/>
        </w:rPr>
        <w:t xml:space="preserve"> </w:t>
      </w:r>
      <w:r>
        <w:t>Deterrence</w:t>
      </w:r>
      <w:r>
        <w:rPr>
          <w:spacing w:val="-5"/>
        </w:rPr>
        <w:t xml:space="preserve"> </w:t>
      </w:r>
      <w:r>
        <w:t>(prevention)</w:t>
      </w:r>
      <w:r>
        <w:rPr>
          <w:spacing w:val="-9"/>
        </w:rPr>
        <w:t xml:space="preserve"> </w:t>
      </w:r>
      <w:r>
        <w:t>of</w:t>
      </w:r>
      <w:r>
        <w:rPr>
          <w:spacing w:val="-9"/>
        </w:rPr>
        <w:t xml:space="preserve"> </w:t>
      </w:r>
      <w:r>
        <w:t>prescription</w:t>
      </w:r>
      <w:r>
        <w:rPr>
          <w:spacing w:val="-9"/>
        </w:rPr>
        <w:t xml:space="preserve"> </w:t>
      </w:r>
      <w:r>
        <w:t>opioid abuse is a cost-effective approach that goes hand-in-hand with efforts to “right size” prescriptions.</w:t>
      </w:r>
    </w:p>
    <w:p w:rsidR="00BE7082" w:rsidRDefault="00BE7082">
      <w:pPr>
        <w:pStyle w:val="BodyText"/>
        <w:spacing w:before="2"/>
      </w:pPr>
    </w:p>
    <w:p w:rsidR="00BE7082" w:rsidRDefault="00821CCA">
      <w:pPr>
        <w:pStyle w:val="BodyText"/>
        <w:spacing w:line="237" w:lineRule="auto"/>
        <w:ind w:left="120" w:right="113"/>
        <w:jc w:val="both"/>
      </w:pPr>
      <w:r>
        <w:t>While the FDA has encouraged the development and licensure of AD opioids—ten AD opioids</w:t>
      </w:r>
      <w:r>
        <w:rPr>
          <w:spacing w:val="-16"/>
        </w:rPr>
        <w:t xml:space="preserve"> </w:t>
      </w:r>
      <w:r>
        <w:t>have</w:t>
      </w:r>
      <w:r>
        <w:rPr>
          <w:spacing w:val="-17"/>
        </w:rPr>
        <w:t xml:space="preserve"> </w:t>
      </w:r>
      <w:r>
        <w:t>received</w:t>
      </w:r>
      <w:r>
        <w:rPr>
          <w:spacing w:val="-16"/>
        </w:rPr>
        <w:t xml:space="preserve"> </w:t>
      </w:r>
      <w:r>
        <w:t>a</w:t>
      </w:r>
      <w:r>
        <w:rPr>
          <w:spacing w:val="-17"/>
        </w:rPr>
        <w:t xml:space="preserve"> </w:t>
      </w:r>
      <w:r>
        <w:t>label</w:t>
      </w:r>
      <w:r>
        <w:rPr>
          <w:spacing w:val="-15"/>
        </w:rPr>
        <w:t xml:space="preserve"> </w:t>
      </w:r>
      <w:r>
        <w:t>of</w:t>
      </w:r>
      <w:r>
        <w:rPr>
          <w:spacing w:val="-17"/>
        </w:rPr>
        <w:t xml:space="preserve"> </w:t>
      </w:r>
      <w:r>
        <w:t>abus</w:t>
      </w:r>
      <w:r>
        <w:t>e</w:t>
      </w:r>
      <w:r>
        <w:rPr>
          <w:spacing w:val="-17"/>
        </w:rPr>
        <w:t xml:space="preserve"> </w:t>
      </w:r>
      <w:r>
        <w:t>deterrence</w:t>
      </w:r>
      <w:r>
        <w:rPr>
          <w:spacing w:val="-17"/>
        </w:rPr>
        <w:t xml:space="preserve"> </w:t>
      </w:r>
      <w:r>
        <w:t>by</w:t>
      </w:r>
      <w:r>
        <w:rPr>
          <w:spacing w:val="-18"/>
        </w:rPr>
        <w:t xml:space="preserve"> </w:t>
      </w:r>
      <w:r>
        <w:t>the</w:t>
      </w:r>
      <w:r>
        <w:rPr>
          <w:spacing w:val="-14"/>
        </w:rPr>
        <w:t xml:space="preserve"> </w:t>
      </w:r>
      <w:r>
        <w:t>FDA</w:t>
      </w:r>
      <w:r>
        <w:rPr>
          <w:spacing w:val="-12"/>
        </w:rPr>
        <w:t xml:space="preserve"> </w:t>
      </w:r>
      <w:r>
        <w:t>and</w:t>
      </w:r>
      <w:r>
        <w:rPr>
          <w:spacing w:val="-16"/>
        </w:rPr>
        <w:t xml:space="preserve"> </w:t>
      </w:r>
      <w:r>
        <w:t>six</w:t>
      </w:r>
      <w:r>
        <w:rPr>
          <w:spacing w:val="-13"/>
        </w:rPr>
        <w:t xml:space="preserve"> </w:t>
      </w:r>
      <w:r>
        <w:t>are</w:t>
      </w:r>
      <w:r>
        <w:rPr>
          <w:spacing w:val="-18"/>
        </w:rPr>
        <w:t xml:space="preserve"> </w:t>
      </w:r>
      <w:r>
        <w:t>currently</w:t>
      </w:r>
      <w:r>
        <w:rPr>
          <w:spacing w:val="-18"/>
        </w:rPr>
        <w:t xml:space="preserve"> </w:t>
      </w:r>
      <w:r>
        <w:t xml:space="preserve">available on the market—utilization remains very low. </w:t>
      </w:r>
      <w:r>
        <w:rPr>
          <w:position w:val="9"/>
          <w:sz w:val="16"/>
        </w:rPr>
        <w:t xml:space="preserve">6 </w:t>
      </w:r>
      <w:r>
        <w:t>As FDA Commissioner Scott Gottlieb, M.D., has noted, “[AD opioid] uptake has been slow among doctors who are treating patients in</w:t>
      </w:r>
      <w:r>
        <w:rPr>
          <w:spacing w:val="-2"/>
        </w:rPr>
        <w:t xml:space="preserve"> </w:t>
      </w:r>
      <w:r>
        <w:t>pain.”</w:t>
      </w:r>
    </w:p>
    <w:p w:rsidR="00BE7082" w:rsidRDefault="00821CCA">
      <w:pPr>
        <w:pStyle w:val="BodyText"/>
        <w:spacing w:before="10"/>
        <w:rPr>
          <w:sz w:val="19"/>
        </w:rPr>
      </w:pPr>
      <w:r>
        <w:pict>
          <v:line id="_x0000_s1030" style="position:absolute;z-index:1048;mso-wrap-distance-left:0;mso-wrap-distance-right:0;mso-position-horizontal-relative:page" from="90pt,13.7pt" to="234.05pt,13.7pt" strokeweight=".21169mm">
            <w10:wrap type="topAndBottom" anchorx="page"/>
          </v:line>
        </w:pict>
      </w:r>
    </w:p>
    <w:p w:rsidR="00BE7082" w:rsidRDefault="00821CCA">
      <w:pPr>
        <w:spacing w:before="71"/>
        <w:ind w:left="120" w:right="887"/>
        <w:rPr>
          <w:rFonts w:ascii="Cambria"/>
          <w:sz w:val="20"/>
        </w:rPr>
      </w:pPr>
      <w:r>
        <w:rPr>
          <w:rFonts w:ascii="Cambria"/>
          <w:position w:val="5"/>
          <w:sz w:val="13"/>
        </w:rPr>
        <w:t xml:space="preserve">1 </w:t>
      </w:r>
      <w:r>
        <w:rPr>
          <w:rFonts w:ascii="Cambria"/>
          <w:sz w:val="20"/>
        </w:rPr>
        <w:t>Available at:</w:t>
      </w:r>
      <w:r>
        <w:rPr>
          <w:rFonts w:ascii="Cambria"/>
          <w:sz w:val="20"/>
        </w:rPr>
        <w:t xml:space="preserve"> </w:t>
      </w:r>
      <w:hyperlink r:id="rId6">
        <w:r>
          <w:rPr>
            <w:rFonts w:ascii="Cambria"/>
            <w:color w:val="0000FF"/>
            <w:w w:val="95"/>
            <w:sz w:val="20"/>
            <w:u w:val="single" w:color="0000FF"/>
          </w:rPr>
          <w:t>https://www.whitehouse.gov/sites/whitehouse.gov/files/images/Final_Report_Draft_11-1-</w:t>
        </w:r>
      </w:hyperlink>
      <w:r>
        <w:rPr>
          <w:rFonts w:ascii="Cambria"/>
          <w:color w:val="0000FF"/>
          <w:w w:val="95"/>
          <w:sz w:val="20"/>
          <w:u w:val="single" w:color="0000FF"/>
        </w:rPr>
        <w:t xml:space="preserve"> </w:t>
      </w:r>
      <w:hyperlink r:id="rId7">
        <w:r>
          <w:rPr>
            <w:rFonts w:ascii="Cambria"/>
            <w:color w:val="0000FF"/>
            <w:sz w:val="20"/>
            <w:u w:val="single" w:color="0000FF"/>
          </w:rPr>
          <w:t>2017.pdf</w:t>
        </w:r>
        <w:r>
          <w:rPr>
            <w:rFonts w:ascii="Cambria"/>
            <w:sz w:val="20"/>
          </w:rPr>
          <w:t>.</w:t>
        </w:r>
      </w:hyperlink>
    </w:p>
    <w:p w:rsidR="00BE7082" w:rsidRDefault="00821CCA">
      <w:pPr>
        <w:spacing w:line="222" w:lineRule="exact"/>
        <w:ind w:left="120"/>
        <w:rPr>
          <w:sz w:val="20"/>
        </w:rPr>
      </w:pPr>
      <w:r>
        <w:rPr>
          <w:position w:val="7"/>
          <w:sz w:val="13"/>
        </w:rPr>
        <w:t xml:space="preserve">2 </w:t>
      </w:r>
      <w:r>
        <w:rPr>
          <w:sz w:val="20"/>
        </w:rPr>
        <w:t>Department of Health and Human Services Office of Inspector General, Opioids in Medicare Part D:</w:t>
      </w:r>
    </w:p>
    <w:p w:rsidR="00BE7082" w:rsidRDefault="00821CCA">
      <w:pPr>
        <w:ind w:left="120" w:right="1464"/>
        <w:rPr>
          <w:sz w:val="20"/>
        </w:rPr>
      </w:pPr>
      <w:r>
        <w:rPr>
          <w:sz w:val="20"/>
        </w:rPr>
        <w:t>Concerns about Extreme Use and Quest</w:t>
      </w:r>
      <w:r>
        <w:rPr>
          <w:sz w:val="20"/>
        </w:rPr>
        <w:t xml:space="preserve">ionable Prescribing, OEI-02-17-00250, available at </w:t>
      </w:r>
      <w:hyperlink r:id="rId8">
        <w:r>
          <w:rPr>
            <w:color w:val="0000FF"/>
            <w:sz w:val="20"/>
            <w:u w:val="single" w:color="0000FF"/>
          </w:rPr>
          <w:t>https://www.oig.hhs.gov/oei/reports/oei-02-17-00250.pdf</w:t>
        </w:r>
      </w:hyperlink>
    </w:p>
    <w:p w:rsidR="00BE7082" w:rsidRDefault="00821CCA">
      <w:pPr>
        <w:spacing w:line="228" w:lineRule="exact"/>
        <w:ind w:left="120"/>
        <w:rPr>
          <w:sz w:val="20"/>
        </w:rPr>
      </w:pPr>
      <w:r>
        <w:rPr>
          <w:position w:val="7"/>
          <w:sz w:val="13"/>
        </w:rPr>
        <w:t xml:space="preserve">3 </w:t>
      </w:r>
      <w:r>
        <w:rPr>
          <w:sz w:val="20"/>
        </w:rPr>
        <w:t>Cite Part D rule</w:t>
      </w:r>
    </w:p>
    <w:p w:rsidR="00BE7082" w:rsidRDefault="00821CCA">
      <w:pPr>
        <w:ind w:left="120" w:right="417"/>
        <w:rPr>
          <w:sz w:val="20"/>
        </w:rPr>
      </w:pPr>
      <w:r>
        <w:rPr>
          <w:position w:val="7"/>
          <w:sz w:val="13"/>
        </w:rPr>
        <w:t xml:space="preserve">4 </w:t>
      </w:r>
      <w:r>
        <w:rPr>
          <w:sz w:val="20"/>
        </w:rPr>
        <w:t>HHS Office of Inspector General, Semiannual Report to</w:t>
      </w:r>
      <w:r>
        <w:rPr>
          <w:sz w:val="20"/>
        </w:rPr>
        <w:t xml:space="preserve"> Congress, November 2017 (pg. 6) available at </w:t>
      </w:r>
      <w:hyperlink r:id="rId9">
        <w:r>
          <w:rPr>
            <w:color w:val="0000FF"/>
            <w:sz w:val="20"/>
            <w:u w:val="single" w:color="0000FF"/>
          </w:rPr>
          <w:t>https://oig.hhs.gov/reports-and-publications/archives/semiannual/2017/sar-fall-2017.pdf</w:t>
        </w:r>
      </w:hyperlink>
    </w:p>
    <w:p w:rsidR="00BE7082" w:rsidRDefault="00821CCA">
      <w:pPr>
        <w:spacing w:before="1" w:line="226" w:lineRule="exact"/>
        <w:ind w:left="120"/>
        <w:rPr>
          <w:sz w:val="20"/>
        </w:rPr>
      </w:pPr>
      <w:r>
        <w:rPr>
          <w:position w:val="7"/>
          <w:sz w:val="13"/>
        </w:rPr>
        <w:t xml:space="preserve">5 </w:t>
      </w:r>
      <w:r>
        <w:rPr>
          <w:sz w:val="20"/>
        </w:rPr>
        <w:t>Ibid.</w:t>
      </w:r>
    </w:p>
    <w:p w:rsidR="00BE7082" w:rsidRDefault="00821CCA">
      <w:pPr>
        <w:spacing w:line="233" w:lineRule="exact"/>
        <w:ind w:left="120"/>
        <w:rPr>
          <w:sz w:val="20"/>
        </w:rPr>
      </w:pPr>
      <w:r>
        <w:rPr>
          <w:position w:val="7"/>
          <w:sz w:val="13"/>
        </w:rPr>
        <w:t xml:space="preserve">6 </w:t>
      </w:r>
      <w:r>
        <w:rPr>
          <w:sz w:val="20"/>
        </w:rPr>
        <w:t>AD op</w:t>
      </w:r>
      <w:r>
        <w:rPr>
          <w:sz w:val="20"/>
        </w:rPr>
        <w:t>ioids constituent less than 4 percent of the total opioid marketplace in Medicare Part D. need cite</w:t>
      </w:r>
    </w:p>
    <w:p w:rsidR="00BE7082" w:rsidRDefault="00BE7082">
      <w:pPr>
        <w:spacing w:line="233" w:lineRule="exact"/>
        <w:rPr>
          <w:sz w:val="20"/>
        </w:rPr>
        <w:sectPr w:rsidR="00BE7082">
          <w:pgSz w:w="12240" w:h="15840"/>
          <w:pgMar w:top="1360" w:right="1680" w:bottom="280" w:left="1680" w:header="720" w:footer="720" w:gutter="0"/>
          <w:cols w:space="720"/>
        </w:sectPr>
      </w:pPr>
    </w:p>
    <w:p w:rsidR="00BE7082" w:rsidRDefault="00821CCA">
      <w:pPr>
        <w:pStyle w:val="BodyText"/>
        <w:spacing w:before="75" w:line="276" w:lineRule="exact"/>
        <w:ind w:left="120" w:right="118"/>
        <w:jc w:val="both"/>
        <w:rPr>
          <w:sz w:val="16"/>
        </w:rPr>
      </w:pPr>
      <w:r>
        <w:lastRenderedPageBreak/>
        <w:t>The reason for their more limited use is likely multifold. We know there can be a learning curve that comes with new technologies. Some prescribers may not be aware of the existence of these drugs or may be uncertain of when to prescribe the abuse-deterren</w:t>
      </w:r>
      <w:r>
        <w:t>t versions. But we also know a significant barrier to use can be price. Because these new formulations are currently only available as brand-name products, they’re inherently</w:t>
      </w:r>
      <w:r>
        <w:rPr>
          <w:spacing w:val="-32"/>
        </w:rPr>
        <w:t xml:space="preserve"> </w:t>
      </w:r>
      <w:r>
        <w:t>more expensive than the numerous non-abuse-deterrent formulations that are also a</w:t>
      </w:r>
      <w:r>
        <w:t>vailable in generic</w:t>
      </w:r>
      <w:r>
        <w:rPr>
          <w:spacing w:val="-4"/>
        </w:rPr>
        <w:t xml:space="preserve"> </w:t>
      </w:r>
      <w:r>
        <w:t>formulations.</w:t>
      </w:r>
      <w:r>
        <w:rPr>
          <w:position w:val="9"/>
          <w:sz w:val="16"/>
        </w:rPr>
        <w:t>7</w:t>
      </w:r>
    </w:p>
    <w:p w:rsidR="00BE7082" w:rsidRDefault="00BE7082">
      <w:pPr>
        <w:pStyle w:val="BodyText"/>
        <w:spacing w:before="7"/>
        <w:rPr>
          <w:sz w:val="23"/>
        </w:rPr>
      </w:pPr>
    </w:p>
    <w:p w:rsidR="00BE7082" w:rsidRDefault="00821CCA">
      <w:pPr>
        <w:pStyle w:val="BodyText"/>
        <w:ind w:left="120" w:right="112"/>
        <w:jc w:val="both"/>
      </w:pPr>
      <w:r>
        <w:t>To more effectively combat the prescription opioid abuse crisis, CMS has an opportunity to provide valuable assistance through the Draft Call Letter to ensure both improved education among providers, particularly those t</w:t>
      </w:r>
      <w:r>
        <w:t>reating at-risk beneficiaries, as well as adequate access to AD opioids on plan formularies.</w:t>
      </w:r>
    </w:p>
    <w:p w:rsidR="00BE7082" w:rsidRDefault="00BE7082">
      <w:pPr>
        <w:pStyle w:val="BodyText"/>
        <w:spacing w:before="11"/>
        <w:rPr>
          <w:sz w:val="23"/>
        </w:rPr>
      </w:pPr>
    </w:p>
    <w:p w:rsidR="00BE7082" w:rsidRDefault="00821CCA">
      <w:pPr>
        <w:pStyle w:val="BodyText"/>
        <w:ind w:left="120" w:right="116"/>
        <w:jc w:val="both"/>
      </w:pPr>
      <w:r>
        <w:t>CMS should use the Draft Call Letter to educate providers when writing appropriate prescriptions</w:t>
      </w:r>
      <w:r>
        <w:rPr>
          <w:spacing w:val="-13"/>
        </w:rPr>
        <w:t xml:space="preserve"> </w:t>
      </w:r>
      <w:r>
        <w:t>to</w:t>
      </w:r>
      <w:r>
        <w:rPr>
          <w:spacing w:val="-13"/>
        </w:rPr>
        <w:t xml:space="preserve"> </w:t>
      </w:r>
      <w:r>
        <w:t>include</w:t>
      </w:r>
      <w:r>
        <w:rPr>
          <w:spacing w:val="-14"/>
        </w:rPr>
        <w:t xml:space="preserve"> </w:t>
      </w:r>
      <w:r>
        <w:t>the</w:t>
      </w:r>
      <w:r>
        <w:rPr>
          <w:spacing w:val="-14"/>
        </w:rPr>
        <w:t xml:space="preserve"> </w:t>
      </w:r>
      <w:r>
        <w:t>use</w:t>
      </w:r>
      <w:r>
        <w:rPr>
          <w:spacing w:val="-14"/>
        </w:rPr>
        <w:t xml:space="preserve"> </w:t>
      </w:r>
      <w:r>
        <w:t>of</w:t>
      </w:r>
      <w:r>
        <w:rPr>
          <w:spacing w:val="-11"/>
        </w:rPr>
        <w:t xml:space="preserve"> </w:t>
      </w:r>
      <w:r>
        <w:t>opioid</w:t>
      </w:r>
      <w:r>
        <w:rPr>
          <w:spacing w:val="-13"/>
        </w:rPr>
        <w:t xml:space="preserve"> </w:t>
      </w:r>
      <w:r>
        <w:t>abuse</w:t>
      </w:r>
      <w:r>
        <w:rPr>
          <w:spacing w:val="-14"/>
        </w:rPr>
        <w:t xml:space="preserve"> </w:t>
      </w:r>
      <w:r>
        <w:t>prevention</w:t>
      </w:r>
      <w:r>
        <w:rPr>
          <w:spacing w:val="-13"/>
        </w:rPr>
        <w:t xml:space="preserve"> </w:t>
      </w:r>
      <w:r>
        <w:t>and</w:t>
      </w:r>
      <w:r>
        <w:rPr>
          <w:spacing w:val="-13"/>
        </w:rPr>
        <w:t xml:space="preserve"> </w:t>
      </w:r>
      <w:r>
        <w:t>mitigation</w:t>
      </w:r>
      <w:r>
        <w:rPr>
          <w:spacing w:val="-12"/>
        </w:rPr>
        <w:t xml:space="preserve"> </w:t>
      </w:r>
      <w:r>
        <w:t>efforts,</w:t>
      </w:r>
      <w:r>
        <w:rPr>
          <w:spacing w:val="-13"/>
        </w:rPr>
        <w:t xml:space="preserve"> </w:t>
      </w:r>
      <w:r>
        <w:t>including the use of AD</w:t>
      </w:r>
      <w:r>
        <w:rPr>
          <w:spacing w:val="-5"/>
        </w:rPr>
        <w:t xml:space="preserve"> </w:t>
      </w:r>
      <w:r>
        <w:t>opioids.</w:t>
      </w:r>
    </w:p>
    <w:p w:rsidR="00BE7082" w:rsidRDefault="00BE7082">
      <w:pPr>
        <w:pStyle w:val="BodyText"/>
        <w:spacing w:before="11"/>
        <w:rPr>
          <w:sz w:val="23"/>
        </w:rPr>
      </w:pPr>
    </w:p>
    <w:p w:rsidR="00BE7082" w:rsidRDefault="00821CCA">
      <w:pPr>
        <w:pStyle w:val="BodyText"/>
        <w:ind w:left="120" w:right="115"/>
        <w:jc w:val="both"/>
      </w:pPr>
      <w:r>
        <w:t xml:space="preserve">In the 2017 plan year, many Part D plan sponsors did not include AD opioids on their allowable prescription drug formularies; and even in instances when the AD opioid was technically a covered service, many Plans </w:t>
      </w:r>
      <w:r>
        <w:t>employed a variety of coverage restrictions, preauthorization, “fail-first” and other formulary tools to limit provider choice and deter greater patient access to AD opioids.</w:t>
      </w:r>
    </w:p>
    <w:p w:rsidR="00BE7082" w:rsidRDefault="00BE7082">
      <w:pPr>
        <w:pStyle w:val="BodyText"/>
        <w:spacing w:before="11"/>
        <w:rPr>
          <w:sz w:val="23"/>
        </w:rPr>
      </w:pPr>
    </w:p>
    <w:p w:rsidR="00BE7082" w:rsidRDefault="00821CCA">
      <w:pPr>
        <w:pStyle w:val="BodyText"/>
        <w:ind w:left="120" w:right="119"/>
        <w:jc w:val="both"/>
      </w:pPr>
      <w:r>
        <w:t>While these drug management techniques are not unique, due to the gravity of the</w:t>
      </w:r>
      <w:r>
        <w:t xml:space="preserve"> prescription</w:t>
      </w:r>
      <w:r>
        <w:rPr>
          <w:spacing w:val="-7"/>
        </w:rPr>
        <w:t xml:space="preserve"> </w:t>
      </w:r>
      <w:r>
        <w:t>opioid</w:t>
      </w:r>
      <w:r>
        <w:rPr>
          <w:spacing w:val="-7"/>
        </w:rPr>
        <w:t xml:space="preserve"> </w:t>
      </w:r>
      <w:r>
        <w:t>abuse</w:t>
      </w:r>
      <w:r>
        <w:rPr>
          <w:spacing w:val="-6"/>
        </w:rPr>
        <w:t xml:space="preserve"> </w:t>
      </w:r>
      <w:r>
        <w:t>crisis</w:t>
      </w:r>
      <w:r>
        <w:rPr>
          <w:spacing w:val="-6"/>
        </w:rPr>
        <w:t xml:space="preserve"> </w:t>
      </w:r>
      <w:r>
        <w:t>several</w:t>
      </w:r>
      <w:r>
        <w:rPr>
          <w:spacing w:val="-7"/>
        </w:rPr>
        <w:t xml:space="preserve"> </w:t>
      </w:r>
      <w:r>
        <w:t>states</w:t>
      </w:r>
      <w:r>
        <w:rPr>
          <w:spacing w:val="-7"/>
        </w:rPr>
        <w:t xml:space="preserve"> </w:t>
      </w:r>
      <w:r>
        <w:t>have</w:t>
      </w:r>
      <w:r>
        <w:rPr>
          <w:spacing w:val="-8"/>
        </w:rPr>
        <w:t xml:space="preserve"> </w:t>
      </w:r>
      <w:r>
        <w:t>enacted</w:t>
      </w:r>
      <w:r>
        <w:rPr>
          <w:spacing w:val="-8"/>
        </w:rPr>
        <w:t xml:space="preserve"> </w:t>
      </w:r>
      <w:r>
        <w:t>policies</w:t>
      </w:r>
      <w:r>
        <w:rPr>
          <w:spacing w:val="-8"/>
        </w:rPr>
        <w:t xml:space="preserve"> </w:t>
      </w:r>
      <w:r>
        <w:t>in</w:t>
      </w:r>
      <w:r>
        <w:rPr>
          <w:spacing w:val="-7"/>
        </w:rPr>
        <w:t xml:space="preserve"> </w:t>
      </w:r>
      <w:r>
        <w:t>commercial</w:t>
      </w:r>
      <w:r>
        <w:rPr>
          <w:spacing w:val="-7"/>
        </w:rPr>
        <w:t xml:space="preserve"> </w:t>
      </w:r>
      <w:r>
        <w:t>markets to:</w:t>
      </w:r>
    </w:p>
    <w:p w:rsidR="00BE7082" w:rsidRDefault="00BE7082">
      <w:pPr>
        <w:pStyle w:val="BodyText"/>
        <w:spacing w:before="5"/>
        <w:rPr>
          <w:sz w:val="15"/>
        </w:rPr>
      </w:pPr>
    </w:p>
    <w:p w:rsidR="00BE7082" w:rsidRDefault="00821CCA">
      <w:pPr>
        <w:pStyle w:val="ListParagraph"/>
        <w:numPr>
          <w:ilvl w:val="2"/>
          <w:numId w:val="1"/>
        </w:numPr>
        <w:tabs>
          <w:tab w:val="left" w:pos="1200"/>
          <w:tab w:val="left" w:pos="1201"/>
        </w:tabs>
        <w:spacing w:before="122" w:line="274" w:lineRule="exact"/>
        <w:ind w:left="1200" w:right="122"/>
        <w:rPr>
          <w:sz w:val="24"/>
        </w:rPr>
      </w:pPr>
      <w:r>
        <w:rPr>
          <w:sz w:val="24"/>
        </w:rPr>
        <w:t>Covering AD opioids on formularies on a basis that is not less favorable than non-AD opioid</w:t>
      </w:r>
      <w:r>
        <w:rPr>
          <w:spacing w:val="-5"/>
          <w:sz w:val="24"/>
        </w:rPr>
        <w:t xml:space="preserve"> </w:t>
      </w:r>
      <w:r>
        <w:rPr>
          <w:sz w:val="24"/>
        </w:rPr>
        <w:t>products;</w:t>
      </w:r>
    </w:p>
    <w:p w:rsidR="00BE7082" w:rsidRDefault="00821CCA">
      <w:pPr>
        <w:pStyle w:val="ListParagraph"/>
        <w:numPr>
          <w:ilvl w:val="2"/>
          <w:numId w:val="1"/>
        </w:numPr>
        <w:tabs>
          <w:tab w:val="left" w:pos="1200"/>
          <w:tab w:val="left" w:pos="1201"/>
        </w:tabs>
        <w:spacing w:line="274" w:lineRule="exact"/>
        <w:ind w:left="1200" w:right="114"/>
        <w:rPr>
          <w:sz w:val="24"/>
        </w:rPr>
      </w:pPr>
      <w:r>
        <w:rPr>
          <w:sz w:val="24"/>
        </w:rPr>
        <w:t>Prohibiting plans from requiring patients to “step throu</w:t>
      </w:r>
      <w:r>
        <w:rPr>
          <w:sz w:val="24"/>
        </w:rPr>
        <w:t>gh” a non-AD opioid before receiving an AD</w:t>
      </w:r>
      <w:r>
        <w:rPr>
          <w:spacing w:val="-6"/>
          <w:sz w:val="24"/>
        </w:rPr>
        <w:t xml:space="preserve"> </w:t>
      </w:r>
      <w:r>
        <w:rPr>
          <w:sz w:val="24"/>
        </w:rPr>
        <w:t>opioid;</w:t>
      </w:r>
    </w:p>
    <w:p w:rsidR="00BE7082" w:rsidRDefault="00821CCA">
      <w:pPr>
        <w:pStyle w:val="ListParagraph"/>
        <w:numPr>
          <w:ilvl w:val="2"/>
          <w:numId w:val="1"/>
        </w:numPr>
        <w:tabs>
          <w:tab w:val="left" w:pos="1200"/>
          <w:tab w:val="left" w:pos="1201"/>
        </w:tabs>
        <w:spacing w:line="274" w:lineRule="exact"/>
        <w:ind w:left="1200"/>
        <w:rPr>
          <w:sz w:val="24"/>
        </w:rPr>
      </w:pPr>
      <w:r>
        <w:rPr>
          <w:sz w:val="24"/>
        </w:rPr>
        <w:t>Requiring coverage of AD opioids at the same cost-sharing tier as non-AD opioids;</w:t>
      </w:r>
      <w:r>
        <w:rPr>
          <w:spacing w:val="-1"/>
          <w:sz w:val="24"/>
        </w:rPr>
        <w:t xml:space="preserve"> </w:t>
      </w:r>
      <w:r>
        <w:rPr>
          <w:sz w:val="24"/>
        </w:rPr>
        <w:t>and</w:t>
      </w:r>
    </w:p>
    <w:p w:rsidR="00BE7082" w:rsidRDefault="00821CCA">
      <w:pPr>
        <w:pStyle w:val="ListParagraph"/>
        <w:numPr>
          <w:ilvl w:val="2"/>
          <w:numId w:val="1"/>
        </w:numPr>
        <w:tabs>
          <w:tab w:val="left" w:pos="1200"/>
          <w:tab w:val="left" w:pos="1201"/>
        </w:tabs>
        <w:spacing w:before="19" w:line="276" w:lineRule="exact"/>
        <w:ind w:left="1200" w:right="115"/>
        <w:rPr>
          <w:sz w:val="16"/>
        </w:rPr>
      </w:pPr>
      <w:r>
        <w:rPr>
          <w:sz w:val="24"/>
        </w:rPr>
        <w:t>Requiring</w:t>
      </w:r>
      <w:r>
        <w:rPr>
          <w:spacing w:val="-7"/>
          <w:sz w:val="24"/>
        </w:rPr>
        <w:t xml:space="preserve"> </w:t>
      </w:r>
      <w:r>
        <w:rPr>
          <w:sz w:val="24"/>
        </w:rPr>
        <w:t>prior</w:t>
      </w:r>
      <w:r>
        <w:rPr>
          <w:spacing w:val="-6"/>
          <w:sz w:val="24"/>
        </w:rPr>
        <w:t xml:space="preserve"> </w:t>
      </w:r>
      <w:r>
        <w:rPr>
          <w:sz w:val="24"/>
        </w:rPr>
        <w:t>authorization</w:t>
      </w:r>
      <w:r>
        <w:rPr>
          <w:spacing w:val="-5"/>
          <w:sz w:val="24"/>
        </w:rPr>
        <w:t xml:space="preserve"> </w:t>
      </w:r>
      <w:r>
        <w:rPr>
          <w:sz w:val="24"/>
        </w:rPr>
        <w:t>for</w:t>
      </w:r>
      <w:r>
        <w:rPr>
          <w:spacing w:val="-7"/>
          <w:sz w:val="24"/>
        </w:rPr>
        <w:t xml:space="preserve"> </w:t>
      </w:r>
      <w:r>
        <w:rPr>
          <w:sz w:val="24"/>
        </w:rPr>
        <w:t>AD</w:t>
      </w:r>
      <w:r>
        <w:rPr>
          <w:spacing w:val="-5"/>
          <w:sz w:val="24"/>
        </w:rPr>
        <w:t xml:space="preserve"> </w:t>
      </w:r>
      <w:r>
        <w:rPr>
          <w:sz w:val="24"/>
        </w:rPr>
        <w:t>opioid</w:t>
      </w:r>
      <w:r>
        <w:rPr>
          <w:spacing w:val="-5"/>
          <w:sz w:val="24"/>
        </w:rPr>
        <w:t xml:space="preserve"> </w:t>
      </w:r>
      <w:r>
        <w:rPr>
          <w:sz w:val="24"/>
        </w:rPr>
        <w:t>only</w:t>
      </w:r>
      <w:r>
        <w:rPr>
          <w:spacing w:val="-12"/>
          <w:sz w:val="24"/>
        </w:rPr>
        <w:t xml:space="preserve"> </w:t>
      </w:r>
      <w:r>
        <w:rPr>
          <w:sz w:val="24"/>
        </w:rPr>
        <w:t>if</w:t>
      </w:r>
      <w:r>
        <w:rPr>
          <w:spacing w:val="-6"/>
          <w:sz w:val="24"/>
        </w:rPr>
        <w:t xml:space="preserve"> </w:t>
      </w:r>
      <w:r>
        <w:rPr>
          <w:sz w:val="24"/>
        </w:rPr>
        <w:t>prior</w:t>
      </w:r>
      <w:r>
        <w:rPr>
          <w:spacing w:val="-6"/>
          <w:sz w:val="24"/>
        </w:rPr>
        <w:t xml:space="preserve"> </w:t>
      </w:r>
      <w:r>
        <w:rPr>
          <w:sz w:val="24"/>
        </w:rPr>
        <w:t>authorization</w:t>
      </w:r>
      <w:r>
        <w:rPr>
          <w:spacing w:val="-5"/>
          <w:sz w:val="24"/>
        </w:rPr>
        <w:t xml:space="preserve"> </w:t>
      </w:r>
      <w:r>
        <w:rPr>
          <w:sz w:val="24"/>
        </w:rPr>
        <w:t>for</w:t>
      </w:r>
      <w:r>
        <w:rPr>
          <w:spacing w:val="-7"/>
          <w:sz w:val="24"/>
        </w:rPr>
        <w:t xml:space="preserve"> </w:t>
      </w:r>
      <w:r>
        <w:rPr>
          <w:sz w:val="24"/>
        </w:rPr>
        <w:t>non- AD opioids is also</w:t>
      </w:r>
      <w:r>
        <w:rPr>
          <w:spacing w:val="-4"/>
          <w:sz w:val="24"/>
        </w:rPr>
        <w:t xml:space="preserve"> </w:t>
      </w:r>
      <w:r>
        <w:rPr>
          <w:sz w:val="24"/>
        </w:rPr>
        <w:t>required.</w:t>
      </w:r>
      <w:r>
        <w:rPr>
          <w:position w:val="9"/>
          <w:sz w:val="16"/>
        </w:rPr>
        <w:t>[1]</w:t>
      </w:r>
    </w:p>
    <w:p w:rsidR="00BE7082" w:rsidRDefault="00821CCA">
      <w:pPr>
        <w:pStyle w:val="BodyText"/>
        <w:spacing w:before="196"/>
        <w:ind w:left="120" w:right="116"/>
        <w:jc w:val="both"/>
      </w:pPr>
      <w:r>
        <w:t>As Dr. Gottlieb has stated, “Transitioning from the current market, dominated by conventional opioids, to one in which most opioids have abuse-deterrent properties, holds significant promise for a meaningful public health benefit.” We urge the CMS to   rev</w:t>
      </w:r>
      <w:r>
        <w:t>iew</w:t>
      </w:r>
    </w:p>
    <w:p w:rsidR="00BE7082" w:rsidRDefault="00821CCA">
      <w:pPr>
        <w:pStyle w:val="BodyText"/>
        <w:spacing w:before="8"/>
        <w:rPr>
          <w:sz w:val="21"/>
        </w:rPr>
      </w:pPr>
      <w:r>
        <w:pict>
          <v:line id="_x0000_s1029" style="position:absolute;z-index:1072;mso-wrap-distance-left:0;mso-wrap-distance-right:0;mso-position-horizontal-relative:page" from="90pt,14.75pt" to="234.05pt,14.75pt" strokeweight=".6pt">
            <w10:wrap type="topAndBottom" anchorx="page"/>
          </v:line>
        </w:pict>
      </w:r>
    </w:p>
    <w:p w:rsidR="00BE7082" w:rsidRDefault="00821CCA">
      <w:pPr>
        <w:spacing w:before="60"/>
        <w:ind w:left="120" w:right="438"/>
        <w:rPr>
          <w:sz w:val="20"/>
        </w:rPr>
      </w:pPr>
      <w:r>
        <w:rPr>
          <w:position w:val="7"/>
          <w:sz w:val="13"/>
        </w:rPr>
        <w:t xml:space="preserve">7 </w:t>
      </w:r>
      <w:r>
        <w:rPr>
          <w:color w:val="333333"/>
          <w:sz w:val="20"/>
        </w:rPr>
        <w:t>Statement from FDA Commissioner Scott Gottlieb, M.D., on steps to promote development of generic versions of opioids formulated to deter abuse. Nov. 21, 2017. Available at: https://</w:t>
      </w:r>
      <w:hyperlink r:id="rId10">
        <w:r>
          <w:rPr>
            <w:color w:val="333333"/>
            <w:sz w:val="20"/>
          </w:rPr>
          <w:t>www.fda.gov/NewsEvents/Newsroom/PressAnnouncements/ucm586117.htm</w:t>
        </w:r>
      </w:hyperlink>
    </w:p>
    <w:p w:rsidR="00BE7082" w:rsidRDefault="00821CCA">
      <w:pPr>
        <w:ind w:left="120" w:right="142"/>
        <w:rPr>
          <w:sz w:val="20"/>
        </w:rPr>
      </w:pPr>
      <w:r>
        <w:rPr>
          <w:position w:val="7"/>
          <w:sz w:val="13"/>
        </w:rPr>
        <w:t xml:space="preserve">[1] </w:t>
      </w:r>
      <w:r>
        <w:rPr>
          <w:sz w:val="20"/>
        </w:rPr>
        <w:t xml:space="preserve">See: Massachusetts: Mass. Gen. Laws ch. 258, §9 (2015) available at </w:t>
      </w:r>
      <w:hyperlink r:id="rId11">
        <w:r>
          <w:rPr>
            <w:color w:val="0000FF"/>
            <w:sz w:val="20"/>
            <w:u w:val="single" w:color="0000FF"/>
          </w:rPr>
          <w:t>https://male</w:t>
        </w:r>
        <w:r>
          <w:rPr>
            <w:color w:val="0000FF"/>
            <w:sz w:val="20"/>
            <w:u w:val="single" w:color="0000FF"/>
          </w:rPr>
          <w:t>gislature.gov/Laws/SessionLaws/Acts/2014/Chapter258</w:t>
        </w:r>
      </w:hyperlink>
      <w:r>
        <w:rPr>
          <w:sz w:val="20"/>
        </w:rPr>
        <w:t xml:space="preserve">; Florida: Fla Stat. §422 (2016) available at </w:t>
      </w:r>
      <w:hyperlink r:id="rId12">
        <w:r>
          <w:rPr>
            <w:color w:val="0000FF"/>
            <w:sz w:val="20"/>
            <w:u w:val="single" w:color="0000FF"/>
          </w:rPr>
          <w:t>https://www.flsenate.gov/Session/Bill/2016/0422/ByVersion</w:t>
        </w:r>
        <w:r>
          <w:rPr>
            <w:sz w:val="20"/>
          </w:rPr>
          <w:t>;</w:t>
        </w:r>
      </w:hyperlink>
      <w:r>
        <w:rPr>
          <w:sz w:val="20"/>
        </w:rPr>
        <w:t xml:space="preserve"> Maryland: Md. Ins Code </w:t>
      </w:r>
      <w:r>
        <w:rPr>
          <w:sz w:val="20"/>
        </w:rPr>
        <w:t xml:space="preserve">§ 15- 849 (2015) available at </w:t>
      </w:r>
      <w:hyperlink r:id="rId13">
        <w:r>
          <w:rPr>
            <w:color w:val="0000FF"/>
            <w:sz w:val="20"/>
            <w:u w:val="single" w:color="0000FF"/>
          </w:rPr>
          <w:t>http://law.justia.com/codes/maryland/2015/article-gin/title-15/subtitle-8/section-15-</w:t>
        </w:r>
      </w:hyperlink>
      <w:r>
        <w:rPr>
          <w:color w:val="0000FF"/>
          <w:sz w:val="20"/>
          <w:u w:val="single" w:color="0000FF"/>
        </w:rPr>
        <w:t xml:space="preserve"> </w:t>
      </w:r>
      <w:hyperlink r:id="rId14">
        <w:r>
          <w:rPr>
            <w:color w:val="0000FF"/>
            <w:sz w:val="20"/>
            <w:u w:val="single" w:color="0000FF"/>
          </w:rPr>
          <w:t>849</w:t>
        </w:r>
        <w:r>
          <w:rPr>
            <w:sz w:val="20"/>
          </w:rPr>
          <w:t>;</w:t>
        </w:r>
      </w:hyperlink>
      <w:r>
        <w:rPr>
          <w:sz w:val="20"/>
        </w:rPr>
        <w:t xml:space="preserve"> West Virginia: W. VA Code §4146 (2016) available at: </w:t>
      </w:r>
      <w:hyperlink r:id="rId15">
        <w:r>
          <w:rPr>
            <w:color w:val="0000FF"/>
            <w:sz w:val="20"/>
            <w:u w:val="single" w:color="0000FF"/>
          </w:rPr>
          <w:t>http://www.legis.state.wv.us/Bill_Status/bills_text.cfm?billdoc=HB4146%20SUB%20ENR.htm&amp;yr=2016</w:t>
        </w:r>
      </w:hyperlink>
      <w:r>
        <w:rPr>
          <w:color w:val="0000FF"/>
          <w:sz w:val="20"/>
          <w:u w:val="single" w:color="0000FF"/>
        </w:rPr>
        <w:t xml:space="preserve"> </w:t>
      </w:r>
      <w:hyperlink r:id="rId16">
        <w:r>
          <w:rPr>
            <w:color w:val="0000FF"/>
            <w:sz w:val="20"/>
            <w:u w:val="single" w:color="0000FF"/>
          </w:rPr>
          <w:t>&amp;sesstype=RS&amp;i=4146</w:t>
        </w:r>
        <w:r>
          <w:rPr>
            <w:sz w:val="20"/>
          </w:rPr>
          <w:t>;</w:t>
        </w:r>
      </w:hyperlink>
      <w:r>
        <w:rPr>
          <w:sz w:val="20"/>
        </w:rPr>
        <w:t xml:space="preserve"> Maine: 24-A MRSA §4320(2016) available at </w:t>
      </w:r>
      <w:hyperlink r:id="rId17">
        <w:r>
          <w:rPr>
            <w:color w:val="0000FF"/>
            <w:sz w:val="20"/>
            <w:u w:val="single" w:color="0000FF"/>
          </w:rPr>
          <w:t>https://legislature.maine.gov/legis/bills/bills_127th/billtexts/HP063801.asp.</w:t>
        </w:r>
      </w:hyperlink>
    </w:p>
    <w:p w:rsidR="00BE7082" w:rsidRDefault="00BE7082">
      <w:pPr>
        <w:rPr>
          <w:sz w:val="20"/>
        </w:rPr>
        <w:sectPr w:rsidR="00BE7082">
          <w:pgSz w:w="12240" w:h="15840"/>
          <w:pgMar w:top="1360" w:right="1680" w:bottom="280" w:left="1680" w:header="720" w:footer="720" w:gutter="0"/>
          <w:cols w:space="720"/>
        </w:sectPr>
      </w:pPr>
    </w:p>
    <w:p w:rsidR="00BE7082" w:rsidRDefault="00821CCA">
      <w:pPr>
        <w:pStyle w:val="BodyText"/>
        <w:spacing w:before="72"/>
        <w:ind w:left="100" w:right="137"/>
        <w:jc w:val="both"/>
      </w:pPr>
      <w:r>
        <w:lastRenderedPageBreak/>
        <w:pict>
          <v:group id="_x0000_s1026" style="position:absolute;left:0;text-align:left;margin-left:261.95pt;margin-top:631.45pt;width:105.35pt;height:50.5pt;z-index:-6784;mso-position-horizontal-relative:page;mso-position-vertical-relative:page" coordorigin="5239,12629" coordsize="2107,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273;top:12629;width:2073;height:930">
              <v:imagedata r:id="rId18" o:title=""/>
            </v:shape>
            <v:shape id="_x0000_s1027" type="#_x0000_t75" style="position:absolute;left:5239;top:12730;width:2023;height:909">
              <v:imagedata r:id="rId19" o:title=""/>
            </v:shape>
            <w10:wrap anchorx="page" anchory="page"/>
          </v:group>
        </w:pict>
      </w:r>
      <w:r>
        <w:rPr>
          <w:noProof/>
        </w:rPr>
        <w:drawing>
          <wp:anchor distT="0" distB="0" distL="0" distR="0" simplePos="0" relativeHeight="268428767" behindDoc="1" locked="0" layoutInCell="1" allowOverlap="1">
            <wp:simplePos x="0" y="0"/>
            <wp:positionH relativeFrom="page">
              <wp:posOffset>1629410</wp:posOffset>
            </wp:positionH>
            <wp:positionV relativeFrom="page">
              <wp:posOffset>8073643</wp:posOffset>
            </wp:positionV>
            <wp:extent cx="1199631" cy="462915"/>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20" cstate="print"/>
                    <a:stretch>
                      <a:fillRect/>
                    </a:stretch>
                  </pic:blipFill>
                  <pic:spPr>
                    <a:xfrm>
                      <a:off x="0" y="0"/>
                      <a:ext cx="1199631" cy="462915"/>
                    </a:xfrm>
                    <a:prstGeom prst="rect">
                      <a:avLst/>
                    </a:prstGeom>
                  </pic:spPr>
                </pic:pic>
              </a:graphicData>
            </a:graphic>
          </wp:anchor>
        </w:drawing>
      </w:r>
      <w:r>
        <w:rPr>
          <w:noProof/>
        </w:rPr>
        <w:drawing>
          <wp:anchor distT="0" distB="0" distL="0" distR="0" simplePos="0" relativeHeight="268428791" behindDoc="1" locked="0" layoutInCell="1" allowOverlap="1">
            <wp:simplePos x="0" y="0"/>
            <wp:positionH relativeFrom="page">
              <wp:posOffset>5379720</wp:posOffset>
            </wp:positionH>
            <wp:positionV relativeFrom="page">
              <wp:posOffset>7982204</wp:posOffset>
            </wp:positionV>
            <wp:extent cx="788933" cy="553212"/>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1" cstate="print"/>
                    <a:stretch>
                      <a:fillRect/>
                    </a:stretch>
                  </pic:blipFill>
                  <pic:spPr>
                    <a:xfrm>
                      <a:off x="0" y="0"/>
                      <a:ext cx="788933" cy="553212"/>
                    </a:xfrm>
                    <a:prstGeom prst="rect">
                      <a:avLst/>
                    </a:prstGeom>
                  </pic:spPr>
                </pic:pic>
              </a:graphicData>
            </a:graphic>
          </wp:anchor>
        </w:drawing>
      </w:r>
      <w:r>
        <w:t>plan formularies to ensure adequate access to AD opioids and consider formulary management restrictions where appropriate.</w:t>
      </w:r>
    </w:p>
    <w:p w:rsidR="00BE7082" w:rsidRDefault="00BE7082">
      <w:pPr>
        <w:pStyle w:val="BodyText"/>
        <w:spacing w:before="4"/>
      </w:pPr>
    </w:p>
    <w:p w:rsidR="00BE7082" w:rsidRDefault="00821CCA">
      <w:pPr>
        <w:pStyle w:val="BodyText"/>
        <w:ind w:left="100" w:right="136"/>
        <w:jc w:val="both"/>
      </w:pPr>
      <w:r>
        <w:t>Additionally, as prescription opioid diversion is a significant factor in the opioid abuse crisis, AD opioids provide a public he</w:t>
      </w:r>
      <w:r>
        <w:t>alth benefit through not only deterring abuse by the prescribed patient but also misuse and diversion by others who may have access to the patient’s prescription in the home.</w:t>
      </w:r>
    </w:p>
    <w:p w:rsidR="00BE7082" w:rsidRDefault="00BE7082">
      <w:pPr>
        <w:pStyle w:val="BodyText"/>
        <w:spacing w:before="11"/>
        <w:rPr>
          <w:sz w:val="23"/>
        </w:rPr>
      </w:pPr>
    </w:p>
    <w:p w:rsidR="00BE7082" w:rsidRDefault="00821CCA">
      <w:pPr>
        <w:pStyle w:val="BodyText"/>
        <w:ind w:left="100" w:right="134"/>
        <w:jc w:val="both"/>
      </w:pPr>
      <w:r>
        <w:t>In the Draft Call Letter, CMS identified several strategies to reduce unwarrante</w:t>
      </w:r>
      <w:r>
        <w:t>d</w:t>
      </w:r>
      <w:r>
        <w:rPr>
          <w:spacing w:val="-31"/>
        </w:rPr>
        <w:t xml:space="preserve"> </w:t>
      </w:r>
      <w:r>
        <w:t>exposure to opioid medications, including the two referenced above. Including technical advances of abuse-deterrent technologies as part of the medications themselves will enhance the deterrence effort that CMS</w:t>
      </w:r>
      <w:r>
        <w:rPr>
          <w:spacing w:val="-7"/>
        </w:rPr>
        <w:t xml:space="preserve"> </w:t>
      </w:r>
      <w:r>
        <w:t>seeks.</w:t>
      </w:r>
    </w:p>
    <w:p w:rsidR="00BE7082" w:rsidRDefault="00BE7082">
      <w:pPr>
        <w:pStyle w:val="BodyText"/>
        <w:spacing w:before="5"/>
      </w:pPr>
    </w:p>
    <w:p w:rsidR="00BE7082" w:rsidRDefault="00821CCA">
      <w:pPr>
        <w:spacing w:line="274" w:lineRule="exact"/>
        <w:ind w:left="100"/>
        <w:jc w:val="both"/>
        <w:rPr>
          <w:b/>
          <w:sz w:val="24"/>
        </w:rPr>
      </w:pPr>
      <w:r>
        <w:rPr>
          <w:b/>
          <w:sz w:val="24"/>
        </w:rPr>
        <w:t>Recommendation:</w:t>
      </w:r>
    </w:p>
    <w:p w:rsidR="00BE7082" w:rsidRDefault="00821CCA">
      <w:pPr>
        <w:pStyle w:val="BodyText"/>
        <w:ind w:left="100" w:right="134"/>
        <w:jc w:val="both"/>
      </w:pPr>
      <w:r>
        <w:t>As AD opioids are designed, and appropriately prescribed, for patients with acute or chronic pain, the undersigned Members of the ADC urge the CMS to consider and encourage the preferential utilization of AD opioids in the context of the Opioid Overutiliza</w:t>
      </w:r>
      <w:r>
        <w:t>tion Policy discussed above when finalizing the Draft Call Letter.</w:t>
      </w:r>
    </w:p>
    <w:p w:rsidR="00BE7082" w:rsidRDefault="00BE7082">
      <w:pPr>
        <w:pStyle w:val="BodyText"/>
        <w:spacing w:before="2"/>
      </w:pPr>
    </w:p>
    <w:p w:rsidR="00BE7082" w:rsidRDefault="00821CCA">
      <w:pPr>
        <w:pStyle w:val="BodyText"/>
        <w:spacing w:before="1"/>
        <w:ind w:left="100" w:right="136"/>
        <w:jc w:val="both"/>
      </w:pPr>
      <w:r>
        <w:t>President Trump has declared the opioid crisis a nationwide public health emergency.</w:t>
      </w:r>
      <w:r>
        <w:rPr>
          <w:spacing w:val="-36"/>
        </w:rPr>
        <w:t xml:space="preserve"> </w:t>
      </w:r>
      <w:r>
        <w:t>The FDA’s</w:t>
      </w:r>
      <w:r>
        <w:rPr>
          <w:spacing w:val="-8"/>
        </w:rPr>
        <w:t xml:space="preserve"> </w:t>
      </w:r>
      <w:r>
        <w:t>Opioid</w:t>
      </w:r>
      <w:r>
        <w:rPr>
          <w:spacing w:val="-7"/>
        </w:rPr>
        <w:t xml:space="preserve"> </w:t>
      </w:r>
      <w:r>
        <w:t>Action</w:t>
      </w:r>
      <w:r>
        <w:rPr>
          <w:spacing w:val="-7"/>
        </w:rPr>
        <w:t xml:space="preserve"> </w:t>
      </w:r>
      <w:r>
        <w:t>Plan</w:t>
      </w:r>
      <w:r>
        <w:rPr>
          <w:spacing w:val="-7"/>
        </w:rPr>
        <w:t xml:space="preserve"> </w:t>
      </w:r>
      <w:r>
        <w:t>incorporates</w:t>
      </w:r>
      <w:r>
        <w:rPr>
          <w:spacing w:val="-8"/>
        </w:rPr>
        <w:t xml:space="preserve"> </w:t>
      </w:r>
      <w:r>
        <w:t>AD</w:t>
      </w:r>
      <w:r>
        <w:rPr>
          <w:spacing w:val="-8"/>
        </w:rPr>
        <w:t xml:space="preserve"> </w:t>
      </w:r>
      <w:r>
        <w:t>opioids</w:t>
      </w:r>
      <w:r>
        <w:rPr>
          <w:spacing w:val="-7"/>
        </w:rPr>
        <w:t xml:space="preserve"> </w:t>
      </w:r>
      <w:r>
        <w:t>as</w:t>
      </w:r>
      <w:r>
        <w:rPr>
          <w:spacing w:val="-7"/>
        </w:rPr>
        <w:t xml:space="preserve"> </w:t>
      </w:r>
      <w:r>
        <w:t>a</w:t>
      </w:r>
      <w:r>
        <w:rPr>
          <w:spacing w:val="-8"/>
        </w:rPr>
        <w:t xml:space="preserve"> </w:t>
      </w:r>
      <w:r>
        <w:t>critical</w:t>
      </w:r>
      <w:r>
        <w:rPr>
          <w:spacing w:val="-7"/>
        </w:rPr>
        <w:t xml:space="preserve"> </w:t>
      </w:r>
      <w:r>
        <w:t>tool</w:t>
      </w:r>
      <w:r>
        <w:rPr>
          <w:spacing w:val="-6"/>
        </w:rPr>
        <w:t xml:space="preserve"> </w:t>
      </w:r>
      <w:r>
        <w:t>in</w:t>
      </w:r>
      <w:r>
        <w:rPr>
          <w:spacing w:val="-9"/>
        </w:rPr>
        <w:t xml:space="preserve"> </w:t>
      </w:r>
      <w:r>
        <w:t>the</w:t>
      </w:r>
      <w:r>
        <w:rPr>
          <w:spacing w:val="-8"/>
        </w:rPr>
        <w:t xml:space="preserve"> </w:t>
      </w:r>
      <w:r>
        <w:t>effort</w:t>
      </w:r>
      <w:r>
        <w:rPr>
          <w:spacing w:val="-7"/>
        </w:rPr>
        <w:t xml:space="preserve"> </w:t>
      </w:r>
      <w:r>
        <w:t>to</w:t>
      </w:r>
      <w:r>
        <w:rPr>
          <w:spacing w:val="-7"/>
        </w:rPr>
        <w:t xml:space="preserve"> </w:t>
      </w:r>
      <w:r>
        <w:t xml:space="preserve">reduce abuse, </w:t>
      </w:r>
      <w:r>
        <w:t>misuse and diversion of prescription opioids. The CMS can add to the effort to promote the deterrence of the deliberate misuse, abuse and deterrence of prescription opioids by ensuring appropriately broad and favorable Medicare beneficiary access to</w:t>
      </w:r>
      <w:r>
        <w:rPr>
          <w:spacing w:val="-19"/>
        </w:rPr>
        <w:t xml:space="preserve"> </w:t>
      </w:r>
      <w:r>
        <w:t>AD opi</w:t>
      </w:r>
      <w:r>
        <w:t>oids</w:t>
      </w:r>
      <w:r>
        <w:rPr>
          <w:spacing w:val="-6"/>
        </w:rPr>
        <w:t xml:space="preserve"> </w:t>
      </w:r>
      <w:r>
        <w:t>by</w:t>
      </w:r>
      <w:r>
        <w:rPr>
          <w:spacing w:val="-13"/>
        </w:rPr>
        <w:t xml:space="preserve"> </w:t>
      </w:r>
      <w:r>
        <w:t>allowing</w:t>
      </w:r>
      <w:r>
        <w:rPr>
          <w:spacing w:val="-9"/>
        </w:rPr>
        <w:t xml:space="preserve"> </w:t>
      </w:r>
      <w:r>
        <w:t>complete</w:t>
      </w:r>
      <w:r>
        <w:rPr>
          <w:spacing w:val="-7"/>
        </w:rPr>
        <w:t xml:space="preserve"> </w:t>
      </w:r>
      <w:r>
        <w:t>and</w:t>
      </w:r>
      <w:r>
        <w:rPr>
          <w:spacing w:val="-6"/>
        </w:rPr>
        <w:t xml:space="preserve"> </w:t>
      </w:r>
      <w:r>
        <w:t>equitable</w:t>
      </w:r>
      <w:r>
        <w:rPr>
          <w:spacing w:val="-7"/>
        </w:rPr>
        <w:t xml:space="preserve"> </w:t>
      </w:r>
      <w:r>
        <w:t>formulary</w:t>
      </w:r>
      <w:r>
        <w:rPr>
          <w:spacing w:val="-11"/>
        </w:rPr>
        <w:t xml:space="preserve"> </w:t>
      </w:r>
      <w:r>
        <w:t>access</w:t>
      </w:r>
      <w:r>
        <w:rPr>
          <w:spacing w:val="-6"/>
        </w:rPr>
        <w:t xml:space="preserve"> </w:t>
      </w:r>
      <w:r>
        <w:t>to</w:t>
      </w:r>
      <w:r>
        <w:rPr>
          <w:spacing w:val="-6"/>
        </w:rPr>
        <w:t xml:space="preserve"> </w:t>
      </w:r>
      <w:r>
        <w:t>these</w:t>
      </w:r>
      <w:r>
        <w:rPr>
          <w:spacing w:val="-7"/>
        </w:rPr>
        <w:t xml:space="preserve"> </w:t>
      </w:r>
      <w:r>
        <w:t>innovative</w:t>
      </w:r>
      <w:r>
        <w:rPr>
          <w:spacing w:val="-7"/>
        </w:rPr>
        <w:t xml:space="preserve"> </w:t>
      </w:r>
      <w:r>
        <w:t>products.</w:t>
      </w:r>
    </w:p>
    <w:p w:rsidR="00BE7082" w:rsidRDefault="00BE7082">
      <w:pPr>
        <w:pStyle w:val="BodyText"/>
      </w:pPr>
    </w:p>
    <w:p w:rsidR="00BE7082" w:rsidRDefault="00821CCA">
      <w:pPr>
        <w:pStyle w:val="BodyText"/>
        <w:spacing w:after="18"/>
        <w:ind w:left="100"/>
        <w:jc w:val="both"/>
      </w:pPr>
      <w:r>
        <w:rPr>
          <w:noProof/>
        </w:rPr>
        <w:drawing>
          <wp:anchor distT="0" distB="0" distL="0" distR="0" simplePos="0" relativeHeight="268428695" behindDoc="1" locked="0" layoutInCell="1" allowOverlap="1">
            <wp:simplePos x="0" y="0"/>
            <wp:positionH relativeFrom="page">
              <wp:posOffset>1775460</wp:posOffset>
            </wp:positionH>
            <wp:positionV relativeFrom="paragraph">
              <wp:posOffset>1075348</wp:posOffset>
            </wp:positionV>
            <wp:extent cx="724675" cy="371856"/>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2" cstate="print"/>
                    <a:stretch>
                      <a:fillRect/>
                    </a:stretch>
                  </pic:blipFill>
                  <pic:spPr>
                    <a:xfrm>
                      <a:off x="0" y="0"/>
                      <a:ext cx="724675" cy="371856"/>
                    </a:xfrm>
                    <a:prstGeom prst="rect">
                      <a:avLst/>
                    </a:prstGeom>
                  </pic:spPr>
                </pic:pic>
              </a:graphicData>
            </a:graphic>
          </wp:anchor>
        </w:drawing>
      </w:r>
      <w:r>
        <w:rPr>
          <w:noProof/>
        </w:rPr>
        <w:drawing>
          <wp:anchor distT="0" distB="0" distL="0" distR="0" simplePos="0" relativeHeight="268428719" behindDoc="1" locked="0" layoutInCell="1" allowOverlap="1">
            <wp:simplePos x="0" y="0"/>
            <wp:positionH relativeFrom="page">
              <wp:posOffset>3514090</wp:posOffset>
            </wp:positionH>
            <wp:positionV relativeFrom="paragraph">
              <wp:posOffset>1138213</wp:posOffset>
            </wp:positionV>
            <wp:extent cx="880682" cy="324231"/>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3" cstate="print"/>
                    <a:stretch>
                      <a:fillRect/>
                    </a:stretch>
                  </pic:blipFill>
                  <pic:spPr>
                    <a:xfrm>
                      <a:off x="0" y="0"/>
                      <a:ext cx="880682" cy="324231"/>
                    </a:xfrm>
                    <a:prstGeom prst="rect">
                      <a:avLst/>
                    </a:prstGeom>
                  </pic:spPr>
                </pic:pic>
              </a:graphicData>
            </a:graphic>
          </wp:anchor>
        </w:drawing>
      </w:r>
      <w:r>
        <w:rPr>
          <w:noProof/>
        </w:rPr>
        <w:drawing>
          <wp:anchor distT="0" distB="0" distL="0" distR="0" simplePos="0" relativeHeight="268428743" behindDoc="1" locked="0" layoutInCell="1" allowOverlap="1">
            <wp:simplePos x="0" y="0"/>
            <wp:positionH relativeFrom="page">
              <wp:posOffset>5290184</wp:posOffset>
            </wp:positionH>
            <wp:positionV relativeFrom="paragraph">
              <wp:posOffset>1079171</wp:posOffset>
            </wp:positionV>
            <wp:extent cx="878463" cy="393763"/>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4" cstate="print"/>
                    <a:stretch>
                      <a:fillRect/>
                    </a:stretch>
                  </pic:blipFill>
                  <pic:spPr>
                    <a:xfrm>
                      <a:off x="0" y="0"/>
                      <a:ext cx="878463" cy="393763"/>
                    </a:xfrm>
                    <a:prstGeom prst="rect">
                      <a:avLst/>
                    </a:prstGeom>
                  </pic:spPr>
                </pic:pic>
              </a:graphicData>
            </a:graphic>
          </wp:anchor>
        </w:drawing>
      </w:r>
      <w:r>
        <w:t>Sincerely,</w:t>
      </w:r>
    </w:p>
    <w:p w:rsidR="00BE7082" w:rsidRDefault="00821CCA">
      <w:pPr>
        <w:tabs>
          <w:tab w:val="left" w:pos="4043"/>
          <w:tab w:val="left" w:pos="6546"/>
        </w:tabs>
        <w:ind w:left="1151"/>
        <w:rPr>
          <w:sz w:val="20"/>
        </w:rPr>
      </w:pPr>
      <w:r>
        <w:rPr>
          <w:noProof/>
          <w:sz w:val="20"/>
        </w:rPr>
        <w:drawing>
          <wp:inline distT="0" distB="0" distL="0" distR="0">
            <wp:extent cx="633212" cy="310896"/>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5" cstate="print"/>
                    <a:stretch>
                      <a:fillRect/>
                    </a:stretch>
                  </pic:blipFill>
                  <pic:spPr>
                    <a:xfrm>
                      <a:off x="0" y="0"/>
                      <a:ext cx="633212" cy="310896"/>
                    </a:xfrm>
                    <a:prstGeom prst="rect">
                      <a:avLst/>
                    </a:prstGeom>
                  </pic:spPr>
                </pic:pic>
              </a:graphicData>
            </a:graphic>
          </wp:inline>
        </w:drawing>
      </w:r>
      <w:r>
        <w:rPr>
          <w:sz w:val="20"/>
        </w:rPr>
        <w:tab/>
      </w:r>
      <w:r>
        <w:rPr>
          <w:noProof/>
          <w:position w:val="1"/>
          <w:sz w:val="20"/>
        </w:rPr>
        <w:drawing>
          <wp:inline distT="0" distB="0" distL="0" distR="0">
            <wp:extent cx="591010" cy="243077"/>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6" cstate="print"/>
                    <a:stretch>
                      <a:fillRect/>
                    </a:stretch>
                  </pic:blipFill>
                  <pic:spPr>
                    <a:xfrm>
                      <a:off x="0" y="0"/>
                      <a:ext cx="591010" cy="243077"/>
                    </a:xfrm>
                    <a:prstGeom prst="rect">
                      <a:avLst/>
                    </a:prstGeom>
                  </pic:spPr>
                </pic:pic>
              </a:graphicData>
            </a:graphic>
          </wp:inline>
        </w:drawing>
      </w:r>
      <w:r>
        <w:rPr>
          <w:position w:val="1"/>
          <w:sz w:val="20"/>
        </w:rPr>
        <w:tab/>
      </w:r>
      <w:r>
        <w:rPr>
          <w:noProof/>
          <w:position w:val="5"/>
          <w:sz w:val="20"/>
        </w:rPr>
        <w:drawing>
          <wp:inline distT="0" distB="0" distL="0" distR="0">
            <wp:extent cx="1061472" cy="347472"/>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7" cstate="print"/>
                    <a:stretch>
                      <a:fillRect/>
                    </a:stretch>
                  </pic:blipFill>
                  <pic:spPr>
                    <a:xfrm>
                      <a:off x="0" y="0"/>
                      <a:ext cx="1061472" cy="347472"/>
                    </a:xfrm>
                    <a:prstGeom prst="rect">
                      <a:avLst/>
                    </a:prstGeom>
                  </pic:spPr>
                </pic:pic>
              </a:graphicData>
            </a:graphic>
          </wp:inline>
        </w:drawing>
      </w:r>
    </w:p>
    <w:p w:rsidR="00BE7082" w:rsidRDefault="00BE7082">
      <w:pPr>
        <w:pStyle w:val="BodyText"/>
        <w:spacing w:before="5"/>
        <w:rPr>
          <w:sz w:val="7"/>
        </w:rPr>
      </w:pPr>
    </w:p>
    <w:tbl>
      <w:tblPr>
        <w:tblW w:w="0" w:type="auto"/>
        <w:tblInd w:w="35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39"/>
        <w:gridCol w:w="2959"/>
        <w:gridCol w:w="2815"/>
      </w:tblGrid>
      <w:tr w:rsidR="00BE7082">
        <w:trPr>
          <w:trHeight w:hRule="exact" w:val="1028"/>
        </w:trPr>
        <w:tc>
          <w:tcPr>
            <w:tcW w:w="2639" w:type="dxa"/>
          </w:tcPr>
          <w:p w:rsidR="00BE7082" w:rsidRDefault="00821CCA">
            <w:pPr>
              <w:pStyle w:val="TableParagraph"/>
              <w:spacing w:line="219" w:lineRule="exact"/>
              <w:ind w:left="179" w:right="275"/>
              <w:rPr>
                <w:b/>
                <w:sz w:val="20"/>
              </w:rPr>
            </w:pPr>
            <w:r>
              <w:rPr>
                <w:b/>
                <w:sz w:val="20"/>
              </w:rPr>
              <w:t>Dan Cohen</w:t>
            </w:r>
          </w:p>
          <w:p w:rsidR="00BE7082" w:rsidRDefault="00821CCA">
            <w:pPr>
              <w:pStyle w:val="TableParagraph"/>
              <w:spacing w:line="228" w:lineRule="exact"/>
              <w:ind w:left="176" w:right="275"/>
              <w:rPr>
                <w:i/>
                <w:sz w:val="20"/>
              </w:rPr>
            </w:pPr>
            <w:r>
              <w:rPr>
                <w:i/>
                <w:sz w:val="20"/>
              </w:rPr>
              <w:t>Abuse Deterrent Coalition</w:t>
            </w:r>
          </w:p>
          <w:p w:rsidR="00BE7082" w:rsidRDefault="00821CCA">
            <w:pPr>
              <w:pStyle w:val="TableParagraph"/>
              <w:ind w:left="180" w:right="275"/>
              <w:rPr>
                <w:sz w:val="20"/>
              </w:rPr>
            </w:pPr>
            <w:r>
              <w:rPr>
                <w:sz w:val="20"/>
              </w:rPr>
              <w:t>Chairman</w:t>
            </w:r>
          </w:p>
        </w:tc>
        <w:tc>
          <w:tcPr>
            <w:tcW w:w="2959" w:type="dxa"/>
          </w:tcPr>
          <w:p w:rsidR="00BE7082" w:rsidRDefault="00821CCA">
            <w:pPr>
              <w:pStyle w:val="TableParagraph"/>
              <w:spacing w:line="219" w:lineRule="exact"/>
              <w:ind w:left="357" w:right="210"/>
              <w:rPr>
                <w:b/>
                <w:sz w:val="20"/>
              </w:rPr>
            </w:pPr>
            <w:r>
              <w:rPr>
                <w:b/>
                <w:sz w:val="20"/>
              </w:rPr>
              <w:t>Robert B. Jones</w:t>
            </w:r>
          </w:p>
          <w:p w:rsidR="00BE7082" w:rsidRDefault="00821CCA">
            <w:pPr>
              <w:pStyle w:val="TableParagraph"/>
              <w:spacing w:line="228" w:lineRule="exact"/>
              <w:ind w:left="357" w:right="207"/>
              <w:rPr>
                <w:i/>
                <w:sz w:val="20"/>
              </w:rPr>
            </w:pPr>
            <w:r>
              <w:rPr>
                <w:i/>
                <w:sz w:val="20"/>
              </w:rPr>
              <w:t>Acura Pharmaceuticals</w:t>
            </w:r>
          </w:p>
          <w:p w:rsidR="00BE7082" w:rsidRDefault="00821CCA">
            <w:pPr>
              <w:pStyle w:val="TableParagraph"/>
              <w:ind w:left="354" w:right="210"/>
              <w:rPr>
                <w:sz w:val="20"/>
              </w:rPr>
            </w:pPr>
            <w:r>
              <w:rPr>
                <w:sz w:val="20"/>
              </w:rPr>
              <w:t>President &amp; CEO</w:t>
            </w:r>
          </w:p>
        </w:tc>
        <w:tc>
          <w:tcPr>
            <w:tcW w:w="2815" w:type="dxa"/>
          </w:tcPr>
          <w:p w:rsidR="00BE7082" w:rsidRDefault="00821CCA">
            <w:pPr>
              <w:pStyle w:val="TableParagraph"/>
              <w:spacing w:line="219" w:lineRule="exact"/>
              <w:ind w:left="127" w:right="178"/>
              <w:rPr>
                <w:b/>
                <w:sz w:val="20"/>
              </w:rPr>
            </w:pPr>
            <w:r>
              <w:rPr>
                <w:b/>
                <w:sz w:val="20"/>
              </w:rPr>
              <w:t>Travis Mickle</w:t>
            </w:r>
          </w:p>
          <w:p w:rsidR="00BE7082" w:rsidRDefault="00821CCA">
            <w:pPr>
              <w:pStyle w:val="TableParagraph"/>
              <w:spacing w:line="228" w:lineRule="exact"/>
              <w:ind w:left="129" w:right="178"/>
              <w:rPr>
                <w:i/>
                <w:sz w:val="20"/>
              </w:rPr>
            </w:pPr>
            <w:r>
              <w:rPr>
                <w:i/>
                <w:sz w:val="20"/>
              </w:rPr>
              <w:t>KemPharm</w:t>
            </w:r>
          </w:p>
          <w:p w:rsidR="00BE7082" w:rsidRDefault="00821CCA">
            <w:pPr>
              <w:pStyle w:val="TableParagraph"/>
              <w:ind w:left="130" w:right="178"/>
              <w:rPr>
                <w:sz w:val="20"/>
              </w:rPr>
            </w:pPr>
            <w:r>
              <w:rPr>
                <w:sz w:val="20"/>
              </w:rPr>
              <w:t>President, CEO &amp;</w:t>
            </w:r>
            <w:r>
              <w:rPr>
                <w:sz w:val="20"/>
              </w:rPr>
              <w:t xml:space="preserve"> Co-Founder</w:t>
            </w:r>
          </w:p>
        </w:tc>
      </w:tr>
      <w:tr w:rsidR="00BE7082">
        <w:trPr>
          <w:trHeight w:hRule="exact" w:val="2415"/>
        </w:trPr>
        <w:tc>
          <w:tcPr>
            <w:tcW w:w="2639" w:type="dxa"/>
          </w:tcPr>
          <w:p w:rsidR="00BE7082" w:rsidRDefault="00BE7082">
            <w:pPr>
              <w:pStyle w:val="TableParagraph"/>
              <w:spacing w:before="9"/>
              <w:jc w:val="left"/>
              <w:rPr>
                <w:sz w:val="29"/>
              </w:rPr>
            </w:pPr>
          </w:p>
          <w:p w:rsidR="00BE7082" w:rsidRDefault="00821CCA">
            <w:pPr>
              <w:pStyle w:val="TableParagraph"/>
              <w:spacing w:line="228" w:lineRule="exact"/>
              <w:ind w:left="180" w:right="274"/>
              <w:rPr>
                <w:b/>
                <w:sz w:val="20"/>
              </w:rPr>
            </w:pPr>
            <w:r>
              <w:rPr>
                <w:b/>
                <w:sz w:val="20"/>
              </w:rPr>
              <w:t>Bob Radie</w:t>
            </w:r>
          </w:p>
          <w:p w:rsidR="00BE7082" w:rsidRDefault="00821CCA">
            <w:pPr>
              <w:pStyle w:val="TableParagraph"/>
              <w:spacing w:line="228" w:lineRule="exact"/>
              <w:ind w:left="178" w:right="275"/>
              <w:rPr>
                <w:i/>
                <w:sz w:val="20"/>
              </w:rPr>
            </w:pPr>
            <w:r>
              <w:rPr>
                <w:i/>
                <w:sz w:val="20"/>
              </w:rPr>
              <w:t>Egalet</w:t>
            </w:r>
          </w:p>
          <w:p w:rsidR="00BE7082" w:rsidRDefault="00821CCA">
            <w:pPr>
              <w:pStyle w:val="TableParagraph"/>
              <w:spacing w:before="1"/>
              <w:ind w:left="177" w:right="275"/>
              <w:rPr>
                <w:sz w:val="20"/>
              </w:rPr>
            </w:pPr>
            <w:r>
              <w:rPr>
                <w:sz w:val="20"/>
              </w:rPr>
              <w:t>President &amp; CEO</w:t>
            </w:r>
          </w:p>
        </w:tc>
        <w:tc>
          <w:tcPr>
            <w:tcW w:w="2959" w:type="dxa"/>
          </w:tcPr>
          <w:p w:rsidR="00BE7082" w:rsidRDefault="00BE7082">
            <w:pPr>
              <w:pStyle w:val="TableParagraph"/>
              <w:spacing w:before="9"/>
              <w:jc w:val="left"/>
              <w:rPr>
                <w:sz w:val="29"/>
              </w:rPr>
            </w:pPr>
          </w:p>
          <w:p w:rsidR="00BE7082" w:rsidRDefault="00821CCA">
            <w:pPr>
              <w:pStyle w:val="TableParagraph"/>
              <w:spacing w:line="228" w:lineRule="exact"/>
              <w:ind w:left="355" w:right="210"/>
              <w:rPr>
                <w:b/>
                <w:sz w:val="20"/>
              </w:rPr>
            </w:pPr>
            <w:r>
              <w:rPr>
                <w:b/>
                <w:sz w:val="20"/>
              </w:rPr>
              <w:t>Sandra Stimson</w:t>
            </w:r>
          </w:p>
          <w:p w:rsidR="00BE7082" w:rsidRDefault="00821CCA">
            <w:pPr>
              <w:pStyle w:val="TableParagraph"/>
              <w:ind w:left="357" w:right="210"/>
              <w:rPr>
                <w:i/>
                <w:sz w:val="20"/>
              </w:rPr>
            </w:pPr>
            <w:r>
              <w:rPr>
                <w:i/>
                <w:sz w:val="20"/>
              </w:rPr>
              <w:t>National Council of Certified Dementia Practitioners &amp; International Council of Certified Dementia Practitioners</w:t>
            </w:r>
          </w:p>
          <w:p w:rsidR="00BE7082" w:rsidRDefault="00821CCA">
            <w:pPr>
              <w:pStyle w:val="TableParagraph"/>
              <w:spacing w:before="2" w:line="228" w:lineRule="exact"/>
              <w:ind w:left="356" w:right="210"/>
              <w:rPr>
                <w:sz w:val="20"/>
              </w:rPr>
            </w:pPr>
            <w:r>
              <w:rPr>
                <w:sz w:val="20"/>
              </w:rPr>
              <w:t>Founder and CEO</w:t>
            </w:r>
          </w:p>
        </w:tc>
        <w:tc>
          <w:tcPr>
            <w:tcW w:w="2815" w:type="dxa"/>
          </w:tcPr>
          <w:p w:rsidR="00BE7082" w:rsidRDefault="00BE7082">
            <w:pPr>
              <w:pStyle w:val="TableParagraph"/>
              <w:spacing w:before="10"/>
              <w:jc w:val="left"/>
              <w:rPr>
                <w:sz w:val="29"/>
              </w:rPr>
            </w:pPr>
          </w:p>
          <w:p w:rsidR="00BE7082" w:rsidRDefault="00821CCA">
            <w:pPr>
              <w:pStyle w:val="TableParagraph"/>
              <w:spacing w:before="1" w:line="237" w:lineRule="auto"/>
              <w:ind w:left="708" w:right="756" w:firstLine="48"/>
              <w:jc w:val="both"/>
              <w:rPr>
                <w:sz w:val="20"/>
              </w:rPr>
            </w:pPr>
            <w:r>
              <w:rPr>
                <w:b/>
                <w:sz w:val="20"/>
              </w:rPr>
              <w:t xml:space="preserve">John Hsu, MD </w:t>
            </w:r>
            <w:r>
              <w:rPr>
                <w:i/>
                <w:sz w:val="20"/>
              </w:rPr>
              <w:t xml:space="preserve">QuiVive Pharma </w:t>
            </w:r>
            <w:r>
              <w:rPr>
                <w:sz w:val="20"/>
              </w:rPr>
              <w:t>CEO &amp; Founder</w:t>
            </w:r>
          </w:p>
        </w:tc>
      </w:tr>
      <w:tr w:rsidR="00BE7082">
        <w:trPr>
          <w:trHeight w:hRule="exact" w:val="1374"/>
        </w:trPr>
        <w:tc>
          <w:tcPr>
            <w:tcW w:w="2639" w:type="dxa"/>
          </w:tcPr>
          <w:p w:rsidR="00BE7082" w:rsidRDefault="00BE7082">
            <w:pPr>
              <w:pStyle w:val="TableParagraph"/>
              <w:jc w:val="left"/>
            </w:pPr>
          </w:p>
          <w:p w:rsidR="00BE7082" w:rsidRDefault="00BE7082">
            <w:pPr>
              <w:pStyle w:val="TableParagraph"/>
              <w:spacing w:before="9"/>
              <w:jc w:val="left"/>
              <w:rPr>
                <w:sz w:val="17"/>
              </w:rPr>
            </w:pPr>
          </w:p>
          <w:p w:rsidR="00BE7082" w:rsidRDefault="00821CCA">
            <w:pPr>
              <w:pStyle w:val="TableParagraph"/>
              <w:spacing w:line="228" w:lineRule="exact"/>
              <w:ind w:left="175" w:right="275"/>
              <w:rPr>
                <w:b/>
                <w:sz w:val="20"/>
              </w:rPr>
            </w:pPr>
            <w:r>
              <w:rPr>
                <w:b/>
                <w:color w:val="040404"/>
                <w:sz w:val="20"/>
              </w:rPr>
              <w:t>Gregory Sturmer</w:t>
            </w:r>
          </w:p>
          <w:p w:rsidR="00BE7082" w:rsidRDefault="00821CCA">
            <w:pPr>
              <w:pStyle w:val="TableParagraph"/>
              <w:spacing w:line="228" w:lineRule="exact"/>
              <w:ind w:left="180" w:right="275"/>
              <w:rPr>
                <w:i/>
                <w:sz w:val="20"/>
              </w:rPr>
            </w:pPr>
            <w:r>
              <w:rPr>
                <w:i/>
                <w:color w:val="040404"/>
                <w:sz w:val="20"/>
              </w:rPr>
              <w:t>Elysium Therapeutics, Inc.</w:t>
            </w:r>
          </w:p>
          <w:p w:rsidR="00BE7082" w:rsidRDefault="00821CCA">
            <w:pPr>
              <w:pStyle w:val="TableParagraph"/>
              <w:ind w:left="177" w:right="275"/>
              <w:rPr>
                <w:sz w:val="20"/>
              </w:rPr>
            </w:pPr>
            <w:r>
              <w:rPr>
                <w:color w:val="040404"/>
                <w:sz w:val="20"/>
              </w:rPr>
              <w:t>President &amp; CEO</w:t>
            </w:r>
          </w:p>
        </w:tc>
        <w:tc>
          <w:tcPr>
            <w:tcW w:w="2959" w:type="dxa"/>
          </w:tcPr>
          <w:p w:rsidR="00BE7082" w:rsidRDefault="00BE7082">
            <w:pPr>
              <w:pStyle w:val="TableParagraph"/>
              <w:jc w:val="left"/>
            </w:pPr>
          </w:p>
          <w:p w:rsidR="00BE7082" w:rsidRDefault="00BE7082">
            <w:pPr>
              <w:pStyle w:val="TableParagraph"/>
              <w:spacing w:before="9"/>
              <w:jc w:val="left"/>
              <w:rPr>
                <w:sz w:val="17"/>
              </w:rPr>
            </w:pPr>
          </w:p>
          <w:p w:rsidR="00BE7082" w:rsidRDefault="00821CCA">
            <w:pPr>
              <w:pStyle w:val="TableParagraph"/>
              <w:spacing w:line="228" w:lineRule="exact"/>
              <w:ind w:left="357" w:right="208"/>
              <w:rPr>
                <w:b/>
                <w:sz w:val="20"/>
              </w:rPr>
            </w:pPr>
            <w:r>
              <w:rPr>
                <w:b/>
                <w:sz w:val="20"/>
              </w:rPr>
              <w:t>Mike Heffernan</w:t>
            </w:r>
          </w:p>
          <w:p w:rsidR="00BE7082" w:rsidRDefault="00821CCA">
            <w:pPr>
              <w:pStyle w:val="TableParagraph"/>
              <w:spacing w:line="228" w:lineRule="exact"/>
              <w:ind w:left="274" w:right="127"/>
              <w:rPr>
                <w:i/>
                <w:sz w:val="20"/>
              </w:rPr>
            </w:pPr>
            <w:r>
              <w:rPr>
                <w:i/>
                <w:sz w:val="20"/>
              </w:rPr>
              <w:t>Collegium Pharmaceutical, Inc</w:t>
            </w:r>
          </w:p>
          <w:p w:rsidR="00BE7082" w:rsidRDefault="00821CCA">
            <w:pPr>
              <w:pStyle w:val="TableParagraph"/>
              <w:ind w:left="357" w:right="207"/>
              <w:rPr>
                <w:sz w:val="20"/>
              </w:rPr>
            </w:pPr>
            <w:r>
              <w:rPr>
                <w:sz w:val="20"/>
              </w:rPr>
              <w:t>CEO</w:t>
            </w:r>
          </w:p>
        </w:tc>
        <w:tc>
          <w:tcPr>
            <w:tcW w:w="2815" w:type="dxa"/>
          </w:tcPr>
          <w:p w:rsidR="00BE7082" w:rsidRDefault="00BE7082">
            <w:pPr>
              <w:pStyle w:val="TableParagraph"/>
              <w:jc w:val="left"/>
            </w:pPr>
          </w:p>
          <w:p w:rsidR="00BE7082" w:rsidRDefault="00BE7082">
            <w:pPr>
              <w:pStyle w:val="TableParagraph"/>
              <w:spacing w:before="11"/>
              <w:jc w:val="left"/>
              <w:rPr>
                <w:sz w:val="17"/>
              </w:rPr>
            </w:pPr>
          </w:p>
          <w:p w:rsidR="00BE7082" w:rsidRDefault="00821CCA">
            <w:pPr>
              <w:pStyle w:val="TableParagraph"/>
              <w:spacing w:line="237" w:lineRule="auto"/>
              <w:ind w:left="277" w:right="329"/>
              <w:rPr>
                <w:sz w:val="20"/>
              </w:rPr>
            </w:pPr>
            <w:r>
              <w:rPr>
                <w:b/>
                <w:sz w:val="20"/>
              </w:rPr>
              <w:t>Dr. Klaus-Dieter</w:t>
            </w:r>
            <w:r>
              <w:rPr>
                <w:b/>
                <w:spacing w:val="-7"/>
                <w:sz w:val="20"/>
              </w:rPr>
              <w:t xml:space="preserve"> </w:t>
            </w:r>
            <w:r>
              <w:rPr>
                <w:b/>
                <w:sz w:val="20"/>
              </w:rPr>
              <w:t xml:space="preserve">Langner </w:t>
            </w:r>
            <w:r>
              <w:rPr>
                <w:i/>
                <w:sz w:val="20"/>
              </w:rPr>
              <w:t xml:space="preserve">Grünenthal GmbH </w:t>
            </w:r>
            <w:r>
              <w:rPr>
                <w:sz w:val="20"/>
              </w:rPr>
              <w:t>Member of the Corporate Executive Board</w:t>
            </w:r>
            <w:r>
              <w:rPr>
                <w:spacing w:val="-9"/>
                <w:sz w:val="20"/>
              </w:rPr>
              <w:t xml:space="preserve"> </w:t>
            </w:r>
            <w:r>
              <w:rPr>
                <w:sz w:val="20"/>
              </w:rPr>
              <w:t>(CSO)</w:t>
            </w:r>
          </w:p>
        </w:tc>
      </w:tr>
    </w:tbl>
    <w:p w:rsidR="00BE7082" w:rsidRDefault="00BE7082">
      <w:pPr>
        <w:spacing w:line="237" w:lineRule="auto"/>
        <w:rPr>
          <w:sz w:val="20"/>
        </w:rPr>
        <w:sectPr w:rsidR="00BE7082">
          <w:pgSz w:w="12240" w:h="15840"/>
          <w:pgMar w:top="1360" w:right="1660" w:bottom="280" w:left="1700" w:header="720" w:footer="720" w:gutter="0"/>
          <w:cols w:space="720"/>
        </w:sectPr>
      </w:pPr>
    </w:p>
    <w:p w:rsidR="00BE7082" w:rsidRDefault="00821CCA">
      <w:pPr>
        <w:pStyle w:val="BodyText"/>
        <w:rPr>
          <w:sz w:val="20"/>
        </w:rPr>
      </w:pPr>
      <w:bookmarkStart w:id="0" w:name="_GoBack"/>
      <w:r>
        <w:rPr>
          <w:noProof/>
        </w:rPr>
        <w:lastRenderedPageBreak/>
        <w:drawing>
          <wp:anchor distT="0" distB="0" distL="0" distR="0" simplePos="0" relativeHeight="268428815" behindDoc="1" locked="0" layoutInCell="1" allowOverlap="1">
            <wp:simplePos x="0" y="0"/>
            <wp:positionH relativeFrom="page">
              <wp:posOffset>3176270</wp:posOffset>
            </wp:positionH>
            <wp:positionV relativeFrom="page">
              <wp:posOffset>2812923</wp:posOffset>
            </wp:positionV>
            <wp:extent cx="1580160" cy="346709"/>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8" cstate="print"/>
                    <a:stretch>
                      <a:fillRect/>
                    </a:stretch>
                  </pic:blipFill>
                  <pic:spPr>
                    <a:xfrm>
                      <a:off x="0" y="0"/>
                      <a:ext cx="1580160" cy="346709"/>
                    </a:xfrm>
                    <a:prstGeom prst="rect">
                      <a:avLst/>
                    </a:prstGeom>
                  </pic:spPr>
                </pic:pic>
              </a:graphicData>
            </a:graphic>
          </wp:anchor>
        </w:drawing>
      </w:r>
      <w:r>
        <w:rPr>
          <w:noProof/>
        </w:rPr>
        <w:drawing>
          <wp:anchor distT="0" distB="0" distL="0" distR="0" simplePos="0" relativeHeight="268428839" behindDoc="1" locked="0" layoutInCell="1" allowOverlap="1">
            <wp:simplePos x="0" y="0"/>
            <wp:positionH relativeFrom="page">
              <wp:posOffset>4953000</wp:posOffset>
            </wp:positionH>
            <wp:positionV relativeFrom="page">
              <wp:posOffset>2723388</wp:posOffset>
            </wp:positionV>
            <wp:extent cx="1585912" cy="352425"/>
            <wp:effectExtent l="0" t="0" r="0" b="0"/>
            <wp:wrapNone/>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9" cstate="print"/>
                    <a:stretch>
                      <a:fillRect/>
                    </a:stretch>
                  </pic:blipFill>
                  <pic:spPr>
                    <a:xfrm>
                      <a:off x="0" y="0"/>
                      <a:ext cx="1585912" cy="352425"/>
                    </a:xfrm>
                    <a:prstGeom prst="rect">
                      <a:avLst/>
                    </a:prstGeom>
                  </pic:spPr>
                </pic:pic>
              </a:graphicData>
            </a:graphic>
          </wp:anchor>
        </w:drawing>
      </w:r>
      <w:r>
        <w:rPr>
          <w:noProof/>
        </w:rPr>
        <w:drawing>
          <wp:anchor distT="0" distB="0" distL="0" distR="0" simplePos="0" relativeHeight="268428863" behindDoc="1" locked="0" layoutInCell="1" allowOverlap="1">
            <wp:simplePos x="0" y="0"/>
            <wp:positionH relativeFrom="page">
              <wp:posOffset>1376044</wp:posOffset>
            </wp:positionH>
            <wp:positionV relativeFrom="page">
              <wp:posOffset>2702432</wp:posOffset>
            </wp:positionV>
            <wp:extent cx="1529384" cy="402335"/>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30" cstate="print"/>
                    <a:stretch>
                      <a:fillRect/>
                    </a:stretch>
                  </pic:blipFill>
                  <pic:spPr>
                    <a:xfrm>
                      <a:off x="0" y="0"/>
                      <a:ext cx="1529384" cy="402335"/>
                    </a:xfrm>
                    <a:prstGeom prst="rect">
                      <a:avLst/>
                    </a:prstGeom>
                  </pic:spPr>
                </pic:pic>
              </a:graphicData>
            </a:graphic>
          </wp:anchor>
        </w:drawing>
      </w:r>
      <w:r>
        <w:rPr>
          <w:noProof/>
        </w:rPr>
        <w:drawing>
          <wp:anchor distT="0" distB="0" distL="0" distR="0" simplePos="0" relativeHeight="268428887" behindDoc="1" locked="0" layoutInCell="1" allowOverlap="1">
            <wp:simplePos x="0" y="0"/>
            <wp:positionH relativeFrom="page">
              <wp:posOffset>1684020</wp:posOffset>
            </wp:positionH>
            <wp:positionV relativeFrom="page">
              <wp:posOffset>1405889</wp:posOffset>
            </wp:positionV>
            <wp:extent cx="743842" cy="445293"/>
            <wp:effectExtent l="0" t="0" r="0" b="0"/>
            <wp:wrapNone/>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1" cstate="print"/>
                    <a:stretch>
                      <a:fillRect/>
                    </a:stretch>
                  </pic:blipFill>
                  <pic:spPr>
                    <a:xfrm>
                      <a:off x="0" y="0"/>
                      <a:ext cx="743842" cy="445293"/>
                    </a:xfrm>
                    <a:prstGeom prst="rect">
                      <a:avLst/>
                    </a:prstGeom>
                  </pic:spPr>
                </pic:pic>
              </a:graphicData>
            </a:graphic>
          </wp:anchor>
        </w:drawing>
      </w:r>
    </w:p>
    <w:p w:rsidR="00BE7082" w:rsidRDefault="00BE7082">
      <w:pPr>
        <w:pStyle w:val="BodyText"/>
        <w:rPr>
          <w:sz w:val="20"/>
        </w:rPr>
      </w:pPr>
    </w:p>
    <w:p w:rsidR="00BE7082" w:rsidRDefault="00BE7082">
      <w:pPr>
        <w:pStyle w:val="BodyText"/>
        <w:spacing w:before="9"/>
        <w:rPr>
          <w:sz w:val="14"/>
        </w:rPr>
      </w:pPr>
    </w:p>
    <w:p w:rsidR="00BE7082" w:rsidRDefault="00821CCA">
      <w:pPr>
        <w:tabs>
          <w:tab w:val="left" w:pos="6483"/>
        </w:tabs>
        <w:ind w:left="3765"/>
        <w:rPr>
          <w:sz w:val="20"/>
        </w:rPr>
      </w:pPr>
      <w:r>
        <w:rPr>
          <w:noProof/>
          <w:sz w:val="20"/>
        </w:rPr>
        <w:drawing>
          <wp:inline distT="0" distB="0" distL="0" distR="0">
            <wp:extent cx="978666" cy="477774"/>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32" cstate="print"/>
                    <a:stretch>
                      <a:fillRect/>
                    </a:stretch>
                  </pic:blipFill>
                  <pic:spPr>
                    <a:xfrm>
                      <a:off x="0" y="0"/>
                      <a:ext cx="978666" cy="477774"/>
                    </a:xfrm>
                    <a:prstGeom prst="rect">
                      <a:avLst/>
                    </a:prstGeom>
                  </pic:spPr>
                </pic:pic>
              </a:graphicData>
            </a:graphic>
          </wp:inline>
        </w:drawing>
      </w:r>
      <w:r>
        <w:rPr>
          <w:sz w:val="20"/>
        </w:rPr>
        <w:tab/>
      </w:r>
      <w:r>
        <w:rPr>
          <w:noProof/>
          <w:position w:val="1"/>
          <w:sz w:val="20"/>
        </w:rPr>
        <w:drawing>
          <wp:inline distT="0" distB="0" distL="0" distR="0">
            <wp:extent cx="918109" cy="456056"/>
            <wp:effectExtent l="0" t="0" r="0" b="0"/>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33" cstate="print"/>
                    <a:stretch>
                      <a:fillRect/>
                    </a:stretch>
                  </pic:blipFill>
                  <pic:spPr>
                    <a:xfrm>
                      <a:off x="0" y="0"/>
                      <a:ext cx="918109" cy="456056"/>
                    </a:xfrm>
                    <a:prstGeom prst="rect">
                      <a:avLst/>
                    </a:prstGeom>
                  </pic:spPr>
                </pic:pic>
              </a:graphicData>
            </a:graphic>
          </wp:inline>
        </w:drawing>
      </w:r>
    </w:p>
    <w:tbl>
      <w:tblPr>
        <w:tblW w:w="0" w:type="auto"/>
        <w:tblInd w:w="1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48"/>
        <w:gridCol w:w="2691"/>
        <w:gridCol w:w="2915"/>
      </w:tblGrid>
      <w:tr w:rsidR="00BE7082">
        <w:trPr>
          <w:trHeight w:hRule="exact" w:val="1657"/>
        </w:trPr>
        <w:tc>
          <w:tcPr>
            <w:tcW w:w="2948" w:type="dxa"/>
          </w:tcPr>
          <w:p w:rsidR="00BE7082" w:rsidRDefault="00821CCA">
            <w:pPr>
              <w:pStyle w:val="TableParagraph"/>
              <w:spacing w:before="161" w:line="228" w:lineRule="exact"/>
              <w:ind w:left="376" w:right="495"/>
              <w:rPr>
                <w:b/>
                <w:sz w:val="20"/>
              </w:rPr>
            </w:pPr>
            <w:r>
              <w:rPr>
                <w:b/>
                <w:sz w:val="20"/>
              </w:rPr>
              <w:t>Craig Landau, MD</w:t>
            </w:r>
          </w:p>
          <w:p w:rsidR="00BE7082" w:rsidRDefault="00821CCA">
            <w:pPr>
              <w:pStyle w:val="TableParagraph"/>
              <w:ind w:left="200" w:right="324" w:firstLine="4"/>
              <w:rPr>
                <w:sz w:val="20"/>
              </w:rPr>
            </w:pPr>
            <w:r>
              <w:rPr>
                <w:i/>
                <w:sz w:val="20"/>
              </w:rPr>
              <w:t xml:space="preserve">Purdue Pharma L.P. </w:t>
            </w:r>
            <w:r>
              <w:rPr>
                <w:sz w:val="20"/>
              </w:rPr>
              <w:t>President and Chief</w:t>
            </w:r>
            <w:r>
              <w:rPr>
                <w:spacing w:val="-13"/>
                <w:sz w:val="20"/>
              </w:rPr>
              <w:t xml:space="preserve"> </w:t>
            </w:r>
            <w:r>
              <w:rPr>
                <w:sz w:val="20"/>
              </w:rPr>
              <w:t>Executive Officer</w:t>
            </w:r>
          </w:p>
        </w:tc>
        <w:tc>
          <w:tcPr>
            <w:tcW w:w="2691" w:type="dxa"/>
          </w:tcPr>
          <w:p w:rsidR="00BE7082" w:rsidRDefault="00821CCA">
            <w:pPr>
              <w:pStyle w:val="TableParagraph"/>
              <w:spacing w:line="219" w:lineRule="exact"/>
              <w:ind w:left="326" w:right="241"/>
              <w:rPr>
                <w:b/>
                <w:sz w:val="20"/>
              </w:rPr>
            </w:pPr>
            <w:r>
              <w:rPr>
                <w:b/>
                <w:sz w:val="20"/>
              </w:rPr>
              <w:t>Peter Pitts</w:t>
            </w:r>
          </w:p>
          <w:p w:rsidR="00BE7082" w:rsidRDefault="00821CCA">
            <w:pPr>
              <w:pStyle w:val="TableParagraph"/>
              <w:ind w:left="326" w:right="242"/>
              <w:rPr>
                <w:i/>
                <w:sz w:val="20"/>
              </w:rPr>
            </w:pPr>
            <w:r>
              <w:rPr>
                <w:i/>
                <w:sz w:val="20"/>
              </w:rPr>
              <w:t>Center for Medicine in the Public Interest</w:t>
            </w:r>
          </w:p>
          <w:p w:rsidR="00BE7082" w:rsidRDefault="00821CCA">
            <w:pPr>
              <w:pStyle w:val="TableParagraph"/>
              <w:spacing w:before="2" w:line="228" w:lineRule="exact"/>
              <w:ind w:left="325" w:right="242"/>
              <w:rPr>
                <w:sz w:val="20"/>
              </w:rPr>
            </w:pPr>
            <w:r>
              <w:rPr>
                <w:sz w:val="20"/>
              </w:rPr>
              <w:t>President</w:t>
            </w:r>
          </w:p>
        </w:tc>
        <w:tc>
          <w:tcPr>
            <w:tcW w:w="2915" w:type="dxa"/>
          </w:tcPr>
          <w:p w:rsidR="00BE7082" w:rsidRDefault="00821CCA">
            <w:pPr>
              <w:pStyle w:val="TableParagraph"/>
              <w:spacing w:before="163" w:line="237" w:lineRule="auto"/>
              <w:ind w:left="391" w:right="321" w:firstLine="439"/>
              <w:jc w:val="left"/>
              <w:rPr>
                <w:i/>
                <w:sz w:val="20"/>
              </w:rPr>
            </w:pPr>
            <w:r>
              <w:rPr>
                <w:b/>
                <w:sz w:val="20"/>
              </w:rPr>
              <w:t xml:space="preserve">Brian Kennedy </w:t>
            </w:r>
            <w:r>
              <w:rPr>
                <w:i/>
                <w:sz w:val="20"/>
              </w:rPr>
              <w:t>Alliance for Patient Access Alliance for Balanced Pain</w:t>
            </w:r>
          </w:p>
          <w:p w:rsidR="00BE7082" w:rsidRDefault="00821CCA">
            <w:pPr>
              <w:pStyle w:val="TableParagraph"/>
              <w:ind w:left="244" w:right="193"/>
              <w:rPr>
                <w:i/>
                <w:sz w:val="20"/>
              </w:rPr>
            </w:pPr>
            <w:r>
              <w:rPr>
                <w:i/>
                <w:sz w:val="20"/>
              </w:rPr>
              <w:t>Management</w:t>
            </w:r>
          </w:p>
          <w:p w:rsidR="00BE7082" w:rsidRDefault="00821CCA">
            <w:pPr>
              <w:pStyle w:val="TableParagraph"/>
              <w:ind w:left="244" w:right="198"/>
              <w:rPr>
                <w:sz w:val="20"/>
              </w:rPr>
            </w:pPr>
            <w:r>
              <w:rPr>
                <w:sz w:val="20"/>
              </w:rPr>
              <w:t>Executive Director</w:t>
            </w:r>
          </w:p>
        </w:tc>
      </w:tr>
      <w:tr w:rsidR="00BE7082">
        <w:trPr>
          <w:trHeight w:hRule="exact" w:val="1259"/>
        </w:trPr>
        <w:tc>
          <w:tcPr>
            <w:tcW w:w="2948" w:type="dxa"/>
          </w:tcPr>
          <w:p w:rsidR="00BE7082" w:rsidRDefault="00BE7082">
            <w:pPr>
              <w:pStyle w:val="TableParagraph"/>
              <w:spacing w:before="9"/>
              <w:jc w:val="left"/>
              <w:rPr>
                <w:sz w:val="29"/>
              </w:rPr>
            </w:pPr>
          </w:p>
          <w:p w:rsidR="00BE7082" w:rsidRDefault="00821CCA">
            <w:pPr>
              <w:pStyle w:val="TableParagraph"/>
              <w:spacing w:line="228" w:lineRule="exact"/>
              <w:ind w:left="376" w:right="499"/>
              <w:rPr>
                <w:b/>
                <w:sz w:val="20"/>
              </w:rPr>
            </w:pPr>
            <w:r>
              <w:rPr>
                <w:b/>
                <w:sz w:val="20"/>
              </w:rPr>
              <w:t>Sherrie Dornberger RN</w:t>
            </w:r>
          </w:p>
          <w:p w:rsidR="00BE7082" w:rsidRDefault="00821CCA">
            <w:pPr>
              <w:pStyle w:val="TableParagraph"/>
              <w:spacing w:line="228" w:lineRule="exact"/>
              <w:ind w:left="376" w:right="497"/>
              <w:rPr>
                <w:i/>
                <w:sz w:val="20"/>
              </w:rPr>
            </w:pPr>
            <w:r>
              <w:rPr>
                <w:i/>
                <w:sz w:val="20"/>
              </w:rPr>
              <w:t>NADONA/LTC</w:t>
            </w:r>
          </w:p>
          <w:p w:rsidR="00BE7082" w:rsidRDefault="00821CCA">
            <w:pPr>
              <w:pStyle w:val="TableParagraph"/>
              <w:ind w:left="373" w:right="499"/>
              <w:rPr>
                <w:sz w:val="20"/>
              </w:rPr>
            </w:pPr>
            <w:r>
              <w:rPr>
                <w:sz w:val="20"/>
              </w:rPr>
              <w:t>Executive Director</w:t>
            </w:r>
          </w:p>
        </w:tc>
        <w:tc>
          <w:tcPr>
            <w:tcW w:w="2691" w:type="dxa"/>
          </w:tcPr>
          <w:p w:rsidR="00BE7082" w:rsidRDefault="00BE7082">
            <w:pPr>
              <w:pStyle w:val="TableParagraph"/>
              <w:jc w:val="left"/>
            </w:pPr>
          </w:p>
          <w:p w:rsidR="00BE7082" w:rsidRDefault="00821CCA">
            <w:pPr>
              <w:pStyle w:val="TableParagraph"/>
              <w:spacing w:before="180" w:line="237" w:lineRule="auto"/>
              <w:ind w:left="619" w:right="540" w:firstLine="3"/>
              <w:rPr>
                <w:sz w:val="20"/>
              </w:rPr>
            </w:pPr>
            <w:r>
              <w:rPr>
                <w:b/>
                <w:sz w:val="20"/>
              </w:rPr>
              <w:t xml:space="preserve">Fred Brason </w:t>
            </w:r>
            <w:r>
              <w:rPr>
                <w:i/>
                <w:sz w:val="20"/>
              </w:rPr>
              <w:t xml:space="preserve">Project Lazarus </w:t>
            </w:r>
            <w:r>
              <w:rPr>
                <w:sz w:val="20"/>
              </w:rPr>
              <w:t>President and</w:t>
            </w:r>
            <w:r>
              <w:rPr>
                <w:spacing w:val="-9"/>
                <w:sz w:val="20"/>
              </w:rPr>
              <w:t xml:space="preserve"> </w:t>
            </w:r>
            <w:r>
              <w:rPr>
                <w:sz w:val="20"/>
              </w:rPr>
              <w:t>CEO</w:t>
            </w:r>
          </w:p>
        </w:tc>
        <w:tc>
          <w:tcPr>
            <w:tcW w:w="2915" w:type="dxa"/>
          </w:tcPr>
          <w:p w:rsidR="00BE7082" w:rsidRDefault="00BE7082">
            <w:pPr>
              <w:pStyle w:val="TableParagraph"/>
              <w:spacing w:before="11"/>
              <w:jc w:val="left"/>
              <w:rPr>
                <w:sz w:val="29"/>
              </w:rPr>
            </w:pPr>
          </w:p>
          <w:p w:rsidR="00BE7082" w:rsidRDefault="00821CCA">
            <w:pPr>
              <w:pStyle w:val="TableParagraph"/>
              <w:spacing w:line="237" w:lineRule="auto"/>
              <w:ind w:left="244" w:right="198"/>
              <w:rPr>
                <w:i/>
                <w:sz w:val="20"/>
              </w:rPr>
            </w:pPr>
            <w:r>
              <w:rPr>
                <w:b/>
                <w:sz w:val="20"/>
              </w:rPr>
              <w:t xml:space="preserve">Bob Twillman, Ph.D., FAPM </w:t>
            </w:r>
            <w:r>
              <w:rPr>
                <w:i/>
                <w:sz w:val="20"/>
              </w:rPr>
              <w:t>Academy of Integrative Pain Management</w:t>
            </w:r>
          </w:p>
          <w:p w:rsidR="00BE7082" w:rsidRDefault="00821CCA">
            <w:pPr>
              <w:pStyle w:val="TableParagraph"/>
              <w:ind w:left="244" w:right="198"/>
              <w:rPr>
                <w:sz w:val="20"/>
              </w:rPr>
            </w:pPr>
            <w:r>
              <w:rPr>
                <w:sz w:val="20"/>
              </w:rPr>
              <w:t>Executive Director</w:t>
            </w:r>
          </w:p>
        </w:tc>
      </w:tr>
      <w:bookmarkEnd w:id="0"/>
    </w:tbl>
    <w:p w:rsidR="00000000" w:rsidRDefault="00821CCA"/>
    <w:sectPr w:rsidR="00000000">
      <w:pgSz w:w="12240" w:h="15840"/>
      <w:pgMar w:top="1500" w:right="166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F22FF"/>
    <w:multiLevelType w:val="multilevel"/>
    <w:tmpl w:val="39EC66C0"/>
    <w:lvl w:ilvl="0">
      <w:start w:val="16"/>
      <w:numFmt w:val="upperLetter"/>
      <w:lvlText w:val="%1"/>
      <w:lvlJc w:val="left"/>
      <w:pPr>
        <w:ind w:left="587" w:hanging="488"/>
        <w:jc w:val="left"/>
      </w:pPr>
      <w:rPr>
        <w:rFonts w:hint="default"/>
      </w:rPr>
    </w:lvl>
    <w:lvl w:ilvl="1">
      <w:start w:val="15"/>
      <w:numFmt w:val="upperLetter"/>
      <w:lvlText w:val="%1.%2."/>
      <w:lvlJc w:val="left"/>
      <w:pPr>
        <w:ind w:left="587" w:hanging="488"/>
        <w:jc w:val="left"/>
      </w:pPr>
      <w:rPr>
        <w:rFonts w:ascii="Times New Roman" w:eastAsia="Times New Roman" w:hAnsi="Times New Roman" w:cs="Times New Roman" w:hint="default"/>
        <w:w w:val="99"/>
        <w:sz w:val="24"/>
        <w:szCs w:val="24"/>
      </w:rPr>
    </w:lvl>
    <w:lvl w:ilvl="2">
      <w:numFmt w:val="bullet"/>
      <w:lvlText w:val=""/>
      <w:lvlJc w:val="left"/>
      <w:pPr>
        <w:ind w:left="1180" w:hanging="360"/>
      </w:pPr>
      <w:rPr>
        <w:rFonts w:ascii="Symbol" w:eastAsia="Symbol" w:hAnsi="Symbol" w:cs="Symbol" w:hint="default"/>
        <w:w w:val="100"/>
        <w:sz w:val="24"/>
        <w:szCs w:val="24"/>
      </w:rPr>
    </w:lvl>
    <w:lvl w:ilvl="3">
      <w:numFmt w:val="bullet"/>
      <w:lvlText w:val="•"/>
      <w:lvlJc w:val="left"/>
      <w:pPr>
        <w:ind w:left="2886" w:hanging="360"/>
      </w:pPr>
      <w:rPr>
        <w:rFonts w:hint="default"/>
      </w:rPr>
    </w:lvl>
    <w:lvl w:ilvl="4">
      <w:numFmt w:val="bullet"/>
      <w:lvlText w:val="•"/>
      <w:lvlJc w:val="left"/>
      <w:pPr>
        <w:ind w:left="3740" w:hanging="360"/>
      </w:pPr>
      <w:rPr>
        <w:rFonts w:hint="default"/>
      </w:rPr>
    </w:lvl>
    <w:lvl w:ilvl="5">
      <w:numFmt w:val="bullet"/>
      <w:lvlText w:val="•"/>
      <w:lvlJc w:val="left"/>
      <w:pPr>
        <w:ind w:left="4593" w:hanging="360"/>
      </w:pPr>
      <w:rPr>
        <w:rFonts w:hint="default"/>
      </w:rPr>
    </w:lvl>
    <w:lvl w:ilvl="6">
      <w:numFmt w:val="bullet"/>
      <w:lvlText w:val="•"/>
      <w:lvlJc w:val="left"/>
      <w:pPr>
        <w:ind w:left="5446" w:hanging="360"/>
      </w:pPr>
      <w:rPr>
        <w:rFonts w:hint="default"/>
      </w:rPr>
    </w:lvl>
    <w:lvl w:ilvl="7">
      <w:numFmt w:val="bullet"/>
      <w:lvlText w:val="•"/>
      <w:lvlJc w:val="left"/>
      <w:pPr>
        <w:ind w:left="6300" w:hanging="360"/>
      </w:pPr>
      <w:rPr>
        <w:rFonts w:hint="default"/>
      </w:rPr>
    </w:lvl>
    <w:lvl w:ilvl="8">
      <w:numFmt w:val="bullet"/>
      <w:lvlText w:val="•"/>
      <w:lvlJc w:val="left"/>
      <w:pPr>
        <w:ind w:left="715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E7082"/>
    <w:rsid w:val="00821CCA"/>
    <w:rsid w:val="00BE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71EEA17-5F5C-4D77-9F08-529D3624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1"/>
      <w:ind w:left="1200" w:right="117"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ig.hhs.gov/oei/reports/oei-02-17-00250.pdf" TargetMode="External"/><Relationship Id="rId13" Type="http://schemas.openxmlformats.org/officeDocument/2006/relationships/hyperlink" Target="http://law.justia.com/codes/maryland/2015/article-gin/title-15/subtitle-8/section-15-849" TargetMode="Externa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hyperlink" Target="https://www.whitehouse.gov/sites/whitehouse.gov/files/images/Final_Report_Draft_11-1-2017.pdf" TargetMode="External"/><Relationship Id="rId12" Type="http://schemas.openxmlformats.org/officeDocument/2006/relationships/hyperlink" Target="https://www.flsenate.gov/Session/Bill/2016/0422/ByVersion" TargetMode="External"/><Relationship Id="rId17" Type="http://schemas.openxmlformats.org/officeDocument/2006/relationships/hyperlink" Target="https://legislature.maine.gov/legis/bills/bills_127th/billtexts/HP063801.asp" TargetMode="External"/><Relationship Id="rId25" Type="http://schemas.openxmlformats.org/officeDocument/2006/relationships/image" Target="media/image9.png"/><Relationship Id="rId33"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www.legis.state.wv.us/Bill_Status/bills_text.cfm?billdoc=HB4146%20SUB%20ENR.htm&amp;amp;yr=2016&amp;amp;sesstype=RS&amp;amp;i=4146" TargetMode="Externa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whitehouse.gov/sites/whitehouse.gov/files/images/Final_Report_Draft_11-1-2017.pdf" TargetMode="External"/><Relationship Id="rId11" Type="http://schemas.openxmlformats.org/officeDocument/2006/relationships/hyperlink" Target="https://malegislature.gov/Laws/SessionLaws/Acts/2014/Chapter258" TargetMode="External"/><Relationship Id="rId24" Type="http://schemas.openxmlformats.org/officeDocument/2006/relationships/image" Target="media/image8.jpeg"/><Relationship Id="rId32"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hyperlink" Target="http://www.legis.state.wv.us/Bill_Status/bills_text.cfm?billdoc=HB4146%20SUB%20ENR.htm&amp;amp;yr=2016&amp;amp;sesstype=RS&amp;amp;i=4146" TargetMode="Externa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yperlink" Target="http://www.fda.gov/NewsEvents/Newsroom/PressAnnouncements/ucm586117.htm" TargetMode="Externa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oig.hhs.gov/reports-and-publications/archives/semiannual/2017/sar-fall-2017.pdf" TargetMode="External"/><Relationship Id="rId14" Type="http://schemas.openxmlformats.org/officeDocument/2006/relationships/hyperlink" Target="http://law.justia.com/codes/maryland/2015/article-gin/title-15/subtitle-8/section-15-849"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11097</Characters>
  <Application>Microsoft Office Word</Application>
  <DocSecurity>0</DocSecurity>
  <Lines>284</Lines>
  <Paragraphs>107</Paragraphs>
  <ScaleCrop>false</ScaleCrop>
  <Company>CMS</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Westfall</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