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174" w:rsidRDefault="000A64A3">
      <w:pPr>
        <w:pStyle w:val="BodyText"/>
        <w:ind w:left="7018"/>
        <w:rPr>
          <w:sz w:val="20"/>
        </w:rPr>
      </w:pPr>
      <w:r>
        <w:rPr>
          <w:noProof/>
          <w:sz w:val="20"/>
        </w:rPr>
        <w:drawing>
          <wp:inline distT="0" distB="0" distL="0" distR="0">
            <wp:extent cx="1546933" cy="420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46933" cy="420624"/>
                    </a:xfrm>
                    <a:prstGeom prst="rect">
                      <a:avLst/>
                    </a:prstGeom>
                  </pic:spPr>
                </pic:pic>
              </a:graphicData>
            </a:graphic>
          </wp:inline>
        </w:drawing>
      </w:r>
    </w:p>
    <w:p w:rsidR="00805174" w:rsidRDefault="000A64A3">
      <w:pPr>
        <w:spacing w:before="25"/>
        <w:ind w:left="177"/>
        <w:rPr>
          <w:sz w:val="16"/>
        </w:rPr>
      </w:pPr>
      <w:r>
        <w:rPr>
          <w:sz w:val="16"/>
        </w:rPr>
        <w:t>Anthony Mader</w:t>
      </w:r>
    </w:p>
    <w:p w:rsidR="00805174" w:rsidRDefault="000A64A3">
      <w:pPr>
        <w:spacing w:before="1"/>
        <w:ind w:left="177" w:right="7507"/>
        <w:rPr>
          <w:sz w:val="16"/>
        </w:rPr>
      </w:pPr>
      <w:r>
        <w:rPr>
          <w:sz w:val="16"/>
        </w:rPr>
        <w:t>Vice President, Public Policy Anthem, Inc.</w:t>
      </w:r>
    </w:p>
    <w:p w:rsidR="00805174" w:rsidRDefault="000A64A3">
      <w:pPr>
        <w:spacing w:before="1"/>
        <w:ind w:left="177"/>
        <w:rPr>
          <w:sz w:val="16"/>
        </w:rPr>
      </w:pPr>
      <w:r>
        <w:rPr>
          <w:sz w:val="16"/>
        </w:rPr>
        <w:t>1121 L Street</w:t>
      </w:r>
    </w:p>
    <w:p w:rsidR="00805174" w:rsidRDefault="000A64A3">
      <w:pPr>
        <w:spacing w:before="1" w:line="183" w:lineRule="exact"/>
        <w:ind w:left="177"/>
        <w:rPr>
          <w:sz w:val="16"/>
        </w:rPr>
      </w:pPr>
      <w:r>
        <w:rPr>
          <w:sz w:val="16"/>
        </w:rPr>
        <w:t>Sacramento, CA 95814</w:t>
      </w:r>
    </w:p>
    <w:p w:rsidR="00805174" w:rsidRDefault="000A64A3">
      <w:pPr>
        <w:spacing w:line="183" w:lineRule="exact"/>
        <w:ind w:left="177"/>
        <w:rPr>
          <w:sz w:val="16"/>
        </w:rPr>
      </w:pPr>
      <w:r>
        <w:rPr>
          <w:sz w:val="16"/>
        </w:rPr>
        <w:t>(916) 403-0522</w:t>
      </w:r>
    </w:p>
    <w:p w:rsidR="00805174" w:rsidRDefault="00805174">
      <w:pPr>
        <w:pStyle w:val="BodyText"/>
        <w:spacing w:before="1"/>
        <w:rPr>
          <w:sz w:val="18"/>
        </w:rPr>
      </w:pPr>
    </w:p>
    <w:p w:rsidR="00805174" w:rsidRDefault="000A64A3">
      <w:pPr>
        <w:pStyle w:val="BodyText"/>
        <w:spacing w:before="1"/>
        <w:ind w:left="100"/>
      </w:pPr>
      <w:r>
        <w:t xml:space="preserve">Submitted via Federal e-Rulemaking Portal: </w:t>
      </w:r>
      <w:r>
        <w:rPr>
          <w:color w:val="0000FF"/>
          <w:u w:val="single" w:color="0000FF"/>
        </w:rPr>
        <w:t>https://</w:t>
      </w:r>
      <w:hyperlink r:id="rId8">
        <w:r>
          <w:rPr>
            <w:color w:val="0000FF"/>
            <w:u w:val="single" w:color="0000FF"/>
          </w:rPr>
          <w:t>www.regulations.gov</w:t>
        </w:r>
      </w:hyperlink>
    </w:p>
    <w:p w:rsidR="00805174" w:rsidRDefault="00805174">
      <w:pPr>
        <w:pStyle w:val="BodyText"/>
        <w:spacing w:before="1"/>
        <w:rPr>
          <w:sz w:val="14"/>
        </w:rPr>
      </w:pPr>
    </w:p>
    <w:p w:rsidR="00805174" w:rsidRDefault="000A64A3">
      <w:pPr>
        <w:pStyle w:val="BodyText"/>
        <w:spacing w:before="91"/>
        <w:ind w:left="100"/>
        <w:jc w:val="both"/>
      </w:pPr>
      <w:r>
        <w:t>March 5, 2018</w:t>
      </w:r>
    </w:p>
    <w:p w:rsidR="00805174" w:rsidRDefault="00805174">
      <w:pPr>
        <w:pStyle w:val="BodyText"/>
        <w:spacing w:before="11"/>
        <w:rPr>
          <w:sz w:val="21"/>
        </w:rPr>
      </w:pPr>
    </w:p>
    <w:p w:rsidR="00805174" w:rsidRDefault="000A64A3">
      <w:pPr>
        <w:pStyle w:val="BodyText"/>
        <w:spacing w:line="252" w:lineRule="exact"/>
        <w:ind w:left="100"/>
        <w:jc w:val="both"/>
      </w:pPr>
      <w:r>
        <w:t>Demetrious Kouzoukas</w:t>
      </w:r>
    </w:p>
    <w:p w:rsidR="00805174" w:rsidRDefault="000A64A3">
      <w:pPr>
        <w:pStyle w:val="BodyText"/>
        <w:ind w:left="100" w:right="5513"/>
      </w:pPr>
      <w:r>
        <w:t>Principal Deputy Administrator and Director Center for Medicare</w:t>
      </w:r>
    </w:p>
    <w:p w:rsidR="00805174" w:rsidRDefault="000A64A3">
      <w:pPr>
        <w:pStyle w:val="BodyText"/>
        <w:ind w:left="100" w:right="5678"/>
      </w:pPr>
      <w:r>
        <w:t>Centers for Medicare &amp; Medicaid Services 7500 Security Boulevard</w:t>
      </w:r>
    </w:p>
    <w:p w:rsidR="00805174" w:rsidRDefault="000A64A3">
      <w:pPr>
        <w:pStyle w:val="BodyText"/>
        <w:spacing w:before="2"/>
        <w:ind w:left="100"/>
        <w:jc w:val="both"/>
      </w:pPr>
      <w:r>
        <w:t>Baltimore, MD 21244</w:t>
      </w:r>
    </w:p>
    <w:p w:rsidR="00805174" w:rsidRDefault="00805174">
      <w:pPr>
        <w:pStyle w:val="BodyText"/>
        <w:spacing w:before="5"/>
      </w:pPr>
    </w:p>
    <w:p w:rsidR="00805174" w:rsidRDefault="000A64A3">
      <w:pPr>
        <w:pStyle w:val="Heading1"/>
        <w:ind w:right="115"/>
      </w:pPr>
      <w:r>
        <w:t>Re: Advance Notice of Methodological Changes for Calendar Year (CY) 2019 for the Medicare Advantage (MA) CMS-HCC Risk Adjustment Model, Medicare Advantage Capitation Rates, Part C and Part D Payment Policies, and 2019 Draft Call Letter</w:t>
      </w:r>
    </w:p>
    <w:p w:rsidR="00805174" w:rsidRDefault="00805174">
      <w:pPr>
        <w:pStyle w:val="BodyText"/>
        <w:spacing w:before="7"/>
        <w:rPr>
          <w:b/>
          <w:sz w:val="21"/>
        </w:rPr>
      </w:pPr>
    </w:p>
    <w:p w:rsidR="00805174" w:rsidRDefault="000A64A3">
      <w:pPr>
        <w:pStyle w:val="BodyText"/>
        <w:ind w:left="100"/>
        <w:jc w:val="both"/>
      </w:pPr>
      <w:r>
        <w:t>Dear Mr. Kouzoukas:</w:t>
      </w:r>
    </w:p>
    <w:p w:rsidR="00805174" w:rsidRDefault="00805174">
      <w:pPr>
        <w:pStyle w:val="BodyText"/>
      </w:pPr>
    </w:p>
    <w:p w:rsidR="00805174" w:rsidRDefault="000A64A3">
      <w:pPr>
        <w:pStyle w:val="BodyText"/>
        <w:ind w:left="100" w:right="109"/>
        <w:jc w:val="both"/>
      </w:pPr>
      <w:r>
        <w:t xml:space="preserve">Anthem, Inc. (“Anthem”) appreciates the opportunity to provide comments </w:t>
      </w:r>
      <w:r>
        <w:rPr>
          <w:spacing w:val="3"/>
        </w:rPr>
        <w:t xml:space="preserve">in </w:t>
      </w:r>
      <w:r>
        <w:t>response to the Advance Notice</w:t>
      </w:r>
      <w:r>
        <w:rPr>
          <w:spacing w:val="-4"/>
        </w:rPr>
        <w:t xml:space="preserve"> </w:t>
      </w:r>
      <w:r>
        <w:t>of</w:t>
      </w:r>
      <w:r>
        <w:rPr>
          <w:spacing w:val="-6"/>
        </w:rPr>
        <w:t xml:space="preserve"> </w:t>
      </w:r>
      <w:r>
        <w:t>Methodological</w:t>
      </w:r>
      <w:r>
        <w:rPr>
          <w:spacing w:val="-6"/>
        </w:rPr>
        <w:t xml:space="preserve"> </w:t>
      </w:r>
      <w:r>
        <w:t>Changes</w:t>
      </w:r>
      <w:r>
        <w:rPr>
          <w:spacing w:val="-4"/>
        </w:rPr>
        <w:t xml:space="preserve"> </w:t>
      </w:r>
      <w:r>
        <w:t>for</w:t>
      </w:r>
      <w:r>
        <w:rPr>
          <w:spacing w:val="-4"/>
        </w:rPr>
        <w:t xml:space="preserve"> </w:t>
      </w:r>
      <w:r>
        <w:t>Calendar</w:t>
      </w:r>
      <w:r>
        <w:rPr>
          <w:spacing w:val="-4"/>
        </w:rPr>
        <w:t xml:space="preserve"> </w:t>
      </w:r>
      <w:r>
        <w:t>Year</w:t>
      </w:r>
      <w:r>
        <w:rPr>
          <w:spacing w:val="-6"/>
        </w:rPr>
        <w:t xml:space="preserve"> </w:t>
      </w:r>
      <w:r>
        <w:t>(CY)</w:t>
      </w:r>
      <w:r>
        <w:rPr>
          <w:spacing w:val="-4"/>
        </w:rPr>
        <w:t xml:space="preserve"> </w:t>
      </w:r>
      <w:r>
        <w:t>2019</w:t>
      </w:r>
      <w:r>
        <w:rPr>
          <w:spacing w:val="-5"/>
        </w:rPr>
        <w:t xml:space="preserve"> </w:t>
      </w:r>
      <w:r>
        <w:t>for</w:t>
      </w:r>
      <w:r>
        <w:rPr>
          <w:spacing w:val="-6"/>
        </w:rPr>
        <w:t xml:space="preserve"> </w:t>
      </w:r>
      <w:r>
        <w:t>the</w:t>
      </w:r>
      <w:r>
        <w:rPr>
          <w:spacing w:val="-6"/>
        </w:rPr>
        <w:t xml:space="preserve"> </w:t>
      </w:r>
      <w:r>
        <w:t>Medicare</w:t>
      </w:r>
      <w:r>
        <w:rPr>
          <w:spacing w:val="-7"/>
        </w:rPr>
        <w:t xml:space="preserve"> </w:t>
      </w:r>
      <w:r>
        <w:t>Advantage</w:t>
      </w:r>
      <w:r>
        <w:rPr>
          <w:spacing w:val="-4"/>
        </w:rPr>
        <w:t xml:space="preserve"> </w:t>
      </w:r>
      <w:r>
        <w:t>(MA)</w:t>
      </w:r>
      <w:r>
        <w:rPr>
          <w:spacing w:val="-6"/>
        </w:rPr>
        <w:t xml:space="preserve"> </w:t>
      </w:r>
      <w:r>
        <w:t>CMS- HCC</w:t>
      </w:r>
      <w:r>
        <w:rPr>
          <w:spacing w:val="-8"/>
        </w:rPr>
        <w:t xml:space="preserve"> </w:t>
      </w:r>
      <w:r>
        <w:t>Risk</w:t>
      </w:r>
      <w:r>
        <w:rPr>
          <w:spacing w:val="-9"/>
        </w:rPr>
        <w:t xml:space="preserve"> </w:t>
      </w:r>
      <w:r>
        <w:t>Adjustment</w:t>
      </w:r>
      <w:r>
        <w:rPr>
          <w:spacing w:val="-6"/>
        </w:rPr>
        <w:t xml:space="preserve"> </w:t>
      </w:r>
      <w:r>
        <w:t>Model,</w:t>
      </w:r>
      <w:r>
        <w:rPr>
          <w:spacing w:val="-7"/>
        </w:rPr>
        <w:t xml:space="preserve"> </w:t>
      </w:r>
      <w:r>
        <w:t>released</w:t>
      </w:r>
      <w:r>
        <w:rPr>
          <w:spacing w:val="-7"/>
        </w:rPr>
        <w:t xml:space="preserve"> </w:t>
      </w:r>
      <w:r>
        <w:t>on</w:t>
      </w:r>
      <w:r>
        <w:rPr>
          <w:spacing w:val="-7"/>
        </w:rPr>
        <w:t xml:space="preserve"> </w:t>
      </w:r>
      <w:r>
        <w:t>December</w:t>
      </w:r>
      <w:r>
        <w:rPr>
          <w:spacing w:val="-2"/>
        </w:rPr>
        <w:t xml:space="preserve"> </w:t>
      </w:r>
      <w:r>
        <w:t>27,</w:t>
      </w:r>
      <w:r>
        <w:rPr>
          <w:spacing w:val="-7"/>
        </w:rPr>
        <w:t xml:space="preserve"> </w:t>
      </w:r>
      <w:r>
        <w:t>2017,</w:t>
      </w:r>
      <w:r>
        <w:rPr>
          <w:spacing w:val="-7"/>
        </w:rPr>
        <w:t xml:space="preserve"> </w:t>
      </w:r>
      <w:r>
        <w:t>and</w:t>
      </w:r>
      <w:r>
        <w:rPr>
          <w:spacing w:val="-7"/>
        </w:rPr>
        <w:t xml:space="preserve"> </w:t>
      </w:r>
      <w:r>
        <w:t>the</w:t>
      </w:r>
      <w:r>
        <w:rPr>
          <w:spacing w:val="-7"/>
        </w:rPr>
        <w:t xml:space="preserve"> </w:t>
      </w:r>
      <w:r>
        <w:t>Advance</w:t>
      </w:r>
      <w:r>
        <w:rPr>
          <w:spacing w:val="-7"/>
        </w:rPr>
        <w:t xml:space="preserve"> </w:t>
      </w:r>
      <w:r>
        <w:t>Notice</w:t>
      </w:r>
      <w:r>
        <w:rPr>
          <w:spacing w:val="-7"/>
        </w:rPr>
        <w:t xml:space="preserve"> </w:t>
      </w:r>
      <w:r>
        <w:t>of</w:t>
      </w:r>
      <w:r>
        <w:rPr>
          <w:spacing w:val="-6"/>
        </w:rPr>
        <w:t xml:space="preserve"> </w:t>
      </w:r>
      <w:r>
        <w:t>Methodological Changes</w:t>
      </w:r>
      <w:r>
        <w:rPr>
          <w:spacing w:val="-3"/>
        </w:rPr>
        <w:t xml:space="preserve"> </w:t>
      </w:r>
      <w:r>
        <w:t>for</w:t>
      </w:r>
      <w:r>
        <w:rPr>
          <w:spacing w:val="-3"/>
        </w:rPr>
        <w:t xml:space="preserve"> </w:t>
      </w:r>
      <w:r>
        <w:t>CY</w:t>
      </w:r>
      <w:r>
        <w:rPr>
          <w:spacing w:val="-5"/>
        </w:rPr>
        <w:t xml:space="preserve"> </w:t>
      </w:r>
      <w:r>
        <w:t>2019</w:t>
      </w:r>
      <w:r>
        <w:rPr>
          <w:spacing w:val="-4"/>
        </w:rPr>
        <w:t xml:space="preserve"> </w:t>
      </w:r>
      <w:r>
        <w:t>for</w:t>
      </w:r>
      <w:r>
        <w:rPr>
          <w:spacing w:val="-5"/>
        </w:rPr>
        <w:t xml:space="preserve"> </w:t>
      </w:r>
      <w:r>
        <w:t>MA</w:t>
      </w:r>
      <w:r>
        <w:rPr>
          <w:spacing w:val="-2"/>
        </w:rPr>
        <w:t xml:space="preserve"> </w:t>
      </w:r>
      <w:r>
        <w:t>Capitation</w:t>
      </w:r>
      <w:r>
        <w:rPr>
          <w:spacing w:val="-4"/>
        </w:rPr>
        <w:t xml:space="preserve"> </w:t>
      </w:r>
      <w:r>
        <w:t>Rates,</w:t>
      </w:r>
      <w:r>
        <w:rPr>
          <w:spacing w:val="-3"/>
        </w:rPr>
        <w:t xml:space="preserve"> </w:t>
      </w:r>
      <w:r>
        <w:t>Part</w:t>
      </w:r>
      <w:r>
        <w:rPr>
          <w:spacing w:val="-5"/>
        </w:rPr>
        <w:t xml:space="preserve"> </w:t>
      </w:r>
      <w:r>
        <w:t>C</w:t>
      </w:r>
      <w:r>
        <w:rPr>
          <w:spacing w:val="-5"/>
        </w:rPr>
        <w:t xml:space="preserve"> </w:t>
      </w:r>
      <w:r>
        <w:t>and</w:t>
      </w:r>
      <w:r>
        <w:rPr>
          <w:spacing w:val="-2"/>
        </w:rPr>
        <w:t xml:space="preserve"> </w:t>
      </w:r>
      <w:r>
        <w:t>Part</w:t>
      </w:r>
      <w:r>
        <w:rPr>
          <w:spacing w:val="-3"/>
        </w:rPr>
        <w:t xml:space="preserve"> </w:t>
      </w:r>
      <w:r>
        <w:t>D</w:t>
      </w:r>
      <w:r>
        <w:rPr>
          <w:spacing w:val="-5"/>
        </w:rPr>
        <w:t xml:space="preserve"> </w:t>
      </w:r>
      <w:r>
        <w:t>Payment</w:t>
      </w:r>
      <w:r>
        <w:rPr>
          <w:spacing w:val="-3"/>
        </w:rPr>
        <w:t xml:space="preserve"> </w:t>
      </w:r>
      <w:r>
        <w:t>Policies</w:t>
      </w:r>
      <w:r>
        <w:rPr>
          <w:spacing w:val="-4"/>
        </w:rPr>
        <w:t xml:space="preserve"> </w:t>
      </w:r>
      <w:r>
        <w:t>(Advance</w:t>
      </w:r>
      <w:r>
        <w:rPr>
          <w:spacing w:val="-3"/>
        </w:rPr>
        <w:t xml:space="preserve"> </w:t>
      </w:r>
      <w:r>
        <w:t>Notice)</w:t>
      </w:r>
      <w:r>
        <w:rPr>
          <w:spacing w:val="-4"/>
        </w:rPr>
        <w:t xml:space="preserve"> </w:t>
      </w:r>
      <w:r>
        <w:t>and 2019 Draft Call Letter (Draft Call Letter), released on February 1,</w:t>
      </w:r>
      <w:r>
        <w:rPr>
          <w:spacing w:val="-18"/>
        </w:rPr>
        <w:t xml:space="preserve"> </w:t>
      </w:r>
      <w:r>
        <w:t>2018.</w:t>
      </w:r>
    </w:p>
    <w:p w:rsidR="00805174" w:rsidRDefault="00805174">
      <w:pPr>
        <w:pStyle w:val="BodyText"/>
      </w:pPr>
    </w:p>
    <w:p w:rsidR="00805174" w:rsidRDefault="000A64A3">
      <w:pPr>
        <w:pStyle w:val="BodyText"/>
        <w:ind w:left="100" w:right="116"/>
        <w:jc w:val="both"/>
      </w:pPr>
      <w:r>
        <w:t xml:space="preserve">Anthem is working to transform health </w:t>
      </w:r>
      <w:r>
        <w:t>care with trusted and caring solutions. Our health plan companies deliver quality products and services that give their members access to the care they need. With over 73 million</w:t>
      </w:r>
      <w:r>
        <w:rPr>
          <w:spacing w:val="-10"/>
        </w:rPr>
        <w:t xml:space="preserve"> </w:t>
      </w:r>
      <w:r>
        <w:t>people</w:t>
      </w:r>
      <w:r>
        <w:rPr>
          <w:spacing w:val="-9"/>
        </w:rPr>
        <w:t xml:space="preserve"> </w:t>
      </w:r>
      <w:r>
        <w:t>served</w:t>
      </w:r>
      <w:r>
        <w:rPr>
          <w:spacing w:val="-9"/>
        </w:rPr>
        <w:t xml:space="preserve"> </w:t>
      </w:r>
      <w:r>
        <w:t>by</w:t>
      </w:r>
      <w:r>
        <w:rPr>
          <w:spacing w:val="-12"/>
        </w:rPr>
        <w:t xml:space="preserve"> </w:t>
      </w:r>
      <w:r>
        <w:t>its</w:t>
      </w:r>
      <w:r>
        <w:rPr>
          <w:spacing w:val="-12"/>
        </w:rPr>
        <w:t xml:space="preserve"> </w:t>
      </w:r>
      <w:r>
        <w:t>affiliated</w:t>
      </w:r>
      <w:r>
        <w:rPr>
          <w:spacing w:val="-12"/>
        </w:rPr>
        <w:t xml:space="preserve"> </w:t>
      </w:r>
      <w:r>
        <w:t>companies,</w:t>
      </w:r>
      <w:r>
        <w:rPr>
          <w:spacing w:val="-12"/>
        </w:rPr>
        <w:t xml:space="preserve"> </w:t>
      </w:r>
      <w:r>
        <w:t>including</w:t>
      </w:r>
      <w:r>
        <w:rPr>
          <w:spacing w:val="-12"/>
        </w:rPr>
        <w:t xml:space="preserve"> </w:t>
      </w:r>
      <w:r>
        <w:t>more</w:t>
      </w:r>
      <w:r>
        <w:rPr>
          <w:spacing w:val="-9"/>
        </w:rPr>
        <w:t xml:space="preserve"> </w:t>
      </w:r>
      <w:r>
        <w:t>than</w:t>
      </w:r>
      <w:r>
        <w:rPr>
          <w:spacing w:val="-9"/>
        </w:rPr>
        <w:t xml:space="preserve"> </w:t>
      </w:r>
      <w:r>
        <w:t>40</w:t>
      </w:r>
      <w:r>
        <w:rPr>
          <w:spacing w:val="-12"/>
        </w:rPr>
        <w:t xml:space="preserve"> </w:t>
      </w:r>
      <w:r>
        <w:t>million</w:t>
      </w:r>
      <w:r>
        <w:rPr>
          <w:spacing w:val="-12"/>
        </w:rPr>
        <w:t xml:space="preserve"> </w:t>
      </w:r>
      <w:r>
        <w:t>within</w:t>
      </w:r>
      <w:r>
        <w:rPr>
          <w:spacing w:val="-10"/>
        </w:rPr>
        <w:t xml:space="preserve"> </w:t>
      </w:r>
      <w:r>
        <w:t>its</w:t>
      </w:r>
      <w:r>
        <w:rPr>
          <w:spacing w:val="-11"/>
        </w:rPr>
        <w:t xml:space="preserve"> </w:t>
      </w:r>
      <w:r>
        <w:t>family</w:t>
      </w:r>
      <w:r>
        <w:rPr>
          <w:spacing w:val="-12"/>
        </w:rPr>
        <w:t xml:space="preserve"> </w:t>
      </w:r>
      <w:r>
        <w:t>of</w:t>
      </w:r>
      <w:r>
        <w:rPr>
          <w:spacing w:val="-9"/>
        </w:rPr>
        <w:t xml:space="preserve"> </w:t>
      </w:r>
      <w:r>
        <w:t>health plans, Anthem is one of the nation’s leading health benefits companies. For more information about Anthem’s family of companies, please visit</w:t>
      </w:r>
      <w:r>
        <w:rPr>
          <w:spacing w:val="-18"/>
        </w:rPr>
        <w:t xml:space="preserve"> </w:t>
      </w:r>
      <w:hyperlink r:id="rId9">
        <w:r>
          <w:rPr>
            <w:color w:val="0000FF"/>
            <w:u w:val="single" w:color="0000FF"/>
          </w:rPr>
          <w:t>www.antheminc.com/companies</w:t>
        </w:r>
        <w:r>
          <w:t>.</w:t>
        </w:r>
      </w:hyperlink>
    </w:p>
    <w:p w:rsidR="00805174" w:rsidRDefault="00805174">
      <w:pPr>
        <w:pStyle w:val="BodyText"/>
        <w:spacing w:before="5"/>
        <w:rPr>
          <w:sz w:val="14"/>
        </w:rPr>
      </w:pPr>
    </w:p>
    <w:p w:rsidR="00805174" w:rsidRDefault="000A64A3">
      <w:pPr>
        <w:pStyle w:val="Heading1"/>
        <w:spacing w:before="91"/>
        <w:jc w:val="left"/>
      </w:pPr>
      <w:r>
        <w:rPr>
          <w:u w:val="thick"/>
        </w:rPr>
        <w:t>Ex</w:t>
      </w:r>
      <w:r>
        <w:rPr>
          <w:u w:val="thick"/>
        </w:rPr>
        <w:t>ecutive Summary</w:t>
      </w:r>
    </w:p>
    <w:p w:rsidR="00805174" w:rsidRDefault="00805174">
      <w:pPr>
        <w:pStyle w:val="BodyText"/>
        <w:spacing w:before="7"/>
        <w:rPr>
          <w:b/>
          <w:sz w:val="13"/>
        </w:rPr>
      </w:pPr>
    </w:p>
    <w:p w:rsidR="00805174" w:rsidRDefault="000A64A3">
      <w:pPr>
        <w:pStyle w:val="BodyText"/>
        <w:spacing w:before="91"/>
        <w:ind w:left="100" w:right="112"/>
        <w:jc w:val="both"/>
      </w:pPr>
      <w:r>
        <w:t>Anthem shares CMS’ commitment to continuously identifying and implementing innovative approaches for providing Medicare benefits to enrollees, and empowering beneficiaries to make the best health care decisions for their unique needs. As a</w:t>
      </w:r>
      <w:r>
        <w:t xml:space="preserve"> committed participant in the MA and Part D programs, Anthem asserts</w:t>
      </w:r>
      <w:r>
        <w:rPr>
          <w:spacing w:val="-4"/>
        </w:rPr>
        <w:t xml:space="preserve"> </w:t>
      </w:r>
      <w:r>
        <w:t>that</w:t>
      </w:r>
      <w:r>
        <w:rPr>
          <w:spacing w:val="-5"/>
        </w:rPr>
        <w:t xml:space="preserve"> </w:t>
      </w:r>
      <w:r>
        <w:t>the</w:t>
      </w:r>
      <w:r>
        <w:rPr>
          <w:spacing w:val="-4"/>
        </w:rPr>
        <w:t xml:space="preserve"> </w:t>
      </w:r>
      <w:r>
        <w:t>best</w:t>
      </w:r>
      <w:r>
        <w:rPr>
          <w:spacing w:val="-4"/>
        </w:rPr>
        <w:t xml:space="preserve"> </w:t>
      </w:r>
      <w:r>
        <w:t>way</w:t>
      </w:r>
      <w:r>
        <w:rPr>
          <w:spacing w:val="-7"/>
        </w:rPr>
        <w:t xml:space="preserve"> </w:t>
      </w:r>
      <w:r>
        <w:t>to</w:t>
      </w:r>
      <w:r>
        <w:rPr>
          <w:spacing w:val="-10"/>
        </w:rPr>
        <w:t xml:space="preserve"> </w:t>
      </w:r>
      <w:r>
        <w:t>carry</w:t>
      </w:r>
      <w:r>
        <w:rPr>
          <w:spacing w:val="-7"/>
        </w:rPr>
        <w:t xml:space="preserve"> </w:t>
      </w:r>
      <w:r>
        <w:t>through</w:t>
      </w:r>
      <w:r>
        <w:rPr>
          <w:spacing w:val="-5"/>
        </w:rPr>
        <w:t xml:space="preserve"> </w:t>
      </w:r>
      <w:r>
        <w:t>on</w:t>
      </w:r>
      <w:r>
        <w:rPr>
          <w:spacing w:val="-5"/>
        </w:rPr>
        <w:t xml:space="preserve"> </w:t>
      </w:r>
      <w:r>
        <w:t>this</w:t>
      </w:r>
      <w:r>
        <w:rPr>
          <w:spacing w:val="-7"/>
        </w:rPr>
        <w:t xml:space="preserve"> </w:t>
      </w:r>
      <w:r>
        <w:t>commitment</w:t>
      </w:r>
      <w:r>
        <w:rPr>
          <w:spacing w:val="-6"/>
        </w:rPr>
        <w:t xml:space="preserve"> </w:t>
      </w:r>
      <w:r>
        <w:t>is</w:t>
      </w:r>
      <w:r>
        <w:rPr>
          <w:spacing w:val="-6"/>
        </w:rPr>
        <w:t xml:space="preserve"> </w:t>
      </w:r>
      <w:r>
        <w:t>to</w:t>
      </w:r>
      <w:r>
        <w:rPr>
          <w:spacing w:val="-7"/>
        </w:rPr>
        <w:t xml:space="preserve"> </w:t>
      </w:r>
      <w:r>
        <w:t>emphasize</w:t>
      </w:r>
      <w:r>
        <w:rPr>
          <w:spacing w:val="-4"/>
        </w:rPr>
        <w:t xml:space="preserve"> </w:t>
      </w:r>
      <w:r>
        <w:t>transparency,</w:t>
      </w:r>
      <w:r>
        <w:rPr>
          <w:spacing w:val="-5"/>
        </w:rPr>
        <w:t xml:space="preserve"> </w:t>
      </w:r>
      <w:r>
        <w:t>flexibility,</w:t>
      </w:r>
      <w:r>
        <w:rPr>
          <w:spacing w:val="-5"/>
        </w:rPr>
        <w:t xml:space="preserve"> </w:t>
      </w:r>
      <w:r>
        <w:t>and efficiency, and to find ways to simplify rules to facilitate innovation. We commend CM</w:t>
      </w:r>
      <w:r>
        <w:t>S for proposing a number of payment and policy updates that support these goals—and, ultimately, continued growth and success</w:t>
      </w:r>
      <w:r>
        <w:rPr>
          <w:spacing w:val="-5"/>
        </w:rPr>
        <w:t xml:space="preserve"> </w:t>
      </w:r>
      <w:r>
        <w:t>of</w:t>
      </w:r>
      <w:r>
        <w:rPr>
          <w:spacing w:val="-8"/>
        </w:rPr>
        <w:t xml:space="preserve"> </w:t>
      </w:r>
      <w:r>
        <w:t>the</w:t>
      </w:r>
      <w:r>
        <w:rPr>
          <w:spacing w:val="-6"/>
        </w:rPr>
        <w:t xml:space="preserve"> </w:t>
      </w:r>
      <w:r>
        <w:t>MA</w:t>
      </w:r>
      <w:r>
        <w:rPr>
          <w:spacing w:val="-7"/>
        </w:rPr>
        <w:t xml:space="preserve"> </w:t>
      </w:r>
      <w:r>
        <w:t>and</w:t>
      </w:r>
      <w:r>
        <w:rPr>
          <w:spacing w:val="-6"/>
        </w:rPr>
        <w:t xml:space="preserve"> </w:t>
      </w:r>
      <w:r>
        <w:t>Part</w:t>
      </w:r>
      <w:r>
        <w:rPr>
          <w:spacing w:val="-5"/>
        </w:rPr>
        <w:t xml:space="preserve"> </w:t>
      </w:r>
      <w:r>
        <w:t>D</w:t>
      </w:r>
      <w:r>
        <w:rPr>
          <w:spacing w:val="-7"/>
        </w:rPr>
        <w:t xml:space="preserve"> </w:t>
      </w:r>
      <w:r>
        <w:t>programs—but</w:t>
      </w:r>
      <w:r>
        <w:rPr>
          <w:spacing w:val="-5"/>
        </w:rPr>
        <w:t xml:space="preserve"> </w:t>
      </w:r>
      <w:r>
        <w:t>also</w:t>
      </w:r>
      <w:r>
        <w:rPr>
          <w:spacing w:val="-5"/>
        </w:rPr>
        <w:t xml:space="preserve"> </w:t>
      </w:r>
      <w:r>
        <w:t>note</w:t>
      </w:r>
      <w:r>
        <w:rPr>
          <w:spacing w:val="-8"/>
        </w:rPr>
        <w:t xml:space="preserve"> </w:t>
      </w:r>
      <w:r>
        <w:t>concerns</w:t>
      </w:r>
      <w:r>
        <w:rPr>
          <w:spacing w:val="-5"/>
        </w:rPr>
        <w:t xml:space="preserve"> </w:t>
      </w:r>
      <w:r>
        <w:t>with</w:t>
      </w:r>
      <w:r>
        <w:rPr>
          <w:spacing w:val="-6"/>
        </w:rPr>
        <w:t xml:space="preserve"> </w:t>
      </w:r>
      <w:r>
        <w:t>how</w:t>
      </w:r>
      <w:r>
        <w:rPr>
          <w:spacing w:val="-7"/>
        </w:rPr>
        <w:t xml:space="preserve"> </w:t>
      </w:r>
      <w:r>
        <w:t>some</w:t>
      </w:r>
      <w:r>
        <w:rPr>
          <w:spacing w:val="-6"/>
        </w:rPr>
        <w:t xml:space="preserve"> </w:t>
      </w:r>
      <w:r>
        <w:t>of</w:t>
      </w:r>
      <w:r>
        <w:rPr>
          <w:spacing w:val="-5"/>
        </w:rPr>
        <w:t xml:space="preserve"> </w:t>
      </w:r>
      <w:r>
        <w:t>CMS’</w:t>
      </w:r>
      <w:r>
        <w:rPr>
          <w:spacing w:val="-5"/>
        </w:rPr>
        <w:t xml:space="preserve"> </w:t>
      </w:r>
      <w:r>
        <w:t>proposals</w:t>
      </w:r>
      <w:r>
        <w:rPr>
          <w:spacing w:val="-5"/>
        </w:rPr>
        <w:t xml:space="preserve"> </w:t>
      </w:r>
      <w:r>
        <w:t>would negatively impact beneficiaries, plans, and the MA and Part D programs</w:t>
      </w:r>
      <w:r>
        <w:rPr>
          <w:spacing w:val="-21"/>
        </w:rPr>
        <w:t xml:space="preserve"> </w:t>
      </w:r>
      <w:r>
        <w:t>themselves.</w:t>
      </w:r>
    </w:p>
    <w:p w:rsidR="00805174" w:rsidRDefault="00805174">
      <w:pPr>
        <w:pStyle w:val="BodyText"/>
        <w:spacing w:before="9"/>
        <w:rPr>
          <w:sz w:val="21"/>
        </w:rPr>
      </w:pPr>
    </w:p>
    <w:p w:rsidR="00805174" w:rsidRDefault="000A64A3">
      <w:pPr>
        <w:pStyle w:val="BodyText"/>
        <w:ind w:left="100" w:right="114"/>
        <w:jc w:val="both"/>
      </w:pPr>
      <w:r>
        <w:t>In</w:t>
      </w:r>
      <w:r>
        <w:rPr>
          <w:spacing w:val="-4"/>
        </w:rPr>
        <w:t xml:space="preserve"> </w:t>
      </w:r>
      <w:r>
        <w:t>addition</w:t>
      </w:r>
      <w:r>
        <w:rPr>
          <w:spacing w:val="-6"/>
        </w:rPr>
        <w:t xml:space="preserve"> </w:t>
      </w:r>
      <w:r>
        <w:t>to</w:t>
      </w:r>
      <w:r>
        <w:rPr>
          <w:spacing w:val="-6"/>
        </w:rPr>
        <w:t xml:space="preserve"> </w:t>
      </w:r>
      <w:r>
        <w:t>our</w:t>
      </w:r>
      <w:r>
        <w:rPr>
          <w:spacing w:val="-5"/>
        </w:rPr>
        <w:t xml:space="preserve"> </w:t>
      </w:r>
      <w:r>
        <w:t>detailed</w:t>
      </w:r>
      <w:r>
        <w:rPr>
          <w:spacing w:val="-6"/>
        </w:rPr>
        <w:t xml:space="preserve"> </w:t>
      </w:r>
      <w:r>
        <w:t>comments</w:t>
      </w:r>
      <w:r>
        <w:rPr>
          <w:spacing w:val="-3"/>
        </w:rPr>
        <w:t xml:space="preserve"> </w:t>
      </w:r>
      <w:r>
        <w:t>and</w:t>
      </w:r>
      <w:r>
        <w:rPr>
          <w:spacing w:val="-6"/>
        </w:rPr>
        <w:t xml:space="preserve"> </w:t>
      </w:r>
      <w:r>
        <w:t>recommendations,</w:t>
      </w:r>
      <w:r>
        <w:rPr>
          <w:spacing w:val="-4"/>
        </w:rPr>
        <w:t xml:space="preserve"> </w:t>
      </w:r>
      <w:r>
        <w:t>which</w:t>
      </w:r>
      <w:r>
        <w:rPr>
          <w:spacing w:val="-6"/>
        </w:rPr>
        <w:t xml:space="preserve"> </w:t>
      </w:r>
      <w:r>
        <w:t>begin</w:t>
      </w:r>
      <w:r>
        <w:rPr>
          <w:spacing w:val="-6"/>
        </w:rPr>
        <w:t xml:space="preserve"> </w:t>
      </w:r>
      <w:r>
        <w:t>on</w:t>
      </w:r>
      <w:r>
        <w:rPr>
          <w:spacing w:val="-6"/>
        </w:rPr>
        <w:t xml:space="preserve"> </w:t>
      </w:r>
      <w:r>
        <w:t>page</w:t>
      </w:r>
      <w:r>
        <w:rPr>
          <w:spacing w:val="-5"/>
        </w:rPr>
        <w:t xml:space="preserve"> </w:t>
      </w:r>
      <w:r>
        <w:t>2,</w:t>
      </w:r>
      <w:r>
        <w:rPr>
          <w:spacing w:val="-6"/>
        </w:rPr>
        <w:t xml:space="preserve"> </w:t>
      </w:r>
      <w:r>
        <w:t>Anthem</w:t>
      </w:r>
      <w:r>
        <w:rPr>
          <w:spacing w:val="-9"/>
        </w:rPr>
        <w:t xml:space="preserve"> </w:t>
      </w:r>
      <w:r>
        <w:t>highlights</w:t>
      </w:r>
      <w:r>
        <w:rPr>
          <w:spacing w:val="-5"/>
        </w:rPr>
        <w:t xml:space="preserve"> </w:t>
      </w:r>
      <w:r>
        <w:t>the following priorities. Specifically, Anthem urges CMS</w:t>
      </w:r>
      <w:r>
        <w:rPr>
          <w:spacing w:val="-20"/>
        </w:rPr>
        <w:t xml:space="preserve"> </w:t>
      </w:r>
      <w:r>
        <w:t>to:</w:t>
      </w:r>
    </w:p>
    <w:p w:rsidR="00805174" w:rsidRDefault="00805174">
      <w:pPr>
        <w:pStyle w:val="BodyText"/>
        <w:spacing w:before="5"/>
      </w:pPr>
    </w:p>
    <w:p w:rsidR="00805174" w:rsidRDefault="000A64A3">
      <w:pPr>
        <w:pStyle w:val="Heading1"/>
        <w:numPr>
          <w:ilvl w:val="0"/>
          <w:numId w:val="11"/>
        </w:numPr>
        <w:tabs>
          <w:tab w:val="left" w:pos="821"/>
        </w:tabs>
        <w:spacing w:before="1" w:line="237" w:lineRule="auto"/>
        <w:ind w:right="113"/>
        <w:rPr>
          <w:b w:val="0"/>
        </w:rPr>
      </w:pPr>
      <w:r>
        <w:t>Not m</w:t>
      </w:r>
      <w:r>
        <w:t>odify the methodology for calculating the coding pattern adjustment until CMS provides</w:t>
      </w:r>
      <w:r>
        <w:rPr>
          <w:spacing w:val="-13"/>
        </w:rPr>
        <w:t xml:space="preserve"> </w:t>
      </w:r>
      <w:r>
        <w:t>plans</w:t>
      </w:r>
      <w:r>
        <w:rPr>
          <w:spacing w:val="-16"/>
        </w:rPr>
        <w:t xml:space="preserve"> </w:t>
      </w:r>
      <w:r>
        <w:t>and</w:t>
      </w:r>
      <w:r>
        <w:rPr>
          <w:spacing w:val="-14"/>
        </w:rPr>
        <w:t xml:space="preserve"> </w:t>
      </w:r>
      <w:r>
        <w:t>other</w:t>
      </w:r>
      <w:r>
        <w:rPr>
          <w:spacing w:val="-15"/>
        </w:rPr>
        <w:t xml:space="preserve"> </w:t>
      </w:r>
      <w:r>
        <w:t>stakeholders</w:t>
      </w:r>
      <w:r>
        <w:rPr>
          <w:spacing w:val="-15"/>
        </w:rPr>
        <w:t xml:space="preserve"> </w:t>
      </w:r>
      <w:r>
        <w:t>with</w:t>
      </w:r>
      <w:r>
        <w:rPr>
          <w:spacing w:val="-14"/>
        </w:rPr>
        <w:t xml:space="preserve"> </w:t>
      </w:r>
      <w:r>
        <w:t>significantly</w:t>
      </w:r>
      <w:r>
        <w:rPr>
          <w:spacing w:val="-16"/>
        </w:rPr>
        <w:t xml:space="preserve"> </w:t>
      </w:r>
      <w:r>
        <w:t>more</w:t>
      </w:r>
      <w:r>
        <w:rPr>
          <w:spacing w:val="-15"/>
        </w:rPr>
        <w:t xml:space="preserve"> </w:t>
      </w:r>
      <w:r>
        <w:t>information</w:t>
      </w:r>
      <w:r>
        <w:rPr>
          <w:spacing w:val="-14"/>
        </w:rPr>
        <w:t xml:space="preserve"> </w:t>
      </w:r>
      <w:r>
        <w:t>about</w:t>
      </w:r>
      <w:r>
        <w:rPr>
          <w:spacing w:val="-13"/>
        </w:rPr>
        <w:t xml:space="preserve"> </w:t>
      </w:r>
      <w:r>
        <w:t>and</w:t>
      </w:r>
      <w:r>
        <w:rPr>
          <w:spacing w:val="-14"/>
        </w:rPr>
        <w:t xml:space="preserve"> </w:t>
      </w:r>
      <w:r>
        <w:t>a</w:t>
      </w:r>
      <w:r>
        <w:rPr>
          <w:spacing w:val="-16"/>
        </w:rPr>
        <w:t xml:space="preserve"> </w:t>
      </w:r>
      <w:r>
        <w:t>longer timeline</w:t>
      </w:r>
      <w:r>
        <w:rPr>
          <w:spacing w:val="-14"/>
        </w:rPr>
        <w:t xml:space="preserve"> </w:t>
      </w:r>
      <w:r>
        <w:t>to</w:t>
      </w:r>
      <w:r>
        <w:rPr>
          <w:spacing w:val="-14"/>
        </w:rPr>
        <w:t xml:space="preserve"> </w:t>
      </w:r>
      <w:r>
        <w:t>review</w:t>
      </w:r>
      <w:r>
        <w:rPr>
          <w:spacing w:val="-11"/>
        </w:rPr>
        <w:t xml:space="preserve"> </w:t>
      </w:r>
      <w:r>
        <w:t>and</w:t>
      </w:r>
      <w:r>
        <w:rPr>
          <w:spacing w:val="-13"/>
        </w:rPr>
        <w:t xml:space="preserve"> </w:t>
      </w:r>
      <w:r>
        <w:t>meaningfully</w:t>
      </w:r>
      <w:r>
        <w:rPr>
          <w:spacing w:val="-11"/>
        </w:rPr>
        <w:t xml:space="preserve"> </w:t>
      </w:r>
      <w:r>
        <w:t>comment</w:t>
      </w:r>
      <w:r>
        <w:rPr>
          <w:spacing w:val="-13"/>
        </w:rPr>
        <w:t xml:space="preserve"> </w:t>
      </w:r>
      <w:r>
        <w:t>on</w:t>
      </w:r>
      <w:r>
        <w:rPr>
          <w:spacing w:val="-12"/>
        </w:rPr>
        <w:t xml:space="preserve"> </w:t>
      </w:r>
      <w:r>
        <w:t>contemplated</w:t>
      </w:r>
      <w:r>
        <w:rPr>
          <w:spacing w:val="-14"/>
        </w:rPr>
        <w:t xml:space="preserve"> </w:t>
      </w:r>
      <w:r>
        <w:t>changes.</w:t>
      </w:r>
      <w:r>
        <w:rPr>
          <w:spacing w:val="-10"/>
        </w:rPr>
        <w:t xml:space="preserve"> </w:t>
      </w:r>
      <w:r>
        <w:rPr>
          <w:b w:val="0"/>
        </w:rPr>
        <w:t>CMS</w:t>
      </w:r>
      <w:r>
        <w:rPr>
          <w:b w:val="0"/>
          <w:spacing w:val="-14"/>
        </w:rPr>
        <w:t xml:space="preserve"> </w:t>
      </w:r>
      <w:r>
        <w:rPr>
          <w:b w:val="0"/>
        </w:rPr>
        <w:t>should</w:t>
      </w:r>
      <w:r>
        <w:rPr>
          <w:b w:val="0"/>
          <w:spacing w:val="-11"/>
        </w:rPr>
        <w:t xml:space="preserve"> </w:t>
      </w:r>
      <w:r>
        <w:rPr>
          <w:b w:val="0"/>
        </w:rPr>
        <w:t>maintain</w:t>
      </w:r>
    </w:p>
    <w:p w:rsidR="00805174" w:rsidRDefault="00805174">
      <w:pPr>
        <w:pStyle w:val="BodyText"/>
        <w:rPr>
          <w:sz w:val="20"/>
        </w:rPr>
      </w:pPr>
    </w:p>
    <w:p w:rsidR="00805174" w:rsidRDefault="00805174">
      <w:pPr>
        <w:pStyle w:val="BodyText"/>
        <w:spacing w:before="5"/>
        <w:rPr>
          <w:sz w:val="16"/>
        </w:rPr>
      </w:pPr>
    </w:p>
    <w:p w:rsidR="00805174" w:rsidRDefault="000A64A3">
      <w:pPr>
        <w:pStyle w:val="BodyText"/>
        <w:spacing w:before="56"/>
        <w:ind w:left="100"/>
        <w:rPr>
          <w:rFonts w:ascii="Calibri"/>
        </w:rPr>
      </w:pPr>
      <w:r>
        <w:rPr>
          <w:rFonts w:ascii="Calibri"/>
        </w:rPr>
        <w:t>antheminc.com</w:t>
      </w:r>
    </w:p>
    <w:p w:rsidR="00805174" w:rsidRDefault="00805174">
      <w:pPr>
        <w:rPr>
          <w:rFonts w:ascii="Calibri"/>
        </w:rPr>
        <w:sectPr w:rsidR="00805174">
          <w:type w:val="continuous"/>
          <w:pgSz w:w="12240" w:h="15840"/>
          <w:pgMar w:top="720" w:right="1320" w:bottom="280" w:left="1340" w:header="720" w:footer="720" w:gutter="0"/>
          <w:cols w:space="720"/>
        </w:sectPr>
      </w:pPr>
    </w:p>
    <w:p w:rsidR="00805174" w:rsidRDefault="000A64A3">
      <w:pPr>
        <w:pStyle w:val="BodyText"/>
        <w:spacing w:before="74"/>
        <w:ind w:left="820" w:right="117"/>
        <w:jc w:val="both"/>
      </w:pPr>
      <w:r>
        <w:lastRenderedPageBreak/>
        <w:t>the current statutory minimum 5.90 percent coding pattern adjustment for 2019, and undertake a robust,</w:t>
      </w:r>
      <w:r>
        <w:rPr>
          <w:spacing w:val="-10"/>
        </w:rPr>
        <w:t xml:space="preserve"> </w:t>
      </w:r>
      <w:r>
        <w:t>stakeholder-inclusive</w:t>
      </w:r>
      <w:r>
        <w:rPr>
          <w:spacing w:val="-7"/>
        </w:rPr>
        <w:t xml:space="preserve"> </w:t>
      </w:r>
      <w:r>
        <w:t>process</w:t>
      </w:r>
      <w:r>
        <w:rPr>
          <w:spacing w:val="-9"/>
        </w:rPr>
        <w:t xml:space="preserve"> </w:t>
      </w:r>
      <w:r>
        <w:t>to</w:t>
      </w:r>
      <w:r>
        <w:rPr>
          <w:spacing w:val="-10"/>
        </w:rPr>
        <w:t xml:space="preserve"> </w:t>
      </w:r>
      <w:r>
        <w:t>first</w:t>
      </w:r>
      <w:r>
        <w:rPr>
          <w:spacing w:val="-8"/>
        </w:rPr>
        <w:t xml:space="preserve"> </w:t>
      </w:r>
      <w:r>
        <w:t>determine</w:t>
      </w:r>
      <w:r>
        <w:rPr>
          <w:spacing w:val="-9"/>
        </w:rPr>
        <w:t xml:space="preserve"> </w:t>
      </w:r>
      <w:r>
        <w:t>the</w:t>
      </w:r>
      <w:r>
        <w:rPr>
          <w:spacing w:val="-9"/>
        </w:rPr>
        <w:t xml:space="preserve"> </w:t>
      </w:r>
      <w:r>
        <w:t>ongoing</w:t>
      </w:r>
      <w:r>
        <w:rPr>
          <w:spacing w:val="-10"/>
        </w:rPr>
        <w:t xml:space="preserve"> </w:t>
      </w:r>
      <w:r>
        <w:t>relevance</w:t>
      </w:r>
      <w:r>
        <w:rPr>
          <w:spacing w:val="-9"/>
        </w:rPr>
        <w:t xml:space="preserve"> </w:t>
      </w:r>
      <w:r>
        <w:t>of</w:t>
      </w:r>
      <w:r>
        <w:rPr>
          <w:spacing w:val="-9"/>
        </w:rPr>
        <w:t xml:space="preserve"> </w:t>
      </w:r>
      <w:r>
        <w:t>the</w:t>
      </w:r>
      <w:r>
        <w:rPr>
          <w:spacing w:val="-7"/>
        </w:rPr>
        <w:t xml:space="preserve"> </w:t>
      </w:r>
      <w:r>
        <w:t>coding</w:t>
      </w:r>
      <w:r>
        <w:rPr>
          <w:spacing w:val="-10"/>
        </w:rPr>
        <w:t xml:space="preserve"> </w:t>
      </w:r>
      <w:r>
        <w:t>pattern adjustment, and then, if appropriate, the level of the</w:t>
      </w:r>
      <w:r>
        <w:rPr>
          <w:spacing w:val="-15"/>
        </w:rPr>
        <w:t xml:space="preserve"> </w:t>
      </w:r>
      <w:r>
        <w:t>adjustment.</w:t>
      </w:r>
    </w:p>
    <w:p w:rsidR="00805174" w:rsidRDefault="00805174">
      <w:pPr>
        <w:pStyle w:val="BodyText"/>
        <w:spacing w:before="4"/>
      </w:pPr>
    </w:p>
    <w:p w:rsidR="00805174" w:rsidRDefault="000A64A3">
      <w:pPr>
        <w:pStyle w:val="ListParagraph"/>
        <w:numPr>
          <w:ilvl w:val="0"/>
          <w:numId w:val="11"/>
        </w:numPr>
        <w:tabs>
          <w:tab w:val="left" w:pos="821"/>
        </w:tabs>
        <w:ind w:right="113"/>
      </w:pPr>
      <w:r>
        <w:rPr>
          <w:b/>
        </w:rPr>
        <w:t xml:space="preserve">Phase-in implementation of the recalibrated End-Stage Renal Disease (ESRD) risk adjustment model to ensure stability for a highly vulnerable patient population. </w:t>
      </w:r>
      <w:r>
        <w:t>MA plans that</w:t>
      </w:r>
      <w:r>
        <w:rPr>
          <w:spacing w:val="-11"/>
        </w:rPr>
        <w:t xml:space="preserve"> </w:t>
      </w:r>
      <w:r>
        <w:t>serve</w:t>
      </w:r>
      <w:r>
        <w:rPr>
          <w:spacing w:val="-12"/>
        </w:rPr>
        <w:t xml:space="preserve"> </w:t>
      </w:r>
      <w:r>
        <w:t>ESRD</w:t>
      </w:r>
      <w:r>
        <w:rPr>
          <w:spacing w:val="-13"/>
        </w:rPr>
        <w:t xml:space="preserve"> </w:t>
      </w:r>
      <w:r>
        <w:t>patients</w:t>
      </w:r>
      <w:r>
        <w:rPr>
          <w:spacing w:val="-11"/>
        </w:rPr>
        <w:t xml:space="preserve"> </w:t>
      </w:r>
      <w:r>
        <w:t>have</w:t>
      </w:r>
      <w:r>
        <w:rPr>
          <w:spacing w:val="-12"/>
        </w:rPr>
        <w:t xml:space="preserve"> </w:t>
      </w:r>
      <w:r>
        <w:t>experienced</w:t>
      </w:r>
      <w:r>
        <w:rPr>
          <w:spacing w:val="-12"/>
        </w:rPr>
        <w:t xml:space="preserve"> </w:t>
      </w:r>
      <w:r>
        <w:t>significant</w:t>
      </w:r>
      <w:r>
        <w:rPr>
          <w:spacing w:val="-11"/>
        </w:rPr>
        <w:t xml:space="preserve"> </w:t>
      </w:r>
      <w:r>
        <w:t>swings</w:t>
      </w:r>
      <w:r>
        <w:rPr>
          <w:spacing w:val="-11"/>
        </w:rPr>
        <w:t xml:space="preserve"> </w:t>
      </w:r>
      <w:r>
        <w:t>in</w:t>
      </w:r>
      <w:r>
        <w:rPr>
          <w:spacing w:val="-12"/>
        </w:rPr>
        <w:t xml:space="preserve"> </w:t>
      </w:r>
      <w:r>
        <w:t>payment</w:t>
      </w:r>
      <w:r>
        <w:rPr>
          <w:spacing w:val="-11"/>
        </w:rPr>
        <w:t xml:space="preserve"> </w:t>
      </w:r>
      <w:r>
        <w:t>rates</w:t>
      </w:r>
      <w:r>
        <w:rPr>
          <w:spacing w:val="-11"/>
        </w:rPr>
        <w:t xml:space="preserve"> </w:t>
      </w:r>
      <w:r>
        <w:t>over</w:t>
      </w:r>
      <w:r>
        <w:rPr>
          <w:spacing w:val="-13"/>
        </w:rPr>
        <w:t xml:space="preserve"> </w:t>
      </w:r>
      <w:r>
        <w:t>the</w:t>
      </w:r>
      <w:r>
        <w:rPr>
          <w:spacing w:val="-12"/>
        </w:rPr>
        <w:t xml:space="preserve"> </w:t>
      </w:r>
      <w:r>
        <w:t>last</w:t>
      </w:r>
      <w:r>
        <w:rPr>
          <w:spacing w:val="-10"/>
        </w:rPr>
        <w:t xml:space="preserve"> </w:t>
      </w:r>
      <w:r>
        <w:t xml:space="preserve">several years. These frequent and significant fluctuations in payment policy have a direct impact on beneficiaries by making it challenging to design stable benefit packages that limit year-to-year changes for our members. CMS’ proposal to recalibrate the </w:t>
      </w:r>
      <w:r>
        <w:t>ESRD risk adjustment model—while long</w:t>
      </w:r>
      <w:r>
        <w:rPr>
          <w:spacing w:val="-12"/>
        </w:rPr>
        <w:t xml:space="preserve"> </w:t>
      </w:r>
      <w:r>
        <w:t>overdue—is</w:t>
      </w:r>
      <w:r>
        <w:rPr>
          <w:spacing w:val="-9"/>
        </w:rPr>
        <w:t xml:space="preserve"> </w:t>
      </w:r>
      <w:r>
        <w:t>yet</w:t>
      </w:r>
      <w:r>
        <w:rPr>
          <w:spacing w:val="-8"/>
        </w:rPr>
        <w:t xml:space="preserve"> </w:t>
      </w:r>
      <w:r>
        <w:t>another</w:t>
      </w:r>
      <w:r>
        <w:rPr>
          <w:spacing w:val="-8"/>
        </w:rPr>
        <w:t xml:space="preserve"> </w:t>
      </w:r>
      <w:r>
        <w:t>payment</w:t>
      </w:r>
      <w:r>
        <w:rPr>
          <w:spacing w:val="-8"/>
        </w:rPr>
        <w:t xml:space="preserve"> </w:t>
      </w:r>
      <w:r>
        <w:t>update</w:t>
      </w:r>
      <w:r>
        <w:rPr>
          <w:spacing w:val="-9"/>
        </w:rPr>
        <w:t xml:space="preserve"> </w:t>
      </w:r>
      <w:r>
        <w:t>impacting</w:t>
      </w:r>
      <w:r>
        <w:rPr>
          <w:spacing w:val="-12"/>
        </w:rPr>
        <w:t xml:space="preserve"> </w:t>
      </w:r>
      <w:r>
        <w:t>a</w:t>
      </w:r>
      <w:r>
        <w:rPr>
          <w:spacing w:val="-9"/>
        </w:rPr>
        <w:t xml:space="preserve"> </w:t>
      </w:r>
      <w:r>
        <w:t>small,</w:t>
      </w:r>
      <w:r>
        <w:rPr>
          <w:spacing w:val="-10"/>
        </w:rPr>
        <w:t xml:space="preserve"> </w:t>
      </w:r>
      <w:r>
        <w:t>high-need</w:t>
      </w:r>
      <w:r>
        <w:rPr>
          <w:spacing w:val="-10"/>
        </w:rPr>
        <w:t xml:space="preserve"> </w:t>
      </w:r>
      <w:r>
        <w:t>beneficiary</w:t>
      </w:r>
      <w:r>
        <w:rPr>
          <w:spacing w:val="-12"/>
        </w:rPr>
        <w:t xml:space="preserve"> </w:t>
      </w:r>
      <w:r>
        <w:t xml:space="preserve">population. Anthem urges CMS to phase-in implementation of the recalibrated ESRD risk adjustment model over a three-year period, beginning </w:t>
      </w:r>
      <w:r>
        <w:t>in 2019, with such changes being fully implemented for 2022 and subsequent</w:t>
      </w:r>
      <w:r>
        <w:rPr>
          <w:spacing w:val="-4"/>
        </w:rPr>
        <w:t xml:space="preserve"> </w:t>
      </w:r>
      <w:r>
        <w:t>years.</w:t>
      </w:r>
    </w:p>
    <w:p w:rsidR="00805174" w:rsidRDefault="00805174">
      <w:pPr>
        <w:pStyle w:val="BodyText"/>
        <w:spacing w:before="11"/>
        <w:rPr>
          <w:sz w:val="21"/>
        </w:rPr>
      </w:pPr>
    </w:p>
    <w:p w:rsidR="00805174" w:rsidRDefault="000A64A3">
      <w:pPr>
        <w:pStyle w:val="ListParagraph"/>
        <w:numPr>
          <w:ilvl w:val="0"/>
          <w:numId w:val="11"/>
        </w:numPr>
        <w:tabs>
          <w:tab w:val="left" w:pos="821"/>
        </w:tabs>
        <w:ind w:right="112"/>
      </w:pPr>
      <w:r>
        <w:rPr>
          <w:b/>
        </w:rPr>
        <w:t xml:space="preserve">Begin implementing proposed changes to the Part C CMS-HCC risk model in 2019. </w:t>
      </w:r>
      <w:r>
        <w:t xml:space="preserve">Anthem supports inclusion of additional diagnosis codes related to mental health and substance </w:t>
      </w:r>
      <w:r>
        <w:t>use disorders and the severity of chronic kidney disease to the 2019 Part C risk adjustment model. We also</w:t>
      </w:r>
      <w:r>
        <w:rPr>
          <w:spacing w:val="-3"/>
        </w:rPr>
        <w:t xml:space="preserve"> </w:t>
      </w:r>
      <w:r>
        <w:t>encourage</w:t>
      </w:r>
      <w:r>
        <w:rPr>
          <w:spacing w:val="-3"/>
        </w:rPr>
        <w:t xml:space="preserve"> </w:t>
      </w:r>
      <w:r>
        <w:t>CMS</w:t>
      </w:r>
      <w:r>
        <w:rPr>
          <w:spacing w:val="-3"/>
        </w:rPr>
        <w:t xml:space="preserve"> </w:t>
      </w:r>
      <w:r>
        <w:t>to</w:t>
      </w:r>
      <w:r>
        <w:rPr>
          <w:spacing w:val="-4"/>
        </w:rPr>
        <w:t xml:space="preserve"> </w:t>
      </w:r>
      <w:r>
        <w:t>move</w:t>
      </w:r>
      <w:r>
        <w:rPr>
          <w:spacing w:val="-3"/>
        </w:rPr>
        <w:t xml:space="preserve"> </w:t>
      </w:r>
      <w:r>
        <w:t>forward</w:t>
      </w:r>
      <w:r>
        <w:rPr>
          <w:spacing w:val="-4"/>
        </w:rPr>
        <w:t xml:space="preserve"> </w:t>
      </w:r>
      <w:r>
        <w:t>to</w:t>
      </w:r>
      <w:r>
        <w:rPr>
          <w:spacing w:val="-6"/>
        </w:rPr>
        <w:t xml:space="preserve"> </w:t>
      </w:r>
      <w:r>
        <w:t>implement</w:t>
      </w:r>
      <w:r>
        <w:rPr>
          <w:spacing w:val="-3"/>
        </w:rPr>
        <w:t xml:space="preserve"> </w:t>
      </w:r>
      <w:r>
        <w:t>its</w:t>
      </w:r>
      <w:r>
        <w:rPr>
          <w:spacing w:val="-6"/>
        </w:rPr>
        <w:t xml:space="preserve"> </w:t>
      </w:r>
      <w:r>
        <w:t>proposed</w:t>
      </w:r>
      <w:r>
        <w:rPr>
          <w:spacing w:val="-4"/>
        </w:rPr>
        <w:t xml:space="preserve"> </w:t>
      </w:r>
      <w:r>
        <w:t>Payment</w:t>
      </w:r>
      <w:r>
        <w:rPr>
          <w:spacing w:val="-3"/>
        </w:rPr>
        <w:t xml:space="preserve"> </w:t>
      </w:r>
      <w:r>
        <w:t>Condition</w:t>
      </w:r>
      <w:r>
        <w:rPr>
          <w:spacing w:val="-4"/>
        </w:rPr>
        <w:t xml:space="preserve"> </w:t>
      </w:r>
      <w:r>
        <w:t>Count</w:t>
      </w:r>
      <w:r>
        <w:rPr>
          <w:spacing w:val="-3"/>
        </w:rPr>
        <w:t xml:space="preserve"> </w:t>
      </w:r>
      <w:r>
        <w:t>model beginning</w:t>
      </w:r>
      <w:r>
        <w:rPr>
          <w:spacing w:val="-9"/>
        </w:rPr>
        <w:t xml:space="preserve"> </w:t>
      </w:r>
      <w:r>
        <w:t>in</w:t>
      </w:r>
      <w:r>
        <w:rPr>
          <w:spacing w:val="-9"/>
        </w:rPr>
        <w:t xml:space="preserve"> </w:t>
      </w:r>
      <w:r>
        <w:t>2019.</w:t>
      </w:r>
      <w:r>
        <w:rPr>
          <w:spacing w:val="-5"/>
        </w:rPr>
        <w:t xml:space="preserve"> </w:t>
      </w:r>
      <w:r>
        <w:t>Anthem</w:t>
      </w:r>
      <w:r>
        <w:rPr>
          <w:spacing w:val="-9"/>
        </w:rPr>
        <w:t xml:space="preserve"> </w:t>
      </w:r>
      <w:r>
        <w:t>has</w:t>
      </w:r>
      <w:r>
        <w:rPr>
          <w:spacing w:val="-8"/>
        </w:rPr>
        <w:t xml:space="preserve"> </w:t>
      </w:r>
      <w:r>
        <w:t>long</w:t>
      </w:r>
      <w:r>
        <w:rPr>
          <w:spacing w:val="-9"/>
        </w:rPr>
        <w:t xml:space="preserve"> </w:t>
      </w:r>
      <w:r>
        <w:t>been</w:t>
      </w:r>
      <w:r>
        <w:rPr>
          <w:spacing w:val="-5"/>
        </w:rPr>
        <w:t xml:space="preserve"> </w:t>
      </w:r>
      <w:r>
        <w:t>a</w:t>
      </w:r>
      <w:r>
        <w:rPr>
          <w:spacing w:val="-8"/>
        </w:rPr>
        <w:t xml:space="preserve"> </w:t>
      </w:r>
      <w:r>
        <w:t>proponent</w:t>
      </w:r>
      <w:r>
        <w:rPr>
          <w:spacing w:val="-7"/>
        </w:rPr>
        <w:t xml:space="preserve"> </w:t>
      </w:r>
      <w:r>
        <w:t>of</w:t>
      </w:r>
      <w:r>
        <w:rPr>
          <w:spacing w:val="-5"/>
        </w:rPr>
        <w:t xml:space="preserve"> </w:t>
      </w:r>
      <w:r>
        <w:t>risk</w:t>
      </w:r>
      <w:r>
        <w:rPr>
          <w:spacing w:val="-8"/>
        </w:rPr>
        <w:t xml:space="preserve"> </w:t>
      </w:r>
      <w:r>
        <w:t>model</w:t>
      </w:r>
      <w:r>
        <w:rPr>
          <w:spacing w:val="-5"/>
        </w:rPr>
        <w:t xml:space="preserve"> </w:t>
      </w:r>
      <w:r>
        <w:t>updates</w:t>
      </w:r>
      <w:r>
        <w:rPr>
          <w:spacing w:val="-8"/>
        </w:rPr>
        <w:t xml:space="preserve"> </w:t>
      </w:r>
      <w:r>
        <w:t>that</w:t>
      </w:r>
      <w:r>
        <w:rPr>
          <w:spacing w:val="-7"/>
        </w:rPr>
        <w:t xml:space="preserve"> </w:t>
      </w:r>
      <w:r>
        <w:t>promote</w:t>
      </w:r>
      <w:r>
        <w:rPr>
          <w:spacing w:val="-6"/>
        </w:rPr>
        <w:t xml:space="preserve"> </w:t>
      </w:r>
      <w:r>
        <w:t>the</w:t>
      </w:r>
      <w:r>
        <w:rPr>
          <w:spacing w:val="-8"/>
        </w:rPr>
        <w:t xml:space="preserve"> </w:t>
      </w:r>
      <w:r>
        <w:t>early detection of chronic diseases, prevention of complications and disease progression, and management</w:t>
      </w:r>
      <w:r>
        <w:rPr>
          <w:spacing w:val="-6"/>
        </w:rPr>
        <w:t xml:space="preserve"> </w:t>
      </w:r>
      <w:r>
        <w:t>of</w:t>
      </w:r>
      <w:r>
        <w:rPr>
          <w:spacing w:val="-6"/>
        </w:rPr>
        <w:t xml:space="preserve"> </w:t>
      </w:r>
      <w:r>
        <w:t>chronic</w:t>
      </w:r>
      <w:r>
        <w:rPr>
          <w:spacing w:val="-7"/>
        </w:rPr>
        <w:t xml:space="preserve"> </w:t>
      </w:r>
      <w:r>
        <w:t>diseases.</w:t>
      </w:r>
      <w:r>
        <w:rPr>
          <w:spacing w:val="-6"/>
        </w:rPr>
        <w:t xml:space="preserve"> </w:t>
      </w:r>
      <w:r>
        <w:t>CMS’</w:t>
      </w:r>
      <w:r>
        <w:rPr>
          <w:spacing w:val="-6"/>
        </w:rPr>
        <w:t xml:space="preserve"> </w:t>
      </w:r>
      <w:r>
        <w:t>proposals</w:t>
      </w:r>
      <w:r>
        <w:rPr>
          <w:spacing w:val="-6"/>
        </w:rPr>
        <w:t xml:space="preserve"> </w:t>
      </w:r>
      <w:r>
        <w:t>make</w:t>
      </w:r>
      <w:r>
        <w:rPr>
          <w:spacing w:val="-7"/>
        </w:rPr>
        <w:t xml:space="preserve"> </w:t>
      </w:r>
      <w:r>
        <w:t>important</w:t>
      </w:r>
      <w:r>
        <w:rPr>
          <w:spacing w:val="-6"/>
        </w:rPr>
        <w:t xml:space="preserve"> </w:t>
      </w:r>
      <w:r>
        <w:t>strides</w:t>
      </w:r>
      <w:r>
        <w:rPr>
          <w:spacing w:val="-6"/>
        </w:rPr>
        <w:t xml:space="preserve"> </w:t>
      </w:r>
      <w:r>
        <w:t>in</w:t>
      </w:r>
      <w:r>
        <w:rPr>
          <w:spacing w:val="-10"/>
        </w:rPr>
        <w:t xml:space="preserve"> </w:t>
      </w:r>
      <w:r>
        <w:t>achieving</w:t>
      </w:r>
      <w:r>
        <w:rPr>
          <w:spacing w:val="-10"/>
        </w:rPr>
        <w:t xml:space="preserve"> </w:t>
      </w:r>
      <w:r>
        <w:t>these</w:t>
      </w:r>
      <w:r>
        <w:rPr>
          <w:spacing w:val="-7"/>
        </w:rPr>
        <w:t xml:space="preserve"> </w:t>
      </w:r>
      <w:r>
        <w:t>goals.</w:t>
      </w:r>
    </w:p>
    <w:p w:rsidR="00805174" w:rsidRDefault="00805174">
      <w:pPr>
        <w:pStyle w:val="BodyText"/>
        <w:spacing w:before="3"/>
      </w:pPr>
    </w:p>
    <w:p w:rsidR="00805174" w:rsidRDefault="000A64A3">
      <w:pPr>
        <w:pStyle w:val="ListParagraph"/>
        <w:numPr>
          <w:ilvl w:val="0"/>
          <w:numId w:val="11"/>
        </w:numPr>
        <w:tabs>
          <w:tab w:val="left" w:pos="821"/>
        </w:tabs>
        <w:ind w:right="113"/>
      </w:pPr>
      <w:r>
        <w:rPr>
          <w:b/>
        </w:rPr>
        <w:t xml:space="preserve">Move forward with its proposal to </w:t>
      </w:r>
      <w:r>
        <w:rPr>
          <w:b/>
        </w:rPr>
        <w:t xml:space="preserve">expand the scope of the primarily health-related supplemental benefit standard to allow plans more flexibility to offer supplemental benefits that can enhance beneficiaries’ quality of life and improve health outcomes. </w:t>
      </w:r>
      <w:r>
        <w:t xml:space="preserve">Anthem has long believed that having </w:t>
      </w:r>
      <w:r>
        <w:t>the flexibility to design benefits that are attractive to members, meet health care needs, and drive utilization of effective services is critical to ensuring the continued growth and success of the MA program. By redefining health-related supplemental ben</w:t>
      </w:r>
      <w:r>
        <w:t>efits, CMS would allow</w:t>
      </w:r>
      <w:r>
        <w:rPr>
          <w:spacing w:val="-15"/>
        </w:rPr>
        <w:t xml:space="preserve"> </w:t>
      </w:r>
      <w:r>
        <w:t>plans</w:t>
      </w:r>
      <w:r>
        <w:rPr>
          <w:spacing w:val="-16"/>
        </w:rPr>
        <w:t xml:space="preserve"> </w:t>
      </w:r>
      <w:r>
        <w:t>to</w:t>
      </w:r>
      <w:r>
        <w:rPr>
          <w:spacing w:val="-14"/>
        </w:rPr>
        <w:t xml:space="preserve"> </w:t>
      </w:r>
      <w:r>
        <w:t>more</w:t>
      </w:r>
      <w:r>
        <w:rPr>
          <w:spacing w:val="-14"/>
        </w:rPr>
        <w:t xml:space="preserve"> </w:t>
      </w:r>
      <w:r>
        <w:t>holistically</w:t>
      </w:r>
      <w:r>
        <w:rPr>
          <w:spacing w:val="-17"/>
        </w:rPr>
        <w:t xml:space="preserve"> </w:t>
      </w:r>
      <w:r>
        <w:t>address</w:t>
      </w:r>
      <w:r>
        <w:rPr>
          <w:spacing w:val="-14"/>
        </w:rPr>
        <w:t xml:space="preserve"> </w:t>
      </w:r>
      <w:r>
        <w:t>the</w:t>
      </w:r>
      <w:r>
        <w:rPr>
          <w:spacing w:val="-14"/>
        </w:rPr>
        <w:t xml:space="preserve"> </w:t>
      </w:r>
      <w:r>
        <w:t>health</w:t>
      </w:r>
      <w:r>
        <w:rPr>
          <w:spacing w:val="-14"/>
        </w:rPr>
        <w:t xml:space="preserve"> </w:t>
      </w:r>
      <w:r>
        <w:t>care</w:t>
      </w:r>
      <w:r>
        <w:rPr>
          <w:spacing w:val="-16"/>
        </w:rPr>
        <w:t xml:space="preserve"> </w:t>
      </w:r>
      <w:r>
        <w:t>needs</w:t>
      </w:r>
      <w:r>
        <w:rPr>
          <w:spacing w:val="-16"/>
        </w:rPr>
        <w:t xml:space="preserve"> </w:t>
      </w:r>
      <w:r>
        <w:t>of</w:t>
      </w:r>
      <w:r>
        <w:rPr>
          <w:spacing w:val="-16"/>
        </w:rPr>
        <w:t xml:space="preserve"> </w:t>
      </w:r>
      <w:r>
        <w:t>their</w:t>
      </w:r>
      <w:r>
        <w:rPr>
          <w:spacing w:val="-14"/>
        </w:rPr>
        <w:t xml:space="preserve"> </w:t>
      </w:r>
      <w:r>
        <w:t>members,</w:t>
      </w:r>
      <w:r>
        <w:rPr>
          <w:spacing w:val="-14"/>
        </w:rPr>
        <w:t xml:space="preserve"> </w:t>
      </w:r>
      <w:r>
        <w:t>leading</w:t>
      </w:r>
      <w:r>
        <w:rPr>
          <w:spacing w:val="-12"/>
        </w:rPr>
        <w:t xml:space="preserve"> </w:t>
      </w:r>
      <w:r>
        <w:t>to</w:t>
      </w:r>
      <w:r>
        <w:rPr>
          <w:spacing w:val="-17"/>
        </w:rPr>
        <w:t xml:space="preserve"> </w:t>
      </w:r>
      <w:r>
        <w:t>improved outcomes, reduced out-of-pocket costs, and decreased system-wide</w:t>
      </w:r>
      <w:r>
        <w:rPr>
          <w:spacing w:val="-9"/>
        </w:rPr>
        <w:t xml:space="preserve"> </w:t>
      </w:r>
      <w:r>
        <w:t>costs.</w:t>
      </w:r>
    </w:p>
    <w:p w:rsidR="00805174" w:rsidRDefault="00805174">
      <w:pPr>
        <w:pStyle w:val="BodyText"/>
        <w:spacing w:before="9"/>
        <w:rPr>
          <w:sz w:val="21"/>
        </w:rPr>
      </w:pPr>
    </w:p>
    <w:p w:rsidR="00805174" w:rsidRDefault="000A64A3">
      <w:pPr>
        <w:pStyle w:val="ListParagraph"/>
        <w:numPr>
          <w:ilvl w:val="0"/>
          <w:numId w:val="11"/>
        </w:numPr>
        <w:tabs>
          <w:tab w:val="left" w:pos="821"/>
        </w:tabs>
        <w:spacing w:before="1"/>
        <w:ind w:right="111"/>
      </w:pPr>
      <w:r>
        <w:rPr>
          <w:b/>
        </w:rPr>
        <w:t xml:space="preserve">Allow plans the flexibility to offer targeted supplemental benefits to beneficiaries. </w:t>
      </w:r>
      <w:r>
        <w:t xml:space="preserve">Permitting plans to reduce cost sharing for certain benefits, offer specific tailored benefits, and offer lower deductibles for all enrollees that meet specific criteria </w:t>
      </w:r>
      <w:r>
        <w:t>will remove barriers to innovative benefit design</w:t>
      </w:r>
      <w:r>
        <w:rPr>
          <w:spacing w:val="-9"/>
        </w:rPr>
        <w:t xml:space="preserve"> </w:t>
      </w:r>
      <w:r>
        <w:t>and</w:t>
      </w:r>
      <w:r>
        <w:rPr>
          <w:spacing w:val="-10"/>
        </w:rPr>
        <w:t xml:space="preserve"> </w:t>
      </w:r>
      <w:r>
        <w:t>allow</w:t>
      </w:r>
      <w:r>
        <w:rPr>
          <w:spacing w:val="-10"/>
        </w:rPr>
        <w:t xml:space="preserve"> </w:t>
      </w:r>
      <w:r>
        <w:t>MA</w:t>
      </w:r>
      <w:r>
        <w:rPr>
          <w:spacing w:val="-11"/>
        </w:rPr>
        <w:t xml:space="preserve"> </w:t>
      </w:r>
      <w:r>
        <w:t>plans</w:t>
      </w:r>
      <w:r>
        <w:rPr>
          <w:spacing w:val="-12"/>
        </w:rPr>
        <w:t xml:space="preserve"> </w:t>
      </w:r>
      <w:r>
        <w:t>to</w:t>
      </w:r>
      <w:r>
        <w:rPr>
          <w:spacing w:val="-11"/>
        </w:rPr>
        <w:t xml:space="preserve"> </w:t>
      </w:r>
      <w:r>
        <w:t>further</w:t>
      </w:r>
      <w:r>
        <w:rPr>
          <w:spacing w:val="-10"/>
        </w:rPr>
        <w:t xml:space="preserve"> </w:t>
      </w:r>
      <w:r>
        <w:t>the</w:t>
      </w:r>
      <w:r>
        <w:rPr>
          <w:spacing w:val="-11"/>
        </w:rPr>
        <w:t xml:space="preserve"> </w:t>
      </w:r>
      <w:r>
        <w:t>goals</w:t>
      </w:r>
      <w:r>
        <w:rPr>
          <w:spacing w:val="-11"/>
        </w:rPr>
        <w:t xml:space="preserve"> </w:t>
      </w:r>
      <w:r>
        <w:t>of</w:t>
      </w:r>
      <w:r>
        <w:rPr>
          <w:spacing w:val="-10"/>
        </w:rPr>
        <w:t xml:space="preserve"> </w:t>
      </w:r>
      <w:r>
        <w:t>improving</w:t>
      </w:r>
      <w:r>
        <w:rPr>
          <w:spacing w:val="-11"/>
        </w:rPr>
        <w:t xml:space="preserve"> </w:t>
      </w:r>
      <w:r>
        <w:t>care</w:t>
      </w:r>
      <w:r>
        <w:rPr>
          <w:spacing w:val="-8"/>
        </w:rPr>
        <w:t xml:space="preserve"> </w:t>
      </w:r>
      <w:r>
        <w:t>delivery,</w:t>
      </w:r>
      <w:r>
        <w:rPr>
          <w:spacing w:val="-9"/>
        </w:rPr>
        <w:t xml:space="preserve"> </w:t>
      </w:r>
      <w:r>
        <w:t>promoting</w:t>
      </w:r>
      <w:r>
        <w:rPr>
          <w:spacing w:val="-11"/>
        </w:rPr>
        <w:t xml:space="preserve"> </w:t>
      </w:r>
      <w:r>
        <w:t>wellness</w:t>
      </w:r>
      <w:r>
        <w:rPr>
          <w:spacing w:val="-10"/>
        </w:rPr>
        <w:t xml:space="preserve"> </w:t>
      </w:r>
      <w:r>
        <w:t>and disease management, and achieving cost savings while maintaining quality. This additional flexibility is an importa</w:t>
      </w:r>
      <w:r>
        <w:t>nt step to ensure that medically vulnerable beneficiaries are receiving the best care for their needs, while also reducing the use of unnecessary, duplicative</w:t>
      </w:r>
      <w:r>
        <w:rPr>
          <w:spacing w:val="-23"/>
        </w:rPr>
        <w:t xml:space="preserve"> </w:t>
      </w:r>
      <w:r>
        <w:t>care.</w:t>
      </w:r>
    </w:p>
    <w:p w:rsidR="00805174" w:rsidRDefault="00805174">
      <w:pPr>
        <w:pStyle w:val="BodyText"/>
        <w:spacing w:before="6"/>
      </w:pPr>
    </w:p>
    <w:p w:rsidR="00805174" w:rsidRDefault="000A64A3">
      <w:pPr>
        <w:pStyle w:val="Heading1"/>
        <w:jc w:val="left"/>
      </w:pPr>
      <w:r>
        <w:rPr>
          <w:u w:val="thick"/>
        </w:rPr>
        <w:t>Detailed Comments on Provisions in the Advance Notice</w:t>
      </w:r>
    </w:p>
    <w:p w:rsidR="00805174" w:rsidRDefault="00805174">
      <w:pPr>
        <w:pStyle w:val="BodyText"/>
        <w:spacing w:before="10"/>
        <w:rPr>
          <w:b/>
          <w:sz w:val="13"/>
        </w:rPr>
      </w:pPr>
    </w:p>
    <w:p w:rsidR="00805174" w:rsidRDefault="000A64A3">
      <w:pPr>
        <w:pStyle w:val="ListParagraph"/>
        <w:numPr>
          <w:ilvl w:val="0"/>
          <w:numId w:val="10"/>
        </w:numPr>
        <w:tabs>
          <w:tab w:val="left" w:pos="384"/>
        </w:tabs>
        <w:spacing w:before="91"/>
        <w:ind w:hanging="283"/>
        <w:jc w:val="both"/>
        <w:rPr>
          <w:b/>
        </w:rPr>
      </w:pPr>
      <w:r>
        <w:rPr>
          <w:b/>
        </w:rPr>
        <w:t>Changes in the Part C Payment Metho</w:t>
      </w:r>
      <w:r>
        <w:rPr>
          <w:b/>
        </w:rPr>
        <w:t>dology for CY</w:t>
      </w:r>
      <w:r>
        <w:rPr>
          <w:b/>
          <w:spacing w:val="-14"/>
        </w:rPr>
        <w:t xml:space="preserve"> </w:t>
      </w:r>
      <w:r>
        <w:rPr>
          <w:b/>
        </w:rPr>
        <w:t>2019</w:t>
      </w:r>
    </w:p>
    <w:p w:rsidR="00805174" w:rsidRDefault="00805174">
      <w:pPr>
        <w:pStyle w:val="BodyText"/>
        <w:spacing w:before="6"/>
        <w:rPr>
          <w:b/>
          <w:sz w:val="21"/>
        </w:rPr>
      </w:pPr>
    </w:p>
    <w:p w:rsidR="00805174" w:rsidRDefault="000A64A3">
      <w:pPr>
        <w:ind w:left="100"/>
        <w:jc w:val="both"/>
        <w:rPr>
          <w:i/>
        </w:rPr>
      </w:pPr>
      <w:r>
        <w:rPr>
          <w:i/>
        </w:rPr>
        <w:t>Contract Consolidations and Quality Bonus Payment (QBP)</w:t>
      </w:r>
    </w:p>
    <w:p w:rsidR="00805174" w:rsidRDefault="00805174">
      <w:pPr>
        <w:pStyle w:val="BodyText"/>
        <w:spacing w:before="11"/>
        <w:rPr>
          <w:i/>
          <w:sz w:val="21"/>
        </w:rPr>
      </w:pPr>
    </w:p>
    <w:p w:rsidR="00805174" w:rsidRDefault="000A64A3">
      <w:pPr>
        <w:pStyle w:val="BodyText"/>
        <w:ind w:left="100" w:right="118"/>
        <w:jc w:val="both"/>
      </w:pPr>
      <w:r>
        <w:t>CMS notes that it will address its proposal to change how it calculates Star Ratings for contracts that consolidate in the forthcoming final CY 2019 MA and Part D rule. Anthem reiterates its recommendation that CMS finalize its approach as proposed, effect</w:t>
      </w:r>
      <w:r>
        <w:t>ive for the 2019 measurement year (and the associated 2021 Star Ratings that are released prior to the annual coordinated election period for the 2021 contract</w:t>
      </w:r>
    </w:p>
    <w:p w:rsidR="00805174" w:rsidRDefault="00805174">
      <w:pPr>
        <w:jc w:val="both"/>
        <w:sectPr w:rsidR="00805174">
          <w:footerReference w:type="default" r:id="rId10"/>
          <w:pgSz w:w="12240" w:h="15840"/>
          <w:pgMar w:top="1360" w:right="1320" w:bottom="1200" w:left="1340" w:header="0" w:footer="1015" w:gutter="0"/>
          <w:pgNumType w:start="2"/>
          <w:cols w:space="720"/>
        </w:sectPr>
      </w:pPr>
    </w:p>
    <w:p w:rsidR="00805174" w:rsidRDefault="000A64A3">
      <w:pPr>
        <w:pStyle w:val="BodyText"/>
        <w:spacing w:before="74"/>
        <w:ind w:left="100" w:right="113"/>
        <w:jc w:val="both"/>
      </w:pPr>
      <w:r>
        <w:lastRenderedPageBreak/>
        <w:t>year</w:t>
      </w:r>
      <w:r>
        <w:rPr>
          <w:spacing w:val="-6"/>
        </w:rPr>
        <w:t xml:space="preserve"> </w:t>
      </w:r>
      <w:r>
        <w:t>and</w:t>
      </w:r>
      <w:r>
        <w:rPr>
          <w:spacing w:val="-7"/>
        </w:rPr>
        <w:t xml:space="preserve"> </w:t>
      </w:r>
      <w:r>
        <w:t>used</w:t>
      </w:r>
      <w:r>
        <w:rPr>
          <w:spacing w:val="-7"/>
        </w:rPr>
        <w:t xml:space="preserve"> </w:t>
      </w:r>
      <w:r>
        <w:t>to</w:t>
      </w:r>
      <w:r>
        <w:rPr>
          <w:spacing w:val="-10"/>
        </w:rPr>
        <w:t xml:space="preserve"> </w:t>
      </w:r>
      <w:r>
        <w:t>assign</w:t>
      </w:r>
      <w:r>
        <w:rPr>
          <w:spacing w:val="-7"/>
        </w:rPr>
        <w:t xml:space="preserve"> </w:t>
      </w:r>
      <w:r>
        <w:t>QBP</w:t>
      </w:r>
      <w:r>
        <w:rPr>
          <w:spacing w:val="-7"/>
        </w:rPr>
        <w:t xml:space="preserve"> </w:t>
      </w:r>
      <w:r>
        <w:t>ratings</w:t>
      </w:r>
      <w:r>
        <w:rPr>
          <w:spacing w:val="-6"/>
        </w:rPr>
        <w:t xml:space="preserve"> </w:t>
      </w:r>
      <w:r>
        <w:t>for</w:t>
      </w:r>
      <w:r>
        <w:rPr>
          <w:spacing w:val="-9"/>
        </w:rPr>
        <w:t xml:space="preserve"> </w:t>
      </w:r>
      <w:r>
        <w:t>the</w:t>
      </w:r>
      <w:r>
        <w:rPr>
          <w:spacing w:val="-7"/>
        </w:rPr>
        <w:t xml:space="preserve"> </w:t>
      </w:r>
      <w:r>
        <w:t>2022</w:t>
      </w:r>
      <w:r>
        <w:rPr>
          <w:spacing w:val="-4"/>
        </w:rPr>
        <w:t xml:space="preserve"> </w:t>
      </w:r>
      <w:r>
        <w:t>payment</w:t>
      </w:r>
      <w:r>
        <w:rPr>
          <w:spacing w:val="-6"/>
        </w:rPr>
        <w:t xml:space="preserve"> </w:t>
      </w:r>
      <w:r>
        <w:t>year).</w:t>
      </w:r>
      <w:r>
        <w:rPr>
          <w:spacing w:val="-7"/>
        </w:rPr>
        <w:t xml:space="preserve"> </w:t>
      </w:r>
      <w:r>
        <w:t>As</w:t>
      </w:r>
      <w:r>
        <w:rPr>
          <w:spacing w:val="-6"/>
        </w:rPr>
        <w:t xml:space="preserve"> </w:t>
      </w:r>
      <w:r>
        <w:t>with</w:t>
      </w:r>
      <w:r>
        <w:rPr>
          <w:spacing w:val="-7"/>
        </w:rPr>
        <w:t xml:space="preserve"> </w:t>
      </w:r>
      <w:r>
        <w:t>all</w:t>
      </w:r>
      <w:r>
        <w:rPr>
          <w:spacing w:val="-6"/>
        </w:rPr>
        <w:t xml:space="preserve"> </w:t>
      </w:r>
      <w:r>
        <w:t>methodological</w:t>
      </w:r>
      <w:r>
        <w:rPr>
          <w:spacing w:val="-6"/>
        </w:rPr>
        <w:t xml:space="preserve"> </w:t>
      </w:r>
      <w:r>
        <w:t>changes</w:t>
      </w:r>
      <w:r>
        <w:rPr>
          <w:spacing w:val="-6"/>
        </w:rPr>
        <w:t xml:space="preserve"> </w:t>
      </w:r>
      <w:r>
        <w:t>to</w:t>
      </w:r>
      <w:r>
        <w:rPr>
          <w:spacing w:val="-10"/>
        </w:rPr>
        <w:t xml:space="preserve"> </w:t>
      </w:r>
      <w:r>
        <w:t>the Star Ratings program, is important that this change is also applied prospectively in order for it to appropriately and adequatel</w:t>
      </w:r>
      <w:r>
        <w:t>y address differences in how data are collected and submitted for certain measures</w:t>
      </w:r>
      <w:r>
        <w:rPr>
          <w:spacing w:val="-9"/>
        </w:rPr>
        <w:t xml:space="preserve"> </w:t>
      </w:r>
      <w:r>
        <w:t>during</w:t>
      </w:r>
      <w:r>
        <w:rPr>
          <w:spacing w:val="-12"/>
        </w:rPr>
        <w:t xml:space="preserve"> </w:t>
      </w:r>
      <w:r>
        <w:t>different</w:t>
      </w:r>
      <w:r>
        <w:rPr>
          <w:spacing w:val="-9"/>
        </w:rPr>
        <w:t xml:space="preserve"> </w:t>
      </w:r>
      <w:r>
        <w:t>periods.</w:t>
      </w:r>
      <w:r>
        <w:rPr>
          <w:spacing w:val="-11"/>
        </w:rPr>
        <w:t xml:space="preserve"> </w:t>
      </w:r>
      <w:r>
        <w:t>We</w:t>
      </w:r>
      <w:r>
        <w:rPr>
          <w:spacing w:val="-9"/>
        </w:rPr>
        <w:t xml:space="preserve"> </w:t>
      </w:r>
      <w:r>
        <w:t>appreciate</w:t>
      </w:r>
      <w:r>
        <w:rPr>
          <w:spacing w:val="-12"/>
        </w:rPr>
        <w:t xml:space="preserve"> </w:t>
      </w:r>
      <w:r>
        <w:t>the</w:t>
      </w:r>
      <w:r>
        <w:rPr>
          <w:spacing w:val="-9"/>
        </w:rPr>
        <w:t xml:space="preserve"> </w:t>
      </w:r>
      <w:r>
        <w:t>steps</w:t>
      </w:r>
      <w:r>
        <w:rPr>
          <w:spacing w:val="-9"/>
        </w:rPr>
        <w:t xml:space="preserve"> </w:t>
      </w:r>
      <w:r>
        <w:t>CMS</w:t>
      </w:r>
      <w:r>
        <w:rPr>
          <w:spacing w:val="-12"/>
        </w:rPr>
        <w:t xml:space="preserve"> </w:t>
      </w:r>
      <w:r>
        <w:t>proposes</w:t>
      </w:r>
      <w:r>
        <w:rPr>
          <w:spacing w:val="-12"/>
        </w:rPr>
        <w:t xml:space="preserve"> </w:t>
      </w:r>
      <w:r>
        <w:t>to</w:t>
      </w:r>
      <w:r>
        <w:rPr>
          <w:spacing w:val="-12"/>
        </w:rPr>
        <w:t xml:space="preserve"> </w:t>
      </w:r>
      <w:r>
        <w:t>take</w:t>
      </w:r>
      <w:r>
        <w:rPr>
          <w:spacing w:val="-9"/>
        </w:rPr>
        <w:t xml:space="preserve"> </w:t>
      </w:r>
      <w:r>
        <w:t>to</w:t>
      </w:r>
      <w:r>
        <w:rPr>
          <w:spacing w:val="-10"/>
        </w:rPr>
        <w:t xml:space="preserve"> </w:t>
      </w:r>
      <w:r>
        <w:t>ensure</w:t>
      </w:r>
      <w:r>
        <w:rPr>
          <w:spacing w:val="-12"/>
        </w:rPr>
        <w:t xml:space="preserve"> </w:t>
      </w:r>
      <w:r>
        <w:t>the</w:t>
      </w:r>
      <w:r>
        <w:rPr>
          <w:spacing w:val="-9"/>
        </w:rPr>
        <w:t xml:space="preserve"> </w:t>
      </w:r>
      <w:r>
        <w:t>Star</w:t>
      </w:r>
      <w:r>
        <w:rPr>
          <w:spacing w:val="-9"/>
        </w:rPr>
        <w:t xml:space="preserve"> </w:t>
      </w:r>
      <w:r>
        <w:t>Ratings provide beneficiaries with accurate, reliable, and timely information for enrollment decisions, and that the system truly rewards higher quality</w:t>
      </w:r>
      <w:r>
        <w:rPr>
          <w:spacing w:val="-13"/>
        </w:rPr>
        <w:t xml:space="preserve"> </w:t>
      </w:r>
      <w:r>
        <w:t>contracts.</w:t>
      </w:r>
    </w:p>
    <w:p w:rsidR="00805174" w:rsidRDefault="00805174">
      <w:pPr>
        <w:pStyle w:val="BodyText"/>
      </w:pPr>
    </w:p>
    <w:p w:rsidR="00805174" w:rsidRDefault="000A64A3">
      <w:pPr>
        <w:ind w:left="100"/>
        <w:jc w:val="both"/>
        <w:rPr>
          <w:i/>
        </w:rPr>
      </w:pPr>
      <w:r>
        <w:rPr>
          <w:i/>
        </w:rPr>
        <w:t>Calculation of Fee-for-Service (FFS) Cost</w:t>
      </w:r>
    </w:p>
    <w:p w:rsidR="00805174" w:rsidRDefault="00805174">
      <w:pPr>
        <w:pStyle w:val="BodyText"/>
        <w:spacing w:before="11"/>
        <w:rPr>
          <w:i/>
          <w:sz w:val="21"/>
        </w:rPr>
      </w:pPr>
    </w:p>
    <w:p w:rsidR="00805174" w:rsidRDefault="000A64A3">
      <w:pPr>
        <w:pStyle w:val="BodyText"/>
        <w:ind w:left="100" w:right="114"/>
        <w:jc w:val="both"/>
      </w:pPr>
      <w:r>
        <w:t>For</w:t>
      </w:r>
      <w:r>
        <w:rPr>
          <w:spacing w:val="-13"/>
        </w:rPr>
        <w:t xml:space="preserve"> </w:t>
      </w:r>
      <w:r>
        <w:t>several</w:t>
      </w:r>
      <w:r>
        <w:rPr>
          <w:spacing w:val="-12"/>
        </w:rPr>
        <w:t xml:space="preserve"> </w:t>
      </w:r>
      <w:r>
        <w:t>years</w:t>
      </w:r>
      <w:r>
        <w:rPr>
          <w:spacing w:val="-13"/>
        </w:rPr>
        <w:t xml:space="preserve"> </w:t>
      </w:r>
      <w:r>
        <w:t>in</w:t>
      </w:r>
      <w:r>
        <w:rPr>
          <w:spacing w:val="-13"/>
        </w:rPr>
        <w:t xml:space="preserve"> </w:t>
      </w:r>
      <w:r>
        <w:t>a</w:t>
      </w:r>
      <w:r>
        <w:rPr>
          <w:spacing w:val="-15"/>
        </w:rPr>
        <w:t xml:space="preserve"> </w:t>
      </w:r>
      <w:r>
        <w:t>row,</w:t>
      </w:r>
      <w:r>
        <w:rPr>
          <w:spacing w:val="-13"/>
        </w:rPr>
        <w:t xml:space="preserve"> </w:t>
      </w:r>
      <w:r>
        <w:t>CMS</w:t>
      </w:r>
      <w:r>
        <w:rPr>
          <w:spacing w:val="-13"/>
        </w:rPr>
        <w:t xml:space="preserve"> </w:t>
      </w:r>
      <w:r>
        <w:t>has</w:t>
      </w:r>
      <w:r>
        <w:rPr>
          <w:spacing w:val="-13"/>
        </w:rPr>
        <w:t xml:space="preserve"> </w:t>
      </w:r>
      <w:r>
        <w:t>changed</w:t>
      </w:r>
      <w:r>
        <w:rPr>
          <w:spacing w:val="-13"/>
        </w:rPr>
        <w:t xml:space="preserve"> </w:t>
      </w:r>
      <w:r>
        <w:t>how</w:t>
      </w:r>
      <w:r>
        <w:rPr>
          <w:spacing w:val="-14"/>
        </w:rPr>
        <w:t xml:space="preserve"> </w:t>
      </w:r>
      <w:r>
        <w:t>the</w:t>
      </w:r>
      <w:r>
        <w:rPr>
          <w:spacing w:val="-13"/>
        </w:rPr>
        <w:t xml:space="preserve"> </w:t>
      </w:r>
      <w:r>
        <w:t>Average</w:t>
      </w:r>
      <w:r>
        <w:rPr>
          <w:spacing w:val="-13"/>
        </w:rPr>
        <w:t xml:space="preserve"> </w:t>
      </w:r>
      <w:r>
        <w:t>Geographic</w:t>
      </w:r>
      <w:r>
        <w:rPr>
          <w:spacing w:val="-13"/>
        </w:rPr>
        <w:t xml:space="preserve"> </w:t>
      </w:r>
      <w:r>
        <w:t>Adjustment</w:t>
      </w:r>
      <w:r>
        <w:rPr>
          <w:spacing w:val="-12"/>
        </w:rPr>
        <w:t xml:space="preserve"> </w:t>
      </w:r>
      <w:r>
        <w:t>(AGA)</w:t>
      </w:r>
      <w:r>
        <w:rPr>
          <w:spacing w:val="-13"/>
        </w:rPr>
        <w:t xml:space="preserve"> </w:t>
      </w:r>
      <w:r>
        <w:t>is</w:t>
      </w:r>
      <w:r>
        <w:rPr>
          <w:spacing w:val="-13"/>
        </w:rPr>
        <w:t xml:space="preserve"> </w:t>
      </w:r>
      <w:r>
        <w:t>calculated and is proposing to do so again in 2019. CMS should institute a more regular schedule (e.g., every three years) for implementing changes to this calculation, as the tendency to make annual changes creat</w:t>
      </w:r>
      <w:r>
        <w:t>es uncertainty for MA Organizations (MAOs) as we plan and prepare for our annual bid submissions. We encourage</w:t>
      </w:r>
      <w:r>
        <w:rPr>
          <w:spacing w:val="-12"/>
        </w:rPr>
        <w:t xml:space="preserve"> </w:t>
      </w:r>
      <w:r>
        <w:t>CMS</w:t>
      </w:r>
      <w:r>
        <w:rPr>
          <w:spacing w:val="-14"/>
        </w:rPr>
        <w:t xml:space="preserve"> </w:t>
      </w:r>
      <w:r>
        <w:t>to</w:t>
      </w:r>
      <w:r>
        <w:rPr>
          <w:spacing w:val="-12"/>
        </w:rPr>
        <w:t xml:space="preserve"> </w:t>
      </w:r>
      <w:r>
        <w:t>develop</w:t>
      </w:r>
      <w:r>
        <w:rPr>
          <w:spacing w:val="-14"/>
        </w:rPr>
        <w:t xml:space="preserve"> </w:t>
      </w:r>
      <w:r>
        <w:t>a</w:t>
      </w:r>
      <w:r>
        <w:rPr>
          <w:spacing w:val="-12"/>
        </w:rPr>
        <w:t xml:space="preserve"> </w:t>
      </w:r>
      <w:r>
        <w:t>more</w:t>
      </w:r>
      <w:r>
        <w:rPr>
          <w:spacing w:val="-12"/>
        </w:rPr>
        <w:t xml:space="preserve"> </w:t>
      </w:r>
      <w:r>
        <w:t>consistent</w:t>
      </w:r>
      <w:r>
        <w:rPr>
          <w:spacing w:val="-11"/>
        </w:rPr>
        <w:t xml:space="preserve"> </w:t>
      </w:r>
      <w:r>
        <w:t>approach</w:t>
      </w:r>
      <w:r>
        <w:rPr>
          <w:spacing w:val="-14"/>
        </w:rPr>
        <w:t xml:space="preserve"> </w:t>
      </w:r>
      <w:r>
        <w:t>for</w:t>
      </w:r>
      <w:r>
        <w:rPr>
          <w:spacing w:val="-14"/>
        </w:rPr>
        <w:t xml:space="preserve"> </w:t>
      </w:r>
      <w:r>
        <w:t>implementing</w:t>
      </w:r>
      <w:r>
        <w:rPr>
          <w:spacing w:val="-14"/>
        </w:rPr>
        <w:t xml:space="preserve"> </w:t>
      </w:r>
      <w:r>
        <w:t>AGA</w:t>
      </w:r>
      <w:r>
        <w:rPr>
          <w:spacing w:val="-13"/>
        </w:rPr>
        <w:t xml:space="preserve"> </w:t>
      </w:r>
      <w:r>
        <w:t>calculation</w:t>
      </w:r>
      <w:r>
        <w:rPr>
          <w:spacing w:val="-14"/>
        </w:rPr>
        <w:t xml:space="preserve"> </w:t>
      </w:r>
      <w:r>
        <w:t>changes</w:t>
      </w:r>
      <w:r>
        <w:rPr>
          <w:spacing w:val="-11"/>
        </w:rPr>
        <w:t xml:space="preserve"> </w:t>
      </w:r>
      <w:r>
        <w:t>moving forward and to communicate the schedule with</w:t>
      </w:r>
      <w:r>
        <w:rPr>
          <w:spacing w:val="-15"/>
        </w:rPr>
        <w:t xml:space="preserve"> </w:t>
      </w:r>
      <w:r>
        <w:t>plans.</w:t>
      </w:r>
    </w:p>
    <w:p w:rsidR="00805174" w:rsidRDefault="00805174">
      <w:pPr>
        <w:pStyle w:val="BodyText"/>
      </w:pPr>
    </w:p>
    <w:p w:rsidR="00805174" w:rsidRDefault="000A64A3">
      <w:pPr>
        <w:ind w:left="100"/>
        <w:jc w:val="both"/>
        <w:rPr>
          <w:i/>
        </w:rPr>
      </w:pPr>
      <w:r>
        <w:rPr>
          <w:i/>
        </w:rPr>
        <w:t>MA</w:t>
      </w:r>
      <w:r>
        <w:rPr>
          <w:i/>
        </w:rPr>
        <w:t xml:space="preserve"> Employer Group Waiver Plans</w:t>
      </w:r>
    </w:p>
    <w:p w:rsidR="00805174" w:rsidRDefault="00805174">
      <w:pPr>
        <w:pStyle w:val="BodyText"/>
        <w:spacing w:before="9"/>
        <w:rPr>
          <w:i/>
          <w:sz w:val="21"/>
        </w:rPr>
      </w:pPr>
    </w:p>
    <w:p w:rsidR="00805174" w:rsidRDefault="000A64A3">
      <w:pPr>
        <w:pStyle w:val="BodyText"/>
        <w:ind w:left="100" w:right="112"/>
        <w:jc w:val="both"/>
      </w:pPr>
      <w:r>
        <w:t>CMS</w:t>
      </w:r>
      <w:r>
        <w:rPr>
          <w:spacing w:val="-4"/>
        </w:rPr>
        <w:t xml:space="preserve"> </w:t>
      </w:r>
      <w:r>
        <w:t>proposes</w:t>
      </w:r>
      <w:r>
        <w:rPr>
          <w:spacing w:val="-6"/>
        </w:rPr>
        <w:t xml:space="preserve"> </w:t>
      </w:r>
      <w:r>
        <w:t>to</w:t>
      </w:r>
      <w:r>
        <w:rPr>
          <w:spacing w:val="-5"/>
        </w:rPr>
        <w:t xml:space="preserve"> </w:t>
      </w:r>
      <w:r>
        <w:t>continue</w:t>
      </w:r>
      <w:r>
        <w:rPr>
          <w:spacing w:val="-7"/>
        </w:rPr>
        <w:t xml:space="preserve"> </w:t>
      </w:r>
      <w:r>
        <w:t>to</w:t>
      </w:r>
      <w:r>
        <w:rPr>
          <w:spacing w:val="-5"/>
        </w:rPr>
        <w:t xml:space="preserve"> </w:t>
      </w:r>
      <w:r>
        <w:t>waive</w:t>
      </w:r>
      <w:r>
        <w:rPr>
          <w:spacing w:val="-4"/>
        </w:rPr>
        <w:t xml:space="preserve"> </w:t>
      </w:r>
      <w:r>
        <w:t>bidding</w:t>
      </w:r>
      <w:r>
        <w:rPr>
          <w:spacing w:val="-7"/>
        </w:rPr>
        <w:t xml:space="preserve"> </w:t>
      </w:r>
      <w:r>
        <w:t>requirements</w:t>
      </w:r>
      <w:r>
        <w:rPr>
          <w:spacing w:val="-4"/>
        </w:rPr>
        <w:t xml:space="preserve"> </w:t>
      </w:r>
      <w:r>
        <w:t>for</w:t>
      </w:r>
      <w:r>
        <w:rPr>
          <w:spacing w:val="-4"/>
        </w:rPr>
        <w:t xml:space="preserve"> </w:t>
      </w:r>
      <w:r>
        <w:t>all</w:t>
      </w:r>
      <w:r>
        <w:rPr>
          <w:spacing w:val="-4"/>
        </w:rPr>
        <w:t xml:space="preserve"> </w:t>
      </w:r>
      <w:r>
        <w:t>Part</w:t>
      </w:r>
      <w:r>
        <w:rPr>
          <w:spacing w:val="-4"/>
        </w:rPr>
        <w:t xml:space="preserve"> </w:t>
      </w:r>
      <w:r>
        <w:t>C</w:t>
      </w:r>
      <w:r>
        <w:rPr>
          <w:spacing w:val="-6"/>
        </w:rPr>
        <w:t xml:space="preserve"> </w:t>
      </w:r>
      <w:r>
        <w:t>entities</w:t>
      </w:r>
      <w:r>
        <w:rPr>
          <w:spacing w:val="-4"/>
        </w:rPr>
        <w:t xml:space="preserve"> </w:t>
      </w:r>
      <w:r>
        <w:t>that</w:t>
      </w:r>
      <w:r>
        <w:rPr>
          <w:spacing w:val="-4"/>
        </w:rPr>
        <w:t xml:space="preserve"> </w:t>
      </w:r>
      <w:r>
        <w:t>offer</w:t>
      </w:r>
      <w:r>
        <w:rPr>
          <w:spacing w:val="-4"/>
        </w:rPr>
        <w:t xml:space="preserve"> </w:t>
      </w:r>
      <w:r>
        <w:t>Employer/union- only Group Waiver Plans (EGWPs). Payment for these plans in 2019 would be based on 2018 individual market plan bids, rather than a blend of individual market plan bids and EGWP bids from 2018. Anthem continues to agree with CMS’ assertion t</w:t>
      </w:r>
      <w:r>
        <w:t>hat these bidding and payment changes will further facilitate the offering of Part C plans for employers and unions seeking to establish high quality coverage for their Medicare eligible</w:t>
      </w:r>
      <w:r>
        <w:rPr>
          <w:spacing w:val="-11"/>
        </w:rPr>
        <w:t xml:space="preserve"> </w:t>
      </w:r>
      <w:r>
        <w:t>retirees.</w:t>
      </w:r>
    </w:p>
    <w:p w:rsidR="00805174" w:rsidRDefault="00805174">
      <w:pPr>
        <w:pStyle w:val="BodyText"/>
      </w:pPr>
    </w:p>
    <w:p w:rsidR="00805174" w:rsidRDefault="000A64A3">
      <w:pPr>
        <w:pStyle w:val="BodyText"/>
        <w:ind w:left="100" w:right="111"/>
        <w:jc w:val="both"/>
      </w:pPr>
      <w:r>
        <w:t>While we appreciate CMS’ consideration of a payment adjust</w:t>
      </w:r>
      <w:r>
        <w:t>ment to account for the difference in the proportion</w:t>
      </w:r>
      <w:r>
        <w:rPr>
          <w:spacing w:val="-7"/>
        </w:rPr>
        <w:t xml:space="preserve"> </w:t>
      </w:r>
      <w:r>
        <w:t>of</w:t>
      </w:r>
      <w:r>
        <w:rPr>
          <w:spacing w:val="-6"/>
        </w:rPr>
        <w:t xml:space="preserve"> </w:t>
      </w:r>
      <w:r>
        <w:t>beneficiaries</w:t>
      </w:r>
      <w:r>
        <w:rPr>
          <w:spacing w:val="-6"/>
        </w:rPr>
        <w:t xml:space="preserve"> </w:t>
      </w:r>
      <w:r>
        <w:t>enrolled</w:t>
      </w:r>
      <w:r>
        <w:rPr>
          <w:spacing w:val="-7"/>
        </w:rPr>
        <w:t xml:space="preserve"> </w:t>
      </w:r>
      <w:r>
        <w:t>in</w:t>
      </w:r>
      <w:r>
        <w:rPr>
          <w:spacing w:val="-7"/>
        </w:rPr>
        <w:t xml:space="preserve"> </w:t>
      </w:r>
      <w:r>
        <w:t>Health</w:t>
      </w:r>
      <w:r>
        <w:rPr>
          <w:spacing w:val="-7"/>
        </w:rPr>
        <w:t xml:space="preserve"> </w:t>
      </w:r>
      <w:r>
        <w:t>Maintenance</w:t>
      </w:r>
      <w:r>
        <w:rPr>
          <w:spacing w:val="-7"/>
        </w:rPr>
        <w:t xml:space="preserve"> </w:t>
      </w:r>
      <w:r>
        <w:t>Organization</w:t>
      </w:r>
      <w:r>
        <w:rPr>
          <w:spacing w:val="-7"/>
        </w:rPr>
        <w:t xml:space="preserve"> </w:t>
      </w:r>
      <w:r>
        <w:t>(HMO)</w:t>
      </w:r>
      <w:r>
        <w:rPr>
          <w:spacing w:val="-9"/>
        </w:rPr>
        <w:t xml:space="preserve"> </w:t>
      </w:r>
      <w:r>
        <w:t>versus</w:t>
      </w:r>
      <w:r>
        <w:rPr>
          <w:spacing w:val="-6"/>
        </w:rPr>
        <w:t xml:space="preserve"> </w:t>
      </w:r>
      <w:r>
        <w:t>Preferred</w:t>
      </w:r>
      <w:r>
        <w:rPr>
          <w:spacing w:val="-7"/>
        </w:rPr>
        <w:t xml:space="preserve"> </w:t>
      </w:r>
      <w:r>
        <w:t xml:space="preserve">Provider Organization (PPO) plan types between EGWPs and individual-market plans, it would be more accurate for CMS to </w:t>
      </w:r>
      <w:r>
        <w:t>segment the benchmark calculation for HMO and PPO products, given the fundamental differences between these plan types. Anthem also suggests that Dual Eligible Special Needs Plans (D- SNPs) be excluded from the benchmark calculation. D-SNPs are not equival</w:t>
      </w:r>
      <w:r>
        <w:t>ent to the type of coverage an employer purchases, and are therefore irrelevant to the calculation. We urge CMS to move forward with fully transitioning the EGWP payment-setting process with these</w:t>
      </w:r>
      <w:r>
        <w:rPr>
          <w:spacing w:val="-24"/>
        </w:rPr>
        <w:t xml:space="preserve"> </w:t>
      </w:r>
      <w:r>
        <w:t>modifications.</w:t>
      </w:r>
    </w:p>
    <w:p w:rsidR="00805174" w:rsidRDefault="00805174">
      <w:pPr>
        <w:pStyle w:val="BodyText"/>
      </w:pPr>
    </w:p>
    <w:p w:rsidR="00805174" w:rsidRDefault="000A64A3">
      <w:pPr>
        <w:ind w:left="100"/>
        <w:jc w:val="both"/>
        <w:rPr>
          <w:i/>
        </w:rPr>
      </w:pPr>
      <w:r>
        <w:rPr>
          <w:i/>
        </w:rPr>
        <w:t>CMS-HCC Risk Adjustment Model for CY 2019</w:t>
      </w:r>
    </w:p>
    <w:p w:rsidR="00805174" w:rsidRDefault="00805174">
      <w:pPr>
        <w:pStyle w:val="BodyText"/>
        <w:spacing w:before="6"/>
        <w:rPr>
          <w:i/>
          <w:sz w:val="21"/>
        </w:rPr>
      </w:pPr>
    </w:p>
    <w:p w:rsidR="00805174" w:rsidRDefault="000A64A3">
      <w:pPr>
        <w:pStyle w:val="BodyText"/>
        <w:ind w:left="100" w:right="117"/>
        <w:jc w:val="both"/>
      </w:pPr>
      <w:r>
        <w:t>The 21</w:t>
      </w:r>
      <w:r>
        <w:rPr>
          <w:position w:val="8"/>
          <w:sz w:val="14"/>
        </w:rPr>
        <w:t xml:space="preserve">st </w:t>
      </w:r>
      <w:r>
        <w:t>Century Cures Act mandated that CMS provide 60-day notice for the following specific changes to the MA risk adjustment model:</w:t>
      </w:r>
    </w:p>
    <w:p w:rsidR="00805174" w:rsidRDefault="00805174">
      <w:pPr>
        <w:pStyle w:val="BodyText"/>
        <w:spacing w:before="10"/>
        <w:rPr>
          <w:sz w:val="21"/>
        </w:rPr>
      </w:pPr>
    </w:p>
    <w:p w:rsidR="00805174" w:rsidRDefault="000A64A3">
      <w:pPr>
        <w:pStyle w:val="ListParagraph"/>
        <w:numPr>
          <w:ilvl w:val="1"/>
          <w:numId w:val="10"/>
        </w:numPr>
        <w:tabs>
          <w:tab w:val="left" w:pos="820"/>
          <w:tab w:val="left" w:pos="821"/>
        </w:tabs>
        <w:ind w:right="118"/>
        <w:jc w:val="left"/>
      </w:pPr>
      <w:r>
        <w:t>The addition of diagnoses codes related to mental health, substance use disorder, and chronic kidney disease conditions,</w:t>
      </w:r>
      <w:r>
        <w:rPr>
          <w:spacing w:val="-7"/>
        </w:rPr>
        <w:t xml:space="preserve"> </w:t>
      </w:r>
      <w:r>
        <w:t>and</w:t>
      </w:r>
    </w:p>
    <w:p w:rsidR="00805174" w:rsidRDefault="000A64A3">
      <w:pPr>
        <w:pStyle w:val="ListParagraph"/>
        <w:numPr>
          <w:ilvl w:val="1"/>
          <w:numId w:val="10"/>
        </w:numPr>
        <w:tabs>
          <w:tab w:val="left" w:pos="820"/>
          <w:tab w:val="left" w:pos="821"/>
        </w:tabs>
        <w:spacing w:line="267" w:lineRule="exact"/>
        <w:jc w:val="left"/>
      </w:pPr>
      <w:r>
        <w:t>An adjustment for the number of conditions an individual beneficiary may</w:t>
      </w:r>
      <w:r>
        <w:rPr>
          <w:spacing w:val="-31"/>
        </w:rPr>
        <w:t xml:space="preserve"> </w:t>
      </w:r>
      <w:r>
        <w:t>have.</w:t>
      </w:r>
    </w:p>
    <w:p w:rsidR="00805174" w:rsidRDefault="00805174">
      <w:pPr>
        <w:pStyle w:val="BodyText"/>
        <w:spacing w:before="2"/>
      </w:pPr>
    </w:p>
    <w:p w:rsidR="00805174" w:rsidRDefault="000A64A3">
      <w:pPr>
        <w:pStyle w:val="BodyText"/>
        <w:ind w:left="100" w:right="114"/>
        <w:jc w:val="both"/>
      </w:pPr>
      <w:r>
        <w:t>The law also requires CMS to implement these changes over a three-year period starting in 2019, with all changes phased in by 2022. In Part I of the Advance Notice, releas</w:t>
      </w:r>
      <w:r>
        <w:t>ed on December 27, CMS outlined its proposed approach for implementing the changes required by legislation, as well as other updates to the CMS-HCC model:</w:t>
      </w:r>
    </w:p>
    <w:p w:rsidR="00805174" w:rsidRDefault="00805174">
      <w:pPr>
        <w:pStyle w:val="BodyText"/>
        <w:spacing w:before="10"/>
        <w:rPr>
          <w:sz w:val="21"/>
        </w:rPr>
      </w:pPr>
    </w:p>
    <w:p w:rsidR="00805174" w:rsidRDefault="000A64A3">
      <w:pPr>
        <w:pStyle w:val="ListParagraph"/>
        <w:numPr>
          <w:ilvl w:val="1"/>
          <w:numId w:val="10"/>
        </w:numPr>
        <w:tabs>
          <w:tab w:val="left" w:pos="820"/>
          <w:tab w:val="left" w:pos="821"/>
        </w:tabs>
        <w:ind w:right="118"/>
        <w:jc w:val="left"/>
      </w:pPr>
      <w:r>
        <w:t>Calibrating the model with 2014 diagnoses predicting 2015 FFS costs. CMS would select 2014 diagnoses for calibration using the same approach it uses to filter encounter data records;</w:t>
      </w:r>
      <w:r>
        <w:rPr>
          <w:spacing w:val="-31"/>
        </w:rPr>
        <w:t xml:space="preserve"> </w:t>
      </w:r>
      <w:r>
        <w:t>and</w:t>
      </w:r>
    </w:p>
    <w:p w:rsidR="00805174" w:rsidRDefault="00805174">
      <w:pPr>
        <w:sectPr w:rsidR="00805174">
          <w:pgSz w:w="12240" w:h="15840"/>
          <w:pgMar w:top="1360" w:right="1320" w:bottom="1200" w:left="1340" w:header="0" w:footer="1015" w:gutter="0"/>
          <w:cols w:space="720"/>
        </w:sectPr>
      </w:pPr>
    </w:p>
    <w:p w:rsidR="00805174" w:rsidRDefault="000A64A3">
      <w:pPr>
        <w:pStyle w:val="ListParagraph"/>
        <w:numPr>
          <w:ilvl w:val="1"/>
          <w:numId w:val="10"/>
        </w:numPr>
        <w:tabs>
          <w:tab w:val="left" w:pos="821"/>
        </w:tabs>
        <w:spacing w:before="72"/>
        <w:ind w:right="113"/>
      </w:pPr>
      <w:r>
        <w:lastRenderedPageBreak/>
        <w:t>Increasing the percentage of MA enrollee risk scores ba</w:t>
      </w:r>
      <w:r>
        <w:t xml:space="preserve">sed on diagnoses submitted through the Encounter Data System (EDS) from 15 percent to 25 percent in 2019. Because EDS inpatient submissions are low compared to corresponding Risk Adjustment Processing System (RAPS) inpatient submissions, sponsors would be </w:t>
      </w:r>
      <w:r>
        <w:t>permitted to amend inpatient diagnoses from EDS with inpatient diagnoses from</w:t>
      </w:r>
      <w:r>
        <w:rPr>
          <w:spacing w:val="-11"/>
        </w:rPr>
        <w:t xml:space="preserve"> </w:t>
      </w:r>
      <w:r>
        <w:t>RAPS.</w:t>
      </w:r>
    </w:p>
    <w:p w:rsidR="00805174" w:rsidRDefault="00805174">
      <w:pPr>
        <w:pStyle w:val="BodyText"/>
      </w:pPr>
    </w:p>
    <w:p w:rsidR="00805174" w:rsidRDefault="000A64A3">
      <w:pPr>
        <w:pStyle w:val="BodyText"/>
        <w:ind w:left="100" w:right="111"/>
        <w:jc w:val="both"/>
      </w:pPr>
      <w:r>
        <w:t>Anthem has long been a proponent of risk model updates that promote the early detection of chronic diseases,</w:t>
      </w:r>
      <w:r>
        <w:rPr>
          <w:spacing w:val="-7"/>
        </w:rPr>
        <w:t xml:space="preserve"> </w:t>
      </w:r>
      <w:r>
        <w:t>prevention</w:t>
      </w:r>
      <w:r>
        <w:rPr>
          <w:spacing w:val="-9"/>
        </w:rPr>
        <w:t xml:space="preserve"> </w:t>
      </w:r>
      <w:r>
        <w:t>of</w:t>
      </w:r>
      <w:r>
        <w:rPr>
          <w:spacing w:val="-9"/>
        </w:rPr>
        <w:t xml:space="preserve"> </w:t>
      </w:r>
      <w:r>
        <w:t>complications</w:t>
      </w:r>
      <w:r>
        <w:rPr>
          <w:spacing w:val="-7"/>
        </w:rPr>
        <w:t xml:space="preserve"> </w:t>
      </w:r>
      <w:r>
        <w:t>and</w:t>
      </w:r>
      <w:r>
        <w:rPr>
          <w:spacing w:val="-8"/>
        </w:rPr>
        <w:t xml:space="preserve"> </w:t>
      </w:r>
      <w:r>
        <w:t>disease</w:t>
      </w:r>
      <w:r>
        <w:rPr>
          <w:spacing w:val="-9"/>
        </w:rPr>
        <w:t xml:space="preserve"> </w:t>
      </w:r>
      <w:r>
        <w:t>progression,</w:t>
      </w:r>
      <w:r>
        <w:rPr>
          <w:spacing w:val="-10"/>
        </w:rPr>
        <w:t xml:space="preserve"> </w:t>
      </w:r>
      <w:r>
        <w:t>and</w:t>
      </w:r>
      <w:r>
        <w:rPr>
          <w:spacing w:val="-5"/>
        </w:rPr>
        <w:t xml:space="preserve"> </w:t>
      </w:r>
      <w:r>
        <w:t>manag</w:t>
      </w:r>
      <w:r>
        <w:t>ement</w:t>
      </w:r>
      <w:r>
        <w:rPr>
          <w:spacing w:val="-7"/>
        </w:rPr>
        <w:t xml:space="preserve"> </w:t>
      </w:r>
      <w:r>
        <w:t>of</w:t>
      </w:r>
      <w:r>
        <w:rPr>
          <w:spacing w:val="-9"/>
        </w:rPr>
        <w:t xml:space="preserve"> </w:t>
      </w:r>
      <w:r>
        <w:t>chronic</w:t>
      </w:r>
      <w:r>
        <w:rPr>
          <w:spacing w:val="-8"/>
        </w:rPr>
        <w:t xml:space="preserve"> </w:t>
      </w:r>
      <w:r>
        <w:t>diseases.</w:t>
      </w:r>
      <w:r>
        <w:rPr>
          <w:spacing w:val="-10"/>
        </w:rPr>
        <w:t xml:space="preserve"> </w:t>
      </w:r>
      <w:r>
        <w:t>Given the significance of risk adjustment within the MA program, we have also advocated for increased transparency and collaboration around contemplated model updates, as well as sufficient time to review, analyze, and provide co</w:t>
      </w:r>
      <w:r>
        <w:t>mments on such updates. Anthem therefore encourages CMS to move forward to implement</w:t>
      </w:r>
      <w:r>
        <w:rPr>
          <w:spacing w:val="-4"/>
        </w:rPr>
        <w:t xml:space="preserve"> </w:t>
      </w:r>
      <w:r>
        <w:t>its</w:t>
      </w:r>
      <w:r>
        <w:rPr>
          <w:spacing w:val="-4"/>
        </w:rPr>
        <w:t xml:space="preserve"> </w:t>
      </w:r>
      <w:r>
        <w:t>proposed</w:t>
      </w:r>
      <w:r>
        <w:rPr>
          <w:spacing w:val="-7"/>
        </w:rPr>
        <w:t xml:space="preserve"> </w:t>
      </w:r>
      <w:r>
        <w:t>Payment</w:t>
      </w:r>
      <w:r>
        <w:rPr>
          <w:spacing w:val="-4"/>
        </w:rPr>
        <w:t xml:space="preserve"> </w:t>
      </w:r>
      <w:r>
        <w:t>Condition</w:t>
      </w:r>
      <w:r>
        <w:rPr>
          <w:spacing w:val="-7"/>
        </w:rPr>
        <w:t xml:space="preserve"> </w:t>
      </w:r>
      <w:r>
        <w:t>Count</w:t>
      </w:r>
      <w:r>
        <w:rPr>
          <w:spacing w:val="-4"/>
        </w:rPr>
        <w:t xml:space="preserve"> </w:t>
      </w:r>
      <w:r>
        <w:t>model—which</w:t>
      </w:r>
      <w:r>
        <w:rPr>
          <w:spacing w:val="-7"/>
        </w:rPr>
        <w:t xml:space="preserve"> </w:t>
      </w:r>
      <w:r>
        <w:t>we</w:t>
      </w:r>
      <w:r>
        <w:rPr>
          <w:spacing w:val="-4"/>
        </w:rPr>
        <w:t xml:space="preserve"> </w:t>
      </w:r>
      <w:r>
        <w:t>agree</w:t>
      </w:r>
      <w:r>
        <w:rPr>
          <w:spacing w:val="-7"/>
        </w:rPr>
        <w:t xml:space="preserve"> </w:t>
      </w:r>
      <w:r>
        <w:t>is</w:t>
      </w:r>
      <w:r>
        <w:rPr>
          <w:spacing w:val="-4"/>
        </w:rPr>
        <w:t xml:space="preserve"> </w:t>
      </w:r>
      <w:r>
        <w:t>more</w:t>
      </w:r>
      <w:r>
        <w:rPr>
          <w:spacing w:val="-7"/>
        </w:rPr>
        <w:t xml:space="preserve"> </w:t>
      </w:r>
      <w:r>
        <w:t>consistent</w:t>
      </w:r>
      <w:r>
        <w:rPr>
          <w:spacing w:val="-4"/>
        </w:rPr>
        <w:t xml:space="preserve"> </w:t>
      </w:r>
      <w:r>
        <w:t>with</w:t>
      </w:r>
      <w:r>
        <w:rPr>
          <w:spacing w:val="-7"/>
        </w:rPr>
        <w:t xml:space="preserve"> </w:t>
      </w:r>
      <w:r>
        <w:t>the</w:t>
      </w:r>
      <w:r>
        <w:rPr>
          <w:spacing w:val="-4"/>
        </w:rPr>
        <w:t xml:space="preserve"> </w:t>
      </w:r>
      <w:r>
        <w:t>21</w:t>
      </w:r>
      <w:r>
        <w:rPr>
          <w:position w:val="8"/>
          <w:sz w:val="14"/>
        </w:rPr>
        <w:t xml:space="preserve">st </w:t>
      </w:r>
      <w:r>
        <w:t>Century</w:t>
      </w:r>
      <w:r>
        <w:rPr>
          <w:spacing w:val="-6"/>
        </w:rPr>
        <w:t xml:space="preserve"> </w:t>
      </w:r>
      <w:r>
        <w:t>Cures</w:t>
      </w:r>
      <w:r>
        <w:rPr>
          <w:spacing w:val="-3"/>
        </w:rPr>
        <w:t xml:space="preserve"> </w:t>
      </w:r>
      <w:r>
        <w:t>Act’s</w:t>
      </w:r>
      <w:r>
        <w:rPr>
          <w:spacing w:val="-5"/>
        </w:rPr>
        <w:t xml:space="preserve"> </w:t>
      </w:r>
      <w:r>
        <w:t>intent</w:t>
      </w:r>
      <w:r>
        <w:rPr>
          <w:spacing w:val="-5"/>
        </w:rPr>
        <w:t xml:space="preserve"> </w:t>
      </w:r>
      <w:r>
        <w:t>and</w:t>
      </w:r>
      <w:r>
        <w:rPr>
          <w:spacing w:val="-3"/>
        </w:rPr>
        <w:t xml:space="preserve"> </w:t>
      </w:r>
      <w:r>
        <w:t>requirements,</w:t>
      </w:r>
      <w:r>
        <w:rPr>
          <w:spacing w:val="-3"/>
        </w:rPr>
        <w:t xml:space="preserve"> </w:t>
      </w:r>
      <w:r>
        <w:t>as</w:t>
      </w:r>
      <w:r>
        <w:rPr>
          <w:spacing w:val="-3"/>
        </w:rPr>
        <w:t xml:space="preserve"> </w:t>
      </w:r>
      <w:r>
        <w:t>compared</w:t>
      </w:r>
      <w:r>
        <w:rPr>
          <w:spacing w:val="-3"/>
        </w:rPr>
        <w:t xml:space="preserve"> </w:t>
      </w:r>
      <w:r>
        <w:t>to</w:t>
      </w:r>
      <w:r>
        <w:rPr>
          <w:spacing w:val="-4"/>
        </w:rPr>
        <w:t xml:space="preserve"> </w:t>
      </w:r>
      <w:r>
        <w:t>the</w:t>
      </w:r>
      <w:r>
        <w:rPr>
          <w:spacing w:val="-3"/>
        </w:rPr>
        <w:t xml:space="preserve"> </w:t>
      </w:r>
      <w:r>
        <w:t>alternative</w:t>
      </w:r>
      <w:r>
        <w:rPr>
          <w:spacing w:val="-3"/>
        </w:rPr>
        <w:t xml:space="preserve"> </w:t>
      </w:r>
      <w:r>
        <w:t>All</w:t>
      </w:r>
      <w:r>
        <w:rPr>
          <w:spacing w:val="-3"/>
        </w:rPr>
        <w:t xml:space="preserve"> </w:t>
      </w:r>
      <w:r>
        <w:t>Condition</w:t>
      </w:r>
      <w:r>
        <w:rPr>
          <w:spacing w:val="-4"/>
        </w:rPr>
        <w:t xml:space="preserve"> </w:t>
      </w:r>
      <w:r>
        <w:t>Count</w:t>
      </w:r>
      <w:r>
        <w:rPr>
          <w:spacing w:val="-3"/>
        </w:rPr>
        <w:t xml:space="preserve"> </w:t>
      </w:r>
      <w:r>
        <w:t>model— beginning in</w:t>
      </w:r>
      <w:r>
        <w:rPr>
          <w:spacing w:val="-3"/>
        </w:rPr>
        <w:t xml:space="preserve"> </w:t>
      </w:r>
      <w:r>
        <w:t>2019.</w:t>
      </w:r>
    </w:p>
    <w:p w:rsidR="00805174" w:rsidRDefault="00805174">
      <w:pPr>
        <w:pStyle w:val="BodyText"/>
        <w:spacing w:before="1"/>
      </w:pPr>
    </w:p>
    <w:p w:rsidR="00805174" w:rsidRDefault="000A64A3">
      <w:pPr>
        <w:pStyle w:val="BodyText"/>
        <w:ind w:left="100" w:right="113"/>
        <w:jc w:val="both"/>
      </w:pPr>
      <w:r>
        <w:t>While</w:t>
      </w:r>
      <w:r>
        <w:rPr>
          <w:spacing w:val="-14"/>
        </w:rPr>
        <w:t xml:space="preserve"> </w:t>
      </w:r>
      <w:r>
        <w:t>we</w:t>
      </w:r>
      <w:r>
        <w:rPr>
          <w:spacing w:val="-16"/>
        </w:rPr>
        <w:t xml:space="preserve"> </w:t>
      </w:r>
      <w:r>
        <w:t>are</w:t>
      </w:r>
      <w:r>
        <w:rPr>
          <w:spacing w:val="-14"/>
        </w:rPr>
        <w:t xml:space="preserve"> </w:t>
      </w:r>
      <w:r>
        <w:t>generally</w:t>
      </w:r>
      <w:r>
        <w:rPr>
          <w:spacing w:val="-17"/>
        </w:rPr>
        <w:t xml:space="preserve"> </w:t>
      </w:r>
      <w:r>
        <w:t>supportive</w:t>
      </w:r>
      <w:r>
        <w:rPr>
          <w:spacing w:val="-14"/>
        </w:rPr>
        <w:t xml:space="preserve"> </w:t>
      </w:r>
      <w:r>
        <w:t>of</w:t>
      </w:r>
      <w:r>
        <w:rPr>
          <w:spacing w:val="-16"/>
        </w:rPr>
        <w:t xml:space="preserve"> </w:t>
      </w:r>
      <w:r>
        <w:t>CMS’</w:t>
      </w:r>
      <w:r>
        <w:rPr>
          <w:spacing w:val="-16"/>
        </w:rPr>
        <w:t xml:space="preserve"> </w:t>
      </w:r>
      <w:r>
        <w:t>proposed</w:t>
      </w:r>
      <w:r>
        <w:rPr>
          <w:spacing w:val="-12"/>
        </w:rPr>
        <w:t xml:space="preserve"> </w:t>
      </w:r>
      <w:r>
        <w:t>2019</w:t>
      </w:r>
      <w:r>
        <w:rPr>
          <w:spacing w:val="-14"/>
        </w:rPr>
        <w:t xml:space="preserve"> </w:t>
      </w:r>
      <w:r>
        <w:t>risk</w:t>
      </w:r>
      <w:r>
        <w:rPr>
          <w:spacing w:val="-16"/>
        </w:rPr>
        <w:t xml:space="preserve"> </w:t>
      </w:r>
      <w:r>
        <w:t>model</w:t>
      </w:r>
      <w:r>
        <w:rPr>
          <w:spacing w:val="-13"/>
        </w:rPr>
        <w:t xml:space="preserve"> </w:t>
      </w:r>
      <w:r>
        <w:t>changes,</w:t>
      </w:r>
      <w:r>
        <w:rPr>
          <w:spacing w:val="-14"/>
        </w:rPr>
        <w:t xml:space="preserve"> </w:t>
      </w:r>
      <w:r>
        <w:t>we</w:t>
      </w:r>
      <w:r>
        <w:rPr>
          <w:spacing w:val="-15"/>
        </w:rPr>
        <w:t xml:space="preserve"> </w:t>
      </w:r>
      <w:r>
        <w:t>note</w:t>
      </w:r>
      <w:r>
        <w:rPr>
          <w:spacing w:val="-16"/>
        </w:rPr>
        <w:t xml:space="preserve"> </w:t>
      </w:r>
      <w:r>
        <w:t>that</w:t>
      </w:r>
      <w:r>
        <w:rPr>
          <w:spacing w:val="-13"/>
        </w:rPr>
        <w:t xml:space="preserve"> </w:t>
      </w:r>
      <w:r>
        <w:t>CMS’</w:t>
      </w:r>
      <w:r>
        <w:rPr>
          <w:spacing w:val="-16"/>
        </w:rPr>
        <w:t xml:space="preserve"> </w:t>
      </w:r>
      <w:r>
        <w:t>proposal to blend the old and new models is overly complex. We also continue to have concerns with the</w:t>
      </w:r>
      <w:r>
        <w:rPr>
          <w:spacing w:val="-29"/>
        </w:rPr>
        <w:t xml:space="preserve"> </w:t>
      </w:r>
      <w:r>
        <w:t>frequency with w</w:t>
      </w:r>
      <w:r>
        <w:t>hich CMS implements its MA payment policies and the subsequent significant implications these updates have on MA risk score calculations. Anthem thanks CMS for its commitment over the last few years to increase the transparency necessary to support a viabl</w:t>
      </w:r>
      <w:r>
        <w:t>e risk adjustment model. Specifically, the Agency’s efforts to solicit feedback prior to implementation of the 2019 risk adjustment model (which introduced six community segments), and the recent release the Part I of the 2019 Advance Notice were helpful i</w:t>
      </w:r>
      <w:r>
        <w:t>n analyzing complex changes and their impacts on the program outside of the historical 45-day Advance Notice process. However, more can and should be done to ensure to that risk model updates are developed collaboratively and transparently, and that implem</w:t>
      </w:r>
      <w:r>
        <w:t>entation is as simple as</w:t>
      </w:r>
      <w:r>
        <w:rPr>
          <w:spacing w:val="-27"/>
        </w:rPr>
        <w:t xml:space="preserve"> </w:t>
      </w:r>
      <w:r>
        <w:t>possible.</w:t>
      </w:r>
    </w:p>
    <w:p w:rsidR="00805174" w:rsidRDefault="00805174">
      <w:pPr>
        <w:pStyle w:val="BodyText"/>
      </w:pPr>
    </w:p>
    <w:p w:rsidR="00805174" w:rsidRDefault="000A64A3">
      <w:pPr>
        <w:pStyle w:val="BodyText"/>
        <w:ind w:left="100" w:right="112"/>
        <w:jc w:val="both"/>
      </w:pPr>
      <w:r>
        <w:t>To ensure the risk model is clinically accurate, Anthem urges CMS to continue to preview significant risk adjustment model updates at least two years prior to implementation, and to finalize the risk adjustment model coe</w:t>
      </w:r>
      <w:r>
        <w:t>fficients at least one calendar year before implementation. Additionally, in releasing proposed risk</w:t>
      </w:r>
      <w:r>
        <w:rPr>
          <w:spacing w:val="-8"/>
        </w:rPr>
        <w:t xml:space="preserve"> </w:t>
      </w:r>
      <w:r>
        <w:t>adjustment</w:t>
      </w:r>
      <w:r>
        <w:rPr>
          <w:spacing w:val="-5"/>
        </w:rPr>
        <w:t xml:space="preserve"> </w:t>
      </w:r>
      <w:r>
        <w:t>changes</w:t>
      </w:r>
      <w:r>
        <w:rPr>
          <w:spacing w:val="-8"/>
        </w:rPr>
        <w:t xml:space="preserve"> </w:t>
      </w:r>
      <w:r>
        <w:t>as</w:t>
      </w:r>
      <w:r>
        <w:rPr>
          <w:spacing w:val="-8"/>
        </w:rPr>
        <w:t xml:space="preserve"> </w:t>
      </w:r>
      <w:r>
        <w:t>part</w:t>
      </w:r>
      <w:r>
        <w:rPr>
          <w:spacing w:val="-7"/>
        </w:rPr>
        <w:t xml:space="preserve"> </w:t>
      </w:r>
      <w:r>
        <w:t>of</w:t>
      </w:r>
      <w:r>
        <w:rPr>
          <w:spacing w:val="-8"/>
        </w:rPr>
        <w:t xml:space="preserve"> </w:t>
      </w:r>
      <w:r>
        <w:t>the</w:t>
      </w:r>
      <w:r>
        <w:rPr>
          <w:spacing w:val="-6"/>
        </w:rPr>
        <w:t xml:space="preserve"> </w:t>
      </w:r>
      <w:r>
        <w:t>Advanced</w:t>
      </w:r>
      <w:r>
        <w:rPr>
          <w:spacing w:val="-6"/>
        </w:rPr>
        <w:t xml:space="preserve"> </w:t>
      </w:r>
      <w:r>
        <w:t>Notice,</w:t>
      </w:r>
      <w:r>
        <w:rPr>
          <w:spacing w:val="-6"/>
        </w:rPr>
        <w:t xml:space="preserve"> </w:t>
      </w:r>
      <w:r>
        <w:t>CMS</w:t>
      </w:r>
      <w:r>
        <w:rPr>
          <w:spacing w:val="-6"/>
        </w:rPr>
        <w:t xml:space="preserve"> </w:t>
      </w:r>
      <w:r>
        <w:t>should</w:t>
      </w:r>
      <w:r>
        <w:rPr>
          <w:spacing w:val="-9"/>
        </w:rPr>
        <w:t xml:space="preserve"> </w:t>
      </w:r>
      <w:r>
        <w:t>also</w:t>
      </w:r>
      <w:r>
        <w:rPr>
          <w:spacing w:val="-8"/>
        </w:rPr>
        <w:t xml:space="preserve"> </w:t>
      </w:r>
      <w:r>
        <w:t>timely</w:t>
      </w:r>
      <w:r>
        <w:rPr>
          <w:spacing w:val="-9"/>
        </w:rPr>
        <w:t xml:space="preserve"> </w:t>
      </w:r>
      <w:r>
        <w:t>release</w:t>
      </w:r>
      <w:r>
        <w:rPr>
          <w:spacing w:val="-8"/>
        </w:rPr>
        <w:t xml:space="preserve"> </w:t>
      </w:r>
      <w:r>
        <w:t>all</w:t>
      </w:r>
      <w:r>
        <w:rPr>
          <w:spacing w:val="-5"/>
        </w:rPr>
        <w:t xml:space="preserve"> </w:t>
      </w:r>
      <w:r>
        <w:t>supplementary data and models needed to appropriately analyze the proposed changes. For example, the supplementary data</w:t>
      </w:r>
      <w:r>
        <w:rPr>
          <w:spacing w:val="-6"/>
        </w:rPr>
        <w:t xml:space="preserve"> </w:t>
      </w:r>
      <w:r>
        <w:t>needed</w:t>
      </w:r>
      <w:r>
        <w:rPr>
          <w:spacing w:val="-6"/>
        </w:rPr>
        <w:t xml:space="preserve"> </w:t>
      </w:r>
      <w:r>
        <w:t>to</w:t>
      </w:r>
      <w:r>
        <w:rPr>
          <w:spacing w:val="-4"/>
        </w:rPr>
        <w:t xml:space="preserve"> </w:t>
      </w:r>
      <w:r>
        <w:t>support</w:t>
      </w:r>
      <w:r>
        <w:rPr>
          <w:spacing w:val="-5"/>
        </w:rPr>
        <w:t xml:space="preserve"> </w:t>
      </w:r>
      <w:r>
        <w:t>analysis</w:t>
      </w:r>
      <w:r>
        <w:rPr>
          <w:spacing w:val="-3"/>
        </w:rPr>
        <w:t xml:space="preserve"> </w:t>
      </w:r>
      <w:r>
        <w:t>of</w:t>
      </w:r>
      <w:r>
        <w:rPr>
          <w:spacing w:val="-5"/>
        </w:rPr>
        <w:t xml:space="preserve"> </w:t>
      </w:r>
      <w:r>
        <w:t>the</w:t>
      </w:r>
      <w:r>
        <w:rPr>
          <w:spacing w:val="-6"/>
        </w:rPr>
        <w:t xml:space="preserve"> </w:t>
      </w:r>
      <w:r>
        <w:t>2019</w:t>
      </w:r>
      <w:r>
        <w:rPr>
          <w:spacing w:val="-4"/>
        </w:rPr>
        <w:t xml:space="preserve"> </w:t>
      </w:r>
      <w:r>
        <w:t>Advance</w:t>
      </w:r>
      <w:r>
        <w:rPr>
          <w:spacing w:val="-3"/>
        </w:rPr>
        <w:t xml:space="preserve"> </w:t>
      </w:r>
      <w:r>
        <w:t>Notice</w:t>
      </w:r>
      <w:r>
        <w:rPr>
          <w:spacing w:val="-3"/>
        </w:rPr>
        <w:t xml:space="preserve"> </w:t>
      </w:r>
      <w:r>
        <w:t>Part</w:t>
      </w:r>
      <w:r>
        <w:rPr>
          <w:spacing w:val="-5"/>
        </w:rPr>
        <w:t xml:space="preserve"> </w:t>
      </w:r>
      <w:r>
        <w:t>I</w:t>
      </w:r>
      <w:r>
        <w:rPr>
          <w:spacing w:val="-8"/>
        </w:rPr>
        <w:t xml:space="preserve"> </w:t>
      </w:r>
      <w:r>
        <w:t>was</w:t>
      </w:r>
      <w:r>
        <w:rPr>
          <w:spacing w:val="-3"/>
        </w:rPr>
        <w:t xml:space="preserve"> </w:t>
      </w:r>
      <w:r>
        <w:t>not</w:t>
      </w:r>
      <w:r>
        <w:rPr>
          <w:spacing w:val="-3"/>
        </w:rPr>
        <w:t xml:space="preserve"> </w:t>
      </w:r>
      <w:r>
        <w:t>released</w:t>
      </w:r>
      <w:r>
        <w:rPr>
          <w:spacing w:val="-4"/>
        </w:rPr>
        <w:t xml:space="preserve"> </w:t>
      </w:r>
      <w:r>
        <w:t>until</w:t>
      </w:r>
      <w:r>
        <w:rPr>
          <w:spacing w:val="-5"/>
        </w:rPr>
        <w:t xml:space="preserve"> </w:t>
      </w:r>
      <w:r>
        <w:t>January</w:t>
      </w:r>
      <w:r>
        <w:rPr>
          <w:spacing w:val="-6"/>
        </w:rPr>
        <w:t xml:space="preserve"> </w:t>
      </w:r>
      <w:r>
        <w:t>23,</w:t>
      </w:r>
      <w:r>
        <w:rPr>
          <w:spacing w:val="-4"/>
        </w:rPr>
        <w:t xml:space="preserve"> </w:t>
      </w:r>
      <w:r>
        <w:t xml:space="preserve">2018, even though the Notice </w:t>
      </w:r>
      <w:r>
        <w:rPr>
          <w:spacing w:val="-2"/>
        </w:rPr>
        <w:t xml:space="preserve">was </w:t>
      </w:r>
      <w:r>
        <w:t>release</w:t>
      </w:r>
      <w:r>
        <w:t>d on December 27, 2017. We also note that risk model updates cannot be evaluated in isolation; CMS addresses a number of payment updates in the Advance Notice (e.g., FFS normalization factor updates, announcement of the coding pattern intensity adjustment,</w:t>
      </w:r>
      <w:r>
        <w:t xml:space="preserve"> etc.) that impact risk score calculation. Plans require the ability to evaluate all of these updates holistically to fully understand their impacts on beneficiaries and plan operations. Effective and clinically accurate implementation of any risk adjustme</w:t>
      </w:r>
      <w:r>
        <w:t>nt model requires stakeholder input and testing to assess proposed updates;</w:t>
      </w:r>
      <w:r>
        <w:rPr>
          <w:spacing w:val="-6"/>
        </w:rPr>
        <w:t xml:space="preserve"> </w:t>
      </w:r>
      <w:r>
        <w:t>complete</w:t>
      </w:r>
      <w:r>
        <w:rPr>
          <w:spacing w:val="-7"/>
        </w:rPr>
        <w:t xml:space="preserve"> </w:t>
      </w:r>
      <w:r>
        <w:t>information</w:t>
      </w:r>
      <w:r>
        <w:rPr>
          <w:spacing w:val="-5"/>
        </w:rPr>
        <w:t xml:space="preserve"> </w:t>
      </w:r>
      <w:r>
        <w:t>is</w:t>
      </w:r>
      <w:r>
        <w:rPr>
          <w:spacing w:val="-4"/>
        </w:rPr>
        <w:t xml:space="preserve"> </w:t>
      </w:r>
      <w:r>
        <w:t>required</w:t>
      </w:r>
      <w:r>
        <w:rPr>
          <w:spacing w:val="-7"/>
        </w:rPr>
        <w:t xml:space="preserve"> </w:t>
      </w:r>
      <w:r>
        <w:t>to</w:t>
      </w:r>
      <w:r>
        <w:rPr>
          <w:spacing w:val="-5"/>
        </w:rPr>
        <w:t xml:space="preserve"> </w:t>
      </w:r>
      <w:r>
        <w:t>conduct</w:t>
      </w:r>
      <w:r>
        <w:rPr>
          <w:spacing w:val="-4"/>
        </w:rPr>
        <w:t xml:space="preserve"> </w:t>
      </w:r>
      <w:r>
        <w:t>appropriate</w:t>
      </w:r>
      <w:r>
        <w:rPr>
          <w:spacing w:val="-7"/>
        </w:rPr>
        <w:t xml:space="preserve"> </w:t>
      </w:r>
      <w:r>
        <w:t>analysis.</w:t>
      </w:r>
      <w:r>
        <w:rPr>
          <w:spacing w:val="-4"/>
        </w:rPr>
        <w:t xml:space="preserve"> </w:t>
      </w:r>
      <w:r>
        <w:t>We</w:t>
      </w:r>
      <w:r>
        <w:rPr>
          <w:spacing w:val="-4"/>
        </w:rPr>
        <w:t xml:space="preserve"> </w:t>
      </w:r>
      <w:r>
        <w:t>look</w:t>
      </w:r>
      <w:r>
        <w:rPr>
          <w:spacing w:val="-7"/>
        </w:rPr>
        <w:t xml:space="preserve"> </w:t>
      </w:r>
      <w:r>
        <w:t>forward</w:t>
      </w:r>
      <w:r>
        <w:rPr>
          <w:spacing w:val="-5"/>
        </w:rPr>
        <w:t xml:space="preserve"> </w:t>
      </w:r>
      <w:r>
        <w:t>to</w:t>
      </w:r>
      <w:r>
        <w:rPr>
          <w:spacing w:val="-5"/>
        </w:rPr>
        <w:t xml:space="preserve"> </w:t>
      </w:r>
      <w:r>
        <w:t>a</w:t>
      </w:r>
      <w:r>
        <w:rPr>
          <w:spacing w:val="-4"/>
        </w:rPr>
        <w:t xml:space="preserve"> </w:t>
      </w:r>
      <w:r>
        <w:t>continued dialogue with CMS to support a competitive MA marketplace and strong beneficiary ac</w:t>
      </w:r>
      <w:r>
        <w:t>cess to</w:t>
      </w:r>
      <w:r>
        <w:rPr>
          <w:spacing w:val="-27"/>
        </w:rPr>
        <w:t xml:space="preserve"> </w:t>
      </w:r>
      <w:r>
        <w:t>care.</w:t>
      </w:r>
    </w:p>
    <w:p w:rsidR="00805174" w:rsidRDefault="00805174">
      <w:pPr>
        <w:pStyle w:val="BodyText"/>
      </w:pPr>
    </w:p>
    <w:p w:rsidR="00805174" w:rsidRDefault="000A64A3">
      <w:pPr>
        <w:pStyle w:val="BodyText"/>
        <w:ind w:left="100" w:right="116"/>
        <w:jc w:val="both"/>
      </w:pPr>
      <w:r>
        <w:t>Anthem also reiterates our concerns with the continued transition to using encounter data to calculate beneficiary</w:t>
      </w:r>
      <w:r>
        <w:rPr>
          <w:spacing w:val="-7"/>
        </w:rPr>
        <w:t xml:space="preserve"> </w:t>
      </w:r>
      <w:r>
        <w:t>risk</w:t>
      </w:r>
      <w:r>
        <w:rPr>
          <w:spacing w:val="-7"/>
        </w:rPr>
        <w:t xml:space="preserve"> </w:t>
      </w:r>
      <w:r>
        <w:t>scores.</w:t>
      </w:r>
      <w:r>
        <w:rPr>
          <w:spacing w:val="-5"/>
        </w:rPr>
        <w:t xml:space="preserve"> </w:t>
      </w:r>
      <w:r>
        <w:t>As</w:t>
      </w:r>
      <w:r>
        <w:rPr>
          <w:spacing w:val="-6"/>
        </w:rPr>
        <w:t xml:space="preserve"> </w:t>
      </w:r>
      <w:r>
        <w:t>we</w:t>
      </w:r>
      <w:r>
        <w:rPr>
          <w:spacing w:val="-4"/>
        </w:rPr>
        <w:t xml:space="preserve"> </w:t>
      </w:r>
      <w:r>
        <w:t>have</w:t>
      </w:r>
      <w:r>
        <w:rPr>
          <w:spacing w:val="-4"/>
        </w:rPr>
        <w:t xml:space="preserve"> </w:t>
      </w:r>
      <w:r>
        <w:t>previously</w:t>
      </w:r>
      <w:r>
        <w:rPr>
          <w:spacing w:val="-7"/>
        </w:rPr>
        <w:t xml:space="preserve"> </w:t>
      </w:r>
      <w:r>
        <w:t>acknowledged,</w:t>
      </w:r>
      <w:r>
        <w:rPr>
          <w:spacing w:val="-4"/>
        </w:rPr>
        <w:t xml:space="preserve"> </w:t>
      </w:r>
      <w:r>
        <w:t>plans</w:t>
      </w:r>
      <w:r>
        <w:rPr>
          <w:spacing w:val="-4"/>
        </w:rPr>
        <w:t xml:space="preserve"> </w:t>
      </w:r>
      <w:r>
        <w:t>and</w:t>
      </w:r>
      <w:r>
        <w:rPr>
          <w:spacing w:val="-5"/>
        </w:rPr>
        <w:t xml:space="preserve"> </w:t>
      </w:r>
      <w:r>
        <w:t>CMS</w:t>
      </w:r>
      <w:r>
        <w:rPr>
          <w:spacing w:val="-5"/>
        </w:rPr>
        <w:t xml:space="preserve"> </w:t>
      </w:r>
      <w:r>
        <w:t>have</w:t>
      </w:r>
      <w:r>
        <w:rPr>
          <w:spacing w:val="-4"/>
        </w:rPr>
        <w:t xml:space="preserve"> </w:t>
      </w:r>
      <w:r>
        <w:t>experienced</w:t>
      </w:r>
      <w:r>
        <w:rPr>
          <w:spacing w:val="-7"/>
        </w:rPr>
        <w:t xml:space="preserve"> </w:t>
      </w:r>
      <w:r>
        <w:t>numerous and complex technical and operational challenges throughout the transition to encounter data. While we appreciate CMS’ efforts to resolve these challenges and increase transparency over the past year, critical issues</w:t>
      </w:r>
      <w:r>
        <w:rPr>
          <w:spacing w:val="-14"/>
        </w:rPr>
        <w:t xml:space="preserve"> </w:t>
      </w:r>
      <w:r>
        <w:t>remain</w:t>
      </w:r>
      <w:r>
        <w:rPr>
          <w:spacing w:val="-12"/>
        </w:rPr>
        <w:t xml:space="preserve"> </w:t>
      </w:r>
      <w:r>
        <w:t>unsolved.</w:t>
      </w:r>
      <w:r>
        <w:rPr>
          <w:spacing w:val="-12"/>
        </w:rPr>
        <w:t xml:space="preserve"> </w:t>
      </w:r>
      <w:r>
        <w:t>As</w:t>
      </w:r>
      <w:r>
        <w:rPr>
          <w:spacing w:val="-14"/>
        </w:rPr>
        <w:t xml:space="preserve"> </w:t>
      </w:r>
      <w:r>
        <w:t>a</w:t>
      </w:r>
      <w:r>
        <w:rPr>
          <w:spacing w:val="-12"/>
        </w:rPr>
        <w:t xml:space="preserve"> </w:t>
      </w:r>
      <w:r>
        <w:t>result</w:t>
      </w:r>
      <w:r>
        <w:rPr>
          <w:spacing w:val="-13"/>
        </w:rPr>
        <w:t xml:space="preserve"> </w:t>
      </w:r>
      <w:r>
        <w:t>o</w:t>
      </w:r>
      <w:r>
        <w:t>f</w:t>
      </w:r>
      <w:r>
        <w:rPr>
          <w:spacing w:val="-14"/>
        </w:rPr>
        <w:t xml:space="preserve"> </w:t>
      </w:r>
      <w:r>
        <w:t>a</w:t>
      </w:r>
      <w:r>
        <w:rPr>
          <w:spacing w:val="-12"/>
        </w:rPr>
        <w:t xml:space="preserve"> </w:t>
      </w:r>
      <w:r>
        <w:t>wide</w:t>
      </w:r>
      <w:r>
        <w:rPr>
          <w:spacing w:val="-12"/>
        </w:rPr>
        <w:t xml:space="preserve"> </w:t>
      </w:r>
      <w:r>
        <w:t>variety</w:t>
      </w:r>
      <w:r>
        <w:rPr>
          <w:spacing w:val="-14"/>
        </w:rPr>
        <w:t xml:space="preserve"> </w:t>
      </w:r>
      <w:r>
        <w:t>of</w:t>
      </w:r>
      <w:r>
        <w:rPr>
          <w:spacing w:val="-14"/>
        </w:rPr>
        <w:t xml:space="preserve"> </w:t>
      </w:r>
      <w:r>
        <w:t>data</w:t>
      </w:r>
      <w:r>
        <w:rPr>
          <w:spacing w:val="-14"/>
        </w:rPr>
        <w:t xml:space="preserve"> </w:t>
      </w:r>
      <w:r>
        <w:t>intake,</w:t>
      </w:r>
      <w:r>
        <w:rPr>
          <w:spacing w:val="-12"/>
        </w:rPr>
        <w:t xml:space="preserve"> </w:t>
      </w:r>
      <w:r>
        <w:t>processing,</w:t>
      </w:r>
      <w:r>
        <w:rPr>
          <w:spacing w:val="-12"/>
        </w:rPr>
        <w:t xml:space="preserve"> </w:t>
      </w:r>
      <w:r>
        <w:t>and</w:t>
      </w:r>
      <w:r>
        <w:rPr>
          <w:spacing w:val="-16"/>
        </w:rPr>
        <w:t xml:space="preserve"> </w:t>
      </w:r>
      <w:r>
        <w:t>other</w:t>
      </w:r>
      <w:r>
        <w:rPr>
          <w:spacing w:val="-11"/>
        </w:rPr>
        <w:t xml:space="preserve"> </w:t>
      </w:r>
      <w:r>
        <w:t>errors,</w:t>
      </w:r>
      <w:r>
        <w:rPr>
          <w:spacing w:val="-14"/>
        </w:rPr>
        <w:t xml:space="preserve"> </w:t>
      </w:r>
      <w:r>
        <w:t xml:space="preserve">beneficiary risk scores calculated using EDS are substantially lower than risk scores calculated using RAPS.  </w:t>
      </w:r>
      <w:r>
        <w:rPr>
          <w:spacing w:val="10"/>
        </w:rPr>
        <w:t xml:space="preserve"> </w:t>
      </w:r>
      <w:r>
        <w:t>Several</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68"/>
        <w:ind w:left="120" w:right="113"/>
        <w:jc w:val="both"/>
      </w:pPr>
      <w:r>
        <w:lastRenderedPageBreak/>
        <w:t>third-party studies, including a review by the Government Ac</w:t>
      </w:r>
      <w:r>
        <w:t>countability Office (GAO)</w:t>
      </w:r>
      <w:r>
        <w:rPr>
          <w:position w:val="8"/>
          <w:sz w:val="14"/>
        </w:rPr>
        <w:t>1,2</w:t>
      </w:r>
      <w:r>
        <w:t>, confirm both the widespread nature of the technical challenges and the significant impact on plan payment.</w:t>
      </w:r>
    </w:p>
    <w:p w:rsidR="00805174" w:rsidRDefault="00805174">
      <w:pPr>
        <w:pStyle w:val="BodyText"/>
        <w:spacing w:before="11"/>
        <w:rPr>
          <w:sz w:val="21"/>
        </w:rPr>
      </w:pPr>
    </w:p>
    <w:p w:rsidR="00805174" w:rsidRDefault="000A64A3">
      <w:pPr>
        <w:pStyle w:val="BodyText"/>
        <w:ind w:left="120" w:right="110"/>
        <w:jc w:val="both"/>
      </w:pPr>
      <w:r>
        <w:t>While CMS’ proposal to allow sponsor to amend EDS inpatient submissions with RAPS inpatient submissions is a welcome adjustment, it highlights that there are still significant issues with the accuracy of the data. Furthermore, CMS’ own impact analysis ackn</w:t>
      </w:r>
      <w:r>
        <w:t>owledges that the transition to encounter data as a</w:t>
      </w:r>
      <w:r>
        <w:rPr>
          <w:spacing w:val="-6"/>
        </w:rPr>
        <w:t xml:space="preserve"> </w:t>
      </w:r>
      <w:r>
        <w:t>source</w:t>
      </w:r>
      <w:r>
        <w:rPr>
          <w:spacing w:val="-6"/>
        </w:rPr>
        <w:t xml:space="preserve"> </w:t>
      </w:r>
      <w:r>
        <w:t>of</w:t>
      </w:r>
      <w:r>
        <w:rPr>
          <w:spacing w:val="-5"/>
        </w:rPr>
        <w:t xml:space="preserve"> </w:t>
      </w:r>
      <w:r>
        <w:t>diagnoses</w:t>
      </w:r>
      <w:r>
        <w:rPr>
          <w:spacing w:val="-8"/>
        </w:rPr>
        <w:t xml:space="preserve"> </w:t>
      </w:r>
      <w:r>
        <w:t>for</w:t>
      </w:r>
      <w:r>
        <w:rPr>
          <w:spacing w:val="-5"/>
        </w:rPr>
        <w:t xml:space="preserve"> </w:t>
      </w:r>
      <w:r>
        <w:t>risk</w:t>
      </w:r>
      <w:r>
        <w:rPr>
          <w:spacing w:val="-9"/>
        </w:rPr>
        <w:t xml:space="preserve"> </w:t>
      </w:r>
      <w:r>
        <w:t>adjustment</w:t>
      </w:r>
      <w:r>
        <w:rPr>
          <w:spacing w:val="-2"/>
        </w:rPr>
        <w:t xml:space="preserve"> </w:t>
      </w:r>
      <w:r>
        <w:t>will</w:t>
      </w:r>
      <w:r>
        <w:rPr>
          <w:spacing w:val="-7"/>
        </w:rPr>
        <w:t xml:space="preserve"> </w:t>
      </w:r>
      <w:r>
        <w:t>result</w:t>
      </w:r>
      <w:r>
        <w:rPr>
          <w:spacing w:val="-5"/>
        </w:rPr>
        <w:t xml:space="preserve"> </w:t>
      </w:r>
      <w:r>
        <w:t>in</w:t>
      </w:r>
      <w:r>
        <w:rPr>
          <w:spacing w:val="-6"/>
        </w:rPr>
        <w:t xml:space="preserve"> </w:t>
      </w:r>
      <w:r>
        <w:t>a</w:t>
      </w:r>
      <w:r>
        <w:rPr>
          <w:spacing w:val="-7"/>
        </w:rPr>
        <w:t xml:space="preserve"> </w:t>
      </w:r>
      <w:r>
        <w:t>payment</w:t>
      </w:r>
      <w:r>
        <w:rPr>
          <w:spacing w:val="-5"/>
        </w:rPr>
        <w:t xml:space="preserve"> </w:t>
      </w:r>
      <w:r>
        <w:t>reduction</w:t>
      </w:r>
      <w:r>
        <w:rPr>
          <w:spacing w:val="-7"/>
        </w:rPr>
        <w:t xml:space="preserve"> </w:t>
      </w:r>
      <w:r>
        <w:t>for</w:t>
      </w:r>
      <w:r>
        <w:rPr>
          <w:spacing w:val="-8"/>
        </w:rPr>
        <w:t xml:space="preserve"> </w:t>
      </w:r>
      <w:r>
        <w:t>MA</w:t>
      </w:r>
      <w:r>
        <w:rPr>
          <w:spacing w:val="-9"/>
        </w:rPr>
        <w:t xml:space="preserve"> </w:t>
      </w:r>
      <w:r>
        <w:t>plans.</w:t>
      </w:r>
      <w:r>
        <w:rPr>
          <w:spacing w:val="-6"/>
        </w:rPr>
        <w:t xml:space="preserve"> </w:t>
      </w:r>
      <w:r>
        <w:t>In</w:t>
      </w:r>
      <w:r>
        <w:rPr>
          <w:spacing w:val="-6"/>
        </w:rPr>
        <w:t xml:space="preserve"> </w:t>
      </w:r>
      <w:r>
        <w:t>fact,</w:t>
      </w:r>
      <w:r>
        <w:rPr>
          <w:spacing w:val="-9"/>
        </w:rPr>
        <w:t xml:space="preserve"> </w:t>
      </w:r>
      <w:r>
        <w:t>the</w:t>
      </w:r>
      <w:r>
        <w:rPr>
          <w:spacing w:val="-8"/>
        </w:rPr>
        <w:t xml:space="preserve"> </w:t>
      </w:r>
      <w:r>
        <w:t>fiscal year (FY) 2019 President’s Budget explicitly includes the encounter data transition proposal included in the 2019 Advance Notice as a budget offset. The budget proposal, labeled “Eliminate Excessive Payment in Medicare Advantage by Using Claims Data</w:t>
      </w:r>
      <w:r>
        <w:t xml:space="preserve"> from Patient Encounters,” estimates that the proposed transition to encounter data will reduce Medicate Advantage spending by $11.1 billion over 10</w:t>
      </w:r>
      <w:r>
        <w:rPr>
          <w:spacing w:val="-29"/>
        </w:rPr>
        <w:t xml:space="preserve"> </w:t>
      </w:r>
      <w:r>
        <w:t>years.</w:t>
      </w:r>
    </w:p>
    <w:p w:rsidR="00805174" w:rsidRDefault="00805174">
      <w:pPr>
        <w:pStyle w:val="BodyText"/>
        <w:spacing w:before="11"/>
        <w:rPr>
          <w:sz w:val="21"/>
        </w:rPr>
      </w:pPr>
    </w:p>
    <w:p w:rsidR="00805174" w:rsidRDefault="000A64A3">
      <w:pPr>
        <w:pStyle w:val="BodyText"/>
        <w:ind w:left="120" w:right="113"/>
        <w:jc w:val="both"/>
      </w:pPr>
      <w:r>
        <w:t>Anthem</w:t>
      </w:r>
      <w:r>
        <w:rPr>
          <w:spacing w:val="-7"/>
        </w:rPr>
        <w:t xml:space="preserve"> </w:t>
      </w:r>
      <w:r>
        <w:t>continues</w:t>
      </w:r>
      <w:r>
        <w:rPr>
          <w:spacing w:val="-3"/>
        </w:rPr>
        <w:t xml:space="preserve"> </w:t>
      </w:r>
      <w:r>
        <w:t>to</w:t>
      </w:r>
      <w:r>
        <w:rPr>
          <w:spacing w:val="-2"/>
        </w:rPr>
        <w:t xml:space="preserve"> </w:t>
      </w:r>
      <w:r>
        <w:t>emphasize</w:t>
      </w:r>
      <w:r>
        <w:rPr>
          <w:spacing w:val="-3"/>
        </w:rPr>
        <w:t xml:space="preserve"> </w:t>
      </w:r>
      <w:r>
        <w:t>the</w:t>
      </w:r>
      <w:r>
        <w:rPr>
          <w:spacing w:val="-6"/>
        </w:rPr>
        <w:t xml:space="preserve"> </w:t>
      </w:r>
      <w:r>
        <w:t>importance</w:t>
      </w:r>
      <w:r>
        <w:rPr>
          <w:spacing w:val="-3"/>
        </w:rPr>
        <w:t xml:space="preserve"> </w:t>
      </w:r>
      <w:r>
        <w:t>of</w:t>
      </w:r>
      <w:r>
        <w:rPr>
          <w:spacing w:val="-3"/>
        </w:rPr>
        <w:t xml:space="preserve"> </w:t>
      </w:r>
      <w:r>
        <w:t>resolving</w:t>
      </w:r>
      <w:r>
        <w:rPr>
          <w:spacing w:val="-6"/>
        </w:rPr>
        <w:t xml:space="preserve"> </w:t>
      </w:r>
      <w:r>
        <w:t>all</w:t>
      </w:r>
      <w:r>
        <w:rPr>
          <w:spacing w:val="-3"/>
        </w:rPr>
        <w:t xml:space="preserve"> </w:t>
      </w:r>
      <w:r>
        <w:t>technical</w:t>
      </w:r>
      <w:r>
        <w:rPr>
          <w:spacing w:val="-3"/>
        </w:rPr>
        <w:t xml:space="preserve"> </w:t>
      </w:r>
      <w:r>
        <w:t>and</w:t>
      </w:r>
      <w:r>
        <w:rPr>
          <w:spacing w:val="-3"/>
        </w:rPr>
        <w:t xml:space="preserve"> </w:t>
      </w:r>
      <w:r>
        <w:t>operational</w:t>
      </w:r>
      <w:r>
        <w:rPr>
          <w:spacing w:val="-3"/>
        </w:rPr>
        <w:t xml:space="preserve"> </w:t>
      </w:r>
      <w:r>
        <w:t>issues</w:t>
      </w:r>
      <w:r>
        <w:rPr>
          <w:spacing w:val="-3"/>
        </w:rPr>
        <w:t xml:space="preserve"> </w:t>
      </w:r>
      <w:r>
        <w:t>asso</w:t>
      </w:r>
      <w:r>
        <w:t>ciated with</w:t>
      </w:r>
      <w:r>
        <w:rPr>
          <w:spacing w:val="-4"/>
        </w:rPr>
        <w:t xml:space="preserve"> </w:t>
      </w:r>
      <w:r>
        <w:t>using</w:t>
      </w:r>
      <w:r>
        <w:rPr>
          <w:spacing w:val="-6"/>
        </w:rPr>
        <w:t xml:space="preserve"> </w:t>
      </w:r>
      <w:r>
        <w:t>encounter</w:t>
      </w:r>
      <w:r>
        <w:rPr>
          <w:spacing w:val="-3"/>
        </w:rPr>
        <w:t xml:space="preserve"> </w:t>
      </w:r>
      <w:r>
        <w:t>data</w:t>
      </w:r>
      <w:r>
        <w:rPr>
          <w:spacing w:val="-4"/>
        </w:rPr>
        <w:t xml:space="preserve"> </w:t>
      </w:r>
      <w:r>
        <w:t>to</w:t>
      </w:r>
      <w:r>
        <w:rPr>
          <w:spacing w:val="-4"/>
        </w:rPr>
        <w:t xml:space="preserve"> </w:t>
      </w:r>
      <w:r>
        <w:t>calculate</w:t>
      </w:r>
      <w:r>
        <w:rPr>
          <w:spacing w:val="-6"/>
        </w:rPr>
        <w:t xml:space="preserve"> </w:t>
      </w:r>
      <w:r>
        <w:t>beneficiary</w:t>
      </w:r>
      <w:r>
        <w:rPr>
          <w:spacing w:val="-6"/>
        </w:rPr>
        <w:t xml:space="preserve"> </w:t>
      </w:r>
      <w:r>
        <w:t>risk</w:t>
      </w:r>
      <w:r>
        <w:rPr>
          <w:spacing w:val="-8"/>
        </w:rPr>
        <w:t xml:space="preserve"> </w:t>
      </w:r>
      <w:r>
        <w:t>scores.</w:t>
      </w:r>
      <w:r>
        <w:rPr>
          <w:spacing w:val="-4"/>
        </w:rPr>
        <w:t xml:space="preserve"> </w:t>
      </w:r>
      <w:r>
        <w:t>CMS</w:t>
      </w:r>
      <w:r>
        <w:rPr>
          <w:spacing w:val="-6"/>
        </w:rPr>
        <w:t xml:space="preserve"> </w:t>
      </w:r>
      <w:r>
        <w:t>should</w:t>
      </w:r>
      <w:r>
        <w:rPr>
          <w:spacing w:val="-4"/>
        </w:rPr>
        <w:t xml:space="preserve"> </w:t>
      </w:r>
      <w:r>
        <w:t>retroactively</w:t>
      </w:r>
      <w:r>
        <w:rPr>
          <w:spacing w:val="-6"/>
        </w:rPr>
        <w:t xml:space="preserve"> </w:t>
      </w:r>
      <w:r>
        <w:t>make</w:t>
      </w:r>
      <w:r>
        <w:rPr>
          <w:spacing w:val="-3"/>
        </w:rPr>
        <w:t xml:space="preserve"> </w:t>
      </w:r>
      <w:r>
        <w:t>plans</w:t>
      </w:r>
      <w:r>
        <w:rPr>
          <w:spacing w:val="-3"/>
        </w:rPr>
        <w:t xml:space="preserve"> </w:t>
      </w:r>
      <w:r>
        <w:t>whole for any “lost” risk – and payments – until the encounter data can be certified as complete and accurate. By increasing its reliance on encounte</w:t>
      </w:r>
      <w:r>
        <w:t>r data without resolving the acknowledged issues, CMS is supporting expanded use of inaccurate information, impacting the plan payments that are meant to provide robust beneficiary access to</w:t>
      </w:r>
      <w:r>
        <w:rPr>
          <w:spacing w:val="-8"/>
        </w:rPr>
        <w:t xml:space="preserve"> </w:t>
      </w:r>
      <w:r>
        <w:t>care.</w:t>
      </w:r>
    </w:p>
    <w:p w:rsidR="00805174" w:rsidRDefault="00805174">
      <w:pPr>
        <w:pStyle w:val="BodyText"/>
        <w:spacing w:before="11"/>
        <w:rPr>
          <w:sz w:val="21"/>
        </w:rPr>
      </w:pPr>
    </w:p>
    <w:p w:rsidR="00805174" w:rsidRDefault="000A64A3">
      <w:pPr>
        <w:ind w:left="120"/>
        <w:jc w:val="both"/>
        <w:rPr>
          <w:i/>
        </w:rPr>
      </w:pPr>
      <w:r>
        <w:rPr>
          <w:i/>
        </w:rPr>
        <w:t>ESRD Risk Adjustment Model for 2019</w:t>
      </w:r>
    </w:p>
    <w:p w:rsidR="00805174" w:rsidRDefault="00805174">
      <w:pPr>
        <w:pStyle w:val="BodyText"/>
        <w:spacing w:before="11"/>
        <w:rPr>
          <w:i/>
          <w:sz w:val="21"/>
        </w:rPr>
      </w:pPr>
    </w:p>
    <w:p w:rsidR="00805174" w:rsidRDefault="000A64A3">
      <w:pPr>
        <w:pStyle w:val="BodyText"/>
        <w:ind w:left="120" w:right="114"/>
        <w:jc w:val="both"/>
      </w:pPr>
      <w:r>
        <w:t>While Anthem agrees t</w:t>
      </w:r>
      <w:r>
        <w:t>hat recalibration of the ESRD risk adjustment model is long overdue, we are concerned that this update—in combination with the ESRD FFS Normalization Factor—result in yet another</w:t>
      </w:r>
      <w:r>
        <w:rPr>
          <w:spacing w:val="-13"/>
        </w:rPr>
        <w:t xml:space="preserve"> </w:t>
      </w:r>
      <w:r>
        <w:t>substantial</w:t>
      </w:r>
      <w:r>
        <w:rPr>
          <w:spacing w:val="-13"/>
        </w:rPr>
        <w:t xml:space="preserve"> </w:t>
      </w:r>
      <w:r>
        <w:t>reduction</w:t>
      </w:r>
      <w:r>
        <w:rPr>
          <w:spacing w:val="-12"/>
        </w:rPr>
        <w:t xml:space="preserve"> </w:t>
      </w:r>
      <w:r>
        <w:t>in</w:t>
      </w:r>
      <w:r>
        <w:rPr>
          <w:spacing w:val="-12"/>
        </w:rPr>
        <w:t xml:space="preserve"> </w:t>
      </w:r>
      <w:r>
        <w:t>plan</w:t>
      </w:r>
      <w:r>
        <w:rPr>
          <w:spacing w:val="-12"/>
        </w:rPr>
        <w:t xml:space="preserve"> </w:t>
      </w:r>
      <w:r>
        <w:t>payments</w:t>
      </w:r>
      <w:r>
        <w:rPr>
          <w:spacing w:val="-11"/>
        </w:rPr>
        <w:t xml:space="preserve"> </w:t>
      </w:r>
      <w:r>
        <w:t>for</w:t>
      </w:r>
      <w:r>
        <w:rPr>
          <w:spacing w:val="-11"/>
        </w:rPr>
        <w:t xml:space="preserve"> </w:t>
      </w:r>
      <w:r>
        <w:t>a</w:t>
      </w:r>
      <w:r>
        <w:rPr>
          <w:spacing w:val="-14"/>
        </w:rPr>
        <w:t xml:space="preserve"> </w:t>
      </w:r>
      <w:r>
        <w:t>small,</w:t>
      </w:r>
      <w:r>
        <w:rPr>
          <w:spacing w:val="-14"/>
        </w:rPr>
        <w:t xml:space="preserve"> </w:t>
      </w:r>
      <w:r>
        <w:t>high-need</w:t>
      </w:r>
      <w:r>
        <w:rPr>
          <w:spacing w:val="-12"/>
        </w:rPr>
        <w:t xml:space="preserve"> </w:t>
      </w:r>
      <w:r>
        <w:t>beneficiary</w:t>
      </w:r>
      <w:r>
        <w:rPr>
          <w:spacing w:val="-14"/>
        </w:rPr>
        <w:t xml:space="preserve"> </w:t>
      </w:r>
      <w:r>
        <w:t>population.</w:t>
      </w:r>
      <w:r>
        <w:rPr>
          <w:spacing w:val="-12"/>
        </w:rPr>
        <w:t xml:space="preserve"> </w:t>
      </w:r>
      <w:r>
        <w:t>MA</w:t>
      </w:r>
      <w:r>
        <w:rPr>
          <w:spacing w:val="-12"/>
        </w:rPr>
        <w:t xml:space="preserve"> </w:t>
      </w:r>
      <w:r>
        <w:t>plans</w:t>
      </w:r>
      <w:r>
        <w:rPr>
          <w:spacing w:val="-11"/>
        </w:rPr>
        <w:t xml:space="preserve"> </w:t>
      </w:r>
      <w:r>
        <w:t>that serve ESRD patients have experienced significant swings in payment rates over the last several years that have a direct impact on beneficiaries by making it challenging to design stable benefit packages that limit year-to-year cha</w:t>
      </w:r>
      <w:r>
        <w:t>nges for our</w:t>
      </w:r>
      <w:r>
        <w:rPr>
          <w:spacing w:val="-13"/>
        </w:rPr>
        <w:t xml:space="preserve"> </w:t>
      </w:r>
      <w:r>
        <w:t>members.</w:t>
      </w:r>
    </w:p>
    <w:p w:rsidR="00805174" w:rsidRDefault="00805174">
      <w:pPr>
        <w:pStyle w:val="BodyText"/>
        <w:spacing w:before="9"/>
        <w:rPr>
          <w:sz w:val="21"/>
        </w:rPr>
      </w:pPr>
    </w:p>
    <w:p w:rsidR="00805174" w:rsidRDefault="000A64A3">
      <w:pPr>
        <w:pStyle w:val="BodyText"/>
        <w:ind w:left="120" w:right="114"/>
        <w:jc w:val="both"/>
      </w:pPr>
      <w:r>
        <w:t>Given these concerns, Anthem requests that CMS take steps to provide year-over-year stability for the ESRD population—specifically, we urge CMS to phase-in implementation of the ESRD Dialysis risk adjustment model over a three-year p</w:t>
      </w:r>
      <w:r>
        <w:t>eriod, beginning with 2019, with such changes being fully implemented for 2022 and subsequent years (aligned with the timeline for implementation of the CMS- HCC risk model, described above).</w:t>
      </w:r>
    </w:p>
    <w:p w:rsidR="00805174" w:rsidRDefault="00805174">
      <w:pPr>
        <w:pStyle w:val="BodyText"/>
        <w:spacing w:before="11"/>
        <w:rPr>
          <w:sz w:val="21"/>
        </w:rPr>
      </w:pPr>
    </w:p>
    <w:p w:rsidR="00805174" w:rsidRDefault="000A64A3">
      <w:pPr>
        <w:pStyle w:val="BodyText"/>
        <w:ind w:left="120" w:right="115"/>
        <w:jc w:val="both"/>
      </w:pPr>
      <w:r>
        <w:t>More broadly, Anthem requests that future updates to the ESRD r</w:t>
      </w:r>
      <w:r>
        <w:t>isk adjustment model be communicated under a similar timeline as the CMS-HCC model (that is, we urge CMS to allow stakeholders at least 60 days</w:t>
      </w:r>
      <w:r>
        <w:rPr>
          <w:spacing w:val="-5"/>
        </w:rPr>
        <w:t xml:space="preserve"> </w:t>
      </w:r>
      <w:r>
        <w:t>to</w:t>
      </w:r>
      <w:r>
        <w:rPr>
          <w:spacing w:val="-6"/>
        </w:rPr>
        <w:t xml:space="preserve"> </w:t>
      </w:r>
      <w:r>
        <w:t>review</w:t>
      </w:r>
      <w:r>
        <w:rPr>
          <w:spacing w:val="-7"/>
        </w:rPr>
        <w:t xml:space="preserve"> </w:t>
      </w:r>
      <w:r>
        <w:t>and</w:t>
      </w:r>
      <w:r>
        <w:rPr>
          <w:spacing w:val="-6"/>
        </w:rPr>
        <w:t xml:space="preserve"> </w:t>
      </w:r>
      <w:r>
        <w:t>submit</w:t>
      </w:r>
      <w:r>
        <w:rPr>
          <w:spacing w:val="-5"/>
        </w:rPr>
        <w:t xml:space="preserve"> </w:t>
      </w:r>
      <w:r>
        <w:t>comments</w:t>
      </w:r>
      <w:r>
        <w:rPr>
          <w:spacing w:val="-5"/>
        </w:rPr>
        <w:t xml:space="preserve"> </w:t>
      </w:r>
      <w:r>
        <w:t>on</w:t>
      </w:r>
      <w:r>
        <w:rPr>
          <w:spacing w:val="-6"/>
        </w:rPr>
        <w:t xml:space="preserve"> </w:t>
      </w:r>
      <w:r>
        <w:t>all</w:t>
      </w:r>
      <w:r>
        <w:rPr>
          <w:spacing w:val="-5"/>
        </w:rPr>
        <w:t xml:space="preserve"> </w:t>
      </w:r>
      <w:r>
        <w:t>risk</w:t>
      </w:r>
      <w:r>
        <w:rPr>
          <w:spacing w:val="-8"/>
        </w:rPr>
        <w:t xml:space="preserve"> </w:t>
      </w:r>
      <w:r>
        <w:t>adjustment</w:t>
      </w:r>
      <w:r>
        <w:rPr>
          <w:spacing w:val="-3"/>
        </w:rPr>
        <w:t xml:space="preserve"> </w:t>
      </w:r>
      <w:r>
        <w:t>model</w:t>
      </w:r>
      <w:r>
        <w:rPr>
          <w:spacing w:val="-5"/>
        </w:rPr>
        <w:t xml:space="preserve"> </w:t>
      </w:r>
      <w:r>
        <w:t>proposals)</w:t>
      </w:r>
      <w:r>
        <w:rPr>
          <w:spacing w:val="-5"/>
        </w:rPr>
        <w:t xml:space="preserve"> </w:t>
      </w:r>
      <w:r>
        <w:t>in</w:t>
      </w:r>
      <w:r>
        <w:rPr>
          <w:spacing w:val="-6"/>
        </w:rPr>
        <w:t xml:space="preserve"> </w:t>
      </w:r>
      <w:r>
        <w:t>order</w:t>
      </w:r>
      <w:r>
        <w:rPr>
          <w:spacing w:val="-7"/>
        </w:rPr>
        <w:t xml:space="preserve"> </w:t>
      </w:r>
      <w:r>
        <w:t>to</w:t>
      </w:r>
      <w:r>
        <w:rPr>
          <w:spacing w:val="-6"/>
        </w:rPr>
        <w:t xml:space="preserve"> </w:t>
      </w:r>
      <w:r>
        <w:t>give</w:t>
      </w:r>
      <w:r>
        <w:rPr>
          <w:spacing w:val="-6"/>
        </w:rPr>
        <w:t xml:space="preserve"> </w:t>
      </w:r>
      <w:r>
        <w:t>plans</w:t>
      </w:r>
      <w:r>
        <w:rPr>
          <w:spacing w:val="-5"/>
        </w:rPr>
        <w:t xml:space="preserve"> </w:t>
      </w:r>
      <w:r>
        <w:t>enough time to prop</w:t>
      </w:r>
      <w:r>
        <w:t>erly analyze any contemplated</w:t>
      </w:r>
      <w:r>
        <w:rPr>
          <w:spacing w:val="-12"/>
        </w:rPr>
        <w:t xml:space="preserve"> </w:t>
      </w:r>
      <w:r>
        <w:t>updated.</w:t>
      </w:r>
    </w:p>
    <w:p w:rsidR="00805174" w:rsidRDefault="00805174">
      <w:pPr>
        <w:pStyle w:val="BodyText"/>
        <w:spacing w:before="11"/>
        <w:rPr>
          <w:sz w:val="21"/>
        </w:rPr>
      </w:pPr>
    </w:p>
    <w:p w:rsidR="00805174" w:rsidRDefault="000A64A3">
      <w:pPr>
        <w:ind w:left="120"/>
        <w:jc w:val="both"/>
        <w:rPr>
          <w:i/>
        </w:rPr>
      </w:pPr>
      <w:r>
        <w:rPr>
          <w:i/>
        </w:rPr>
        <w:t>Medicare Advantage Coding Pattern Intensity Adjustment (CPIA)</w:t>
      </w:r>
    </w:p>
    <w:p w:rsidR="00805174" w:rsidRDefault="00805174">
      <w:pPr>
        <w:pStyle w:val="BodyText"/>
        <w:rPr>
          <w:i/>
        </w:rPr>
      </w:pPr>
    </w:p>
    <w:p w:rsidR="00805174" w:rsidRDefault="000A64A3">
      <w:pPr>
        <w:pStyle w:val="BodyText"/>
        <w:ind w:left="120" w:right="115"/>
        <w:jc w:val="both"/>
      </w:pPr>
      <w:r>
        <w:t>Anthem urges CMS to not change its methodology for finalizing the MA CPIA factor in the 2019 Rate announcement. CMS should maintain the statutory minimum</w:t>
      </w:r>
      <w:r>
        <w:t xml:space="preserve"> adjustment of 5.90 percent.</w:t>
      </w:r>
    </w:p>
    <w:p w:rsidR="00805174" w:rsidRDefault="00805174">
      <w:pPr>
        <w:pStyle w:val="BodyText"/>
        <w:spacing w:before="11"/>
        <w:rPr>
          <w:sz w:val="21"/>
        </w:rPr>
      </w:pPr>
    </w:p>
    <w:p w:rsidR="00805174" w:rsidRDefault="000A64A3">
      <w:pPr>
        <w:pStyle w:val="BodyText"/>
        <w:ind w:left="120" w:right="118"/>
        <w:jc w:val="both"/>
      </w:pPr>
      <w:r>
        <w:t>While</w:t>
      </w:r>
      <w:r>
        <w:rPr>
          <w:spacing w:val="-9"/>
        </w:rPr>
        <w:t xml:space="preserve"> </w:t>
      </w:r>
      <w:r>
        <w:t>it</w:t>
      </w:r>
      <w:r>
        <w:rPr>
          <w:spacing w:val="-9"/>
        </w:rPr>
        <w:t xml:space="preserve"> </w:t>
      </w:r>
      <w:r>
        <w:t>is</w:t>
      </w:r>
      <w:r>
        <w:rPr>
          <w:spacing w:val="-9"/>
        </w:rPr>
        <w:t xml:space="preserve"> </w:t>
      </w:r>
      <w:r>
        <w:t>likely</w:t>
      </w:r>
      <w:r>
        <w:rPr>
          <w:spacing w:val="-11"/>
        </w:rPr>
        <w:t xml:space="preserve"> </w:t>
      </w:r>
      <w:r>
        <w:t>that</w:t>
      </w:r>
      <w:r>
        <w:rPr>
          <w:spacing w:val="-9"/>
        </w:rPr>
        <w:t xml:space="preserve"> </w:t>
      </w:r>
      <w:r>
        <w:t>the</w:t>
      </w:r>
      <w:r>
        <w:rPr>
          <w:spacing w:val="-9"/>
        </w:rPr>
        <w:t xml:space="preserve"> </w:t>
      </w:r>
      <w:r>
        <w:t>methodology</w:t>
      </w:r>
      <w:r>
        <w:rPr>
          <w:spacing w:val="-10"/>
        </w:rPr>
        <w:t xml:space="preserve"> </w:t>
      </w:r>
      <w:r>
        <w:t>used</w:t>
      </w:r>
      <w:r>
        <w:rPr>
          <w:spacing w:val="-10"/>
        </w:rPr>
        <w:t xml:space="preserve"> </w:t>
      </w:r>
      <w:r>
        <w:t>to</w:t>
      </w:r>
      <w:r>
        <w:rPr>
          <w:spacing w:val="-10"/>
        </w:rPr>
        <w:t xml:space="preserve"> </w:t>
      </w:r>
      <w:r>
        <w:t>calculate</w:t>
      </w:r>
      <w:r>
        <w:rPr>
          <w:spacing w:val="-7"/>
        </w:rPr>
        <w:t xml:space="preserve"> </w:t>
      </w:r>
      <w:r>
        <w:t>the</w:t>
      </w:r>
      <w:r>
        <w:rPr>
          <w:spacing w:val="-3"/>
        </w:rPr>
        <w:t xml:space="preserve"> </w:t>
      </w:r>
      <w:r>
        <w:t>CPIA</w:t>
      </w:r>
      <w:r>
        <w:rPr>
          <w:spacing w:val="-8"/>
        </w:rPr>
        <w:t xml:space="preserve"> </w:t>
      </w:r>
      <w:r>
        <w:t>should</w:t>
      </w:r>
      <w:r>
        <w:rPr>
          <w:spacing w:val="-10"/>
        </w:rPr>
        <w:t xml:space="preserve"> </w:t>
      </w:r>
      <w:r>
        <w:t>be</w:t>
      </w:r>
      <w:r>
        <w:rPr>
          <w:spacing w:val="-9"/>
        </w:rPr>
        <w:t xml:space="preserve"> </w:t>
      </w:r>
      <w:r>
        <w:t>updated,</w:t>
      </w:r>
      <w:r>
        <w:rPr>
          <w:spacing w:val="-7"/>
        </w:rPr>
        <w:t xml:space="preserve"> </w:t>
      </w:r>
      <w:r>
        <w:t>Anthem</w:t>
      </w:r>
      <w:r>
        <w:rPr>
          <w:spacing w:val="-10"/>
        </w:rPr>
        <w:t xml:space="preserve"> </w:t>
      </w:r>
      <w:r>
        <w:t xml:space="preserve">recommends CMS  not  change  its  methodology  until  at  least  2020,  after  providing  detailed,  advance  notice   </w:t>
      </w:r>
      <w:r>
        <w:rPr>
          <w:spacing w:val="28"/>
        </w:rPr>
        <w:t xml:space="preserve"> </w:t>
      </w:r>
      <w:r>
        <w:t>of</w:t>
      </w:r>
    </w:p>
    <w:p w:rsidR="00805174" w:rsidRDefault="000A64A3">
      <w:pPr>
        <w:pStyle w:val="BodyText"/>
        <w:rPr>
          <w:sz w:val="17"/>
        </w:rPr>
      </w:pPr>
      <w:r>
        <w:pict>
          <v:line id="_x0000_s2052" style="position:absolute;z-index:251657216;mso-wrap-distance-left:0;mso-wrap-distance-right:0;mso-position-horizontal-relative:page" from="1in,12.1pt" to="216.05pt,12.1pt" strokeweight=".72pt">
            <w10:wrap type="topAndBottom" anchorx="page"/>
          </v:line>
        </w:pict>
      </w:r>
    </w:p>
    <w:p w:rsidR="00805174" w:rsidRDefault="000A64A3">
      <w:pPr>
        <w:spacing w:before="69"/>
        <w:ind w:left="120"/>
        <w:rPr>
          <w:rFonts w:ascii="Calibri" w:hAnsi="Calibri"/>
          <w:sz w:val="20"/>
        </w:rPr>
      </w:pPr>
      <w:r>
        <w:rPr>
          <w:rFonts w:ascii="Calibri" w:hAnsi="Calibri"/>
          <w:position w:val="7"/>
          <w:sz w:val="13"/>
        </w:rPr>
        <w:t xml:space="preserve">1 </w:t>
      </w:r>
      <w:r>
        <w:rPr>
          <w:rFonts w:ascii="Calibri" w:hAnsi="Calibri"/>
          <w:sz w:val="20"/>
        </w:rPr>
        <w:t>Government Accountability Office. “Medicare Advantage: CMS Should Fully Develop Plans for Encounter Data</w:t>
      </w:r>
    </w:p>
    <w:p w:rsidR="00805174" w:rsidRDefault="000A64A3">
      <w:pPr>
        <w:spacing w:line="243" w:lineRule="exact"/>
        <w:ind w:left="120"/>
        <w:rPr>
          <w:rFonts w:ascii="Calibri" w:hAnsi="Calibri"/>
          <w:sz w:val="20"/>
        </w:rPr>
      </w:pPr>
      <w:r>
        <w:rPr>
          <w:rFonts w:ascii="Calibri" w:hAnsi="Calibri"/>
          <w:sz w:val="20"/>
        </w:rPr>
        <w:t xml:space="preserve">and Assess Data Quality before Use.” July 2014. </w:t>
      </w:r>
      <w:r>
        <w:rPr>
          <w:rFonts w:ascii="Calibri" w:hAnsi="Calibri"/>
          <w:color w:val="0000FF"/>
          <w:sz w:val="20"/>
          <w:u w:val="single" w:color="0000FF"/>
        </w:rPr>
        <w:t>https://</w:t>
      </w:r>
      <w:hyperlink r:id="rId11">
        <w:r>
          <w:rPr>
            <w:rFonts w:ascii="Calibri" w:hAnsi="Calibri"/>
            <w:color w:val="0000FF"/>
            <w:sz w:val="20"/>
            <w:u w:val="single" w:color="0000FF"/>
          </w:rPr>
          <w:t>www.gao.gov/assets/670/665142.pdf</w:t>
        </w:r>
        <w:r>
          <w:rPr>
            <w:rFonts w:ascii="Calibri" w:hAnsi="Calibri"/>
            <w:sz w:val="20"/>
          </w:rPr>
          <w:t>.</w:t>
        </w:r>
      </w:hyperlink>
    </w:p>
    <w:p w:rsidR="00805174" w:rsidRDefault="000A64A3">
      <w:pPr>
        <w:spacing w:line="245" w:lineRule="exact"/>
        <w:ind w:left="120"/>
        <w:rPr>
          <w:rFonts w:ascii="Calibri" w:hAnsi="Calibri"/>
          <w:sz w:val="20"/>
        </w:rPr>
      </w:pPr>
      <w:r>
        <w:rPr>
          <w:rFonts w:ascii="Calibri" w:hAnsi="Calibri"/>
          <w:position w:val="7"/>
          <w:sz w:val="13"/>
        </w:rPr>
        <w:t xml:space="preserve">2 </w:t>
      </w:r>
      <w:r>
        <w:rPr>
          <w:rFonts w:ascii="Calibri" w:hAnsi="Calibri"/>
          <w:sz w:val="20"/>
        </w:rPr>
        <w:t>Government Accountability Office. “Medicare Advantage: Limited Progress Made to Validate Encounter Data</w:t>
      </w:r>
    </w:p>
    <w:p w:rsidR="00805174" w:rsidRDefault="000A64A3">
      <w:pPr>
        <w:spacing w:line="243" w:lineRule="exact"/>
        <w:ind w:left="120"/>
        <w:rPr>
          <w:rFonts w:ascii="Calibri" w:hAnsi="Calibri"/>
          <w:sz w:val="20"/>
        </w:rPr>
      </w:pPr>
      <w:r>
        <w:rPr>
          <w:rFonts w:ascii="Calibri" w:hAnsi="Calibri"/>
          <w:sz w:val="20"/>
        </w:rPr>
        <w:t xml:space="preserve">Used to Ensure Proper Payments.” January 2017. </w:t>
      </w:r>
      <w:r>
        <w:rPr>
          <w:rFonts w:ascii="Calibri" w:hAnsi="Calibri"/>
          <w:color w:val="0000FF"/>
          <w:sz w:val="20"/>
          <w:u w:val="single" w:color="0000FF"/>
        </w:rPr>
        <w:t>https://</w:t>
      </w:r>
      <w:hyperlink r:id="rId12">
        <w:r>
          <w:rPr>
            <w:rFonts w:ascii="Calibri" w:hAnsi="Calibri"/>
            <w:color w:val="0000FF"/>
            <w:sz w:val="20"/>
            <w:u w:val="single" w:color="0000FF"/>
          </w:rPr>
          <w:t>www.gao.gov/assets/690/682145.pdf</w:t>
        </w:r>
        <w:r>
          <w:rPr>
            <w:rFonts w:ascii="Calibri" w:hAnsi="Calibri"/>
            <w:sz w:val="20"/>
          </w:rPr>
          <w:t>.</w:t>
        </w:r>
      </w:hyperlink>
    </w:p>
    <w:p w:rsidR="00805174" w:rsidRDefault="00805174">
      <w:pPr>
        <w:spacing w:line="243" w:lineRule="exact"/>
        <w:rPr>
          <w:rFonts w:ascii="Calibri" w:hAnsi="Calibri"/>
          <w:sz w:val="20"/>
        </w:rPr>
        <w:sectPr w:rsidR="00805174">
          <w:pgSz w:w="12240" w:h="15840"/>
          <w:pgMar w:top="1360" w:right="1320" w:bottom="1200" w:left="1320" w:header="0" w:footer="1015" w:gutter="0"/>
          <w:cols w:space="720"/>
        </w:sectPr>
      </w:pPr>
    </w:p>
    <w:p w:rsidR="00805174" w:rsidRDefault="000A64A3">
      <w:pPr>
        <w:pStyle w:val="BodyText"/>
        <w:spacing w:before="74"/>
        <w:ind w:left="100" w:right="114"/>
        <w:jc w:val="both"/>
      </w:pPr>
      <w:r>
        <w:lastRenderedPageBreak/>
        <w:t>contemplated methodologies to plans and other stakeholders. The information provided in the 2019 Advance Notice for all three contemplated methodologies is outdated, insufficient, or both. Plans needs significantly more details about any pot</w:t>
      </w:r>
      <w:r>
        <w:t>ential changes to the CPIA calculation in order to provide meaningful and accurate feedback to CMS.</w:t>
      </w:r>
    </w:p>
    <w:p w:rsidR="00805174" w:rsidRDefault="00805174">
      <w:pPr>
        <w:pStyle w:val="BodyText"/>
      </w:pPr>
    </w:p>
    <w:p w:rsidR="00805174" w:rsidRDefault="000A64A3">
      <w:pPr>
        <w:pStyle w:val="BodyText"/>
        <w:ind w:left="100" w:right="113"/>
        <w:jc w:val="both"/>
      </w:pPr>
      <w:r>
        <w:t>Anthem</w:t>
      </w:r>
      <w:r>
        <w:rPr>
          <w:spacing w:val="-13"/>
        </w:rPr>
        <w:t xml:space="preserve"> </w:t>
      </w:r>
      <w:r>
        <w:t>notes</w:t>
      </w:r>
      <w:r>
        <w:rPr>
          <w:spacing w:val="-11"/>
        </w:rPr>
        <w:t xml:space="preserve"> </w:t>
      </w:r>
      <w:r>
        <w:t>that</w:t>
      </w:r>
      <w:r>
        <w:rPr>
          <w:spacing w:val="-9"/>
        </w:rPr>
        <w:t xml:space="preserve"> </w:t>
      </w:r>
      <w:r>
        <w:t>the</w:t>
      </w:r>
      <w:r>
        <w:rPr>
          <w:spacing w:val="-9"/>
        </w:rPr>
        <w:t xml:space="preserve"> </w:t>
      </w:r>
      <w:r>
        <w:t>first—and</w:t>
      </w:r>
      <w:r>
        <w:rPr>
          <w:spacing w:val="-9"/>
        </w:rPr>
        <w:t xml:space="preserve"> </w:t>
      </w:r>
      <w:r>
        <w:t>only—time</w:t>
      </w:r>
      <w:r>
        <w:rPr>
          <w:spacing w:val="-9"/>
        </w:rPr>
        <w:t xml:space="preserve"> </w:t>
      </w:r>
      <w:r>
        <w:t>CMS</w:t>
      </w:r>
      <w:r>
        <w:rPr>
          <w:spacing w:val="-9"/>
        </w:rPr>
        <w:t xml:space="preserve"> </w:t>
      </w:r>
      <w:r>
        <w:t>published</w:t>
      </w:r>
      <w:r>
        <w:rPr>
          <w:spacing w:val="-12"/>
        </w:rPr>
        <w:t xml:space="preserve"> </w:t>
      </w:r>
      <w:r>
        <w:t>its</w:t>
      </w:r>
      <w:r>
        <w:rPr>
          <w:spacing w:val="-9"/>
        </w:rPr>
        <w:t xml:space="preserve"> </w:t>
      </w:r>
      <w:r>
        <w:t>methodology</w:t>
      </w:r>
      <w:r>
        <w:rPr>
          <w:spacing w:val="-12"/>
        </w:rPr>
        <w:t xml:space="preserve"> </w:t>
      </w:r>
      <w:r>
        <w:t>for</w:t>
      </w:r>
      <w:r>
        <w:rPr>
          <w:spacing w:val="-11"/>
        </w:rPr>
        <w:t xml:space="preserve"> </w:t>
      </w:r>
      <w:r>
        <w:t>calculating</w:t>
      </w:r>
      <w:r>
        <w:rPr>
          <w:spacing w:val="-12"/>
        </w:rPr>
        <w:t xml:space="preserve"> </w:t>
      </w:r>
      <w:r>
        <w:t>the</w:t>
      </w:r>
      <w:r>
        <w:rPr>
          <w:spacing w:val="-7"/>
        </w:rPr>
        <w:t xml:space="preserve"> </w:t>
      </w:r>
      <w:r>
        <w:t>CPIA</w:t>
      </w:r>
      <w:r>
        <w:rPr>
          <w:spacing w:val="-10"/>
        </w:rPr>
        <w:t xml:space="preserve"> </w:t>
      </w:r>
      <w:r>
        <w:t>was in the 2010 Advance Notice, released February 20, 2009. In the intervening nine years, the Medicare program (both FFS and MA) has changed considerably. Changes in enrollment, demographics, standards of care, treatment patterns, payment policies, and ev</w:t>
      </w:r>
      <w:r>
        <w:t>en legislation must be considered in first determining the relevance of the CPIA and then, if appropriate, the level of the</w:t>
      </w:r>
      <w:r>
        <w:rPr>
          <w:spacing w:val="-19"/>
        </w:rPr>
        <w:t xml:space="preserve"> </w:t>
      </w:r>
      <w:r>
        <w:t>adjustment.</w:t>
      </w:r>
    </w:p>
    <w:p w:rsidR="00805174" w:rsidRDefault="00805174">
      <w:pPr>
        <w:pStyle w:val="BodyText"/>
        <w:spacing w:before="8"/>
        <w:rPr>
          <w:sz w:val="21"/>
        </w:rPr>
      </w:pPr>
    </w:p>
    <w:p w:rsidR="00805174" w:rsidRDefault="000A64A3">
      <w:pPr>
        <w:pStyle w:val="BodyText"/>
        <w:spacing w:before="1"/>
        <w:ind w:left="100" w:right="116"/>
        <w:jc w:val="both"/>
      </w:pPr>
      <w:r>
        <w:t xml:space="preserve">As CMS considers updating this methodology, Anthem urges CMS to keep the following questions and concerns in mind, and </w:t>
      </w:r>
      <w:r>
        <w:t>should provide an opportunity for plans and other stakeholders to weigh in on these issues to as part of a comment process:</w:t>
      </w:r>
    </w:p>
    <w:p w:rsidR="00805174" w:rsidRDefault="00805174">
      <w:pPr>
        <w:pStyle w:val="BodyText"/>
        <w:spacing w:before="11"/>
        <w:rPr>
          <w:sz w:val="21"/>
        </w:rPr>
      </w:pPr>
    </w:p>
    <w:p w:rsidR="00805174" w:rsidRDefault="000A64A3">
      <w:pPr>
        <w:pStyle w:val="ListParagraph"/>
        <w:numPr>
          <w:ilvl w:val="1"/>
          <w:numId w:val="10"/>
        </w:numPr>
        <w:tabs>
          <w:tab w:val="left" w:pos="821"/>
        </w:tabs>
        <w:ind w:right="116"/>
      </w:pPr>
      <w:r>
        <w:t>What</w:t>
      </w:r>
      <w:r>
        <w:rPr>
          <w:spacing w:val="-10"/>
        </w:rPr>
        <w:t xml:space="preserve"> </w:t>
      </w:r>
      <w:r>
        <w:t>data</w:t>
      </w:r>
      <w:r>
        <w:rPr>
          <w:spacing w:val="-11"/>
        </w:rPr>
        <w:t xml:space="preserve"> </w:t>
      </w:r>
      <w:r>
        <w:t>should</w:t>
      </w:r>
      <w:r>
        <w:rPr>
          <w:spacing w:val="-11"/>
        </w:rPr>
        <w:t xml:space="preserve"> </w:t>
      </w:r>
      <w:r>
        <w:t>the</w:t>
      </w:r>
      <w:r>
        <w:rPr>
          <w:spacing w:val="-9"/>
        </w:rPr>
        <w:t xml:space="preserve"> </w:t>
      </w:r>
      <w:r>
        <w:t>adjustment</w:t>
      </w:r>
      <w:r>
        <w:rPr>
          <w:spacing w:val="-9"/>
        </w:rPr>
        <w:t xml:space="preserve"> </w:t>
      </w:r>
      <w:r>
        <w:t>actually</w:t>
      </w:r>
      <w:r>
        <w:rPr>
          <w:spacing w:val="-13"/>
        </w:rPr>
        <w:t xml:space="preserve"> </w:t>
      </w:r>
      <w:r>
        <w:t>be</w:t>
      </w:r>
      <w:r>
        <w:rPr>
          <w:spacing w:val="-11"/>
        </w:rPr>
        <w:t xml:space="preserve"> </w:t>
      </w:r>
      <w:r>
        <w:t>based</w:t>
      </w:r>
      <w:r>
        <w:rPr>
          <w:spacing w:val="-10"/>
        </w:rPr>
        <w:t xml:space="preserve"> </w:t>
      </w:r>
      <w:r>
        <w:t>on?</w:t>
      </w:r>
      <w:r>
        <w:rPr>
          <w:spacing w:val="-13"/>
        </w:rPr>
        <w:t xml:space="preserve"> </w:t>
      </w:r>
      <w:r>
        <w:t>That</w:t>
      </w:r>
      <w:r>
        <w:rPr>
          <w:spacing w:val="-10"/>
        </w:rPr>
        <w:t xml:space="preserve"> </w:t>
      </w:r>
      <w:r>
        <w:t>is,</w:t>
      </w:r>
      <w:r>
        <w:rPr>
          <w:spacing w:val="-10"/>
        </w:rPr>
        <w:t xml:space="preserve"> </w:t>
      </w:r>
      <w:r>
        <w:t>what</w:t>
      </w:r>
      <w:r>
        <w:rPr>
          <w:spacing w:val="-10"/>
        </w:rPr>
        <w:t xml:space="preserve"> </w:t>
      </w:r>
      <w:r>
        <w:t>cohorts</w:t>
      </w:r>
      <w:r>
        <w:rPr>
          <w:spacing w:val="-10"/>
        </w:rPr>
        <w:t xml:space="preserve"> </w:t>
      </w:r>
      <w:r>
        <w:t>of</w:t>
      </w:r>
      <w:r>
        <w:rPr>
          <w:spacing w:val="-10"/>
        </w:rPr>
        <w:t xml:space="preserve"> </w:t>
      </w:r>
      <w:r>
        <w:t>beneficiaries?</w:t>
      </w:r>
      <w:r>
        <w:rPr>
          <w:spacing w:val="-13"/>
        </w:rPr>
        <w:t xml:space="preserve"> </w:t>
      </w:r>
      <w:r>
        <w:t>What years should be</w:t>
      </w:r>
      <w:r>
        <w:rPr>
          <w:spacing w:val="-10"/>
        </w:rPr>
        <w:t xml:space="preserve"> </w:t>
      </w:r>
      <w:r>
        <w:t>considered?</w:t>
      </w:r>
    </w:p>
    <w:p w:rsidR="00805174" w:rsidRDefault="000A64A3">
      <w:pPr>
        <w:pStyle w:val="ListParagraph"/>
        <w:numPr>
          <w:ilvl w:val="1"/>
          <w:numId w:val="10"/>
        </w:numPr>
        <w:tabs>
          <w:tab w:val="left" w:pos="820"/>
          <w:tab w:val="left" w:pos="821"/>
        </w:tabs>
        <w:spacing w:line="268" w:lineRule="exact"/>
        <w:jc w:val="left"/>
      </w:pPr>
      <w:r>
        <w:t>To w</w:t>
      </w:r>
      <w:r>
        <w:t>hat extent do changing MA enrollee patterns make prior year trends</w:t>
      </w:r>
      <w:r>
        <w:rPr>
          <w:spacing w:val="-29"/>
        </w:rPr>
        <w:t xml:space="preserve"> </w:t>
      </w:r>
      <w:r>
        <w:t>irrelevant?</w:t>
      </w:r>
    </w:p>
    <w:p w:rsidR="00805174" w:rsidRDefault="000A64A3">
      <w:pPr>
        <w:pStyle w:val="ListParagraph"/>
        <w:numPr>
          <w:ilvl w:val="1"/>
          <w:numId w:val="10"/>
        </w:numPr>
        <w:tabs>
          <w:tab w:val="left" w:pos="821"/>
        </w:tabs>
        <w:ind w:right="115"/>
      </w:pPr>
      <w:r>
        <w:t>How should the disproportionate geographic dispersion of MA versus FFS members be controlled for?</w:t>
      </w:r>
    </w:p>
    <w:p w:rsidR="00805174" w:rsidRDefault="000A64A3">
      <w:pPr>
        <w:pStyle w:val="ListParagraph"/>
        <w:numPr>
          <w:ilvl w:val="1"/>
          <w:numId w:val="10"/>
        </w:numPr>
        <w:tabs>
          <w:tab w:val="left" w:pos="820"/>
          <w:tab w:val="left" w:pos="821"/>
        </w:tabs>
        <w:spacing w:before="1" w:line="269" w:lineRule="exact"/>
        <w:jc w:val="left"/>
      </w:pPr>
      <w:r>
        <w:t>Should the CPIA be recalibrated along with risk model</w:t>
      </w:r>
      <w:r>
        <w:rPr>
          <w:spacing w:val="-24"/>
        </w:rPr>
        <w:t xml:space="preserve"> </w:t>
      </w:r>
      <w:r>
        <w:t>recalibrations?</w:t>
      </w:r>
    </w:p>
    <w:p w:rsidR="00805174" w:rsidRDefault="000A64A3">
      <w:pPr>
        <w:pStyle w:val="ListParagraph"/>
        <w:numPr>
          <w:ilvl w:val="1"/>
          <w:numId w:val="10"/>
        </w:numPr>
        <w:tabs>
          <w:tab w:val="left" w:pos="820"/>
          <w:tab w:val="left" w:pos="821"/>
        </w:tabs>
        <w:spacing w:line="269" w:lineRule="exact"/>
        <w:jc w:val="left"/>
      </w:pPr>
      <w:r>
        <w:t>How does the FFS normalization factors interact with the</w:t>
      </w:r>
      <w:r>
        <w:rPr>
          <w:spacing w:val="-23"/>
        </w:rPr>
        <w:t xml:space="preserve"> </w:t>
      </w:r>
      <w:r>
        <w:t>CPIA?</w:t>
      </w:r>
    </w:p>
    <w:p w:rsidR="00805174" w:rsidRDefault="000A64A3">
      <w:pPr>
        <w:pStyle w:val="ListParagraph"/>
        <w:numPr>
          <w:ilvl w:val="1"/>
          <w:numId w:val="10"/>
        </w:numPr>
        <w:tabs>
          <w:tab w:val="left" w:pos="821"/>
        </w:tabs>
        <w:ind w:right="116"/>
      </w:pPr>
      <w:r>
        <w:t>What</w:t>
      </w:r>
      <w:r>
        <w:rPr>
          <w:spacing w:val="-10"/>
        </w:rPr>
        <w:t xml:space="preserve"> </w:t>
      </w:r>
      <w:r>
        <w:t>is</w:t>
      </w:r>
      <w:r>
        <w:rPr>
          <w:spacing w:val="-8"/>
        </w:rPr>
        <w:t xml:space="preserve"> </w:t>
      </w:r>
      <w:r>
        <w:t>the</w:t>
      </w:r>
      <w:r>
        <w:rPr>
          <w:spacing w:val="-11"/>
        </w:rPr>
        <w:t xml:space="preserve"> </w:t>
      </w:r>
      <w:r>
        <w:t>impact</w:t>
      </w:r>
      <w:r>
        <w:rPr>
          <w:spacing w:val="-8"/>
        </w:rPr>
        <w:t xml:space="preserve"> </w:t>
      </w:r>
      <w:r>
        <w:t>of</w:t>
      </w:r>
      <w:r>
        <w:rPr>
          <w:spacing w:val="-8"/>
        </w:rPr>
        <w:t xml:space="preserve"> </w:t>
      </w:r>
      <w:r>
        <w:t>ICD-10</w:t>
      </w:r>
      <w:r>
        <w:rPr>
          <w:spacing w:val="-9"/>
        </w:rPr>
        <w:t xml:space="preserve"> </w:t>
      </w:r>
      <w:r>
        <w:t>coding</w:t>
      </w:r>
      <w:r>
        <w:rPr>
          <w:spacing w:val="-11"/>
        </w:rPr>
        <w:t xml:space="preserve"> </w:t>
      </w:r>
      <w:r>
        <w:t>on</w:t>
      </w:r>
      <w:r>
        <w:rPr>
          <w:spacing w:val="-8"/>
        </w:rPr>
        <w:t xml:space="preserve"> </w:t>
      </w:r>
      <w:r>
        <w:t>perceived</w:t>
      </w:r>
      <w:r>
        <w:rPr>
          <w:spacing w:val="-8"/>
        </w:rPr>
        <w:t xml:space="preserve"> </w:t>
      </w:r>
      <w:r>
        <w:t>differences</w:t>
      </w:r>
      <w:r>
        <w:rPr>
          <w:spacing w:val="-10"/>
        </w:rPr>
        <w:t xml:space="preserve"> </w:t>
      </w:r>
      <w:r>
        <w:t>in</w:t>
      </w:r>
      <w:r>
        <w:rPr>
          <w:spacing w:val="-11"/>
        </w:rPr>
        <w:t xml:space="preserve"> </w:t>
      </w:r>
      <w:r>
        <w:t>coding</w:t>
      </w:r>
      <w:r>
        <w:rPr>
          <w:spacing w:val="-11"/>
        </w:rPr>
        <w:t xml:space="preserve"> </w:t>
      </w:r>
      <w:r>
        <w:t>intensity</w:t>
      </w:r>
      <w:r>
        <w:rPr>
          <w:spacing w:val="-13"/>
        </w:rPr>
        <w:t xml:space="preserve"> </w:t>
      </w:r>
      <w:r>
        <w:t>between</w:t>
      </w:r>
      <w:r>
        <w:rPr>
          <w:spacing w:val="-9"/>
        </w:rPr>
        <w:t xml:space="preserve"> </w:t>
      </w:r>
      <w:r>
        <w:t>MA</w:t>
      </w:r>
      <w:r>
        <w:rPr>
          <w:spacing w:val="-11"/>
        </w:rPr>
        <w:t xml:space="preserve"> </w:t>
      </w:r>
      <w:r>
        <w:t>and FFS?</w:t>
      </w:r>
    </w:p>
    <w:p w:rsidR="00805174" w:rsidRDefault="000A64A3">
      <w:pPr>
        <w:pStyle w:val="ListParagraph"/>
        <w:numPr>
          <w:ilvl w:val="1"/>
          <w:numId w:val="10"/>
        </w:numPr>
        <w:tabs>
          <w:tab w:val="left" w:pos="821"/>
        </w:tabs>
        <w:ind w:right="113"/>
      </w:pPr>
      <w:r>
        <w:t>How</w:t>
      </w:r>
      <w:r>
        <w:rPr>
          <w:spacing w:val="-8"/>
        </w:rPr>
        <w:t xml:space="preserve"> </w:t>
      </w:r>
      <w:r>
        <w:t>should</w:t>
      </w:r>
      <w:r>
        <w:rPr>
          <w:spacing w:val="-9"/>
        </w:rPr>
        <w:t xml:space="preserve"> </w:t>
      </w:r>
      <w:r>
        <w:t>enrollment</w:t>
      </w:r>
      <w:r>
        <w:rPr>
          <w:spacing w:val="-6"/>
        </w:rPr>
        <w:t xml:space="preserve"> </w:t>
      </w:r>
      <w:r>
        <w:t>in</w:t>
      </w:r>
      <w:r>
        <w:rPr>
          <w:spacing w:val="-9"/>
        </w:rPr>
        <w:t xml:space="preserve"> </w:t>
      </w:r>
      <w:r>
        <w:t>different</w:t>
      </w:r>
      <w:r>
        <w:rPr>
          <w:spacing w:val="-8"/>
        </w:rPr>
        <w:t xml:space="preserve"> </w:t>
      </w:r>
      <w:r>
        <w:t>plan</w:t>
      </w:r>
      <w:r>
        <w:rPr>
          <w:spacing w:val="-7"/>
        </w:rPr>
        <w:t xml:space="preserve"> </w:t>
      </w:r>
      <w:r>
        <w:t>types—general</w:t>
      </w:r>
      <w:r>
        <w:rPr>
          <w:spacing w:val="-6"/>
        </w:rPr>
        <w:t xml:space="preserve"> </w:t>
      </w:r>
      <w:r>
        <w:t>MA,</w:t>
      </w:r>
      <w:r>
        <w:rPr>
          <w:spacing w:val="-8"/>
        </w:rPr>
        <w:t xml:space="preserve"> </w:t>
      </w:r>
      <w:r>
        <w:t>SNPs,</w:t>
      </w:r>
      <w:r>
        <w:rPr>
          <w:spacing w:val="-8"/>
        </w:rPr>
        <w:t xml:space="preserve"> </w:t>
      </w:r>
      <w:r>
        <w:t>and</w:t>
      </w:r>
      <w:r>
        <w:rPr>
          <w:spacing w:val="-8"/>
        </w:rPr>
        <w:t xml:space="preserve"> </w:t>
      </w:r>
      <w:r>
        <w:t>Medicare-Medicaid</w:t>
      </w:r>
      <w:r>
        <w:rPr>
          <w:spacing w:val="-7"/>
        </w:rPr>
        <w:t xml:space="preserve"> </w:t>
      </w:r>
      <w:r>
        <w:t>Plans (MMPs)—be factored in to determining a potential adjustment? Do state efforts to promote integrated</w:t>
      </w:r>
      <w:r>
        <w:rPr>
          <w:spacing w:val="-8"/>
        </w:rPr>
        <w:t xml:space="preserve"> </w:t>
      </w:r>
      <w:r>
        <w:t>care</w:t>
      </w:r>
      <w:r>
        <w:rPr>
          <w:spacing w:val="-6"/>
        </w:rPr>
        <w:t xml:space="preserve"> </w:t>
      </w:r>
      <w:r>
        <w:t>have</w:t>
      </w:r>
      <w:r>
        <w:rPr>
          <w:spacing w:val="-6"/>
        </w:rPr>
        <w:t xml:space="preserve"> </w:t>
      </w:r>
      <w:r>
        <w:t>an</w:t>
      </w:r>
      <w:r>
        <w:rPr>
          <w:spacing w:val="-8"/>
        </w:rPr>
        <w:t xml:space="preserve"> </w:t>
      </w:r>
      <w:r>
        <w:t>impact?</w:t>
      </w:r>
      <w:r>
        <w:rPr>
          <w:spacing w:val="-6"/>
        </w:rPr>
        <w:t xml:space="preserve"> </w:t>
      </w:r>
      <w:r>
        <w:t>If</w:t>
      </w:r>
      <w:r>
        <w:rPr>
          <w:spacing w:val="-5"/>
        </w:rPr>
        <w:t xml:space="preserve"> </w:t>
      </w:r>
      <w:r>
        <w:t>so,</w:t>
      </w:r>
      <w:r>
        <w:rPr>
          <w:spacing w:val="-5"/>
        </w:rPr>
        <w:t xml:space="preserve"> </w:t>
      </w:r>
      <w:r>
        <w:t>how</w:t>
      </w:r>
      <w:r>
        <w:rPr>
          <w:spacing w:val="-10"/>
        </w:rPr>
        <w:t xml:space="preserve"> </w:t>
      </w:r>
      <w:r>
        <w:t>should</w:t>
      </w:r>
      <w:r>
        <w:rPr>
          <w:spacing w:val="-6"/>
        </w:rPr>
        <w:t xml:space="preserve"> </w:t>
      </w:r>
      <w:r>
        <w:t>state</w:t>
      </w:r>
      <w:r>
        <w:rPr>
          <w:spacing w:val="-8"/>
        </w:rPr>
        <w:t xml:space="preserve"> </w:t>
      </w:r>
      <w:r>
        <w:t>decisions</w:t>
      </w:r>
      <w:r>
        <w:rPr>
          <w:spacing w:val="-5"/>
        </w:rPr>
        <w:t xml:space="preserve"> </w:t>
      </w:r>
      <w:r>
        <w:t>regarding</w:t>
      </w:r>
      <w:r>
        <w:rPr>
          <w:spacing w:val="-9"/>
        </w:rPr>
        <w:t xml:space="preserve"> </w:t>
      </w:r>
      <w:r>
        <w:t>passive</w:t>
      </w:r>
      <w:r>
        <w:rPr>
          <w:spacing w:val="-8"/>
        </w:rPr>
        <w:t xml:space="preserve"> </w:t>
      </w:r>
      <w:r>
        <w:t>enrollment</w:t>
      </w:r>
      <w:r>
        <w:rPr>
          <w:spacing w:val="1"/>
        </w:rPr>
        <w:t xml:space="preserve"> </w:t>
      </w:r>
      <w:r>
        <w:t>into D-SNPs be factored into calculating the</w:t>
      </w:r>
      <w:r>
        <w:rPr>
          <w:spacing w:val="-13"/>
        </w:rPr>
        <w:t xml:space="preserve"> </w:t>
      </w:r>
      <w:r>
        <w:t>adjustment?</w:t>
      </w:r>
    </w:p>
    <w:p w:rsidR="00805174" w:rsidRDefault="000A64A3">
      <w:pPr>
        <w:pStyle w:val="ListParagraph"/>
        <w:numPr>
          <w:ilvl w:val="1"/>
          <w:numId w:val="10"/>
        </w:numPr>
        <w:tabs>
          <w:tab w:val="left" w:pos="821"/>
        </w:tabs>
        <w:ind w:right="121"/>
      </w:pPr>
      <w:r>
        <w:t>What other elements not reflected in the historical FFS or MA data need to be adjusted before performing CPIA studies? For example, to what extent does $0 cost sharing for Medicare Supplement plans and dual eligibles distort comparisons between MA and FFS</w:t>
      </w:r>
      <w:r>
        <w:rPr>
          <w:spacing w:val="-25"/>
        </w:rPr>
        <w:t xml:space="preserve"> </w:t>
      </w:r>
      <w:r>
        <w:t>members?</w:t>
      </w:r>
    </w:p>
    <w:p w:rsidR="00805174" w:rsidRDefault="000A64A3">
      <w:pPr>
        <w:pStyle w:val="ListParagraph"/>
        <w:numPr>
          <w:ilvl w:val="1"/>
          <w:numId w:val="10"/>
        </w:numPr>
        <w:tabs>
          <w:tab w:val="left" w:pos="820"/>
          <w:tab w:val="left" w:pos="821"/>
        </w:tabs>
        <w:spacing w:line="267" w:lineRule="exact"/>
        <w:jc w:val="left"/>
      </w:pPr>
      <w:r>
        <w:t>How will CMS review medical records (both MA and FFS) to determine the</w:t>
      </w:r>
      <w:r>
        <w:rPr>
          <w:spacing w:val="-27"/>
        </w:rPr>
        <w:t xml:space="preserve"> </w:t>
      </w:r>
      <w:r>
        <w:t>adjustment?</w:t>
      </w:r>
    </w:p>
    <w:p w:rsidR="00805174" w:rsidRDefault="000A64A3">
      <w:pPr>
        <w:pStyle w:val="ListParagraph"/>
        <w:numPr>
          <w:ilvl w:val="1"/>
          <w:numId w:val="10"/>
        </w:numPr>
        <w:tabs>
          <w:tab w:val="left" w:pos="821"/>
        </w:tabs>
        <w:ind w:right="120"/>
      </w:pPr>
      <w:r>
        <w:t>Should</w:t>
      </w:r>
      <w:r>
        <w:rPr>
          <w:spacing w:val="-11"/>
        </w:rPr>
        <w:t xml:space="preserve"> </w:t>
      </w:r>
      <w:r>
        <w:t>the</w:t>
      </w:r>
      <w:r>
        <w:rPr>
          <w:spacing w:val="-9"/>
        </w:rPr>
        <w:t xml:space="preserve"> </w:t>
      </w:r>
      <w:r>
        <w:t>adjustment</w:t>
      </w:r>
      <w:r>
        <w:rPr>
          <w:spacing w:val="-8"/>
        </w:rPr>
        <w:t xml:space="preserve"> </w:t>
      </w:r>
      <w:r>
        <w:t>continue</w:t>
      </w:r>
      <w:r>
        <w:rPr>
          <w:spacing w:val="-12"/>
        </w:rPr>
        <w:t xml:space="preserve"> </w:t>
      </w:r>
      <w:r>
        <w:t>to</w:t>
      </w:r>
      <w:r>
        <w:rPr>
          <w:spacing w:val="-10"/>
        </w:rPr>
        <w:t xml:space="preserve"> </w:t>
      </w:r>
      <w:r>
        <w:t>be</w:t>
      </w:r>
      <w:r>
        <w:rPr>
          <w:spacing w:val="-12"/>
        </w:rPr>
        <w:t xml:space="preserve"> </w:t>
      </w:r>
      <w:r>
        <w:t>the</w:t>
      </w:r>
      <w:r>
        <w:rPr>
          <w:spacing w:val="-12"/>
        </w:rPr>
        <w:t xml:space="preserve"> </w:t>
      </w:r>
      <w:r>
        <w:t>same</w:t>
      </w:r>
      <w:r>
        <w:rPr>
          <w:spacing w:val="-9"/>
        </w:rPr>
        <w:t xml:space="preserve"> </w:t>
      </w:r>
      <w:r>
        <w:t>across</w:t>
      </w:r>
      <w:r>
        <w:rPr>
          <w:spacing w:val="-11"/>
        </w:rPr>
        <w:t xml:space="preserve"> </w:t>
      </w:r>
      <w:r>
        <w:t>the</w:t>
      </w:r>
      <w:r>
        <w:rPr>
          <w:spacing w:val="-9"/>
        </w:rPr>
        <w:t xml:space="preserve"> </w:t>
      </w:r>
      <w:r>
        <w:t>industry,</w:t>
      </w:r>
      <w:r>
        <w:rPr>
          <w:spacing w:val="-10"/>
        </w:rPr>
        <w:t xml:space="preserve"> </w:t>
      </w:r>
      <w:r>
        <w:t>or</w:t>
      </w:r>
      <w:r>
        <w:rPr>
          <w:spacing w:val="-11"/>
        </w:rPr>
        <w:t xml:space="preserve"> </w:t>
      </w:r>
      <w:r>
        <w:t>specific</w:t>
      </w:r>
      <w:r>
        <w:rPr>
          <w:spacing w:val="-12"/>
        </w:rPr>
        <w:t xml:space="preserve"> </w:t>
      </w:r>
      <w:r>
        <w:t>to</w:t>
      </w:r>
      <w:r>
        <w:rPr>
          <w:spacing w:val="-10"/>
        </w:rPr>
        <w:t xml:space="preserve"> </w:t>
      </w:r>
      <w:r>
        <w:t>contracts</w:t>
      </w:r>
      <w:r>
        <w:rPr>
          <w:spacing w:val="-9"/>
        </w:rPr>
        <w:t xml:space="preserve"> </w:t>
      </w:r>
      <w:r>
        <w:t>or</w:t>
      </w:r>
      <w:r>
        <w:rPr>
          <w:spacing w:val="-9"/>
        </w:rPr>
        <w:t xml:space="preserve"> </w:t>
      </w:r>
      <w:r>
        <w:t>plans? How will CMS share that information with</w:t>
      </w:r>
      <w:r>
        <w:rPr>
          <w:spacing w:val="-16"/>
        </w:rPr>
        <w:t xml:space="preserve"> </w:t>
      </w:r>
      <w:r>
        <w:t>sponsors?</w:t>
      </w:r>
    </w:p>
    <w:p w:rsidR="00805174" w:rsidRDefault="000A64A3">
      <w:pPr>
        <w:pStyle w:val="ListParagraph"/>
        <w:numPr>
          <w:ilvl w:val="1"/>
          <w:numId w:val="10"/>
        </w:numPr>
        <w:tabs>
          <w:tab w:val="left" w:pos="821"/>
        </w:tabs>
        <w:ind w:right="115"/>
      </w:pPr>
      <w:r>
        <w:t>Should</w:t>
      </w:r>
      <w:r>
        <w:rPr>
          <w:spacing w:val="-16"/>
        </w:rPr>
        <w:t xml:space="preserve"> </w:t>
      </w:r>
      <w:r>
        <w:t>risk</w:t>
      </w:r>
      <w:r>
        <w:rPr>
          <w:spacing w:val="-16"/>
        </w:rPr>
        <w:t xml:space="preserve"> </w:t>
      </w:r>
      <w:r>
        <w:t>score</w:t>
      </w:r>
      <w:r>
        <w:rPr>
          <w:spacing w:val="-14"/>
        </w:rPr>
        <w:t xml:space="preserve"> </w:t>
      </w:r>
      <w:r>
        <w:t>growth</w:t>
      </w:r>
      <w:r>
        <w:rPr>
          <w:spacing w:val="-13"/>
        </w:rPr>
        <w:t xml:space="preserve"> </w:t>
      </w:r>
      <w:r>
        <w:t>rates</w:t>
      </w:r>
      <w:r>
        <w:rPr>
          <w:spacing w:val="-14"/>
        </w:rPr>
        <w:t xml:space="preserve"> </w:t>
      </w:r>
      <w:r>
        <w:t>be</w:t>
      </w:r>
      <w:r>
        <w:rPr>
          <w:spacing w:val="-16"/>
        </w:rPr>
        <w:t xml:space="preserve"> </w:t>
      </w:r>
      <w:r>
        <w:t>considered</w:t>
      </w:r>
      <w:r>
        <w:rPr>
          <w:spacing w:val="-13"/>
        </w:rPr>
        <w:t xml:space="preserve"> </w:t>
      </w:r>
      <w:r>
        <w:t>a</w:t>
      </w:r>
      <w:r>
        <w:rPr>
          <w:spacing w:val="-16"/>
        </w:rPr>
        <w:t xml:space="preserve"> </w:t>
      </w:r>
      <w:r>
        <w:t>proxy</w:t>
      </w:r>
      <w:r>
        <w:rPr>
          <w:spacing w:val="-17"/>
        </w:rPr>
        <w:t xml:space="preserve"> </w:t>
      </w:r>
      <w:r>
        <w:t>for</w:t>
      </w:r>
      <w:r>
        <w:rPr>
          <w:spacing w:val="-16"/>
        </w:rPr>
        <w:t xml:space="preserve"> </w:t>
      </w:r>
      <w:r>
        <w:t>coding</w:t>
      </w:r>
      <w:r>
        <w:rPr>
          <w:spacing w:val="-17"/>
        </w:rPr>
        <w:t xml:space="preserve"> </w:t>
      </w:r>
      <w:r>
        <w:t>disparity?</w:t>
      </w:r>
      <w:r>
        <w:rPr>
          <w:spacing w:val="-14"/>
        </w:rPr>
        <w:t xml:space="preserve"> </w:t>
      </w:r>
      <w:r>
        <w:t>How</w:t>
      </w:r>
      <w:r>
        <w:rPr>
          <w:spacing w:val="-14"/>
        </w:rPr>
        <w:t xml:space="preserve"> </w:t>
      </w:r>
      <w:r>
        <w:t>will</w:t>
      </w:r>
      <w:r>
        <w:rPr>
          <w:spacing w:val="-18"/>
        </w:rPr>
        <w:t xml:space="preserve"> </w:t>
      </w:r>
      <w:r>
        <w:t>CMS’</w:t>
      </w:r>
      <w:r>
        <w:rPr>
          <w:spacing w:val="-13"/>
        </w:rPr>
        <w:t xml:space="preserve"> </w:t>
      </w:r>
      <w:r>
        <w:t>analyses evaluate whether differences in MA and FFS risk score growth rates are driven by demographics or morbidity or</w:t>
      </w:r>
      <w:r>
        <w:rPr>
          <w:spacing w:val="-4"/>
        </w:rPr>
        <w:t xml:space="preserve"> </w:t>
      </w:r>
      <w:r>
        <w:t>not?</w:t>
      </w:r>
    </w:p>
    <w:p w:rsidR="00805174" w:rsidRDefault="00805174">
      <w:pPr>
        <w:pStyle w:val="BodyText"/>
      </w:pPr>
    </w:p>
    <w:p w:rsidR="00805174" w:rsidRDefault="000A64A3">
      <w:pPr>
        <w:pStyle w:val="BodyText"/>
        <w:ind w:left="100" w:right="120"/>
        <w:jc w:val="both"/>
      </w:pPr>
      <w:r>
        <w:t>We look forward to CMS providing more information about how it intends to thoroughly review the necessity of and appropriateness of a CPIA before proposing any changes to the calculation methodology.</w:t>
      </w:r>
    </w:p>
    <w:p w:rsidR="00805174" w:rsidRDefault="00805174">
      <w:pPr>
        <w:pStyle w:val="BodyText"/>
      </w:pPr>
    </w:p>
    <w:p w:rsidR="00805174" w:rsidRDefault="000A64A3">
      <w:pPr>
        <w:spacing w:before="1"/>
        <w:ind w:left="100"/>
        <w:jc w:val="both"/>
        <w:rPr>
          <w:i/>
        </w:rPr>
      </w:pPr>
      <w:r>
        <w:rPr>
          <w:i/>
        </w:rPr>
        <w:t>Normalization Factors</w:t>
      </w:r>
    </w:p>
    <w:p w:rsidR="00805174" w:rsidRDefault="00805174">
      <w:pPr>
        <w:pStyle w:val="BodyText"/>
        <w:rPr>
          <w:i/>
        </w:rPr>
      </w:pPr>
    </w:p>
    <w:p w:rsidR="00805174" w:rsidRDefault="000A64A3">
      <w:pPr>
        <w:pStyle w:val="BodyText"/>
        <w:ind w:left="100" w:right="116"/>
        <w:jc w:val="both"/>
      </w:pPr>
      <w:r>
        <w:t>CMS’ proposed 2019 normalization factor for Part C is 1.041 for the CMS-HCC model used for payment in</w:t>
      </w:r>
      <w:r>
        <w:rPr>
          <w:spacing w:val="-11"/>
        </w:rPr>
        <w:t xml:space="preserve"> </w:t>
      </w:r>
      <w:r>
        <w:t>2017</w:t>
      </w:r>
      <w:r>
        <w:rPr>
          <w:spacing w:val="-13"/>
        </w:rPr>
        <w:t xml:space="preserve"> </w:t>
      </w:r>
      <w:r>
        <w:t>and</w:t>
      </w:r>
      <w:r>
        <w:rPr>
          <w:spacing w:val="-11"/>
        </w:rPr>
        <w:t xml:space="preserve"> </w:t>
      </w:r>
      <w:r>
        <w:t>2018,</w:t>
      </w:r>
      <w:r>
        <w:rPr>
          <w:spacing w:val="-11"/>
        </w:rPr>
        <w:t xml:space="preserve"> </w:t>
      </w:r>
      <w:r>
        <w:t>and</w:t>
      </w:r>
      <w:r>
        <w:rPr>
          <w:spacing w:val="-13"/>
        </w:rPr>
        <w:t xml:space="preserve"> </w:t>
      </w:r>
      <w:r>
        <w:t>1.038</w:t>
      </w:r>
      <w:r>
        <w:rPr>
          <w:spacing w:val="-11"/>
        </w:rPr>
        <w:t xml:space="preserve"> </w:t>
      </w:r>
      <w:r>
        <w:t>for</w:t>
      </w:r>
      <w:r>
        <w:rPr>
          <w:spacing w:val="-13"/>
        </w:rPr>
        <w:t xml:space="preserve"> </w:t>
      </w:r>
      <w:r>
        <w:t>the</w:t>
      </w:r>
      <w:r>
        <w:rPr>
          <w:spacing w:val="-11"/>
        </w:rPr>
        <w:t xml:space="preserve"> </w:t>
      </w:r>
      <w:r>
        <w:t>proposed</w:t>
      </w:r>
      <w:r>
        <w:rPr>
          <w:spacing w:val="-13"/>
        </w:rPr>
        <w:t xml:space="preserve"> </w:t>
      </w:r>
      <w:r>
        <w:t>“Payment</w:t>
      </w:r>
      <w:r>
        <w:rPr>
          <w:spacing w:val="-10"/>
        </w:rPr>
        <w:t xml:space="preserve"> </w:t>
      </w:r>
      <w:r>
        <w:t>Condition</w:t>
      </w:r>
      <w:r>
        <w:rPr>
          <w:spacing w:val="-11"/>
        </w:rPr>
        <w:t xml:space="preserve"> </w:t>
      </w:r>
      <w:r>
        <w:t>Count”</w:t>
      </w:r>
      <w:r>
        <w:rPr>
          <w:spacing w:val="-11"/>
        </w:rPr>
        <w:t xml:space="preserve"> </w:t>
      </w:r>
      <w:r>
        <w:t>model.</w:t>
      </w:r>
      <w:r>
        <w:rPr>
          <w:spacing w:val="-13"/>
        </w:rPr>
        <w:t xml:space="preserve"> </w:t>
      </w:r>
      <w:r>
        <w:t>Meanwhile,</w:t>
      </w:r>
      <w:r>
        <w:rPr>
          <w:spacing w:val="-11"/>
        </w:rPr>
        <w:t xml:space="preserve"> </w:t>
      </w:r>
      <w:r>
        <w:t>the</w:t>
      </w:r>
      <w:r>
        <w:rPr>
          <w:spacing w:val="-11"/>
        </w:rPr>
        <w:t xml:space="preserve"> </w:t>
      </w:r>
      <w:r>
        <w:t>proposed 2019 normalization factor for the ESRD dialysis model i</w:t>
      </w:r>
      <w:r>
        <w:t>s 1.033. In its Fact Sheet, CMS notes that normalization will result in a 2.26 percent payment reduction to MA plan payments from</w:t>
      </w:r>
      <w:r>
        <w:rPr>
          <w:spacing w:val="-24"/>
        </w:rPr>
        <w:t xml:space="preserve"> </w:t>
      </w:r>
      <w:r>
        <w:t>2018.</w:t>
      </w:r>
    </w:p>
    <w:p w:rsidR="00805174" w:rsidRDefault="00805174">
      <w:pPr>
        <w:pStyle w:val="BodyText"/>
        <w:spacing w:before="11"/>
        <w:rPr>
          <w:sz w:val="21"/>
        </w:rPr>
      </w:pPr>
    </w:p>
    <w:p w:rsidR="00805174" w:rsidRDefault="000A64A3">
      <w:pPr>
        <w:pStyle w:val="BodyText"/>
        <w:ind w:left="100" w:right="111"/>
        <w:jc w:val="both"/>
      </w:pPr>
      <w:r>
        <w:t>Anthem continues to believe that the growth in FFS risk scores—particularly from 2015-2016 and 2016- 2017—is unusual an</w:t>
      </w:r>
      <w:r>
        <w:t>d unexplained. We are concerned that CMS’ calculation of the normalization  factors</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115"/>
        <w:jc w:val="both"/>
      </w:pPr>
      <w:r>
        <w:lastRenderedPageBreak/>
        <w:t>is based on the assumption that average FFS risk scores will continue to grow when, in fact, the large increases</w:t>
      </w:r>
      <w:r>
        <w:rPr>
          <w:spacing w:val="-3"/>
        </w:rPr>
        <w:t xml:space="preserve"> </w:t>
      </w:r>
      <w:r>
        <w:t>in</w:t>
      </w:r>
      <w:r>
        <w:rPr>
          <w:spacing w:val="-4"/>
        </w:rPr>
        <w:t xml:space="preserve"> </w:t>
      </w:r>
      <w:r>
        <w:t>the</w:t>
      </w:r>
      <w:r>
        <w:rPr>
          <w:spacing w:val="-3"/>
        </w:rPr>
        <w:t xml:space="preserve"> </w:t>
      </w:r>
      <w:r>
        <w:t>2016</w:t>
      </w:r>
      <w:r>
        <w:rPr>
          <w:spacing w:val="-4"/>
        </w:rPr>
        <w:t xml:space="preserve"> </w:t>
      </w:r>
      <w:r>
        <w:t>and</w:t>
      </w:r>
      <w:r>
        <w:rPr>
          <w:spacing w:val="-3"/>
        </w:rPr>
        <w:t xml:space="preserve"> </w:t>
      </w:r>
      <w:r>
        <w:t>2017</w:t>
      </w:r>
      <w:r>
        <w:rPr>
          <w:spacing w:val="-1"/>
        </w:rPr>
        <w:t xml:space="preserve"> </w:t>
      </w:r>
      <w:r>
        <w:t>risk</w:t>
      </w:r>
      <w:r>
        <w:rPr>
          <w:spacing w:val="-3"/>
        </w:rPr>
        <w:t xml:space="preserve"> </w:t>
      </w:r>
      <w:r>
        <w:t>scores</w:t>
      </w:r>
      <w:r>
        <w:rPr>
          <w:spacing w:val="-1"/>
        </w:rPr>
        <w:t xml:space="preserve"> </w:t>
      </w:r>
      <w:r>
        <w:t>are</w:t>
      </w:r>
      <w:r>
        <w:rPr>
          <w:spacing w:val="-3"/>
        </w:rPr>
        <w:t xml:space="preserve"> </w:t>
      </w:r>
      <w:r>
        <w:t>likely</w:t>
      </w:r>
      <w:r>
        <w:rPr>
          <w:spacing w:val="-4"/>
        </w:rPr>
        <w:t xml:space="preserve"> </w:t>
      </w:r>
      <w:r>
        <w:t>due</w:t>
      </w:r>
      <w:r>
        <w:rPr>
          <w:spacing w:val="-1"/>
        </w:rPr>
        <w:t xml:space="preserve"> </w:t>
      </w:r>
      <w:r>
        <w:t>to</w:t>
      </w:r>
      <w:r>
        <w:rPr>
          <w:spacing w:val="-1"/>
        </w:rPr>
        <w:t xml:space="preserve"> </w:t>
      </w:r>
      <w:r>
        <w:t>the</w:t>
      </w:r>
      <w:r>
        <w:rPr>
          <w:spacing w:val="-3"/>
        </w:rPr>
        <w:t xml:space="preserve"> </w:t>
      </w:r>
      <w:r>
        <w:t>introduction</w:t>
      </w:r>
      <w:r>
        <w:rPr>
          <w:spacing w:val="-4"/>
        </w:rPr>
        <w:t xml:space="preserve"> </w:t>
      </w:r>
      <w:r>
        <w:t>of</w:t>
      </w:r>
      <w:r>
        <w:rPr>
          <w:spacing w:val="-1"/>
        </w:rPr>
        <w:t xml:space="preserve"> </w:t>
      </w:r>
      <w:r>
        <w:t>ICD-10</w:t>
      </w:r>
      <w:r>
        <w:rPr>
          <w:spacing w:val="-1"/>
        </w:rPr>
        <w:t xml:space="preserve"> </w:t>
      </w:r>
      <w:r>
        <w:t>codes</w:t>
      </w:r>
      <w:r>
        <w:rPr>
          <w:spacing w:val="-3"/>
        </w:rPr>
        <w:t xml:space="preserve"> </w:t>
      </w:r>
      <w:r>
        <w:t>that</w:t>
      </w:r>
      <w:r>
        <w:rPr>
          <w:spacing w:val="-3"/>
        </w:rPr>
        <w:t xml:space="preserve"> </w:t>
      </w:r>
      <w:r>
        <w:t>occurred on October 1, 2015. Thus, the normalization factors calculated by CMS are likely a product of coding differences in ICD-10 versus ICD-9, rather than a real indication of higher risk scores in FFS</w:t>
      </w:r>
      <w:r>
        <w:rPr>
          <w:spacing w:val="-29"/>
        </w:rPr>
        <w:t xml:space="preserve"> </w:t>
      </w:r>
      <w:r>
        <w:t>Medica</w:t>
      </w:r>
      <w:r>
        <w:t>re.</w:t>
      </w:r>
    </w:p>
    <w:p w:rsidR="00805174" w:rsidRDefault="00805174">
      <w:pPr>
        <w:pStyle w:val="BodyText"/>
      </w:pPr>
    </w:p>
    <w:p w:rsidR="00805174" w:rsidRDefault="000A64A3">
      <w:pPr>
        <w:pStyle w:val="BodyText"/>
        <w:ind w:left="100" w:right="113"/>
        <w:jc w:val="both"/>
      </w:pPr>
      <w:r>
        <w:t xml:space="preserve">We have long believed that CMS should be more transparent and provide additional insight into the data and methodology used to update the normalization factors. However, while the 2018 Advance Notice did offer a deeper look into CMS’ methodology, the </w:t>
      </w:r>
      <w:r>
        <w:t>2019 Advance Notice lacks sufficient information such that</w:t>
      </w:r>
      <w:r>
        <w:rPr>
          <w:spacing w:val="-5"/>
        </w:rPr>
        <w:t xml:space="preserve"> </w:t>
      </w:r>
      <w:r>
        <w:t>Anthem</w:t>
      </w:r>
      <w:r>
        <w:rPr>
          <w:spacing w:val="-9"/>
        </w:rPr>
        <w:t xml:space="preserve"> </w:t>
      </w:r>
      <w:r>
        <w:t>continues</w:t>
      </w:r>
      <w:r>
        <w:rPr>
          <w:spacing w:val="-5"/>
        </w:rPr>
        <w:t xml:space="preserve"> </w:t>
      </w:r>
      <w:r>
        <w:t>to</w:t>
      </w:r>
      <w:r>
        <w:rPr>
          <w:spacing w:val="-9"/>
        </w:rPr>
        <w:t xml:space="preserve"> </w:t>
      </w:r>
      <w:r>
        <w:t>have</w:t>
      </w:r>
      <w:r>
        <w:rPr>
          <w:spacing w:val="-6"/>
        </w:rPr>
        <w:t xml:space="preserve"> </w:t>
      </w:r>
      <w:r>
        <w:t>a</w:t>
      </w:r>
      <w:r>
        <w:rPr>
          <w:spacing w:val="-6"/>
        </w:rPr>
        <w:t xml:space="preserve"> </w:t>
      </w:r>
      <w:r>
        <w:t>number</w:t>
      </w:r>
      <w:r>
        <w:rPr>
          <w:spacing w:val="-5"/>
        </w:rPr>
        <w:t xml:space="preserve"> </w:t>
      </w:r>
      <w:r>
        <w:t>of</w:t>
      </w:r>
      <w:r>
        <w:rPr>
          <w:spacing w:val="-5"/>
        </w:rPr>
        <w:t xml:space="preserve"> </w:t>
      </w:r>
      <w:r>
        <w:t>questions</w:t>
      </w:r>
      <w:r>
        <w:rPr>
          <w:spacing w:val="-8"/>
        </w:rPr>
        <w:t xml:space="preserve"> </w:t>
      </w:r>
      <w:r>
        <w:t>about</w:t>
      </w:r>
      <w:r>
        <w:rPr>
          <w:spacing w:val="-5"/>
        </w:rPr>
        <w:t xml:space="preserve"> </w:t>
      </w:r>
      <w:r>
        <w:t>and</w:t>
      </w:r>
      <w:r>
        <w:rPr>
          <w:spacing w:val="-6"/>
        </w:rPr>
        <w:t xml:space="preserve"> </w:t>
      </w:r>
      <w:r>
        <w:t>significant</w:t>
      </w:r>
      <w:r>
        <w:rPr>
          <w:spacing w:val="-5"/>
        </w:rPr>
        <w:t xml:space="preserve"> </w:t>
      </w:r>
      <w:r>
        <w:t>concerns</w:t>
      </w:r>
      <w:r>
        <w:rPr>
          <w:spacing w:val="-5"/>
        </w:rPr>
        <w:t xml:space="preserve"> </w:t>
      </w:r>
      <w:r>
        <w:t>with</w:t>
      </w:r>
      <w:r>
        <w:rPr>
          <w:spacing w:val="-9"/>
        </w:rPr>
        <w:t xml:space="preserve"> </w:t>
      </w:r>
      <w:r>
        <w:t>the</w:t>
      </w:r>
      <w:r>
        <w:rPr>
          <w:spacing w:val="-8"/>
        </w:rPr>
        <w:t xml:space="preserve"> </w:t>
      </w:r>
      <w:r>
        <w:t>data</w:t>
      </w:r>
      <w:r>
        <w:rPr>
          <w:spacing w:val="-6"/>
        </w:rPr>
        <w:t xml:space="preserve"> </w:t>
      </w:r>
      <w:r>
        <w:t>included in</w:t>
      </w:r>
      <w:r>
        <w:rPr>
          <w:spacing w:val="-13"/>
        </w:rPr>
        <w:t xml:space="preserve"> </w:t>
      </w:r>
      <w:r>
        <w:t>CMS’</w:t>
      </w:r>
      <w:r>
        <w:rPr>
          <w:spacing w:val="-12"/>
        </w:rPr>
        <w:t xml:space="preserve"> </w:t>
      </w:r>
      <w:r>
        <w:t>normalization</w:t>
      </w:r>
      <w:r>
        <w:rPr>
          <w:spacing w:val="-13"/>
        </w:rPr>
        <w:t xml:space="preserve"> </w:t>
      </w:r>
      <w:r>
        <w:t>trend</w:t>
      </w:r>
      <w:r>
        <w:rPr>
          <w:spacing w:val="-13"/>
        </w:rPr>
        <w:t xml:space="preserve"> </w:t>
      </w:r>
      <w:r>
        <w:t>analysis,</w:t>
      </w:r>
      <w:r>
        <w:rPr>
          <w:spacing w:val="-13"/>
        </w:rPr>
        <w:t xml:space="preserve"> </w:t>
      </w:r>
      <w:r>
        <w:t>as</w:t>
      </w:r>
      <w:r>
        <w:rPr>
          <w:spacing w:val="-13"/>
        </w:rPr>
        <w:t xml:space="preserve"> </w:t>
      </w:r>
      <w:r>
        <w:t>noted</w:t>
      </w:r>
      <w:r>
        <w:rPr>
          <w:spacing w:val="-15"/>
        </w:rPr>
        <w:t xml:space="preserve"> </w:t>
      </w:r>
      <w:r>
        <w:t>above.</w:t>
      </w:r>
      <w:r>
        <w:rPr>
          <w:spacing w:val="-13"/>
        </w:rPr>
        <w:t xml:space="preserve"> </w:t>
      </w:r>
      <w:r>
        <w:t>Ultimately,</w:t>
      </w:r>
      <w:r>
        <w:rPr>
          <w:spacing w:val="-13"/>
        </w:rPr>
        <w:t xml:space="preserve"> </w:t>
      </w:r>
      <w:r>
        <w:t>we</w:t>
      </w:r>
      <w:r>
        <w:rPr>
          <w:spacing w:val="-13"/>
        </w:rPr>
        <w:t xml:space="preserve"> </w:t>
      </w:r>
      <w:r>
        <w:t>believe</w:t>
      </w:r>
      <w:r>
        <w:rPr>
          <w:spacing w:val="-13"/>
        </w:rPr>
        <w:t xml:space="preserve"> </w:t>
      </w:r>
      <w:r>
        <w:t>that</w:t>
      </w:r>
      <w:r>
        <w:rPr>
          <w:spacing w:val="-14"/>
        </w:rPr>
        <w:t xml:space="preserve"> </w:t>
      </w:r>
      <w:r>
        <w:t>CMS</w:t>
      </w:r>
      <w:r>
        <w:rPr>
          <w:spacing w:val="-13"/>
        </w:rPr>
        <w:t xml:space="preserve"> </w:t>
      </w:r>
      <w:r>
        <w:t>must</w:t>
      </w:r>
      <w:r>
        <w:rPr>
          <w:spacing w:val="-12"/>
        </w:rPr>
        <w:t xml:space="preserve"> </w:t>
      </w:r>
      <w:r>
        <w:t>furth</w:t>
      </w:r>
      <w:r>
        <w:t>er</w:t>
      </w:r>
      <w:r>
        <w:rPr>
          <w:spacing w:val="-14"/>
        </w:rPr>
        <w:t xml:space="preserve"> </w:t>
      </w:r>
      <w:r>
        <w:t>review its data, supply additional explanation, and then adjust the normalization factors for the CMS-HCC model and the ESRD dialysis model to ensure they are accurately representative of relevant trends and to ensure plans are reimbursed correctly in</w:t>
      </w:r>
      <w:r>
        <w:rPr>
          <w:spacing w:val="-11"/>
        </w:rPr>
        <w:t xml:space="preserve"> </w:t>
      </w:r>
      <w:r>
        <w:t>2019.</w:t>
      </w:r>
    </w:p>
    <w:p w:rsidR="00805174" w:rsidRDefault="00805174">
      <w:pPr>
        <w:pStyle w:val="BodyText"/>
      </w:pPr>
    </w:p>
    <w:p w:rsidR="00805174" w:rsidRDefault="000A64A3">
      <w:pPr>
        <w:ind w:left="100"/>
        <w:jc w:val="both"/>
        <w:rPr>
          <w:i/>
        </w:rPr>
      </w:pPr>
      <w:r>
        <w:rPr>
          <w:i/>
        </w:rPr>
        <w:t>Quality Payment Program</w:t>
      </w:r>
    </w:p>
    <w:p w:rsidR="00805174" w:rsidRDefault="00805174">
      <w:pPr>
        <w:pStyle w:val="BodyText"/>
        <w:rPr>
          <w:i/>
        </w:rPr>
      </w:pPr>
    </w:p>
    <w:p w:rsidR="00805174" w:rsidRDefault="000A64A3">
      <w:pPr>
        <w:pStyle w:val="BodyText"/>
        <w:ind w:left="100" w:right="114"/>
        <w:jc w:val="both"/>
      </w:pPr>
      <w:r>
        <w:t>Anthem</w:t>
      </w:r>
      <w:r>
        <w:rPr>
          <w:spacing w:val="-13"/>
        </w:rPr>
        <w:t xml:space="preserve"> </w:t>
      </w:r>
      <w:r>
        <w:t>thanks</w:t>
      </w:r>
      <w:r>
        <w:rPr>
          <w:spacing w:val="-9"/>
        </w:rPr>
        <w:t xml:space="preserve"> </w:t>
      </w:r>
      <w:r>
        <w:t>CMS</w:t>
      </w:r>
      <w:r>
        <w:rPr>
          <w:spacing w:val="-12"/>
        </w:rPr>
        <w:t xml:space="preserve"> </w:t>
      </w:r>
      <w:r>
        <w:t>for</w:t>
      </w:r>
      <w:r>
        <w:rPr>
          <w:spacing w:val="-9"/>
        </w:rPr>
        <w:t xml:space="preserve"> </w:t>
      </w:r>
      <w:r>
        <w:t>providing</w:t>
      </w:r>
      <w:r>
        <w:rPr>
          <w:spacing w:val="-12"/>
        </w:rPr>
        <w:t xml:space="preserve"> </w:t>
      </w:r>
      <w:r>
        <w:t>information</w:t>
      </w:r>
      <w:r>
        <w:rPr>
          <w:spacing w:val="-12"/>
        </w:rPr>
        <w:t xml:space="preserve"> </w:t>
      </w:r>
      <w:r>
        <w:t>about</w:t>
      </w:r>
      <w:r>
        <w:rPr>
          <w:spacing w:val="-11"/>
        </w:rPr>
        <w:t xml:space="preserve"> </w:t>
      </w:r>
      <w:r>
        <w:t>how</w:t>
      </w:r>
      <w:r>
        <w:rPr>
          <w:spacing w:val="-11"/>
        </w:rPr>
        <w:t xml:space="preserve"> </w:t>
      </w:r>
      <w:r>
        <w:t>it</w:t>
      </w:r>
      <w:r>
        <w:rPr>
          <w:spacing w:val="-11"/>
        </w:rPr>
        <w:t xml:space="preserve"> </w:t>
      </w:r>
      <w:r>
        <w:t>will</w:t>
      </w:r>
      <w:r>
        <w:rPr>
          <w:spacing w:val="-11"/>
        </w:rPr>
        <w:t xml:space="preserve"> </w:t>
      </w:r>
      <w:r>
        <w:t>determine</w:t>
      </w:r>
      <w:r>
        <w:rPr>
          <w:spacing w:val="-9"/>
        </w:rPr>
        <w:t xml:space="preserve"> </w:t>
      </w:r>
      <w:r>
        <w:t>whether</w:t>
      </w:r>
      <w:r>
        <w:rPr>
          <w:spacing w:val="-9"/>
        </w:rPr>
        <w:t xml:space="preserve"> </w:t>
      </w:r>
      <w:r>
        <w:t>eligible</w:t>
      </w:r>
      <w:r>
        <w:rPr>
          <w:spacing w:val="-12"/>
        </w:rPr>
        <w:t xml:space="preserve"> </w:t>
      </w:r>
      <w:r>
        <w:t>clinicians</w:t>
      </w:r>
      <w:r>
        <w:rPr>
          <w:spacing w:val="-9"/>
        </w:rPr>
        <w:t xml:space="preserve"> </w:t>
      </w:r>
      <w:r>
        <w:t>who participate in Advanced Alternative Payment Models (APMs), but do not meet the thresholds to become Qualifying APM Parti</w:t>
      </w:r>
      <w:r>
        <w:t>cipants (QPs), can qualify as QPs through the All-Payer Combination Option. We understand that this evaluation will involve both a payer-initiated process and a clinician-initiated process, and</w:t>
      </w:r>
      <w:r>
        <w:rPr>
          <w:spacing w:val="-13"/>
        </w:rPr>
        <w:t xml:space="preserve"> </w:t>
      </w:r>
      <w:r>
        <w:t>that</w:t>
      </w:r>
      <w:r>
        <w:rPr>
          <w:spacing w:val="-12"/>
        </w:rPr>
        <w:t xml:space="preserve"> </w:t>
      </w:r>
      <w:r>
        <w:t>the</w:t>
      </w:r>
      <w:r>
        <w:rPr>
          <w:spacing w:val="-13"/>
        </w:rPr>
        <w:t xml:space="preserve"> </w:t>
      </w:r>
      <w:r>
        <w:t>voluntary</w:t>
      </w:r>
      <w:r>
        <w:rPr>
          <w:spacing w:val="-16"/>
        </w:rPr>
        <w:t xml:space="preserve"> </w:t>
      </w:r>
      <w:r>
        <w:t>payer-initiated</w:t>
      </w:r>
      <w:r>
        <w:rPr>
          <w:spacing w:val="-13"/>
        </w:rPr>
        <w:t xml:space="preserve"> </w:t>
      </w:r>
      <w:r>
        <w:t>process</w:t>
      </w:r>
      <w:r>
        <w:rPr>
          <w:spacing w:val="-12"/>
        </w:rPr>
        <w:t xml:space="preserve"> </w:t>
      </w:r>
      <w:r>
        <w:t>will</w:t>
      </w:r>
      <w:r>
        <w:rPr>
          <w:spacing w:val="-12"/>
        </w:rPr>
        <w:t xml:space="preserve"> </w:t>
      </w:r>
      <w:r>
        <w:t>be</w:t>
      </w:r>
      <w:r>
        <w:rPr>
          <w:spacing w:val="-13"/>
        </w:rPr>
        <w:t xml:space="preserve"> </w:t>
      </w:r>
      <w:r>
        <w:t>carried</w:t>
      </w:r>
      <w:r>
        <w:rPr>
          <w:spacing w:val="-13"/>
        </w:rPr>
        <w:t xml:space="preserve"> </w:t>
      </w:r>
      <w:r>
        <w:t>out</w:t>
      </w:r>
      <w:r>
        <w:rPr>
          <w:spacing w:val="-12"/>
        </w:rPr>
        <w:t xml:space="preserve"> </w:t>
      </w:r>
      <w:r>
        <w:t>in</w:t>
      </w:r>
      <w:r>
        <w:rPr>
          <w:spacing w:val="-13"/>
        </w:rPr>
        <w:t xml:space="preserve"> </w:t>
      </w:r>
      <w:r>
        <w:t>2018</w:t>
      </w:r>
      <w:r>
        <w:rPr>
          <w:spacing w:val="-13"/>
        </w:rPr>
        <w:t xml:space="preserve"> </w:t>
      </w:r>
      <w:r>
        <w:t>so</w:t>
      </w:r>
      <w:r>
        <w:rPr>
          <w:spacing w:val="-13"/>
        </w:rPr>
        <w:t xml:space="preserve"> </w:t>
      </w:r>
      <w:r>
        <w:t>that</w:t>
      </w:r>
      <w:r>
        <w:rPr>
          <w:spacing w:val="-12"/>
        </w:rPr>
        <w:t xml:space="preserve"> </w:t>
      </w:r>
      <w:r>
        <w:t>CMS</w:t>
      </w:r>
      <w:r>
        <w:rPr>
          <w:spacing w:val="-14"/>
        </w:rPr>
        <w:t xml:space="preserve"> </w:t>
      </w:r>
      <w:r>
        <w:t>can</w:t>
      </w:r>
      <w:r>
        <w:rPr>
          <w:spacing w:val="-13"/>
        </w:rPr>
        <w:t xml:space="preserve"> </w:t>
      </w:r>
      <w:r>
        <w:t>publicly</w:t>
      </w:r>
      <w:r>
        <w:rPr>
          <w:spacing w:val="-16"/>
        </w:rPr>
        <w:t xml:space="preserve"> </w:t>
      </w:r>
      <w:r>
        <w:t>announce which payment arrangements are Other Payer Advanced APMs prior to the 2019 performance period. We look forward to reviewing the guidance and submission forms that CMS will include in the April 2018</w:t>
      </w:r>
      <w:r>
        <w:rPr>
          <w:spacing w:val="-37"/>
        </w:rPr>
        <w:t xml:space="preserve"> </w:t>
      </w:r>
      <w:r>
        <w:t xml:space="preserve">bid submission </w:t>
      </w:r>
      <w:r>
        <w:t>package for MA plans to submit to determine if their payment arrangements qualify as Other Payer Advanced</w:t>
      </w:r>
      <w:r>
        <w:rPr>
          <w:spacing w:val="-4"/>
        </w:rPr>
        <w:t xml:space="preserve"> </w:t>
      </w:r>
      <w:r>
        <w:t>APMs.</w:t>
      </w:r>
    </w:p>
    <w:p w:rsidR="00805174" w:rsidRDefault="00805174">
      <w:pPr>
        <w:pStyle w:val="BodyText"/>
      </w:pPr>
    </w:p>
    <w:p w:rsidR="00805174" w:rsidRDefault="000A64A3">
      <w:pPr>
        <w:pStyle w:val="BodyText"/>
        <w:ind w:left="100" w:right="114"/>
        <w:jc w:val="both"/>
      </w:pPr>
      <w:r>
        <w:t>We appreciate CMS’ willingness to engage with payers across several different coverage programs and markets.</w:t>
      </w:r>
      <w:r>
        <w:rPr>
          <w:spacing w:val="-4"/>
        </w:rPr>
        <w:t xml:space="preserve"> </w:t>
      </w:r>
      <w:r>
        <w:t>We</w:t>
      </w:r>
      <w:r>
        <w:rPr>
          <w:spacing w:val="-6"/>
        </w:rPr>
        <w:t xml:space="preserve"> </w:t>
      </w:r>
      <w:r>
        <w:t>strongly</w:t>
      </w:r>
      <w:r>
        <w:rPr>
          <w:spacing w:val="-7"/>
        </w:rPr>
        <w:t xml:space="preserve"> </w:t>
      </w:r>
      <w:r>
        <w:t>believe</w:t>
      </w:r>
      <w:r>
        <w:rPr>
          <w:spacing w:val="-4"/>
        </w:rPr>
        <w:t xml:space="preserve"> </w:t>
      </w:r>
      <w:r>
        <w:t>that</w:t>
      </w:r>
      <w:r>
        <w:rPr>
          <w:spacing w:val="-4"/>
        </w:rPr>
        <w:t xml:space="preserve"> </w:t>
      </w:r>
      <w:r>
        <w:t>MA</w:t>
      </w:r>
      <w:r>
        <w:rPr>
          <w:spacing w:val="-8"/>
        </w:rPr>
        <w:t xml:space="preserve"> </w:t>
      </w:r>
      <w:r>
        <w:t>plans</w:t>
      </w:r>
      <w:r>
        <w:rPr>
          <w:spacing w:val="-6"/>
        </w:rPr>
        <w:t xml:space="preserve"> </w:t>
      </w:r>
      <w:r>
        <w:t>and</w:t>
      </w:r>
      <w:r>
        <w:rPr>
          <w:spacing w:val="-7"/>
        </w:rPr>
        <w:t xml:space="preserve"> </w:t>
      </w:r>
      <w:r>
        <w:t>other</w:t>
      </w:r>
      <w:r>
        <w:rPr>
          <w:spacing w:val="-6"/>
        </w:rPr>
        <w:t xml:space="preserve"> </w:t>
      </w:r>
      <w:r>
        <w:t>payers</w:t>
      </w:r>
      <w:r>
        <w:rPr>
          <w:spacing w:val="-6"/>
        </w:rPr>
        <w:t xml:space="preserve"> </w:t>
      </w:r>
      <w:r>
        <w:t>can</w:t>
      </w:r>
      <w:r>
        <w:rPr>
          <w:spacing w:val="-7"/>
        </w:rPr>
        <w:t xml:space="preserve"> </w:t>
      </w:r>
      <w:r>
        <w:t>meaningfully</w:t>
      </w:r>
      <w:r>
        <w:rPr>
          <w:spacing w:val="-7"/>
        </w:rPr>
        <w:t xml:space="preserve"> </w:t>
      </w:r>
      <w:r>
        <w:t>contribute</w:t>
      </w:r>
      <w:r>
        <w:rPr>
          <w:spacing w:val="-7"/>
        </w:rPr>
        <w:t xml:space="preserve"> </w:t>
      </w:r>
      <w:r>
        <w:t>in</w:t>
      </w:r>
      <w:r>
        <w:rPr>
          <w:spacing w:val="-7"/>
        </w:rPr>
        <w:t xml:space="preserve"> </w:t>
      </w:r>
      <w:r>
        <w:t>the</w:t>
      </w:r>
      <w:r>
        <w:rPr>
          <w:spacing w:val="-4"/>
        </w:rPr>
        <w:t xml:space="preserve"> </w:t>
      </w:r>
      <w:r>
        <w:t>shift</w:t>
      </w:r>
      <w:r>
        <w:rPr>
          <w:spacing w:val="-6"/>
        </w:rPr>
        <w:t xml:space="preserve"> </w:t>
      </w:r>
      <w:r>
        <w:t>from volume to value. As CMS finalizes the guidance that will be disseminated to MA plans in April, Anthem urges CMS to afford Other Payer arrangements sufficient flexibility to ensure that they—and</w:t>
      </w:r>
      <w:r>
        <w:t xml:space="preserve"> their providers—can meaningfully participate in the Advanced APM</w:t>
      </w:r>
      <w:r>
        <w:rPr>
          <w:spacing w:val="-21"/>
        </w:rPr>
        <w:t xml:space="preserve"> </w:t>
      </w:r>
      <w:r>
        <w:t>track.</w:t>
      </w:r>
    </w:p>
    <w:p w:rsidR="00805174" w:rsidRDefault="00805174">
      <w:pPr>
        <w:pStyle w:val="BodyText"/>
        <w:spacing w:before="4"/>
      </w:pPr>
    </w:p>
    <w:p w:rsidR="00805174" w:rsidRDefault="000A64A3">
      <w:pPr>
        <w:pStyle w:val="Heading1"/>
        <w:numPr>
          <w:ilvl w:val="0"/>
          <w:numId w:val="10"/>
        </w:numPr>
        <w:tabs>
          <w:tab w:val="left" w:pos="470"/>
        </w:tabs>
        <w:spacing w:before="1"/>
        <w:ind w:left="469" w:hanging="369"/>
        <w:jc w:val="both"/>
      </w:pPr>
      <w:r>
        <w:t>Changes in the Payment Methodology for Medicare Part D for CY</w:t>
      </w:r>
      <w:r>
        <w:rPr>
          <w:spacing w:val="-19"/>
        </w:rPr>
        <w:t xml:space="preserve"> </w:t>
      </w:r>
      <w:r>
        <w:t>2019</w:t>
      </w:r>
    </w:p>
    <w:p w:rsidR="00805174" w:rsidRDefault="00805174">
      <w:pPr>
        <w:pStyle w:val="BodyText"/>
        <w:spacing w:before="7"/>
        <w:rPr>
          <w:b/>
          <w:sz w:val="21"/>
        </w:rPr>
      </w:pPr>
    </w:p>
    <w:p w:rsidR="00805174" w:rsidRDefault="000A64A3">
      <w:pPr>
        <w:ind w:left="100"/>
        <w:jc w:val="both"/>
        <w:rPr>
          <w:i/>
        </w:rPr>
      </w:pPr>
      <w:r>
        <w:rPr>
          <w:i/>
        </w:rPr>
        <w:t>Update of the RxHCC Model</w:t>
      </w:r>
    </w:p>
    <w:p w:rsidR="00805174" w:rsidRDefault="00805174">
      <w:pPr>
        <w:pStyle w:val="BodyText"/>
        <w:rPr>
          <w:i/>
        </w:rPr>
      </w:pPr>
    </w:p>
    <w:p w:rsidR="00805174" w:rsidRDefault="000A64A3">
      <w:pPr>
        <w:pStyle w:val="BodyText"/>
        <w:ind w:left="100" w:right="115"/>
        <w:jc w:val="both"/>
      </w:pPr>
      <w:r>
        <w:t>Anthem generally supports CMS’ proposed RxHCC model updates but again requests that future updates to the RxHCC model be communicated under a similar timeline as the 2019 CMS-HCC model (i.e., with 60-days’ notice) in order to give plans sufficient time for</w:t>
      </w:r>
      <w:r>
        <w:t xml:space="preserve"> complete analysis.</w:t>
      </w:r>
    </w:p>
    <w:p w:rsidR="00805174" w:rsidRDefault="00805174">
      <w:pPr>
        <w:pStyle w:val="BodyText"/>
        <w:spacing w:before="5"/>
      </w:pPr>
    </w:p>
    <w:p w:rsidR="00805174" w:rsidRDefault="000A64A3">
      <w:pPr>
        <w:pStyle w:val="Heading1"/>
      </w:pPr>
      <w:r>
        <w:rPr>
          <w:u w:val="thick"/>
        </w:rPr>
        <w:t>Detailed Comments on Draft CY 2019 Call Letter</w:t>
      </w:r>
    </w:p>
    <w:p w:rsidR="00805174" w:rsidRDefault="00805174">
      <w:pPr>
        <w:pStyle w:val="BodyText"/>
        <w:spacing w:before="1"/>
        <w:rPr>
          <w:b/>
          <w:sz w:val="14"/>
        </w:rPr>
      </w:pPr>
    </w:p>
    <w:p w:rsidR="00805174" w:rsidRDefault="000A64A3">
      <w:pPr>
        <w:pStyle w:val="ListParagraph"/>
        <w:numPr>
          <w:ilvl w:val="0"/>
          <w:numId w:val="9"/>
        </w:numPr>
        <w:tabs>
          <w:tab w:val="left" w:pos="297"/>
        </w:tabs>
        <w:spacing w:before="92"/>
        <w:ind w:hanging="196"/>
        <w:jc w:val="both"/>
        <w:rPr>
          <w:b/>
        </w:rPr>
      </w:pPr>
      <w:r>
        <w:rPr>
          <w:b/>
        </w:rPr>
        <w:t>Parts C and D</w:t>
      </w:r>
    </w:p>
    <w:p w:rsidR="00805174" w:rsidRDefault="00805174">
      <w:pPr>
        <w:pStyle w:val="BodyText"/>
        <w:spacing w:before="7"/>
        <w:rPr>
          <w:b/>
          <w:sz w:val="21"/>
        </w:rPr>
      </w:pPr>
    </w:p>
    <w:p w:rsidR="00805174" w:rsidRDefault="000A64A3">
      <w:pPr>
        <w:ind w:left="100"/>
        <w:jc w:val="both"/>
        <w:rPr>
          <w:i/>
        </w:rPr>
      </w:pPr>
      <w:r>
        <w:rPr>
          <w:i/>
        </w:rPr>
        <w:t>Annual Calendar</w:t>
      </w:r>
    </w:p>
    <w:p w:rsidR="00805174" w:rsidRDefault="00805174">
      <w:pPr>
        <w:pStyle w:val="BodyText"/>
        <w:rPr>
          <w:i/>
        </w:rPr>
      </w:pPr>
    </w:p>
    <w:p w:rsidR="00805174" w:rsidRDefault="000A64A3">
      <w:pPr>
        <w:pStyle w:val="BodyText"/>
        <w:ind w:left="100" w:right="209"/>
        <w:jc w:val="both"/>
      </w:pPr>
      <w:r>
        <w:t>In</w:t>
      </w:r>
      <w:r>
        <w:rPr>
          <w:spacing w:val="-5"/>
        </w:rPr>
        <w:t xml:space="preserve"> </w:t>
      </w:r>
      <w:r>
        <w:t>the</w:t>
      </w:r>
      <w:r>
        <w:rPr>
          <w:spacing w:val="-4"/>
        </w:rPr>
        <w:t xml:space="preserve"> </w:t>
      </w:r>
      <w:r>
        <w:t>CY</w:t>
      </w:r>
      <w:r>
        <w:rPr>
          <w:spacing w:val="-6"/>
        </w:rPr>
        <w:t xml:space="preserve"> </w:t>
      </w:r>
      <w:r>
        <w:t>2019</w:t>
      </w:r>
      <w:r>
        <w:rPr>
          <w:spacing w:val="-5"/>
        </w:rPr>
        <w:t xml:space="preserve"> </w:t>
      </w:r>
      <w:r>
        <w:t>Policy</w:t>
      </w:r>
      <w:r>
        <w:rPr>
          <w:spacing w:val="-7"/>
        </w:rPr>
        <w:t xml:space="preserve"> </w:t>
      </w:r>
      <w:r>
        <w:t>and</w:t>
      </w:r>
      <w:r>
        <w:rPr>
          <w:spacing w:val="-9"/>
        </w:rPr>
        <w:t xml:space="preserve"> </w:t>
      </w:r>
      <w:r>
        <w:t>Technical</w:t>
      </w:r>
      <w:r>
        <w:rPr>
          <w:spacing w:val="-4"/>
        </w:rPr>
        <w:t xml:space="preserve"> </w:t>
      </w:r>
      <w:r>
        <w:t>Changes</w:t>
      </w:r>
      <w:r>
        <w:rPr>
          <w:spacing w:val="-6"/>
        </w:rPr>
        <w:t xml:space="preserve"> </w:t>
      </w:r>
      <w:r>
        <w:t>to</w:t>
      </w:r>
      <w:r>
        <w:rPr>
          <w:spacing w:val="-7"/>
        </w:rPr>
        <w:t xml:space="preserve"> </w:t>
      </w:r>
      <w:r>
        <w:t>the</w:t>
      </w:r>
      <w:r>
        <w:rPr>
          <w:spacing w:val="-9"/>
        </w:rPr>
        <w:t xml:space="preserve"> </w:t>
      </w:r>
      <w:r>
        <w:t>Medicare</w:t>
      </w:r>
      <w:r>
        <w:rPr>
          <w:spacing w:val="-4"/>
        </w:rPr>
        <w:t xml:space="preserve"> </w:t>
      </w:r>
      <w:r>
        <w:t>Advantage,</w:t>
      </w:r>
      <w:r>
        <w:rPr>
          <w:spacing w:val="-4"/>
        </w:rPr>
        <w:t xml:space="preserve"> </w:t>
      </w:r>
      <w:r>
        <w:t>Medicare</w:t>
      </w:r>
      <w:r>
        <w:rPr>
          <w:spacing w:val="-7"/>
        </w:rPr>
        <w:t xml:space="preserve"> </w:t>
      </w:r>
      <w:r>
        <w:t>Cost</w:t>
      </w:r>
      <w:r>
        <w:rPr>
          <w:spacing w:val="-4"/>
        </w:rPr>
        <w:t xml:space="preserve"> </w:t>
      </w:r>
      <w:r>
        <w:t>Plan,</w:t>
      </w:r>
      <w:r>
        <w:rPr>
          <w:spacing w:val="-7"/>
        </w:rPr>
        <w:t xml:space="preserve"> </w:t>
      </w:r>
      <w:r>
        <w:t>Medicare Fee-for-Service, the Medicare Prescription Drug Benefit</w:t>
      </w:r>
      <w:r>
        <w:t xml:space="preserve"> Programs, and the PACE Program rule, CMS proposed</w:t>
      </w:r>
      <w:r>
        <w:rPr>
          <w:spacing w:val="-8"/>
        </w:rPr>
        <w:t xml:space="preserve"> </w:t>
      </w:r>
      <w:r>
        <w:t>to</w:t>
      </w:r>
      <w:r>
        <w:rPr>
          <w:spacing w:val="-9"/>
        </w:rPr>
        <w:t xml:space="preserve"> </w:t>
      </w:r>
      <w:r>
        <w:t>revise</w:t>
      </w:r>
      <w:r>
        <w:rPr>
          <w:spacing w:val="-8"/>
        </w:rPr>
        <w:t xml:space="preserve"> </w:t>
      </w:r>
      <w:r>
        <w:t>plan</w:t>
      </w:r>
      <w:r>
        <w:rPr>
          <w:spacing w:val="-9"/>
        </w:rPr>
        <w:t xml:space="preserve"> </w:t>
      </w:r>
      <w:r>
        <w:t>offering</w:t>
      </w:r>
      <w:r>
        <w:rPr>
          <w:spacing w:val="-9"/>
        </w:rPr>
        <w:t xml:space="preserve"> </w:t>
      </w:r>
      <w:r>
        <w:t>disclosure</w:t>
      </w:r>
      <w:r>
        <w:rPr>
          <w:spacing w:val="-8"/>
        </w:rPr>
        <w:t xml:space="preserve"> </w:t>
      </w:r>
      <w:r>
        <w:t>requirements</w:t>
      </w:r>
      <w:r>
        <w:rPr>
          <w:spacing w:val="-8"/>
        </w:rPr>
        <w:t xml:space="preserve"> </w:t>
      </w:r>
      <w:r>
        <w:t>such</w:t>
      </w:r>
      <w:r>
        <w:rPr>
          <w:spacing w:val="-9"/>
        </w:rPr>
        <w:t xml:space="preserve"> </w:t>
      </w:r>
      <w:r>
        <w:t>that</w:t>
      </w:r>
      <w:r>
        <w:rPr>
          <w:spacing w:val="-8"/>
        </w:rPr>
        <w:t xml:space="preserve"> </w:t>
      </w:r>
      <w:r>
        <w:t>MAOs</w:t>
      </w:r>
      <w:r>
        <w:rPr>
          <w:spacing w:val="-8"/>
        </w:rPr>
        <w:t xml:space="preserve"> </w:t>
      </w:r>
      <w:r>
        <w:t>and</w:t>
      </w:r>
      <w:r>
        <w:rPr>
          <w:spacing w:val="-8"/>
        </w:rPr>
        <w:t xml:space="preserve"> </w:t>
      </w:r>
      <w:r>
        <w:t>Part</w:t>
      </w:r>
      <w:r>
        <w:rPr>
          <w:spacing w:val="-10"/>
        </w:rPr>
        <w:t xml:space="preserve"> </w:t>
      </w:r>
      <w:r>
        <w:t>D</w:t>
      </w:r>
      <w:r>
        <w:rPr>
          <w:spacing w:val="-10"/>
        </w:rPr>
        <w:t xml:space="preserve"> </w:t>
      </w:r>
      <w:r>
        <w:t>sponsors</w:t>
      </w:r>
      <w:r>
        <w:rPr>
          <w:spacing w:val="-8"/>
        </w:rPr>
        <w:t xml:space="preserve"> </w:t>
      </w:r>
      <w:r>
        <w:t>would</w:t>
      </w:r>
      <w:r>
        <w:rPr>
          <w:spacing w:val="-9"/>
        </w:rPr>
        <w:t xml:space="preserve"> </w:t>
      </w:r>
      <w:r>
        <w:t>have to make available the necessary information, including the Evidence of Coverage (EOC), by the first day of</w:t>
      </w:r>
      <w:r>
        <w:rPr>
          <w:spacing w:val="22"/>
        </w:rPr>
        <w:t xml:space="preserve"> </w:t>
      </w:r>
      <w:r>
        <w:t>the</w:t>
      </w:r>
      <w:r>
        <w:rPr>
          <w:spacing w:val="22"/>
        </w:rPr>
        <w:t xml:space="preserve"> </w:t>
      </w:r>
      <w:r>
        <w:t>Annual</w:t>
      </w:r>
      <w:r>
        <w:rPr>
          <w:spacing w:val="25"/>
        </w:rPr>
        <w:t xml:space="preserve"> </w:t>
      </w:r>
      <w:r>
        <w:t>Election</w:t>
      </w:r>
      <w:r>
        <w:rPr>
          <w:spacing w:val="24"/>
        </w:rPr>
        <w:t xml:space="preserve"> </w:t>
      </w:r>
      <w:r>
        <w:t>Period</w:t>
      </w:r>
      <w:r>
        <w:rPr>
          <w:spacing w:val="22"/>
        </w:rPr>
        <w:t xml:space="preserve"> </w:t>
      </w:r>
      <w:r>
        <w:t>(AEP),</w:t>
      </w:r>
      <w:r>
        <w:rPr>
          <w:spacing w:val="22"/>
        </w:rPr>
        <w:t xml:space="preserve"> </w:t>
      </w:r>
      <w:r>
        <w:t>October</w:t>
      </w:r>
      <w:r>
        <w:rPr>
          <w:spacing w:val="23"/>
        </w:rPr>
        <w:t xml:space="preserve"> </w:t>
      </w:r>
      <w:r>
        <w:t>15,</w:t>
      </w:r>
      <w:r>
        <w:rPr>
          <w:spacing w:val="22"/>
        </w:rPr>
        <w:t xml:space="preserve"> </w:t>
      </w:r>
      <w:r>
        <w:t>instead</w:t>
      </w:r>
      <w:r>
        <w:rPr>
          <w:spacing w:val="24"/>
        </w:rPr>
        <w:t xml:space="preserve"> </w:t>
      </w:r>
      <w:r>
        <w:t>of</w:t>
      </w:r>
      <w:r>
        <w:rPr>
          <w:spacing w:val="25"/>
        </w:rPr>
        <w:t xml:space="preserve"> </w:t>
      </w:r>
      <w:r>
        <w:t>by</w:t>
      </w:r>
      <w:r>
        <w:rPr>
          <w:spacing w:val="22"/>
        </w:rPr>
        <w:t xml:space="preserve"> </w:t>
      </w:r>
      <w:r>
        <w:t>September</w:t>
      </w:r>
      <w:r>
        <w:rPr>
          <w:spacing w:val="23"/>
        </w:rPr>
        <w:t xml:space="preserve"> </w:t>
      </w:r>
      <w:r>
        <w:t>30.</w:t>
      </w:r>
      <w:r>
        <w:rPr>
          <w:spacing w:val="24"/>
        </w:rPr>
        <w:t xml:space="preserve"> </w:t>
      </w:r>
      <w:r>
        <w:t>Anthem</w:t>
      </w:r>
      <w:r>
        <w:rPr>
          <w:spacing w:val="21"/>
        </w:rPr>
        <w:t xml:space="preserve"> </w:t>
      </w:r>
      <w:r>
        <w:t>reiterates</w:t>
      </w:r>
      <w:r>
        <w:rPr>
          <w:spacing w:val="24"/>
        </w:rPr>
        <w:t xml:space="preserve"> </w:t>
      </w:r>
      <w:r>
        <w:t>our</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112"/>
        <w:jc w:val="both"/>
      </w:pPr>
      <w:r>
        <w:lastRenderedPageBreak/>
        <w:t>support</w:t>
      </w:r>
      <w:r>
        <w:rPr>
          <w:spacing w:val="-3"/>
        </w:rPr>
        <w:t xml:space="preserve"> </w:t>
      </w:r>
      <w:r>
        <w:t>for</w:t>
      </w:r>
      <w:r>
        <w:rPr>
          <w:spacing w:val="-3"/>
        </w:rPr>
        <w:t xml:space="preserve"> </w:t>
      </w:r>
      <w:r>
        <w:t>this</w:t>
      </w:r>
      <w:r>
        <w:rPr>
          <w:spacing w:val="-3"/>
        </w:rPr>
        <w:t xml:space="preserve"> </w:t>
      </w:r>
      <w:r>
        <w:t>change</w:t>
      </w:r>
      <w:r>
        <w:rPr>
          <w:spacing w:val="-3"/>
        </w:rPr>
        <w:t xml:space="preserve"> </w:t>
      </w:r>
      <w:r>
        <w:t>and</w:t>
      </w:r>
      <w:r>
        <w:rPr>
          <w:spacing w:val="-3"/>
        </w:rPr>
        <w:t xml:space="preserve"> </w:t>
      </w:r>
      <w:r>
        <w:t>urges</w:t>
      </w:r>
      <w:r>
        <w:rPr>
          <w:spacing w:val="-3"/>
        </w:rPr>
        <w:t xml:space="preserve"> </w:t>
      </w:r>
      <w:r>
        <w:t>CMS</w:t>
      </w:r>
      <w:r>
        <w:rPr>
          <w:spacing w:val="-3"/>
        </w:rPr>
        <w:t xml:space="preserve"> </w:t>
      </w:r>
      <w:r>
        <w:t>to</w:t>
      </w:r>
      <w:r>
        <w:rPr>
          <w:spacing w:val="-4"/>
        </w:rPr>
        <w:t xml:space="preserve"> </w:t>
      </w:r>
      <w:r>
        <w:t>finalize</w:t>
      </w:r>
      <w:r>
        <w:rPr>
          <w:spacing w:val="-3"/>
        </w:rPr>
        <w:t xml:space="preserve"> </w:t>
      </w:r>
      <w:r>
        <w:t>it</w:t>
      </w:r>
      <w:r>
        <w:rPr>
          <w:spacing w:val="-3"/>
        </w:rPr>
        <w:t xml:space="preserve"> </w:t>
      </w:r>
      <w:r>
        <w:t>as</w:t>
      </w:r>
      <w:r>
        <w:rPr>
          <w:spacing w:val="-5"/>
        </w:rPr>
        <w:t xml:space="preserve"> </w:t>
      </w:r>
      <w:r>
        <w:t>proposed;</w:t>
      </w:r>
      <w:r>
        <w:rPr>
          <w:spacing w:val="-3"/>
        </w:rPr>
        <w:t xml:space="preserve"> </w:t>
      </w:r>
      <w:r>
        <w:t>however,</w:t>
      </w:r>
      <w:r>
        <w:rPr>
          <w:spacing w:val="-4"/>
        </w:rPr>
        <w:t xml:space="preserve"> </w:t>
      </w:r>
      <w:r>
        <w:t>it</w:t>
      </w:r>
      <w:r>
        <w:rPr>
          <w:spacing w:val="-5"/>
        </w:rPr>
        <w:t xml:space="preserve"> </w:t>
      </w:r>
      <w:r>
        <w:t>is</w:t>
      </w:r>
      <w:r>
        <w:rPr>
          <w:spacing w:val="-3"/>
        </w:rPr>
        <w:t xml:space="preserve"> </w:t>
      </w:r>
      <w:r>
        <w:t>critical</w:t>
      </w:r>
      <w:r>
        <w:rPr>
          <w:spacing w:val="-3"/>
        </w:rPr>
        <w:t xml:space="preserve"> </w:t>
      </w:r>
      <w:r>
        <w:t>that</w:t>
      </w:r>
      <w:r>
        <w:rPr>
          <w:spacing w:val="-3"/>
        </w:rPr>
        <w:t xml:space="preserve"> </w:t>
      </w:r>
      <w:r>
        <w:t>CMS</w:t>
      </w:r>
      <w:r>
        <w:rPr>
          <w:spacing w:val="-3"/>
        </w:rPr>
        <w:t xml:space="preserve"> </w:t>
      </w:r>
      <w:r>
        <w:t>confirm its</w:t>
      </w:r>
      <w:r>
        <w:rPr>
          <w:spacing w:val="-4"/>
        </w:rPr>
        <w:t xml:space="preserve"> </w:t>
      </w:r>
      <w:r>
        <w:t>final</w:t>
      </w:r>
      <w:r>
        <w:rPr>
          <w:spacing w:val="-1"/>
        </w:rPr>
        <w:t xml:space="preserve"> </w:t>
      </w:r>
      <w:r>
        <w:t>decision</w:t>
      </w:r>
      <w:r>
        <w:rPr>
          <w:spacing w:val="-2"/>
        </w:rPr>
        <w:t xml:space="preserve"> </w:t>
      </w:r>
      <w:r>
        <w:t>with</w:t>
      </w:r>
      <w:r>
        <w:rPr>
          <w:spacing w:val="-2"/>
        </w:rPr>
        <w:t xml:space="preserve"> </w:t>
      </w:r>
      <w:r>
        <w:t>plans</w:t>
      </w:r>
      <w:r>
        <w:rPr>
          <w:spacing w:val="-4"/>
        </w:rPr>
        <w:t xml:space="preserve"> </w:t>
      </w:r>
      <w:r>
        <w:t>as</w:t>
      </w:r>
      <w:r>
        <w:rPr>
          <w:spacing w:val="-4"/>
        </w:rPr>
        <w:t xml:space="preserve"> </w:t>
      </w:r>
      <w:r>
        <w:t>soon</w:t>
      </w:r>
      <w:r>
        <w:rPr>
          <w:spacing w:val="-4"/>
        </w:rPr>
        <w:t xml:space="preserve"> </w:t>
      </w:r>
      <w:r>
        <w:t>as</w:t>
      </w:r>
      <w:r>
        <w:rPr>
          <w:spacing w:val="-2"/>
        </w:rPr>
        <w:t xml:space="preserve"> </w:t>
      </w:r>
      <w:r>
        <w:t>possible</w:t>
      </w:r>
      <w:r>
        <w:rPr>
          <w:spacing w:val="-2"/>
        </w:rPr>
        <w:t xml:space="preserve"> </w:t>
      </w:r>
      <w:r>
        <w:t>given</w:t>
      </w:r>
      <w:r>
        <w:rPr>
          <w:spacing w:val="-2"/>
        </w:rPr>
        <w:t xml:space="preserve"> </w:t>
      </w:r>
      <w:r>
        <w:t>the</w:t>
      </w:r>
      <w:r>
        <w:rPr>
          <w:spacing w:val="-2"/>
        </w:rPr>
        <w:t xml:space="preserve"> </w:t>
      </w:r>
      <w:r>
        <w:t>material</w:t>
      </w:r>
      <w:r>
        <w:rPr>
          <w:spacing w:val="-3"/>
        </w:rPr>
        <w:t xml:space="preserve"> </w:t>
      </w:r>
      <w:r>
        <w:t>impact</w:t>
      </w:r>
      <w:r>
        <w:rPr>
          <w:spacing w:val="-4"/>
        </w:rPr>
        <w:t xml:space="preserve"> </w:t>
      </w:r>
      <w:r>
        <w:t>it</w:t>
      </w:r>
      <w:r>
        <w:rPr>
          <w:spacing w:val="-1"/>
        </w:rPr>
        <w:t xml:space="preserve"> </w:t>
      </w:r>
      <w:r>
        <w:t>will</w:t>
      </w:r>
      <w:r>
        <w:rPr>
          <w:spacing w:val="-4"/>
        </w:rPr>
        <w:t xml:space="preserve"> </w:t>
      </w:r>
      <w:r>
        <w:t>have</w:t>
      </w:r>
      <w:r>
        <w:rPr>
          <w:spacing w:val="-2"/>
        </w:rPr>
        <w:t xml:space="preserve"> </w:t>
      </w:r>
      <w:r>
        <w:t>on</w:t>
      </w:r>
      <w:r>
        <w:rPr>
          <w:spacing w:val="-2"/>
        </w:rPr>
        <w:t xml:space="preserve"> </w:t>
      </w:r>
      <w:r>
        <w:t>the</w:t>
      </w:r>
      <w:r>
        <w:rPr>
          <w:spacing w:val="-4"/>
        </w:rPr>
        <w:t xml:space="preserve"> </w:t>
      </w:r>
      <w:r>
        <w:t>MA</w:t>
      </w:r>
      <w:r>
        <w:rPr>
          <w:spacing w:val="-2"/>
        </w:rPr>
        <w:t xml:space="preserve"> </w:t>
      </w:r>
      <w:r>
        <w:t>and</w:t>
      </w:r>
      <w:r>
        <w:rPr>
          <w:spacing w:val="-5"/>
        </w:rPr>
        <w:t xml:space="preserve"> </w:t>
      </w:r>
      <w:r>
        <w:t>Part D</w:t>
      </w:r>
      <w:r>
        <w:rPr>
          <w:spacing w:val="-13"/>
        </w:rPr>
        <w:t xml:space="preserve"> </w:t>
      </w:r>
      <w:r>
        <w:t>calendar.</w:t>
      </w:r>
      <w:r>
        <w:rPr>
          <w:spacing w:val="33"/>
        </w:rPr>
        <w:t xml:space="preserve"> </w:t>
      </w:r>
      <w:r>
        <w:t>Similarly,</w:t>
      </w:r>
      <w:r>
        <w:rPr>
          <w:spacing w:val="-11"/>
        </w:rPr>
        <w:t xml:space="preserve"> </w:t>
      </w:r>
      <w:r>
        <w:t>we</w:t>
      </w:r>
      <w:r>
        <w:rPr>
          <w:spacing w:val="-12"/>
        </w:rPr>
        <w:t xml:space="preserve"> </w:t>
      </w:r>
      <w:r>
        <w:t>urge</w:t>
      </w:r>
      <w:r>
        <w:rPr>
          <w:spacing w:val="-12"/>
        </w:rPr>
        <w:t xml:space="preserve"> </w:t>
      </w:r>
      <w:r>
        <w:t>CMS</w:t>
      </w:r>
      <w:r>
        <w:rPr>
          <w:spacing w:val="-12"/>
        </w:rPr>
        <w:t xml:space="preserve"> </w:t>
      </w:r>
      <w:r>
        <w:t>to</w:t>
      </w:r>
      <w:r>
        <w:rPr>
          <w:spacing w:val="-14"/>
        </w:rPr>
        <w:t xml:space="preserve"> </w:t>
      </w:r>
      <w:r>
        <w:t>finalize</w:t>
      </w:r>
      <w:r>
        <w:rPr>
          <w:spacing w:val="-12"/>
        </w:rPr>
        <w:t xml:space="preserve"> </w:t>
      </w:r>
      <w:r>
        <w:t>its</w:t>
      </w:r>
      <w:r>
        <w:rPr>
          <w:spacing w:val="-11"/>
        </w:rPr>
        <w:t xml:space="preserve"> </w:t>
      </w:r>
      <w:r>
        <w:t>proposal</w:t>
      </w:r>
      <w:r>
        <w:rPr>
          <w:spacing w:val="-13"/>
        </w:rPr>
        <w:t xml:space="preserve"> </w:t>
      </w:r>
      <w:r>
        <w:t>to</w:t>
      </w:r>
      <w:r>
        <w:rPr>
          <w:spacing w:val="-14"/>
        </w:rPr>
        <w:t xml:space="preserve"> </w:t>
      </w:r>
      <w:r>
        <w:t>revise</w:t>
      </w:r>
      <w:r>
        <w:rPr>
          <w:spacing w:val="-14"/>
        </w:rPr>
        <w:t xml:space="preserve"> </w:t>
      </w:r>
      <w:r>
        <w:t>existing</w:t>
      </w:r>
      <w:r>
        <w:rPr>
          <w:spacing w:val="-14"/>
        </w:rPr>
        <w:t xml:space="preserve"> </w:t>
      </w:r>
      <w:r>
        <w:t>regulatory</w:t>
      </w:r>
      <w:r>
        <w:rPr>
          <w:spacing w:val="-14"/>
        </w:rPr>
        <w:t xml:space="preserve"> </w:t>
      </w:r>
      <w:r>
        <w:t>language</w:t>
      </w:r>
      <w:r>
        <w:rPr>
          <w:spacing w:val="-12"/>
        </w:rPr>
        <w:t xml:space="preserve"> </w:t>
      </w:r>
      <w:r>
        <w:t>to</w:t>
      </w:r>
      <w:r>
        <w:rPr>
          <w:spacing w:val="-12"/>
        </w:rPr>
        <w:t xml:space="preserve"> </w:t>
      </w:r>
      <w:r>
        <w:t>allow for</w:t>
      </w:r>
      <w:r>
        <w:rPr>
          <w:spacing w:val="-3"/>
        </w:rPr>
        <w:t xml:space="preserve"> </w:t>
      </w:r>
      <w:r>
        <w:t>the</w:t>
      </w:r>
      <w:r>
        <w:rPr>
          <w:spacing w:val="-3"/>
        </w:rPr>
        <w:t xml:space="preserve"> </w:t>
      </w:r>
      <w:r>
        <w:t>distribution</w:t>
      </w:r>
      <w:r>
        <w:rPr>
          <w:spacing w:val="-4"/>
        </w:rPr>
        <w:t xml:space="preserve"> </w:t>
      </w:r>
      <w:r>
        <w:t>of</w:t>
      </w:r>
      <w:r>
        <w:rPr>
          <w:spacing w:val="-3"/>
        </w:rPr>
        <w:t xml:space="preserve"> </w:t>
      </w:r>
      <w:r>
        <w:t>the</w:t>
      </w:r>
      <w:r>
        <w:rPr>
          <w:spacing w:val="-3"/>
        </w:rPr>
        <w:t xml:space="preserve"> </w:t>
      </w:r>
      <w:r>
        <w:t>EOC</w:t>
      </w:r>
      <w:r>
        <w:rPr>
          <w:spacing w:val="-5"/>
        </w:rPr>
        <w:t xml:space="preserve"> </w:t>
      </w:r>
      <w:r>
        <w:t>and</w:t>
      </w:r>
      <w:r>
        <w:rPr>
          <w:spacing w:val="-3"/>
        </w:rPr>
        <w:t xml:space="preserve"> </w:t>
      </w:r>
      <w:r>
        <w:t>Summary</w:t>
      </w:r>
      <w:r>
        <w:rPr>
          <w:spacing w:val="-6"/>
        </w:rPr>
        <w:t xml:space="preserve"> </w:t>
      </w:r>
      <w:r>
        <w:t>of</w:t>
      </w:r>
      <w:r>
        <w:rPr>
          <w:spacing w:val="-3"/>
        </w:rPr>
        <w:t xml:space="preserve"> </w:t>
      </w:r>
      <w:r>
        <w:t>Benefits,</w:t>
      </w:r>
      <w:r>
        <w:rPr>
          <w:spacing w:val="-3"/>
        </w:rPr>
        <w:t xml:space="preserve"> </w:t>
      </w:r>
      <w:r>
        <w:t>on</w:t>
      </w:r>
      <w:r>
        <w:rPr>
          <w:spacing w:val="-4"/>
        </w:rPr>
        <w:t xml:space="preserve"> </w:t>
      </w:r>
      <w:r>
        <w:t>a</w:t>
      </w:r>
      <w:r>
        <w:rPr>
          <w:spacing w:val="-3"/>
        </w:rPr>
        <w:t xml:space="preserve"> </w:t>
      </w:r>
      <w:r>
        <w:t>web</w:t>
      </w:r>
      <w:r>
        <w:rPr>
          <w:spacing w:val="-3"/>
        </w:rPr>
        <w:t xml:space="preserve"> </w:t>
      </w:r>
      <w:r>
        <w:t>site</w:t>
      </w:r>
      <w:r>
        <w:rPr>
          <w:spacing w:val="-3"/>
        </w:rPr>
        <w:t xml:space="preserve"> </w:t>
      </w:r>
      <w:r>
        <w:t>or</w:t>
      </w:r>
      <w:r>
        <w:rPr>
          <w:spacing w:val="-3"/>
        </w:rPr>
        <w:t xml:space="preserve"> </w:t>
      </w:r>
      <w:r>
        <w:t>via</w:t>
      </w:r>
      <w:r>
        <w:rPr>
          <w:spacing w:val="-3"/>
        </w:rPr>
        <w:t xml:space="preserve"> </w:t>
      </w:r>
      <w:r>
        <w:t>electronic</w:t>
      </w:r>
      <w:r>
        <w:rPr>
          <w:spacing w:val="-3"/>
        </w:rPr>
        <w:t xml:space="preserve"> </w:t>
      </w:r>
      <w:r>
        <w:t>delivery,</w:t>
      </w:r>
      <w:r>
        <w:rPr>
          <w:spacing w:val="-4"/>
        </w:rPr>
        <w:t xml:space="preserve"> </w:t>
      </w:r>
      <w:r>
        <w:t>so</w:t>
      </w:r>
      <w:r>
        <w:rPr>
          <w:spacing w:val="-3"/>
        </w:rPr>
        <w:t xml:space="preserve"> </w:t>
      </w:r>
      <w:r>
        <w:t>long as notice is provided of the availability of paper copies upon request. The success of these contemplated changes</w:t>
      </w:r>
      <w:r>
        <w:rPr>
          <w:spacing w:val="-3"/>
        </w:rPr>
        <w:t xml:space="preserve"> </w:t>
      </w:r>
      <w:r>
        <w:t>will</w:t>
      </w:r>
      <w:r>
        <w:rPr>
          <w:spacing w:val="-5"/>
        </w:rPr>
        <w:t xml:space="preserve"> </w:t>
      </w:r>
      <w:r>
        <w:t>depend</w:t>
      </w:r>
      <w:r>
        <w:rPr>
          <w:spacing w:val="-4"/>
        </w:rPr>
        <w:t xml:space="preserve"> </w:t>
      </w:r>
      <w:r>
        <w:t>on</w:t>
      </w:r>
      <w:r>
        <w:rPr>
          <w:spacing w:val="-6"/>
        </w:rPr>
        <w:t xml:space="preserve"> </w:t>
      </w:r>
      <w:r>
        <w:t>the</w:t>
      </w:r>
      <w:r>
        <w:rPr>
          <w:spacing w:val="-6"/>
        </w:rPr>
        <w:t xml:space="preserve"> </w:t>
      </w:r>
      <w:r>
        <w:t>ability</w:t>
      </w:r>
      <w:r>
        <w:rPr>
          <w:spacing w:val="-6"/>
        </w:rPr>
        <w:t xml:space="preserve"> </w:t>
      </w:r>
      <w:r>
        <w:t>of</w:t>
      </w:r>
      <w:r>
        <w:rPr>
          <w:spacing w:val="-3"/>
        </w:rPr>
        <w:t xml:space="preserve"> </w:t>
      </w:r>
      <w:r>
        <w:t>plans</w:t>
      </w:r>
      <w:r>
        <w:rPr>
          <w:spacing w:val="-5"/>
        </w:rPr>
        <w:t xml:space="preserve"> </w:t>
      </w:r>
      <w:r>
        <w:t>to</w:t>
      </w:r>
      <w:r>
        <w:rPr>
          <w:spacing w:val="-6"/>
        </w:rPr>
        <w:t xml:space="preserve"> </w:t>
      </w:r>
      <w:r>
        <w:t>implement</w:t>
      </w:r>
      <w:r>
        <w:rPr>
          <w:spacing w:val="-3"/>
        </w:rPr>
        <w:t xml:space="preserve"> </w:t>
      </w:r>
      <w:r>
        <w:t>them</w:t>
      </w:r>
      <w:r>
        <w:rPr>
          <w:spacing w:val="-7"/>
        </w:rPr>
        <w:t xml:space="preserve"> </w:t>
      </w:r>
      <w:r>
        <w:t>in</w:t>
      </w:r>
      <w:r>
        <w:rPr>
          <w:spacing w:val="-4"/>
        </w:rPr>
        <w:t xml:space="preserve"> </w:t>
      </w:r>
      <w:r>
        <w:t>a</w:t>
      </w:r>
      <w:r>
        <w:rPr>
          <w:spacing w:val="-3"/>
        </w:rPr>
        <w:t xml:space="preserve"> </w:t>
      </w:r>
      <w:r>
        <w:t>timely</w:t>
      </w:r>
      <w:r>
        <w:rPr>
          <w:spacing w:val="-6"/>
        </w:rPr>
        <w:t xml:space="preserve"> </w:t>
      </w:r>
      <w:r>
        <w:t>fashion,</w:t>
      </w:r>
      <w:r>
        <w:rPr>
          <w:spacing w:val="-6"/>
        </w:rPr>
        <w:t xml:space="preserve"> </w:t>
      </w:r>
      <w:r>
        <w:t>and</w:t>
      </w:r>
      <w:r>
        <w:rPr>
          <w:spacing w:val="-3"/>
        </w:rPr>
        <w:t xml:space="preserve"> </w:t>
      </w:r>
      <w:r>
        <w:t>thus</w:t>
      </w:r>
      <w:r>
        <w:rPr>
          <w:spacing w:val="-3"/>
        </w:rPr>
        <w:t xml:space="preserve"> </w:t>
      </w:r>
      <w:r>
        <w:t>we</w:t>
      </w:r>
      <w:r>
        <w:rPr>
          <w:spacing w:val="-6"/>
        </w:rPr>
        <w:t xml:space="preserve"> </w:t>
      </w:r>
      <w:r>
        <w:t>urge</w:t>
      </w:r>
      <w:r>
        <w:rPr>
          <w:spacing w:val="-3"/>
        </w:rPr>
        <w:t xml:space="preserve"> </w:t>
      </w:r>
      <w:r>
        <w:t>CMS to</w:t>
      </w:r>
      <w:r>
        <w:rPr>
          <w:spacing w:val="-9"/>
        </w:rPr>
        <w:t xml:space="preserve"> </w:t>
      </w:r>
      <w:r>
        <w:t>update</w:t>
      </w:r>
      <w:r>
        <w:rPr>
          <w:spacing w:val="-8"/>
        </w:rPr>
        <w:t xml:space="preserve"> </w:t>
      </w:r>
      <w:r>
        <w:t>the</w:t>
      </w:r>
      <w:r>
        <w:rPr>
          <w:spacing w:val="-8"/>
        </w:rPr>
        <w:t xml:space="preserve"> </w:t>
      </w:r>
      <w:r>
        <w:t>Ann</w:t>
      </w:r>
      <w:r>
        <w:t>ual</w:t>
      </w:r>
      <w:r>
        <w:rPr>
          <w:spacing w:val="-8"/>
        </w:rPr>
        <w:t xml:space="preserve"> </w:t>
      </w:r>
      <w:r>
        <w:t>Calendar</w:t>
      </w:r>
      <w:r>
        <w:rPr>
          <w:spacing w:val="-7"/>
        </w:rPr>
        <w:t xml:space="preserve"> </w:t>
      </w:r>
      <w:r>
        <w:t>accordingly</w:t>
      </w:r>
      <w:r>
        <w:rPr>
          <w:spacing w:val="-11"/>
        </w:rPr>
        <w:t xml:space="preserve"> </w:t>
      </w:r>
      <w:r>
        <w:t>in</w:t>
      </w:r>
      <w:r>
        <w:rPr>
          <w:spacing w:val="-9"/>
        </w:rPr>
        <w:t xml:space="preserve"> </w:t>
      </w:r>
      <w:r>
        <w:t>the</w:t>
      </w:r>
      <w:r>
        <w:rPr>
          <w:spacing w:val="-8"/>
        </w:rPr>
        <w:t xml:space="preserve"> </w:t>
      </w:r>
      <w:r>
        <w:t>Final</w:t>
      </w:r>
      <w:r>
        <w:rPr>
          <w:spacing w:val="-10"/>
        </w:rPr>
        <w:t xml:space="preserve"> </w:t>
      </w:r>
      <w:r>
        <w:t>Call</w:t>
      </w:r>
      <w:r>
        <w:rPr>
          <w:spacing w:val="-8"/>
        </w:rPr>
        <w:t xml:space="preserve"> </w:t>
      </w:r>
      <w:r>
        <w:t>Letter,</w:t>
      </w:r>
      <w:r>
        <w:rPr>
          <w:spacing w:val="-9"/>
        </w:rPr>
        <w:t xml:space="preserve"> </w:t>
      </w:r>
      <w:r>
        <w:t>if</w:t>
      </w:r>
      <w:r>
        <w:rPr>
          <w:spacing w:val="-8"/>
        </w:rPr>
        <w:t xml:space="preserve"> </w:t>
      </w:r>
      <w:r>
        <w:t>not</w:t>
      </w:r>
      <w:r>
        <w:rPr>
          <w:spacing w:val="-8"/>
        </w:rPr>
        <w:t xml:space="preserve"> </w:t>
      </w:r>
      <w:r>
        <w:t>sooner—particularly</w:t>
      </w:r>
      <w:r>
        <w:rPr>
          <w:spacing w:val="-11"/>
        </w:rPr>
        <w:t xml:space="preserve"> </w:t>
      </w:r>
      <w:r>
        <w:t>given</w:t>
      </w:r>
      <w:r>
        <w:rPr>
          <w:spacing w:val="-8"/>
        </w:rPr>
        <w:t xml:space="preserve"> </w:t>
      </w:r>
      <w:r>
        <w:t>some of the existing challenges created by the Calendar, described</w:t>
      </w:r>
      <w:r>
        <w:rPr>
          <w:spacing w:val="-19"/>
        </w:rPr>
        <w:t xml:space="preserve"> </w:t>
      </w:r>
      <w:r>
        <w:t>below.</w:t>
      </w:r>
    </w:p>
    <w:p w:rsidR="00805174" w:rsidRDefault="00805174">
      <w:pPr>
        <w:pStyle w:val="BodyText"/>
      </w:pPr>
    </w:p>
    <w:p w:rsidR="00805174" w:rsidRDefault="000A64A3">
      <w:pPr>
        <w:pStyle w:val="BodyText"/>
        <w:ind w:left="100" w:right="110"/>
        <w:jc w:val="both"/>
      </w:pPr>
      <w:r>
        <w:t>Despite the establishment of specific timelines in the Annual Calendar, the release of important information has, in past years, been delayed. Any delays in the release of critical guidance makes it</w:t>
      </w:r>
      <w:r>
        <w:rPr>
          <w:spacing w:val="-38"/>
        </w:rPr>
        <w:t xml:space="preserve"> </w:t>
      </w:r>
      <w:r>
        <w:t>much more difficult for sponsors to meet already-compress</w:t>
      </w:r>
      <w:r>
        <w:t>ed filing deadlines—deadlines that sponsors may be penalized for missing. In particular, Anthem requests CMS commit to releasing the Medicare Marketing Guidelines (MMG) by early to mid-May, especially since the Health Plan Management System (HPMS) module f</w:t>
      </w:r>
      <w:r>
        <w:t xml:space="preserve">or submission of materials is slated to open on June 1 (the 2017 guidance was not released until mid-August, while the 2018 guidance was not released until the end of July). We also ask </w:t>
      </w:r>
      <w:r>
        <w:rPr>
          <w:spacing w:val="2"/>
        </w:rPr>
        <w:t xml:space="preserve">CMS </w:t>
      </w:r>
      <w:r>
        <w:t>to issue state-specific guidance for MMPs within two (2) weeks pos</w:t>
      </w:r>
      <w:r>
        <w:t>t-MMG release, and preferably no later than mid-June.</w:t>
      </w:r>
      <w:r>
        <w:rPr>
          <w:spacing w:val="-9"/>
        </w:rPr>
        <w:t xml:space="preserve"> </w:t>
      </w:r>
      <w:r>
        <w:t>While</w:t>
      </w:r>
      <w:r>
        <w:rPr>
          <w:spacing w:val="-9"/>
        </w:rPr>
        <w:t xml:space="preserve"> </w:t>
      </w:r>
      <w:r>
        <w:t>we</w:t>
      </w:r>
      <w:r>
        <w:rPr>
          <w:spacing w:val="-9"/>
        </w:rPr>
        <w:t xml:space="preserve"> </w:t>
      </w:r>
      <w:r>
        <w:t>understand</w:t>
      </w:r>
      <w:r>
        <w:rPr>
          <w:spacing w:val="-12"/>
        </w:rPr>
        <w:t xml:space="preserve"> </w:t>
      </w:r>
      <w:r>
        <w:t>the</w:t>
      </w:r>
      <w:r>
        <w:rPr>
          <w:spacing w:val="-12"/>
        </w:rPr>
        <w:t xml:space="preserve"> </w:t>
      </w:r>
      <w:r>
        <w:t>MMP</w:t>
      </w:r>
      <w:r>
        <w:rPr>
          <w:spacing w:val="-10"/>
        </w:rPr>
        <w:t xml:space="preserve"> </w:t>
      </w:r>
      <w:r>
        <w:t>materials</w:t>
      </w:r>
      <w:r>
        <w:rPr>
          <w:spacing w:val="-9"/>
        </w:rPr>
        <w:t xml:space="preserve"> </w:t>
      </w:r>
      <w:r>
        <w:t>require</w:t>
      </w:r>
      <w:r>
        <w:rPr>
          <w:spacing w:val="-12"/>
        </w:rPr>
        <w:t xml:space="preserve"> </w:t>
      </w:r>
      <w:r>
        <w:t>coordination</w:t>
      </w:r>
      <w:r>
        <w:rPr>
          <w:spacing w:val="-10"/>
        </w:rPr>
        <w:t xml:space="preserve"> </w:t>
      </w:r>
      <w:r>
        <w:t>between</w:t>
      </w:r>
      <w:r>
        <w:rPr>
          <w:spacing w:val="-12"/>
        </w:rPr>
        <w:t xml:space="preserve"> </w:t>
      </w:r>
      <w:r>
        <w:t>CMS</w:t>
      </w:r>
      <w:r>
        <w:rPr>
          <w:spacing w:val="-9"/>
        </w:rPr>
        <w:t xml:space="preserve"> </w:t>
      </w:r>
      <w:r>
        <w:t>and</w:t>
      </w:r>
      <w:r>
        <w:rPr>
          <w:spacing w:val="-9"/>
        </w:rPr>
        <w:t xml:space="preserve"> </w:t>
      </w:r>
      <w:r>
        <w:t>the</w:t>
      </w:r>
      <w:r>
        <w:rPr>
          <w:spacing w:val="-9"/>
        </w:rPr>
        <w:t xml:space="preserve"> </w:t>
      </w:r>
      <w:r>
        <w:t>States,</w:t>
      </w:r>
      <w:r>
        <w:rPr>
          <w:spacing w:val="-10"/>
        </w:rPr>
        <w:t xml:space="preserve"> </w:t>
      </w:r>
      <w:r>
        <w:t>the compressed timelines create additional tension and challenges, particularly if there are any delays in the prov</w:t>
      </w:r>
      <w:r>
        <w:t>ision of finalized materials. Sponsors rely on these critical guidelines to ensure that all beneficiary- facing materials and engagement are appropriate, timely, and disseminated as</w:t>
      </w:r>
      <w:r>
        <w:rPr>
          <w:spacing w:val="-20"/>
        </w:rPr>
        <w:t xml:space="preserve"> </w:t>
      </w:r>
      <w:r>
        <w:t>required.</w:t>
      </w:r>
    </w:p>
    <w:p w:rsidR="00805174" w:rsidRDefault="00805174">
      <w:pPr>
        <w:pStyle w:val="BodyText"/>
        <w:spacing w:before="11"/>
        <w:rPr>
          <w:sz w:val="21"/>
        </w:rPr>
      </w:pPr>
    </w:p>
    <w:p w:rsidR="00805174" w:rsidRDefault="000A64A3">
      <w:pPr>
        <w:pStyle w:val="BodyText"/>
        <w:ind w:left="100" w:right="111"/>
        <w:jc w:val="both"/>
      </w:pPr>
      <w:r>
        <w:t>CMS indicates it will provide the Annual Notice of Changes (ANOC), EOC, Low-income Subsidy (LIS) Rider, Part D Explanation of Benefits (EOB), formularies, transition notice, provider directory, and pharmacy</w:t>
      </w:r>
      <w:r>
        <w:rPr>
          <w:spacing w:val="-12"/>
        </w:rPr>
        <w:t xml:space="preserve"> </w:t>
      </w:r>
      <w:r>
        <w:t>directory</w:t>
      </w:r>
      <w:r>
        <w:rPr>
          <w:spacing w:val="-12"/>
        </w:rPr>
        <w:t xml:space="preserve"> </w:t>
      </w:r>
      <w:r>
        <w:t>models</w:t>
      </w:r>
      <w:r>
        <w:rPr>
          <w:spacing w:val="-9"/>
        </w:rPr>
        <w:t xml:space="preserve"> </w:t>
      </w:r>
      <w:r>
        <w:t>for</w:t>
      </w:r>
      <w:r>
        <w:rPr>
          <w:spacing w:val="-9"/>
        </w:rPr>
        <w:t xml:space="preserve"> </w:t>
      </w:r>
      <w:r>
        <w:t>CY</w:t>
      </w:r>
      <w:r>
        <w:rPr>
          <w:spacing w:val="-11"/>
        </w:rPr>
        <w:t xml:space="preserve"> </w:t>
      </w:r>
      <w:r>
        <w:t>2019</w:t>
      </w:r>
      <w:r>
        <w:rPr>
          <w:spacing w:val="-10"/>
        </w:rPr>
        <w:t xml:space="preserve"> </w:t>
      </w:r>
      <w:r>
        <w:t>in</w:t>
      </w:r>
      <w:r>
        <w:rPr>
          <w:spacing w:val="-10"/>
        </w:rPr>
        <w:t xml:space="preserve"> </w:t>
      </w:r>
      <w:r>
        <w:t>May</w:t>
      </w:r>
      <w:r>
        <w:rPr>
          <w:spacing w:val="-12"/>
        </w:rPr>
        <w:t xml:space="preserve"> </w:t>
      </w:r>
      <w:r>
        <w:t>2018.</w:t>
      </w:r>
      <w:r>
        <w:rPr>
          <w:spacing w:val="-10"/>
        </w:rPr>
        <w:t xml:space="preserve"> </w:t>
      </w:r>
      <w:r>
        <w:t>However</w:t>
      </w:r>
      <w:r>
        <w:t>,</w:t>
      </w:r>
      <w:r>
        <w:rPr>
          <w:spacing w:val="-10"/>
        </w:rPr>
        <w:t xml:space="preserve"> </w:t>
      </w:r>
      <w:r>
        <w:t>plans</w:t>
      </w:r>
      <w:r>
        <w:rPr>
          <w:spacing w:val="-9"/>
        </w:rPr>
        <w:t xml:space="preserve"> </w:t>
      </w:r>
      <w:r>
        <w:t>would</w:t>
      </w:r>
      <w:r>
        <w:rPr>
          <w:spacing w:val="-10"/>
        </w:rPr>
        <w:t xml:space="preserve"> </w:t>
      </w:r>
      <w:r>
        <w:t>benefit</w:t>
      </w:r>
      <w:r>
        <w:rPr>
          <w:spacing w:val="-9"/>
        </w:rPr>
        <w:t xml:space="preserve"> </w:t>
      </w:r>
      <w:r>
        <w:t>substantially</w:t>
      </w:r>
      <w:r>
        <w:rPr>
          <w:spacing w:val="-12"/>
        </w:rPr>
        <w:t xml:space="preserve"> </w:t>
      </w:r>
      <w:r>
        <w:t>if</w:t>
      </w:r>
      <w:r>
        <w:rPr>
          <w:spacing w:val="-9"/>
        </w:rPr>
        <w:t xml:space="preserve"> </w:t>
      </w:r>
      <w:r>
        <w:t>CMS could provide these models by early April (or</w:t>
      </w:r>
      <w:r>
        <w:rPr>
          <w:spacing w:val="-14"/>
        </w:rPr>
        <w:t xml:space="preserve"> </w:t>
      </w:r>
      <w:r>
        <w:t>sooner).</w:t>
      </w:r>
    </w:p>
    <w:p w:rsidR="00805174" w:rsidRDefault="00805174">
      <w:pPr>
        <w:pStyle w:val="BodyText"/>
      </w:pPr>
    </w:p>
    <w:p w:rsidR="00805174" w:rsidRDefault="000A64A3">
      <w:pPr>
        <w:pStyle w:val="BodyText"/>
        <w:ind w:left="100" w:right="109"/>
        <w:jc w:val="both"/>
      </w:pPr>
      <w:r>
        <w:t>In addition, Anthem requests CMS remove the requirement for plans to provide the multi-language insert along with the ANOC/EOC and Summary of Benefits—the insert no longer exists and has been replaced by requirements put forth by Section 1557 of the Afford</w:t>
      </w:r>
      <w:r>
        <w:t>able Care Act. We also ask that CMS release the model</w:t>
      </w:r>
      <w:r>
        <w:rPr>
          <w:spacing w:val="-8"/>
        </w:rPr>
        <w:t xml:space="preserve"> </w:t>
      </w:r>
      <w:r>
        <w:t>Non-Renewal/Service</w:t>
      </w:r>
      <w:r>
        <w:rPr>
          <w:spacing w:val="-9"/>
        </w:rPr>
        <w:t xml:space="preserve"> </w:t>
      </w:r>
      <w:r>
        <w:t>Area</w:t>
      </w:r>
      <w:r>
        <w:rPr>
          <w:spacing w:val="-9"/>
        </w:rPr>
        <w:t xml:space="preserve"> </w:t>
      </w:r>
      <w:r>
        <w:t>Reduction</w:t>
      </w:r>
      <w:r>
        <w:rPr>
          <w:spacing w:val="-10"/>
        </w:rPr>
        <w:t xml:space="preserve"> </w:t>
      </w:r>
      <w:r>
        <w:t>notices</w:t>
      </w:r>
      <w:r>
        <w:rPr>
          <w:spacing w:val="-9"/>
        </w:rPr>
        <w:t xml:space="preserve"> </w:t>
      </w:r>
      <w:r>
        <w:t>to</w:t>
      </w:r>
      <w:r>
        <w:rPr>
          <w:spacing w:val="-12"/>
        </w:rPr>
        <w:t xml:space="preserve"> </w:t>
      </w:r>
      <w:r>
        <w:t>plans</w:t>
      </w:r>
      <w:r>
        <w:rPr>
          <w:spacing w:val="-9"/>
        </w:rPr>
        <w:t xml:space="preserve"> </w:t>
      </w:r>
      <w:r>
        <w:t>along</w:t>
      </w:r>
      <w:r>
        <w:rPr>
          <w:spacing w:val="-12"/>
        </w:rPr>
        <w:t xml:space="preserve"> </w:t>
      </w:r>
      <w:r>
        <w:t>with</w:t>
      </w:r>
      <w:r>
        <w:rPr>
          <w:spacing w:val="-10"/>
        </w:rPr>
        <w:t xml:space="preserve"> </w:t>
      </w:r>
      <w:r>
        <w:t>the</w:t>
      </w:r>
      <w:r>
        <w:rPr>
          <w:spacing w:val="-9"/>
        </w:rPr>
        <w:t xml:space="preserve"> </w:t>
      </w:r>
      <w:r>
        <w:t>other</w:t>
      </w:r>
      <w:r>
        <w:rPr>
          <w:spacing w:val="-11"/>
        </w:rPr>
        <w:t xml:space="preserve"> </w:t>
      </w:r>
      <w:r>
        <w:t>model</w:t>
      </w:r>
      <w:r>
        <w:rPr>
          <w:spacing w:val="-8"/>
        </w:rPr>
        <w:t xml:space="preserve"> </w:t>
      </w:r>
      <w:r>
        <w:t>documents,</w:t>
      </w:r>
      <w:r>
        <w:rPr>
          <w:spacing w:val="-9"/>
        </w:rPr>
        <w:t xml:space="preserve"> </w:t>
      </w:r>
      <w:r>
        <w:t>with the understanding plans should hold releasing those notices to affected beneficiaries until CMS has provide</w:t>
      </w:r>
      <w:r>
        <w:t>d approval to do so. Finally, we request that, per the MMG, CMS clarify that December 31 is the deadline for both MMPs and D-SNPs that separated the ANOC from the EOC to provide access to the EOC to enrollees (the current calendar only mentions</w:t>
      </w:r>
      <w:r>
        <w:rPr>
          <w:spacing w:val="-15"/>
        </w:rPr>
        <w:t xml:space="preserve"> </w:t>
      </w:r>
      <w:r>
        <w:t>MMPs).</w:t>
      </w:r>
    </w:p>
    <w:p w:rsidR="00805174" w:rsidRDefault="00805174">
      <w:pPr>
        <w:pStyle w:val="BodyText"/>
        <w:spacing w:before="11"/>
        <w:rPr>
          <w:sz w:val="21"/>
        </w:rPr>
      </w:pPr>
    </w:p>
    <w:p w:rsidR="00805174" w:rsidRDefault="000A64A3">
      <w:pPr>
        <w:pStyle w:val="BodyText"/>
        <w:ind w:left="100" w:right="109"/>
        <w:jc w:val="both"/>
      </w:pPr>
      <w:r>
        <w:t>We</w:t>
      </w:r>
      <w:r>
        <w:rPr>
          <w:spacing w:val="-8"/>
        </w:rPr>
        <w:t xml:space="preserve"> </w:t>
      </w:r>
      <w:r>
        <w:t>also</w:t>
      </w:r>
      <w:r>
        <w:rPr>
          <w:spacing w:val="-11"/>
        </w:rPr>
        <w:t xml:space="preserve"> </w:t>
      </w:r>
      <w:r>
        <w:t>note</w:t>
      </w:r>
      <w:r>
        <w:rPr>
          <w:spacing w:val="-8"/>
        </w:rPr>
        <w:t xml:space="preserve"> </w:t>
      </w:r>
      <w:r>
        <w:t>CMS</w:t>
      </w:r>
      <w:r>
        <w:rPr>
          <w:spacing w:val="-11"/>
        </w:rPr>
        <w:t xml:space="preserve"> </w:t>
      </w:r>
      <w:r>
        <w:t>intends</w:t>
      </w:r>
      <w:r>
        <w:rPr>
          <w:spacing w:val="-10"/>
        </w:rPr>
        <w:t xml:space="preserve"> </w:t>
      </w:r>
      <w:r>
        <w:t>to</w:t>
      </w:r>
      <w:r>
        <w:rPr>
          <w:spacing w:val="-9"/>
        </w:rPr>
        <w:t xml:space="preserve"> </w:t>
      </w:r>
      <w:r>
        <w:t>upload</w:t>
      </w:r>
      <w:r>
        <w:rPr>
          <w:spacing w:val="-11"/>
        </w:rPr>
        <w:t xml:space="preserve"> </w:t>
      </w:r>
      <w:r>
        <w:t>the</w:t>
      </w:r>
      <w:r>
        <w:rPr>
          <w:spacing w:val="-8"/>
        </w:rPr>
        <w:t xml:space="preserve"> </w:t>
      </w:r>
      <w:r>
        <w:t>Star</w:t>
      </w:r>
      <w:r>
        <w:rPr>
          <w:spacing w:val="-8"/>
        </w:rPr>
        <w:t xml:space="preserve"> </w:t>
      </w:r>
      <w:r>
        <w:t>Ratings</w:t>
      </w:r>
      <w:r>
        <w:rPr>
          <w:spacing w:val="-10"/>
        </w:rPr>
        <w:t xml:space="preserve"> </w:t>
      </w:r>
      <w:r>
        <w:t>to</w:t>
      </w:r>
      <w:r>
        <w:rPr>
          <w:spacing w:val="-8"/>
        </w:rPr>
        <w:t xml:space="preserve"> </w:t>
      </w:r>
      <w:hyperlink r:id="rId13">
        <w:r>
          <w:rPr>
            <w:color w:val="0000FF"/>
            <w:u w:val="single" w:color="0000FF"/>
          </w:rPr>
          <w:t>www.medicare.gov</w:t>
        </w:r>
        <w:r>
          <w:rPr>
            <w:color w:val="0000FF"/>
            <w:spacing w:val="-9"/>
            <w:u w:val="single" w:color="0000FF"/>
          </w:rPr>
          <w:t xml:space="preserve"> </w:t>
        </w:r>
      </w:hyperlink>
      <w:r>
        <w:t>by</w:t>
      </w:r>
      <w:r>
        <w:rPr>
          <w:spacing w:val="-11"/>
        </w:rPr>
        <w:t xml:space="preserve"> </w:t>
      </w:r>
      <w:r>
        <w:t>October</w:t>
      </w:r>
      <w:r>
        <w:rPr>
          <w:spacing w:val="-10"/>
        </w:rPr>
        <w:t xml:space="preserve"> </w:t>
      </w:r>
      <w:r>
        <w:t>11,</w:t>
      </w:r>
      <w:r>
        <w:rPr>
          <w:spacing w:val="-9"/>
        </w:rPr>
        <w:t xml:space="preserve"> </w:t>
      </w:r>
      <w:r>
        <w:t>2018.</w:t>
      </w:r>
      <w:r>
        <w:rPr>
          <w:spacing w:val="-9"/>
        </w:rPr>
        <w:t xml:space="preserve"> </w:t>
      </w:r>
      <w:r>
        <w:t>Anthem requests that upcoming plan year ratings and fliers be made available no later than August 15 to ensure upcoming pl</w:t>
      </w:r>
      <w:r>
        <w:t>an year ratings are ready for use and included with every enrollment form by October 1 – along</w:t>
      </w:r>
      <w:r>
        <w:rPr>
          <w:spacing w:val="-9"/>
        </w:rPr>
        <w:t xml:space="preserve"> </w:t>
      </w:r>
      <w:r>
        <w:t>with</w:t>
      </w:r>
      <w:r>
        <w:rPr>
          <w:spacing w:val="-9"/>
        </w:rPr>
        <w:t xml:space="preserve"> </w:t>
      </w:r>
      <w:r>
        <w:t>the</w:t>
      </w:r>
      <w:r>
        <w:rPr>
          <w:spacing w:val="-6"/>
        </w:rPr>
        <w:t xml:space="preserve"> </w:t>
      </w:r>
      <w:r>
        <w:t>Summary</w:t>
      </w:r>
      <w:r>
        <w:rPr>
          <w:spacing w:val="-9"/>
        </w:rPr>
        <w:t xml:space="preserve"> </w:t>
      </w:r>
      <w:r>
        <w:t>of</w:t>
      </w:r>
      <w:r>
        <w:rPr>
          <w:spacing w:val="-5"/>
        </w:rPr>
        <w:t xml:space="preserve"> </w:t>
      </w:r>
      <w:r>
        <w:t>Benefits</w:t>
      </w:r>
      <w:r>
        <w:rPr>
          <w:spacing w:val="-8"/>
        </w:rPr>
        <w:t xml:space="preserve"> </w:t>
      </w:r>
      <w:r>
        <w:t>as</w:t>
      </w:r>
      <w:r>
        <w:rPr>
          <w:spacing w:val="-8"/>
        </w:rPr>
        <w:t xml:space="preserve"> </w:t>
      </w:r>
      <w:r>
        <w:t>required</w:t>
      </w:r>
      <w:r>
        <w:rPr>
          <w:spacing w:val="-8"/>
        </w:rPr>
        <w:t xml:space="preserve"> </w:t>
      </w:r>
      <w:r>
        <w:t>by</w:t>
      </w:r>
      <w:r>
        <w:rPr>
          <w:spacing w:val="-9"/>
        </w:rPr>
        <w:t xml:space="preserve"> </w:t>
      </w:r>
      <w:r>
        <w:t>Section</w:t>
      </w:r>
      <w:r>
        <w:rPr>
          <w:spacing w:val="-6"/>
        </w:rPr>
        <w:t xml:space="preserve"> </w:t>
      </w:r>
      <w:r>
        <w:t>30.6</w:t>
      </w:r>
      <w:r>
        <w:rPr>
          <w:spacing w:val="-6"/>
        </w:rPr>
        <w:t xml:space="preserve"> </w:t>
      </w:r>
      <w:r>
        <w:t>of</w:t>
      </w:r>
      <w:r>
        <w:rPr>
          <w:spacing w:val="-8"/>
        </w:rPr>
        <w:t xml:space="preserve"> </w:t>
      </w:r>
      <w:r>
        <w:t>the</w:t>
      </w:r>
      <w:r>
        <w:rPr>
          <w:spacing w:val="-8"/>
        </w:rPr>
        <w:t xml:space="preserve"> </w:t>
      </w:r>
      <w:r>
        <w:t>2018</w:t>
      </w:r>
      <w:r>
        <w:rPr>
          <w:spacing w:val="-9"/>
        </w:rPr>
        <w:t xml:space="preserve"> </w:t>
      </w:r>
      <w:r>
        <w:t>MMG.</w:t>
      </w:r>
      <w:r>
        <w:rPr>
          <w:spacing w:val="-9"/>
        </w:rPr>
        <w:t xml:space="preserve"> </w:t>
      </w:r>
      <w:r>
        <w:t>This</w:t>
      </w:r>
      <w:r>
        <w:rPr>
          <w:spacing w:val="-8"/>
        </w:rPr>
        <w:t xml:space="preserve"> </w:t>
      </w:r>
      <w:r>
        <w:t>will</w:t>
      </w:r>
      <w:r>
        <w:rPr>
          <w:spacing w:val="-8"/>
        </w:rPr>
        <w:t xml:space="preserve"> </w:t>
      </w:r>
      <w:r>
        <w:t>ensure</w:t>
      </w:r>
      <w:r>
        <w:rPr>
          <w:spacing w:val="-8"/>
        </w:rPr>
        <w:t xml:space="preserve"> </w:t>
      </w:r>
      <w:r>
        <w:t>plans have sufficient time to include the coming year’s Star Rating information in prospective member-facing materials for the Annual Election Period, which will reduce beneficiary confusion and appropriately facilitate the enrollment process as CMS intend</w:t>
      </w:r>
      <w:r>
        <w:t>s. Please note that release any later than August 15 will result in the need to pre-print current year fliers for use in Plan Sponsors’ kits and will delay implementation of the upcoming plan year fliers due to industry-standard print/fulfillment</w:t>
      </w:r>
      <w:r>
        <w:rPr>
          <w:spacing w:val="-28"/>
        </w:rPr>
        <w:t xml:space="preserve"> </w:t>
      </w:r>
      <w:r>
        <w:t>timelines</w:t>
      </w:r>
      <w:r>
        <w:t>.</w:t>
      </w:r>
    </w:p>
    <w:p w:rsidR="00805174" w:rsidRDefault="00805174">
      <w:pPr>
        <w:pStyle w:val="BodyText"/>
      </w:pPr>
    </w:p>
    <w:p w:rsidR="00805174" w:rsidRDefault="000A64A3">
      <w:pPr>
        <w:pStyle w:val="BodyText"/>
        <w:ind w:left="100" w:right="109"/>
        <w:jc w:val="both"/>
      </w:pPr>
      <w:r>
        <w:t>The Draft Call Letter requires both pharmacy and provider directories be available to beneficiaries by September 30. This places additional pressure on an already compressed materials development timeline. Furthermore, plans are often renegotiating prov</w:t>
      </w:r>
      <w:r>
        <w:t>ider contracts in the last quarter of the year (as many contracts expire on December 31). Setting the deadline for directories so early (by September 30) creates unique challenges with respect to contracts that are not finalized until after the deadline. W</w:t>
      </w:r>
      <w:r>
        <w:t>e respectfully</w:t>
      </w:r>
    </w:p>
    <w:p w:rsidR="00805174" w:rsidRDefault="00805174">
      <w:pPr>
        <w:jc w:val="both"/>
        <w:sectPr w:rsidR="00805174">
          <w:pgSz w:w="12240" w:h="15840"/>
          <w:pgMar w:top="1360" w:right="1420" w:bottom="1200" w:left="1340" w:header="0" w:footer="1015" w:gutter="0"/>
          <w:cols w:space="720"/>
        </w:sectPr>
      </w:pPr>
    </w:p>
    <w:p w:rsidR="00805174" w:rsidRDefault="000A64A3">
      <w:pPr>
        <w:pStyle w:val="BodyText"/>
        <w:spacing w:before="76" w:line="237" w:lineRule="auto"/>
        <w:ind w:left="100" w:right="210"/>
        <w:jc w:val="both"/>
      </w:pPr>
      <w:r>
        <w:lastRenderedPageBreak/>
        <w:t>request CMS require availability of directories in hard copy format by October 15—or, in the alternative, allow plans to deliver hard-copy directories by October 15</w:t>
      </w:r>
      <w:r>
        <w:rPr>
          <w:position w:val="8"/>
          <w:sz w:val="14"/>
        </w:rPr>
        <w:t>th</w:t>
      </w:r>
      <w:r>
        <w:t>, or within</w:t>
      </w:r>
      <w:r>
        <w:rPr>
          <w:spacing w:val="-38"/>
        </w:rPr>
        <w:t xml:space="preserve"> </w:t>
      </w:r>
      <w:r>
        <w:t>three days of request, whichever is later.</w:t>
      </w:r>
    </w:p>
    <w:p w:rsidR="00805174" w:rsidRDefault="00805174">
      <w:pPr>
        <w:pStyle w:val="BodyText"/>
        <w:spacing w:before="1"/>
      </w:pPr>
    </w:p>
    <w:p w:rsidR="00805174" w:rsidRDefault="000A64A3">
      <w:pPr>
        <w:ind w:left="100"/>
        <w:jc w:val="both"/>
        <w:rPr>
          <w:i/>
        </w:rPr>
      </w:pPr>
      <w:r>
        <w:rPr>
          <w:i/>
        </w:rPr>
        <w:t>Enhan</w:t>
      </w:r>
      <w:r>
        <w:rPr>
          <w:i/>
        </w:rPr>
        <w:t>cements to the 2019 Star Ratings and Future Measure Concepts</w:t>
      </w:r>
    </w:p>
    <w:p w:rsidR="00805174" w:rsidRDefault="00805174">
      <w:pPr>
        <w:pStyle w:val="BodyText"/>
        <w:spacing w:before="9"/>
        <w:rPr>
          <w:i/>
          <w:sz w:val="21"/>
        </w:rPr>
      </w:pPr>
    </w:p>
    <w:p w:rsidR="00805174" w:rsidRDefault="000A64A3">
      <w:pPr>
        <w:pStyle w:val="BodyText"/>
        <w:ind w:left="100" w:right="114"/>
        <w:jc w:val="both"/>
      </w:pPr>
      <w:r>
        <w:t>Anthem is supportive of CMS’ intention to have its current Part C &amp; D Star Ratings contractor, RAND Corporation, establish a Technical Expert Panel (TEP) comprised of representatives across vari</w:t>
      </w:r>
      <w:r>
        <w:t>ous stakeholder groups to obtain feedback on the Star Ratings framework, topic areas, methodology, and operational</w:t>
      </w:r>
      <w:r>
        <w:rPr>
          <w:spacing w:val="-8"/>
        </w:rPr>
        <w:t xml:space="preserve"> </w:t>
      </w:r>
      <w:r>
        <w:t>measures.</w:t>
      </w:r>
      <w:r>
        <w:rPr>
          <w:spacing w:val="-7"/>
        </w:rPr>
        <w:t xml:space="preserve"> </w:t>
      </w:r>
      <w:r>
        <w:t>Creation</w:t>
      </w:r>
      <w:r>
        <w:rPr>
          <w:spacing w:val="-9"/>
        </w:rPr>
        <w:t xml:space="preserve"> </w:t>
      </w:r>
      <w:r>
        <w:t>of</w:t>
      </w:r>
      <w:r>
        <w:rPr>
          <w:spacing w:val="-10"/>
        </w:rPr>
        <w:t xml:space="preserve"> </w:t>
      </w:r>
      <w:r>
        <w:t>the</w:t>
      </w:r>
      <w:r>
        <w:rPr>
          <w:spacing w:val="-11"/>
        </w:rPr>
        <w:t xml:space="preserve"> </w:t>
      </w:r>
      <w:r>
        <w:t>TEP—along</w:t>
      </w:r>
      <w:r>
        <w:rPr>
          <w:spacing w:val="-11"/>
        </w:rPr>
        <w:t xml:space="preserve"> </w:t>
      </w:r>
      <w:r>
        <w:t>with</w:t>
      </w:r>
      <w:r>
        <w:rPr>
          <w:spacing w:val="-11"/>
        </w:rPr>
        <w:t xml:space="preserve"> </w:t>
      </w:r>
      <w:r>
        <w:t>CMS’</w:t>
      </w:r>
      <w:r>
        <w:rPr>
          <w:spacing w:val="-7"/>
        </w:rPr>
        <w:t xml:space="preserve"> </w:t>
      </w:r>
      <w:r>
        <w:t>proposal</w:t>
      </w:r>
      <w:r>
        <w:rPr>
          <w:spacing w:val="-9"/>
        </w:rPr>
        <w:t xml:space="preserve"> </w:t>
      </w:r>
      <w:r>
        <w:t>to</w:t>
      </w:r>
      <w:r>
        <w:rPr>
          <w:spacing w:val="-9"/>
        </w:rPr>
        <w:t xml:space="preserve"> </w:t>
      </w:r>
      <w:r>
        <w:t>codify</w:t>
      </w:r>
      <w:r>
        <w:rPr>
          <w:spacing w:val="-10"/>
        </w:rPr>
        <w:t xml:space="preserve"> </w:t>
      </w:r>
      <w:r>
        <w:t>the</w:t>
      </w:r>
      <w:r>
        <w:rPr>
          <w:spacing w:val="-8"/>
        </w:rPr>
        <w:t xml:space="preserve"> </w:t>
      </w:r>
      <w:r>
        <w:t>Star</w:t>
      </w:r>
      <w:r>
        <w:rPr>
          <w:spacing w:val="-8"/>
        </w:rPr>
        <w:t xml:space="preserve"> </w:t>
      </w:r>
      <w:r>
        <w:t>Ratings</w:t>
      </w:r>
      <w:r>
        <w:rPr>
          <w:spacing w:val="-8"/>
        </w:rPr>
        <w:t xml:space="preserve"> </w:t>
      </w:r>
      <w:r>
        <w:t>program, if finalized—would ensure that the Star Ratings sy</w:t>
      </w:r>
      <w:r>
        <w:t xml:space="preserve">stem is governed by a process that fosters the transparency and predictability needed to support continued investment in quality improvement activities and, more importantly, ensure beneficiaries are able to rely upon the Star Ratings as a true measure of </w:t>
      </w:r>
      <w:r>
        <w:t>quality when selecting a</w:t>
      </w:r>
      <w:r>
        <w:rPr>
          <w:spacing w:val="-11"/>
        </w:rPr>
        <w:t xml:space="preserve"> </w:t>
      </w:r>
      <w:r>
        <w:t>plan.</w:t>
      </w:r>
    </w:p>
    <w:p w:rsidR="00805174" w:rsidRDefault="00805174">
      <w:pPr>
        <w:pStyle w:val="BodyText"/>
      </w:pPr>
    </w:p>
    <w:p w:rsidR="00805174" w:rsidRDefault="000A64A3">
      <w:pPr>
        <w:pStyle w:val="BodyText"/>
        <w:ind w:left="100" w:right="113"/>
        <w:jc w:val="both"/>
      </w:pPr>
      <w:r>
        <w:t>Anthem requests that CMS and RAND take steps to ensure that stakeholder representation on the TEP is broad and diverse, and that plans with unique perspectives in serving the MA and Part D populations have a</w:t>
      </w:r>
      <w:r>
        <w:rPr>
          <w:spacing w:val="-1"/>
        </w:rPr>
        <w:t xml:space="preserve"> </w:t>
      </w:r>
      <w:r>
        <w:t>voice.</w:t>
      </w:r>
      <w:r>
        <w:rPr>
          <w:spacing w:val="-3"/>
        </w:rPr>
        <w:t xml:space="preserve"> </w:t>
      </w:r>
      <w:r>
        <w:t>While</w:t>
      </w:r>
      <w:r>
        <w:rPr>
          <w:spacing w:val="-1"/>
        </w:rPr>
        <w:t xml:space="preserve"> </w:t>
      </w:r>
      <w:r>
        <w:t>we</w:t>
      </w:r>
      <w:r>
        <w:rPr>
          <w:spacing w:val="-4"/>
        </w:rPr>
        <w:t xml:space="preserve"> </w:t>
      </w:r>
      <w:r>
        <w:t>continue</w:t>
      </w:r>
      <w:r>
        <w:rPr>
          <w:spacing w:val="-3"/>
        </w:rPr>
        <w:t xml:space="preserve"> </w:t>
      </w:r>
      <w:r>
        <w:t>to</w:t>
      </w:r>
      <w:r>
        <w:rPr>
          <w:spacing w:val="-1"/>
        </w:rPr>
        <w:t xml:space="preserve"> </w:t>
      </w:r>
      <w:r>
        <w:t>assert</w:t>
      </w:r>
      <w:r>
        <w:rPr>
          <w:spacing w:val="-3"/>
        </w:rPr>
        <w:t xml:space="preserve"> </w:t>
      </w:r>
      <w:r>
        <w:t>that</w:t>
      </w:r>
      <w:r>
        <w:rPr>
          <w:spacing w:val="-2"/>
        </w:rPr>
        <w:t xml:space="preserve"> </w:t>
      </w:r>
      <w:r>
        <w:t>a</w:t>
      </w:r>
      <w:r>
        <w:rPr>
          <w:spacing w:val="-1"/>
        </w:rPr>
        <w:t xml:space="preserve"> </w:t>
      </w:r>
      <w:r>
        <w:t>new</w:t>
      </w:r>
      <w:r>
        <w:rPr>
          <w:spacing w:val="-1"/>
        </w:rPr>
        <w:t xml:space="preserve"> </w:t>
      </w:r>
      <w:r>
        <w:t>MMP</w:t>
      </w:r>
      <w:r>
        <w:rPr>
          <w:spacing w:val="-1"/>
        </w:rPr>
        <w:t xml:space="preserve"> </w:t>
      </w:r>
      <w:r>
        <w:t>quality</w:t>
      </w:r>
      <w:r>
        <w:rPr>
          <w:spacing w:val="-4"/>
        </w:rPr>
        <w:t xml:space="preserve"> </w:t>
      </w:r>
      <w:r>
        <w:t>rating</w:t>
      </w:r>
      <w:r>
        <w:rPr>
          <w:spacing w:val="-4"/>
        </w:rPr>
        <w:t xml:space="preserve"> </w:t>
      </w:r>
      <w:r>
        <w:t>system</w:t>
      </w:r>
      <w:r>
        <w:rPr>
          <w:spacing w:val="-5"/>
        </w:rPr>
        <w:t xml:space="preserve"> </w:t>
      </w:r>
      <w:r>
        <w:t>similar</w:t>
      </w:r>
      <w:r>
        <w:rPr>
          <w:spacing w:val="-5"/>
        </w:rPr>
        <w:t xml:space="preserve"> </w:t>
      </w:r>
      <w:r>
        <w:t>to</w:t>
      </w:r>
      <w:r>
        <w:rPr>
          <w:spacing w:val="-4"/>
        </w:rPr>
        <w:t xml:space="preserve"> </w:t>
      </w:r>
      <w:r>
        <w:t>the</w:t>
      </w:r>
      <w:r>
        <w:rPr>
          <w:spacing w:val="-3"/>
        </w:rPr>
        <w:t xml:space="preserve"> </w:t>
      </w:r>
      <w:r>
        <w:t>MA</w:t>
      </w:r>
      <w:r>
        <w:rPr>
          <w:spacing w:val="-1"/>
        </w:rPr>
        <w:t xml:space="preserve"> </w:t>
      </w:r>
      <w:r>
        <w:t>Star</w:t>
      </w:r>
      <w:r>
        <w:rPr>
          <w:spacing w:val="-2"/>
        </w:rPr>
        <w:t xml:space="preserve"> </w:t>
      </w:r>
      <w:r>
        <w:t>Ratings system is an inappropriate approach, Anthem recommends that MMPs are represented on the TEP. The MMP perspective will be important to include to ensure that CMS and RAND</w:t>
      </w:r>
      <w:r>
        <w:t xml:space="preserve"> are considering the full spectrum of implications of their decisions on outcomes, processes, and beneficiary experiences across all Medicare plans. Finally, we recommend that the TEP communicate openly and frequently with all stakeholders. More specifical</w:t>
      </w:r>
      <w:r>
        <w:t>ly, the TEP must develop a process for disseminating information with stakeholders in a timely fashion so that all parties have a clear line of sight into the panel’s</w:t>
      </w:r>
      <w:r>
        <w:rPr>
          <w:spacing w:val="-26"/>
        </w:rPr>
        <w:t xml:space="preserve"> </w:t>
      </w:r>
      <w:r>
        <w:t>work.</w:t>
      </w:r>
    </w:p>
    <w:p w:rsidR="00805174" w:rsidRDefault="00805174">
      <w:pPr>
        <w:pStyle w:val="BodyText"/>
        <w:spacing w:before="11"/>
        <w:rPr>
          <w:sz w:val="21"/>
        </w:rPr>
      </w:pPr>
    </w:p>
    <w:p w:rsidR="00805174" w:rsidRDefault="000A64A3">
      <w:pPr>
        <w:pStyle w:val="BodyText"/>
        <w:ind w:left="100"/>
        <w:jc w:val="both"/>
      </w:pPr>
      <w:r>
        <w:rPr>
          <w:u w:val="single"/>
        </w:rPr>
        <w:t>New Measures</w:t>
      </w:r>
    </w:p>
    <w:p w:rsidR="00805174" w:rsidRDefault="00805174">
      <w:pPr>
        <w:pStyle w:val="BodyText"/>
        <w:spacing w:before="1"/>
        <w:rPr>
          <w:sz w:val="14"/>
        </w:rPr>
      </w:pPr>
    </w:p>
    <w:p w:rsidR="00805174" w:rsidRDefault="000A64A3">
      <w:pPr>
        <w:spacing w:before="91"/>
        <w:ind w:left="100"/>
        <w:jc w:val="both"/>
        <w:rPr>
          <w:i/>
        </w:rPr>
      </w:pPr>
      <w:r>
        <w:rPr>
          <w:i/>
        </w:rPr>
        <w:t>Statin Use in Persons with Diabetes (SUPD)</w:t>
      </w:r>
    </w:p>
    <w:p w:rsidR="00805174" w:rsidRDefault="00805174">
      <w:pPr>
        <w:pStyle w:val="BodyText"/>
        <w:spacing w:before="11"/>
        <w:rPr>
          <w:i/>
          <w:sz w:val="21"/>
        </w:rPr>
      </w:pPr>
    </w:p>
    <w:p w:rsidR="00805174" w:rsidRDefault="000A64A3">
      <w:pPr>
        <w:pStyle w:val="BodyText"/>
        <w:ind w:left="100" w:right="113"/>
        <w:jc w:val="both"/>
      </w:pPr>
      <w:r>
        <w:t>CMS proposes to add this measure to the 2019 Star Ratings with a weight of 1, and to increase the weight to 3 (as an intermediate outcome measure) in subsequent years. Anthem agrees with this proposal, along with</w:t>
      </w:r>
      <w:r>
        <w:rPr>
          <w:spacing w:val="-12"/>
        </w:rPr>
        <w:t xml:space="preserve"> </w:t>
      </w:r>
      <w:r>
        <w:t>CMS’</w:t>
      </w:r>
      <w:r>
        <w:rPr>
          <w:spacing w:val="-11"/>
        </w:rPr>
        <w:t xml:space="preserve"> </w:t>
      </w:r>
      <w:r>
        <w:t>proposal</w:t>
      </w:r>
      <w:r>
        <w:rPr>
          <w:spacing w:val="-13"/>
        </w:rPr>
        <w:t xml:space="preserve"> </w:t>
      </w:r>
      <w:r>
        <w:t>to</w:t>
      </w:r>
      <w:r>
        <w:rPr>
          <w:spacing w:val="-13"/>
        </w:rPr>
        <w:t xml:space="preserve"> </w:t>
      </w:r>
      <w:r>
        <w:t>expand</w:t>
      </w:r>
      <w:r>
        <w:rPr>
          <w:spacing w:val="-12"/>
        </w:rPr>
        <w:t xml:space="preserve"> </w:t>
      </w:r>
      <w:r>
        <w:t>the</w:t>
      </w:r>
      <w:r>
        <w:rPr>
          <w:spacing w:val="-13"/>
        </w:rPr>
        <w:t xml:space="preserve"> </w:t>
      </w:r>
      <w:r>
        <w:t>data</w:t>
      </w:r>
      <w:r>
        <w:rPr>
          <w:spacing w:val="-12"/>
        </w:rPr>
        <w:t xml:space="preserve"> </w:t>
      </w:r>
      <w:r>
        <w:t>sources</w:t>
      </w:r>
      <w:r>
        <w:rPr>
          <w:spacing w:val="-13"/>
        </w:rPr>
        <w:t xml:space="preserve"> </w:t>
      </w:r>
      <w:r>
        <w:t>fo</w:t>
      </w:r>
      <w:r>
        <w:t>r</w:t>
      </w:r>
      <w:r>
        <w:rPr>
          <w:spacing w:val="-13"/>
        </w:rPr>
        <w:t xml:space="preserve"> </w:t>
      </w:r>
      <w:r>
        <w:t>identifying</w:t>
      </w:r>
      <w:r>
        <w:rPr>
          <w:spacing w:val="-13"/>
        </w:rPr>
        <w:t xml:space="preserve"> </w:t>
      </w:r>
      <w:r>
        <w:t>all</w:t>
      </w:r>
      <w:r>
        <w:rPr>
          <w:spacing w:val="-11"/>
        </w:rPr>
        <w:t xml:space="preserve"> </w:t>
      </w:r>
      <w:r>
        <w:t>Part</w:t>
      </w:r>
      <w:r>
        <w:rPr>
          <w:spacing w:val="-11"/>
        </w:rPr>
        <w:t xml:space="preserve"> </w:t>
      </w:r>
      <w:r>
        <w:t>D</w:t>
      </w:r>
      <w:r>
        <w:rPr>
          <w:spacing w:val="-13"/>
        </w:rPr>
        <w:t xml:space="preserve"> </w:t>
      </w:r>
      <w:r>
        <w:t>enrollees</w:t>
      </w:r>
      <w:r>
        <w:rPr>
          <w:spacing w:val="-11"/>
        </w:rPr>
        <w:t xml:space="preserve"> </w:t>
      </w:r>
      <w:r>
        <w:t>with</w:t>
      </w:r>
      <w:r>
        <w:rPr>
          <w:spacing w:val="-12"/>
        </w:rPr>
        <w:t xml:space="preserve"> </w:t>
      </w:r>
      <w:r>
        <w:t>ESRD</w:t>
      </w:r>
      <w:r>
        <w:rPr>
          <w:spacing w:val="-14"/>
        </w:rPr>
        <w:t xml:space="preserve"> </w:t>
      </w:r>
      <w:r>
        <w:t>for</w:t>
      </w:r>
      <w:r>
        <w:rPr>
          <w:spacing w:val="-13"/>
        </w:rPr>
        <w:t xml:space="preserve"> </w:t>
      </w:r>
      <w:r>
        <w:t>exclusion from the denominator of the SUPD</w:t>
      </w:r>
      <w:r>
        <w:rPr>
          <w:spacing w:val="-11"/>
        </w:rPr>
        <w:t xml:space="preserve"> </w:t>
      </w:r>
      <w:r>
        <w:t>measure.</w:t>
      </w:r>
    </w:p>
    <w:p w:rsidR="00805174" w:rsidRDefault="00805174">
      <w:pPr>
        <w:pStyle w:val="BodyText"/>
        <w:spacing w:before="11"/>
        <w:rPr>
          <w:sz w:val="21"/>
        </w:rPr>
      </w:pPr>
    </w:p>
    <w:p w:rsidR="00805174" w:rsidRDefault="000A64A3">
      <w:pPr>
        <w:ind w:left="100"/>
        <w:jc w:val="both"/>
        <w:rPr>
          <w:i/>
        </w:rPr>
      </w:pPr>
      <w:r>
        <w:rPr>
          <w:i/>
        </w:rPr>
        <w:t>Statin Therapy for Patients with Cardiovascular Disease (SPC)</w:t>
      </w:r>
    </w:p>
    <w:p w:rsidR="00805174" w:rsidRDefault="00805174">
      <w:pPr>
        <w:pStyle w:val="BodyText"/>
        <w:spacing w:before="11"/>
        <w:rPr>
          <w:i/>
          <w:sz w:val="21"/>
        </w:rPr>
      </w:pPr>
    </w:p>
    <w:p w:rsidR="00805174" w:rsidRDefault="000A64A3">
      <w:pPr>
        <w:pStyle w:val="BodyText"/>
        <w:ind w:left="100" w:right="114"/>
        <w:jc w:val="both"/>
      </w:pPr>
      <w:r>
        <w:t xml:space="preserve">Anthem disagrees with CMS’ proposal to include this measure in the 2019 Star Ratings. Because this measure focuses on high- or moderate-intensity statin medications—which requires higher levels of provider-patient engagement and discussion, as compared to </w:t>
      </w:r>
      <w:r>
        <w:t>the SUPD measure, for example—we encourage CMS to retain this measure on the Display Page until at least 2020 and to continue monitoring it, especially as more data becomes available, to assess when incorporation into the Star Ratings would be most appropr</w:t>
      </w:r>
      <w:r>
        <w:t>iate. It is important for CMS and plans alike to better understand measures and associated performance, as well as for plans to develop comprehensive member and provider strategies to support strong performance, before introducing them to the program.</w:t>
      </w:r>
    </w:p>
    <w:p w:rsidR="00805174" w:rsidRDefault="00805174">
      <w:pPr>
        <w:pStyle w:val="BodyText"/>
        <w:spacing w:before="9"/>
        <w:rPr>
          <w:sz w:val="21"/>
        </w:rPr>
      </w:pPr>
    </w:p>
    <w:p w:rsidR="00805174" w:rsidRDefault="000A64A3">
      <w:pPr>
        <w:pStyle w:val="BodyText"/>
        <w:ind w:left="100"/>
        <w:jc w:val="both"/>
      </w:pPr>
      <w:r>
        <w:rPr>
          <w:u w:val="single"/>
        </w:rPr>
        <w:t>Cha</w:t>
      </w:r>
      <w:r>
        <w:rPr>
          <w:u w:val="single"/>
        </w:rPr>
        <w:t>nges to Measures for 2019</w:t>
      </w:r>
    </w:p>
    <w:p w:rsidR="00805174" w:rsidRDefault="00805174">
      <w:pPr>
        <w:pStyle w:val="BodyText"/>
        <w:spacing w:before="1"/>
        <w:rPr>
          <w:sz w:val="14"/>
        </w:rPr>
      </w:pPr>
    </w:p>
    <w:p w:rsidR="00805174" w:rsidRDefault="000A64A3">
      <w:pPr>
        <w:spacing w:before="91"/>
        <w:ind w:left="100"/>
        <w:rPr>
          <w:i/>
        </w:rPr>
      </w:pPr>
      <w:r>
        <w:rPr>
          <w:i/>
        </w:rPr>
        <w:t>Improvement Measures</w:t>
      </w:r>
    </w:p>
    <w:p w:rsidR="00805174" w:rsidRDefault="00805174">
      <w:pPr>
        <w:pStyle w:val="BodyText"/>
        <w:spacing w:before="11"/>
        <w:rPr>
          <w:i/>
          <w:sz w:val="21"/>
        </w:rPr>
      </w:pPr>
    </w:p>
    <w:p w:rsidR="00805174" w:rsidRDefault="000A64A3">
      <w:pPr>
        <w:pStyle w:val="BodyText"/>
        <w:ind w:left="100"/>
      </w:pPr>
      <w:r>
        <w:t>CMS</w:t>
      </w:r>
      <w:r>
        <w:rPr>
          <w:spacing w:val="-9"/>
        </w:rPr>
        <w:t xml:space="preserve"> </w:t>
      </w:r>
      <w:r>
        <w:t>currently</w:t>
      </w:r>
      <w:r>
        <w:rPr>
          <w:spacing w:val="-12"/>
        </w:rPr>
        <w:t xml:space="preserve"> </w:t>
      </w:r>
      <w:r>
        <w:t>incorporates</w:t>
      </w:r>
      <w:r>
        <w:rPr>
          <w:spacing w:val="-11"/>
        </w:rPr>
        <w:t xml:space="preserve"> </w:t>
      </w:r>
      <w:r>
        <w:t>the</w:t>
      </w:r>
      <w:r>
        <w:rPr>
          <w:spacing w:val="-9"/>
        </w:rPr>
        <w:t xml:space="preserve"> </w:t>
      </w:r>
      <w:r>
        <w:t>improvement</w:t>
      </w:r>
      <w:r>
        <w:rPr>
          <w:spacing w:val="-6"/>
        </w:rPr>
        <w:t xml:space="preserve"> </w:t>
      </w:r>
      <w:r>
        <w:t>measures</w:t>
      </w:r>
      <w:r>
        <w:rPr>
          <w:spacing w:val="-9"/>
        </w:rPr>
        <w:t xml:space="preserve"> </w:t>
      </w:r>
      <w:r>
        <w:t>in</w:t>
      </w:r>
      <w:r>
        <w:rPr>
          <w:spacing w:val="-10"/>
        </w:rPr>
        <w:t xml:space="preserve"> </w:t>
      </w:r>
      <w:r>
        <w:t>determining</w:t>
      </w:r>
      <w:r>
        <w:rPr>
          <w:spacing w:val="-12"/>
        </w:rPr>
        <w:t xml:space="preserve"> </w:t>
      </w:r>
      <w:r>
        <w:t>a</w:t>
      </w:r>
      <w:r>
        <w:rPr>
          <w:spacing w:val="-9"/>
        </w:rPr>
        <w:t xml:space="preserve"> </w:t>
      </w:r>
      <w:r>
        <w:t>contract’s</w:t>
      </w:r>
      <w:r>
        <w:rPr>
          <w:spacing w:val="-11"/>
        </w:rPr>
        <w:t xml:space="preserve"> </w:t>
      </w:r>
      <w:r>
        <w:t>overall</w:t>
      </w:r>
      <w:r>
        <w:rPr>
          <w:spacing w:val="-9"/>
        </w:rPr>
        <w:t xml:space="preserve"> </w:t>
      </w:r>
      <w:r>
        <w:t>Star</w:t>
      </w:r>
      <w:r>
        <w:rPr>
          <w:spacing w:val="-9"/>
        </w:rPr>
        <w:t xml:space="preserve"> </w:t>
      </w:r>
      <w:r>
        <w:t>Rating,</w:t>
      </w:r>
      <w:r>
        <w:rPr>
          <w:spacing w:val="-10"/>
        </w:rPr>
        <w:t xml:space="preserve"> </w:t>
      </w:r>
      <w:r>
        <w:t>and follows</w:t>
      </w:r>
      <w:r>
        <w:rPr>
          <w:spacing w:val="-14"/>
        </w:rPr>
        <w:t xml:space="preserve"> </w:t>
      </w:r>
      <w:r>
        <w:t>a</w:t>
      </w:r>
      <w:r>
        <w:rPr>
          <w:spacing w:val="-16"/>
        </w:rPr>
        <w:t xml:space="preserve"> </w:t>
      </w:r>
      <w:r>
        <w:t>specific</w:t>
      </w:r>
      <w:r>
        <w:rPr>
          <w:spacing w:val="-14"/>
        </w:rPr>
        <w:t xml:space="preserve"> </w:t>
      </w:r>
      <w:r>
        <w:t>methodology</w:t>
      </w:r>
      <w:r>
        <w:rPr>
          <w:spacing w:val="-17"/>
        </w:rPr>
        <w:t xml:space="preserve"> </w:t>
      </w:r>
      <w:r>
        <w:t>for</w:t>
      </w:r>
      <w:r>
        <w:rPr>
          <w:spacing w:val="-14"/>
        </w:rPr>
        <w:t xml:space="preserve"> </w:t>
      </w:r>
      <w:r>
        <w:t>calculating</w:t>
      </w:r>
      <w:r>
        <w:rPr>
          <w:spacing w:val="-17"/>
        </w:rPr>
        <w:t xml:space="preserve"> </w:t>
      </w:r>
      <w:r>
        <w:t>the</w:t>
      </w:r>
      <w:r>
        <w:rPr>
          <w:spacing w:val="-16"/>
        </w:rPr>
        <w:t xml:space="preserve"> </w:t>
      </w:r>
      <w:r>
        <w:t>improvement</w:t>
      </w:r>
      <w:r>
        <w:rPr>
          <w:spacing w:val="-13"/>
        </w:rPr>
        <w:t xml:space="preserve"> </w:t>
      </w:r>
      <w:r>
        <w:t>measures</w:t>
      </w:r>
      <w:r>
        <w:rPr>
          <w:spacing w:val="-16"/>
        </w:rPr>
        <w:t xml:space="preserve"> </w:t>
      </w:r>
      <w:r>
        <w:t>themselves.</w:t>
      </w:r>
      <w:r>
        <w:rPr>
          <w:spacing w:val="-14"/>
        </w:rPr>
        <w:t xml:space="preserve"> </w:t>
      </w:r>
      <w:r>
        <w:t>However,</w:t>
      </w:r>
      <w:r>
        <w:rPr>
          <w:spacing w:val="-14"/>
        </w:rPr>
        <w:t xml:space="preserve"> </w:t>
      </w:r>
      <w:r>
        <w:t>CMS</w:t>
      </w:r>
      <w:r>
        <w:rPr>
          <w:spacing w:val="-12"/>
        </w:rPr>
        <w:t xml:space="preserve"> </w:t>
      </w:r>
      <w:r>
        <w:t>does</w:t>
      </w:r>
    </w:p>
    <w:p w:rsidR="00805174" w:rsidRDefault="00805174">
      <w:pPr>
        <w:sectPr w:rsidR="00805174">
          <w:pgSz w:w="12240" w:h="15840"/>
          <w:pgMar w:top="1360" w:right="1320" w:bottom="1200" w:left="1340" w:header="0" w:footer="1015" w:gutter="0"/>
          <w:cols w:space="720"/>
        </w:sectPr>
      </w:pPr>
    </w:p>
    <w:p w:rsidR="00805174" w:rsidRDefault="000A64A3">
      <w:pPr>
        <w:pStyle w:val="BodyText"/>
        <w:spacing w:before="74"/>
        <w:ind w:left="100" w:right="114"/>
        <w:jc w:val="both"/>
      </w:pPr>
      <w:r>
        <w:lastRenderedPageBreak/>
        <w:t>not address this methodology specifically in the Draft Call Letter. Anthem reiterates our concerns with CMS’</w:t>
      </w:r>
      <w:r>
        <w:rPr>
          <w:spacing w:val="-12"/>
        </w:rPr>
        <w:t xml:space="preserve"> </w:t>
      </w:r>
      <w:r>
        <w:t>approach,</w:t>
      </w:r>
      <w:r>
        <w:rPr>
          <w:spacing w:val="-13"/>
        </w:rPr>
        <w:t xml:space="preserve"> </w:t>
      </w:r>
      <w:r>
        <w:t>which</w:t>
      </w:r>
      <w:r>
        <w:rPr>
          <w:spacing w:val="-13"/>
        </w:rPr>
        <w:t xml:space="preserve"> </w:t>
      </w:r>
      <w:r>
        <w:t>we</w:t>
      </w:r>
      <w:r>
        <w:rPr>
          <w:spacing w:val="-15"/>
        </w:rPr>
        <w:t xml:space="preserve"> </w:t>
      </w:r>
      <w:r>
        <w:t>most</w:t>
      </w:r>
      <w:r>
        <w:rPr>
          <w:spacing w:val="-12"/>
        </w:rPr>
        <w:t xml:space="preserve"> </w:t>
      </w:r>
      <w:r>
        <w:t>recently</w:t>
      </w:r>
      <w:r>
        <w:rPr>
          <w:spacing w:val="-16"/>
        </w:rPr>
        <w:t xml:space="preserve"> </w:t>
      </w:r>
      <w:r>
        <w:t>provided</w:t>
      </w:r>
      <w:r>
        <w:rPr>
          <w:spacing w:val="-15"/>
        </w:rPr>
        <w:t xml:space="preserve"> </w:t>
      </w:r>
      <w:r>
        <w:t>to</w:t>
      </w:r>
      <w:r>
        <w:rPr>
          <w:spacing w:val="-13"/>
        </w:rPr>
        <w:t xml:space="preserve"> </w:t>
      </w:r>
      <w:r>
        <w:t>CMS</w:t>
      </w:r>
      <w:r>
        <w:rPr>
          <w:spacing w:val="-13"/>
        </w:rPr>
        <w:t xml:space="preserve"> </w:t>
      </w:r>
      <w:r>
        <w:t>in</w:t>
      </w:r>
      <w:r>
        <w:rPr>
          <w:spacing w:val="-13"/>
        </w:rPr>
        <w:t xml:space="preserve"> </w:t>
      </w:r>
      <w:r>
        <w:t>response</w:t>
      </w:r>
      <w:r>
        <w:rPr>
          <w:spacing w:val="-15"/>
        </w:rPr>
        <w:t xml:space="preserve"> </w:t>
      </w:r>
      <w:r>
        <w:t>to</w:t>
      </w:r>
      <w:r>
        <w:rPr>
          <w:spacing w:val="-13"/>
        </w:rPr>
        <w:t xml:space="preserve"> </w:t>
      </w:r>
      <w:r>
        <w:t>the</w:t>
      </w:r>
      <w:r>
        <w:rPr>
          <w:spacing w:val="-9"/>
        </w:rPr>
        <w:t xml:space="preserve"> </w:t>
      </w:r>
      <w:r>
        <w:t>CY</w:t>
      </w:r>
      <w:r>
        <w:rPr>
          <w:spacing w:val="-14"/>
        </w:rPr>
        <w:t xml:space="preserve"> </w:t>
      </w:r>
      <w:r>
        <w:t>2019</w:t>
      </w:r>
      <w:r>
        <w:rPr>
          <w:spacing w:val="-13"/>
        </w:rPr>
        <w:t xml:space="preserve"> </w:t>
      </w:r>
      <w:r>
        <w:t>Policy</w:t>
      </w:r>
      <w:r>
        <w:rPr>
          <w:spacing w:val="-15"/>
        </w:rPr>
        <w:t xml:space="preserve"> </w:t>
      </w:r>
      <w:r>
        <w:t>and</w:t>
      </w:r>
      <w:r>
        <w:rPr>
          <w:spacing w:val="-15"/>
        </w:rPr>
        <w:t xml:space="preserve"> </w:t>
      </w:r>
      <w:r>
        <w:t>Technical Changes to the Medicare Advantage, Medicare Cost Plan, Medicare Fee-for-Service, the Medicare Prescription Drug Benefit Programs, and the PACE Program proposed rule. Specifically, we recommend that CMS adopt several changes to the improvement mea</w:t>
      </w:r>
      <w:r>
        <w:t>sure in order to ensure that the measure rewards plans that improve their quality, while not adversely impacting consistently high-performing</w:t>
      </w:r>
      <w:r>
        <w:rPr>
          <w:spacing w:val="-28"/>
        </w:rPr>
        <w:t xml:space="preserve"> </w:t>
      </w:r>
      <w:r>
        <w:t>plans.</w:t>
      </w:r>
    </w:p>
    <w:p w:rsidR="00805174" w:rsidRDefault="00805174">
      <w:pPr>
        <w:pStyle w:val="BodyText"/>
      </w:pPr>
    </w:p>
    <w:p w:rsidR="00805174" w:rsidRDefault="000A64A3">
      <w:pPr>
        <w:pStyle w:val="BodyText"/>
        <w:ind w:left="100" w:right="115"/>
        <w:jc w:val="both"/>
      </w:pPr>
      <w:r>
        <w:t>CMS currently calculates the improvement measures in determining a contract’s overall Star Rating using a methodology that calls for either inclusion of both Quality Improvement (QI) measures or exclusion of both</w:t>
      </w:r>
      <w:r>
        <w:rPr>
          <w:spacing w:val="-12"/>
        </w:rPr>
        <w:t xml:space="preserve"> </w:t>
      </w:r>
      <w:r>
        <w:t>QI</w:t>
      </w:r>
      <w:r>
        <w:rPr>
          <w:spacing w:val="-16"/>
        </w:rPr>
        <w:t xml:space="preserve"> </w:t>
      </w:r>
      <w:r>
        <w:t>measures.</w:t>
      </w:r>
      <w:r>
        <w:rPr>
          <w:spacing w:val="-14"/>
        </w:rPr>
        <w:t xml:space="preserve"> </w:t>
      </w:r>
      <w:r>
        <w:t>However,</w:t>
      </w:r>
      <w:r>
        <w:rPr>
          <w:spacing w:val="-12"/>
        </w:rPr>
        <w:t xml:space="preserve"> </w:t>
      </w:r>
      <w:r>
        <w:t>the</w:t>
      </w:r>
      <w:r>
        <w:rPr>
          <w:spacing w:val="-12"/>
        </w:rPr>
        <w:t xml:space="preserve"> </w:t>
      </w:r>
      <w:r>
        <w:t>current</w:t>
      </w:r>
      <w:r>
        <w:rPr>
          <w:spacing w:val="-13"/>
        </w:rPr>
        <w:t xml:space="preserve"> </w:t>
      </w:r>
      <w:r>
        <w:t>approach</w:t>
      </w:r>
      <w:r>
        <w:rPr>
          <w:spacing w:val="-14"/>
        </w:rPr>
        <w:t xml:space="preserve"> </w:t>
      </w:r>
      <w:r>
        <w:t>can</w:t>
      </w:r>
      <w:r>
        <w:rPr>
          <w:spacing w:val="-14"/>
        </w:rPr>
        <w:t xml:space="preserve"> </w:t>
      </w:r>
      <w:r>
        <w:t>potentially</w:t>
      </w:r>
      <w:r>
        <w:rPr>
          <w:spacing w:val="-14"/>
        </w:rPr>
        <w:t xml:space="preserve"> </w:t>
      </w:r>
      <w:r>
        <w:t>penalize</w:t>
      </w:r>
      <w:r>
        <w:rPr>
          <w:spacing w:val="-12"/>
        </w:rPr>
        <w:t xml:space="preserve"> </w:t>
      </w:r>
      <w:r>
        <w:t>plans</w:t>
      </w:r>
      <w:r>
        <w:rPr>
          <w:spacing w:val="-11"/>
        </w:rPr>
        <w:t xml:space="preserve"> </w:t>
      </w:r>
      <w:r>
        <w:t>who</w:t>
      </w:r>
      <w:r>
        <w:rPr>
          <w:spacing w:val="-12"/>
        </w:rPr>
        <w:t xml:space="preserve"> </w:t>
      </w:r>
      <w:r>
        <w:t>have</w:t>
      </w:r>
      <w:r>
        <w:rPr>
          <w:spacing w:val="-12"/>
        </w:rPr>
        <w:t xml:space="preserve"> </w:t>
      </w:r>
      <w:r>
        <w:t>consistently</w:t>
      </w:r>
      <w:r>
        <w:rPr>
          <w:spacing w:val="-14"/>
        </w:rPr>
        <w:t xml:space="preserve"> </w:t>
      </w:r>
      <w:r>
        <w:t>high performance in either the Part C or Part D group of measures, year over</w:t>
      </w:r>
      <w:r>
        <w:rPr>
          <w:spacing w:val="-23"/>
        </w:rPr>
        <w:t xml:space="preserve"> </w:t>
      </w:r>
      <w:r>
        <w:t>year.</w:t>
      </w:r>
    </w:p>
    <w:p w:rsidR="00805174" w:rsidRDefault="000A64A3">
      <w:pPr>
        <w:pStyle w:val="BodyText"/>
        <w:ind w:left="100" w:right="117"/>
        <w:jc w:val="both"/>
      </w:pPr>
      <w:r>
        <w:t>For example, if Plan A had high performance for Part C measures in Year 1 and maintained that high performance in Year 2</w:t>
      </w:r>
      <w:r>
        <w:t>, the QI calculated for the Part C QI would be approximately zero change, thus earning Plan A a 3 Star for the QI measure rating. Given that the QI measures (C31 and D07) have a weighting</w:t>
      </w:r>
      <w:r>
        <w:rPr>
          <w:spacing w:val="-5"/>
        </w:rPr>
        <w:t xml:space="preserve"> </w:t>
      </w:r>
      <w:r>
        <w:t>value</w:t>
      </w:r>
      <w:r>
        <w:rPr>
          <w:spacing w:val="-3"/>
        </w:rPr>
        <w:t xml:space="preserve"> </w:t>
      </w:r>
      <w:r>
        <w:t>of</w:t>
      </w:r>
      <w:r>
        <w:rPr>
          <w:spacing w:val="-4"/>
        </w:rPr>
        <w:t xml:space="preserve"> </w:t>
      </w:r>
      <w:r>
        <w:t>5,</w:t>
      </w:r>
      <w:r>
        <w:rPr>
          <w:spacing w:val="-5"/>
        </w:rPr>
        <w:t xml:space="preserve"> </w:t>
      </w:r>
      <w:r>
        <w:t>this</w:t>
      </w:r>
      <w:r>
        <w:rPr>
          <w:spacing w:val="-2"/>
        </w:rPr>
        <w:t xml:space="preserve"> </w:t>
      </w:r>
      <w:r>
        <w:t>3</w:t>
      </w:r>
      <w:r>
        <w:rPr>
          <w:spacing w:val="-4"/>
        </w:rPr>
        <w:t xml:space="preserve"> </w:t>
      </w:r>
      <w:r>
        <w:t>Star</w:t>
      </w:r>
      <w:r>
        <w:rPr>
          <w:spacing w:val="-2"/>
        </w:rPr>
        <w:t xml:space="preserve"> </w:t>
      </w:r>
      <w:r>
        <w:t>negatively</w:t>
      </w:r>
      <w:r>
        <w:rPr>
          <w:spacing w:val="-5"/>
        </w:rPr>
        <w:t xml:space="preserve"> </w:t>
      </w:r>
      <w:r>
        <w:t>effects</w:t>
      </w:r>
      <w:r>
        <w:rPr>
          <w:spacing w:val="-4"/>
        </w:rPr>
        <w:t xml:space="preserve"> </w:t>
      </w:r>
      <w:r>
        <w:t>Plan</w:t>
      </w:r>
      <w:r>
        <w:rPr>
          <w:spacing w:val="-2"/>
        </w:rPr>
        <w:t xml:space="preserve"> </w:t>
      </w:r>
      <w:r>
        <w:t>A’s</w:t>
      </w:r>
      <w:r>
        <w:rPr>
          <w:spacing w:val="-2"/>
        </w:rPr>
        <w:t xml:space="preserve"> </w:t>
      </w:r>
      <w:r>
        <w:t>Overall</w:t>
      </w:r>
      <w:r>
        <w:rPr>
          <w:spacing w:val="-1"/>
        </w:rPr>
        <w:t xml:space="preserve"> </w:t>
      </w:r>
      <w:r>
        <w:t>Star</w:t>
      </w:r>
      <w:r>
        <w:rPr>
          <w:spacing w:val="-3"/>
        </w:rPr>
        <w:t xml:space="preserve"> </w:t>
      </w:r>
      <w:r>
        <w:t>Rating.</w:t>
      </w:r>
      <w:r>
        <w:rPr>
          <w:spacing w:val="-5"/>
        </w:rPr>
        <w:t xml:space="preserve"> </w:t>
      </w:r>
      <w:r>
        <w:t>To</w:t>
      </w:r>
      <w:r>
        <w:rPr>
          <w:spacing w:val="-5"/>
        </w:rPr>
        <w:t xml:space="preserve"> </w:t>
      </w:r>
      <w:r>
        <w:t>allow</w:t>
      </w:r>
      <w:r>
        <w:rPr>
          <w:spacing w:val="-3"/>
        </w:rPr>
        <w:t xml:space="preserve"> </w:t>
      </w:r>
      <w:r>
        <w:t>plans</w:t>
      </w:r>
      <w:r>
        <w:rPr>
          <w:spacing w:val="-4"/>
        </w:rPr>
        <w:t xml:space="preserve"> </w:t>
      </w:r>
      <w:r>
        <w:t>the</w:t>
      </w:r>
      <w:r>
        <w:rPr>
          <w:spacing w:val="-4"/>
        </w:rPr>
        <w:t xml:space="preserve"> </w:t>
      </w:r>
      <w:r>
        <w:t xml:space="preserve">ability to benefit from quality improvement without penalty in the other Part C or D group of measures, CMS should calculate plans’ Star Ratings separately for Part C and Part D with and without the improvement measures to first </w:t>
      </w:r>
      <w:r>
        <w:t>determine if the corresponding QI measure should be included in the overall Star Rating calculation. Currently, the “hold harmless” methodology accounts for both QI measures together. A more appropriate approach would therefore be for CMS to calculate MA p</w:t>
      </w:r>
      <w:r>
        <w:t>lans’ Overall Star Ratings separately for Part C and Part D with and without the improvement measures to first determine if the corresponding QI measure should be included in the overall Star Rating calculation. We propose the following revision for MA-PD</w:t>
      </w:r>
      <w:r>
        <w:rPr>
          <w:spacing w:val="-4"/>
        </w:rPr>
        <w:t xml:space="preserve"> </w:t>
      </w:r>
      <w:r>
        <w:t>contracts:</w:t>
      </w:r>
    </w:p>
    <w:p w:rsidR="00805174" w:rsidRDefault="00805174">
      <w:pPr>
        <w:pStyle w:val="BodyText"/>
        <w:spacing w:before="2"/>
      </w:pPr>
    </w:p>
    <w:p w:rsidR="00805174" w:rsidRDefault="000A64A3">
      <w:pPr>
        <w:pStyle w:val="ListParagraph"/>
        <w:numPr>
          <w:ilvl w:val="1"/>
          <w:numId w:val="9"/>
        </w:numPr>
        <w:tabs>
          <w:tab w:val="left" w:pos="821"/>
        </w:tabs>
        <w:spacing w:line="252" w:lineRule="exact"/>
      </w:pPr>
      <w:r>
        <w:t>Calculate the overall rating for MA-PD contracts with just the Part C improvement</w:t>
      </w:r>
      <w:r>
        <w:rPr>
          <w:spacing w:val="-26"/>
        </w:rPr>
        <w:t xml:space="preserve"> </w:t>
      </w:r>
      <w:r>
        <w:t>measure.</w:t>
      </w:r>
    </w:p>
    <w:p w:rsidR="00805174" w:rsidRDefault="000A64A3">
      <w:pPr>
        <w:pStyle w:val="ListParagraph"/>
        <w:numPr>
          <w:ilvl w:val="1"/>
          <w:numId w:val="9"/>
        </w:numPr>
        <w:tabs>
          <w:tab w:val="left" w:pos="821"/>
        </w:tabs>
        <w:spacing w:line="252" w:lineRule="exact"/>
      </w:pPr>
      <w:r>
        <w:t>Calculate the overall rating for MA-PD contracts with just the Part D improvement</w:t>
      </w:r>
      <w:r>
        <w:rPr>
          <w:spacing w:val="-26"/>
        </w:rPr>
        <w:t xml:space="preserve"> </w:t>
      </w:r>
      <w:r>
        <w:t>measure.</w:t>
      </w:r>
    </w:p>
    <w:p w:rsidR="00805174" w:rsidRDefault="000A64A3">
      <w:pPr>
        <w:pStyle w:val="ListParagraph"/>
        <w:numPr>
          <w:ilvl w:val="1"/>
          <w:numId w:val="9"/>
        </w:numPr>
        <w:tabs>
          <w:tab w:val="left" w:pos="821"/>
        </w:tabs>
        <w:spacing w:before="1"/>
        <w:ind w:right="116"/>
      </w:pPr>
      <w:r>
        <w:t xml:space="preserve">Calculate the overall rating for MA-PD contracts </w:t>
      </w:r>
      <w:r>
        <w:rPr>
          <w:i/>
        </w:rPr>
        <w:t xml:space="preserve">without </w:t>
      </w:r>
      <w:r>
        <w:t>inclu</w:t>
      </w:r>
      <w:r>
        <w:t>ding either the Part C or the Part D improvement</w:t>
      </w:r>
      <w:r>
        <w:rPr>
          <w:spacing w:val="-4"/>
        </w:rPr>
        <w:t xml:space="preserve"> </w:t>
      </w:r>
      <w:r>
        <w:t>measures.</w:t>
      </w:r>
    </w:p>
    <w:p w:rsidR="00805174" w:rsidRDefault="000A64A3">
      <w:pPr>
        <w:pStyle w:val="ListParagraph"/>
        <w:numPr>
          <w:ilvl w:val="1"/>
          <w:numId w:val="9"/>
        </w:numPr>
        <w:tabs>
          <w:tab w:val="left" w:pos="821"/>
        </w:tabs>
        <w:ind w:right="120"/>
      </w:pPr>
      <w:r>
        <w:t xml:space="preserve">Calculate the overall rating for MA-PD contracts </w:t>
      </w:r>
      <w:r>
        <w:rPr>
          <w:i/>
        </w:rPr>
        <w:t xml:space="preserve">with both </w:t>
      </w:r>
      <w:r>
        <w:t>the Part C and Part D improvement measures.</w:t>
      </w:r>
    </w:p>
    <w:p w:rsidR="00805174" w:rsidRDefault="000A64A3">
      <w:pPr>
        <w:pStyle w:val="ListParagraph"/>
        <w:numPr>
          <w:ilvl w:val="1"/>
          <w:numId w:val="9"/>
        </w:numPr>
        <w:tabs>
          <w:tab w:val="left" w:pos="821"/>
        </w:tabs>
        <w:ind w:right="118"/>
      </w:pPr>
      <w:r>
        <w:t>If an MA-PD contract in any steps 1 through 4 has four (3.75) or more Stars, CMS should use</w:t>
      </w:r>
      <w:r>
        <w:rPr>
          <w:spacing w:val="-28"/>
        </w:rPr>
        <w:t xml:space="preserve"> </w:t>
      </w:r>
      <w:r>
        <w:t>th</w:t>
      </w:r>
      <w:r>
        <w:t>at overall rating—otherwise, CMS should use the overall rating from step</w:t>
      </w:r>
      <w:r>
        <w:rPr>
          <w:spacing w:val="-19"/>
        </w:rPr>
        <w:t xml:space="preserve"> </w:t>
      </w:r>
      <w:r>
        <w:t>4.</w:t>
      </w:r>
    </w:p>
    <w:p w:rsidR="00805174" w:rsidRDefault="00805174">
      <w:pPr>
        <w:pStyle w:val="BodyText"/>
        <w:spacing w:before="9"/>
        <w:rPr>
          <w:sz w:val="21"/>
        </w:rPr>
      </w:pPr>
    </w:p>
    <w:p w:rsidR="00805174" w:rsidRDefault="000A64A3">
      <w:pPr>
        <w:ind w:left="100"/>
        <w:jc w:val="both"/>
        <w:rPr>
          <w:i/>
        </w:rPr>
      </w:pPr>
      <w:r>
        <w:rPr>
          <w:i/>
        </w:rPr>
        <w:t>Example: Plan A (additional details included in the attached document “Partial QI Harmless Example”)</w:t>
      </w:r>
    </w:p>
    <w:p w:rsidR="00805174" w:rsidRDefault="00805174">
      <w:pPr>
        <w:pStyle w:val="BodyText"/>
        <w:spacing w:before="10"/>
        <w:rPr>
          <w:i/>
          <w:sz w:val="21"/>
        </w:rPr>
      </w:pPr>
    </w:p>
    <w:p w:rsidR="00805174" w:rsidRDefault="000A64A3">
      <w:pPr>
        <w:pStyle w:val="ListParagraph"/>
        <w:numPr>
          <w:ilvl w:val="0"/>
          <w:numId w:val="8"/>
        </w:numPr>
        <w:tabs>
          <w:tab w:val="left" w:pos="820"/>
          <w:tab w:val="left" w:pos="821"/>
        </w:tabs>
        <w:spacing w:line="269" w:lineRule="exact"/>
        <w:jc w:val="left"/>
      </w:pPr>
      <w:r>
        <w:t>Step 1: Overall rating with just Part C improvement measure =</w:t>
      </w:r>
      <w:r>
        <w:rPr>
          <w:spacing w:val="-19"/>
        </w:rPr>
        <w:t xml:space="preserve"> </w:t>
      </w:r>
      <w:r>
        <w:t>3.783</w:t>
      </w:r>
    </w:p>
    <w:p w:rsidR="00805174" w:rsidRDefault="000A64A3">
      <w:pPr>
        <w:pStyle w:val="ListParagraph"/>
        <w:numPr>
          <w:ilvl w:val="0"/>
          <w:numId w:val="8"/>
        </w:numPr>
        <w:tabs>
          <w:tab w:val="left" w:pos="820"/>
          <w:tab w:val="left" w:pos="821"/>
        </w:tabs>
        <w:spacing w:line="269" w:lineRule="exact"/>
        <w:jc w:val="left"/>
      </w:pPr>
      <w:r>
        <w:t>Step 2: O</w:t>
      </w:r>
      <w:r>
        <w:t>verall rating with just Part D improvement measure =</w:t>
      </w:r>
      <w:r>
        <w:rPr>
          <w:spacing w:val="-20"/>
        </w:rPr>
        <w:t xml:space="preserve"> </w:t>
      </w:r>
      <w:r>
        <w:t>3.628</w:t>
      </w:r>
    </w:p>
    <w:p w:rsidR="00805174" w:rsidRDefault="000A64A3">
      <w:pPr>
        <w:pStyle w:val="ListParagraph"/>
        <w:numPr>
          <w:ilvl w:val="0"/>
          <w:numId w:val="8"/>
        </w:numPr>
        <w:tabs>
          <w:tab w:val="left" w:pos="820"/>
          <w:tab w:val="left" w:pos="821"/>
        </w:tabs>
        <w:spacing w:line="269" w:lineRule="exact"/>
        <w:jc w:val="left"/>
      </w:pPr>
      <w:r>
        <w:t>Step 3: Overall rating without either improvement measure =</w:t>
      </w:r>
      <w:r>
        <w:rPr>
          <w:spacing w:val="-23"/>
        </w:rPr>
        <w:t xml:space="preserve"> </w:t>
      </w:r>
      <w:r>
        <w:t>3.681</w:t>
      </w:r>
    </w:p>
    <w:p w:rsidR="00805174" w:rsidRDefault="000A64A3">
      <w:pPr>
        <w:pStyle w:val="ListParagraph"/>
        <w:numPr>
          <w:ilvl w:val="0"/>
          <w:numId w:val="8"/>
        </w:numPr>
        <w:tabs>
          <w:tab w:val="left" w:pos="820"/>
          <w:tab w:val="left" w:pos="821"/>
        </w:tabs>
        <w:spacing w:line="269" w:lineRule="exact"/>
        <w:jc w:val="left"/>
      </w:pPr>
      <w:r>
        <w:t>Step 4: Overall rating with both improvement measures =</w:t>
      </w:r>
      <w:r>
        <w:rPr>
          <w:spacing w:val="-21"/>
        </w:rPr>
        <w:t xml:space="preserve"> </w:t>
      </w:r>
      <w:r>
        <w:t>3.727</w:t>
      </w:r>
    </w:p>
    <w:p w:rsidR="00805174" w:rsidRDefault="000A64A3">
      <w:pPr>
        <w:pStyle w:val="ListParagraph"/>
        <w:numPr>
          <w:ilvl w:val="0"/>
          <w:numId w:val="8"/>
        </w:numPr>
        <w:tabs>
          <w:tab w:val="left" w:pos="820"/>
          <w:tab w:val="left" w:pos="821"/>
        </w:tabs>
        <w:spacing w:line="269" w:lineRule="exact"/>
        <w:jc w:val="left"/>
      </w:pPr>
      <w:r>
        <w:t>Step 5: Use overall rating from Step 1 (include only the Part C impro</w:t>
      </w:r>
      <w:r>
        <w:t>vement measure) =</w:t>
      </w:r>
      <w:r>
        <w:rPr>
          <w:spacing w:val="-27"/>
        </w:rPr>
        <w:t xml:space="preserve"> </w:t>
      </w:r>
      <w:r>
        <w:t>3.783</w:t>
      </w:r>
    </w:p>
    <w:p w:rsidR="00805174" w:rsidRDefault="00805174">
      <w:pPr>
        <w:pStyle w:val="BodyText"/>
        <w:spacing w:before="2"/>
      </w:pPr>
    </w:p>
    <w:p w:rsidR="00805174" w:rsidRDefault="000A64A3">
      <w:pPr>
        <w:pStyle w:val="BodyText"/>
        <w:ind w:left="100" w:right="112"/>
        <w:jc w:val="both"/>
      </w:pPr>
      <w:r>
        <w:t>CMS’ methodology for how the QI measures are calculated (C31 and D07) should also be modified to include</w:t>
      </w:r>
      <w:r>
        <w:rPr>
          <w:spacing w:val="-6"/>
        </w:rPr>
        <w:t xml:space="preserve"> </w:t>
      </w:r>
      <w:r>
        <w:t>measures</w:t>
      </w:r>
      <w:r>
        <w:rPr>
          <w:spacing w:val="-5"/>
        </w:rPr>
        <w:t xml:space="preserve"> </w:t>
      </w:r>
      <w:r>
        <w:t>for</w:t>
      </w:r>
      <w:r>
        <w:rPr>
          <w:spacing w:val="-5"/>
        </w:rPr>
        <w:t xml:space="preserve"> </w:t>
      </w:r>
      <w:r>
        <w:t>which</w:t>
      </w:r>
      <w:r>
        <w:rPr>
          <w:spacing w:val="-6"/>
        </w:rPr>
        <w:t xml:space="preserve"> </w:t>
      </w:r>
      <w:r>
        <w:t>plans</w:t>
      </w:r>
      <w:r>
        <w:rPr>
          <w:spacing w:val="-5"/>
        </w:rPr>
        <w:t xml:space="preserve"> </w:t>
      </w:r>
      <w:r>
        <w:t>achieved</w:t>
      </w:r>
      <w:r>
        <w:rPr>
          <w:spacing w:val="-6"/>
        </w:rPr>
        <w:t xml:space="preserve"> </w:t>
      </w:r>
      <w:r>
        <w:t>and</w:t>
      </w:r>
      <w:r>
        <w:rPr>
          <w:spacing w:val="-3"/>
        </w:rPr>
        <w:t xml:space="preserve"> </w:t>
      </w:r>
      <w:r>
        <w:t>maintained</w:t>
      </w:r>
      <w:r>
        <w:rPr>
          <w:spacing w:val="-3"/>
        </w:rPr>
        <w:t xml:space="preserve"> </w:t>
      </w:r>
      <w:r>
        <w:t>at</w:t>
      </w:r>
      <w:r>
        <w:rPr>
          <w:spacing w:val="-5"/>
        </w:rPr>
        <w:t xml:space="preserve"> </w:t>
      </w:r>
      <w:r>
        <w:t>least</w:t>
      </w:r>
      <w:r>
        <w:rPr>
          <w:spacing w:val="-5"/>
        </w:rPr>
        <w:t xml:space="preserve"> </w:t>
      </w:r>
      <w:r>
        <w:t>4</w:t>
      </w:r>
      <w:r>
        <w:rPr>
          <w:spacing w:val="-6"/>
        </w:rPr>
        <w:t xml:space="preserve"> </w:t>
      </w:r>
      <w:r>
        <w:t>Stars</w:t>
      </w:r>
      <w:r>
        <w:rPr>
          <w:spacing w:val="-6"/>
        </w:rPr>
        <w:t xml:space="preserve"> </w:t>
      </w:r>
      <w:r>
        <w:t>in</w:t>
      </w:r>
      <w:r>
        <w:rPr>
          <w:spacing w:val="-6"/>
        </w:rPr>
        <w:t xml:space="preserve"> </w:t>
      </w:r>
      <w:r>
        <w:t>the</w:t>
      </w:r>
      <w:r>
        <w:rPr>
          <w:spacing w:val="-6"/>
        </w:rPr>
        <w:t xml:space="preserve"> </w:t>
      </w:r>
      <w:r>
        <w:t>“hold</w:t>
      </w:r>
      <w:r>
        <w:rPr>
          <w:spacing w:val="-6"/>
        </w:rPr>
        <w:t xml:space="preserve"> </w:t>
      </w:r>
      <w:r>
        <w:t>harmless”</w:t>
      </w:r>
      <w:r>
        <w:rPr>
          <w:spacing w:val="-6"/>
        </w:rPr>
        <w:t xml:space="preserve"> </w:t>
      </w:r>
      <w:r>
        <w:t>category. Though CMS compares year-over-year performance for all QI-eligible measures, the “hold harmless” provision only applies to those measures for which a plan scored 5 Stars for both years in the comparison (and are therefore deemed by CMS to be “not</w:t>
      </w:r>
      <w:r>
        <w:t xml:space="preserve"> applicable” to the QI calculation). This deviates from the general rule CMS follows for “hold harmless,” where plans earning 4 Stars or higher are deemed “high performing.”</w:t>
      </w:r>
      <w:r>
        <w:rPr>
          <w:spacing w:val="-9"/>
        </w:rPr>
        <w:t xml:space="preserve"> </w:t>
      </w:r>
      <w:r>
        <w:t>Including</w:t>
      </w:r>
      <w:r>
        <w:rPr>
          <w:spacing w:val="-12"/>
        </w:rPr>
        <w:t xml:space="preserve"> </w:t>
      </w:r>
      <w:r>
        <w:t>measures</w:t>
      </w:r>
      <w:r>
        <w:rPr>
          <w:spacing w:val="-9"/>
        </w:rPr>
        <w:t xml:space="preserve"> </w:t>
      </w:r>
      <w:r>
        <w:t>with</w:t>
      </w:r>
      <w:r>
        <w:rPr>
          <w:spacing w:val="-10"/>
        </w:rPr>
        <w:t xml:space="preserve"> </w:t>
      </w:r>
      <w:r>
        <w:t>4</w:t>
      </w:r>
      <w:r>
        <w:rPr>
          <w:spacing w:val="-12"/>
        </w:rPr>
        <w:t xml:space="preserve"> </w:t>
      </w:r>
      <w:r>
        <w:t>Stars</w:t>
      </w:r>
      <w:r>
        <w:rPr>
          <w:spacing w:val="-12"/>
        </w:rPr>
        <w:t xml:space="preserve"> </w:t>
      </w:r>
      <w:r>
        <w:t>in</w:t>
      </w:r>
      <w:r>
        <w:rPr>
          <w:spacing w:val="-12"/>
        </w:rPr>
        <w:t xml:space="preserve"> </w:t>
      </w:r>
      <w:r>
        <w:t>both</w:t>
      </w:r>
      <w:r>
        <w:rPr>
          <w:spacing w:val="-10"/>
        </w:rPr>
        <w:t xml:space="preserve"> </w:t>
      </w:r>
      <w:r>
        <w:t>years</w:t>
      </w:r>
      <w:r>
        <w:rPr>
          <w:spacing w:val="-9"/>
        </w:rPr>
        <w:t xml:space="preserve"> </w:t>
      </w:r>
      <w:r>
        <w:t>would</w:t>
      </w:r>
      <w:r>
        <w:rPr>
          <w:spacing w:val="-12"/>
        </w:rPr>
        <w:t xml:space="preserve"> </w:t>
      </w:r>
      <w:r>
        <w:t>be</w:t>
      </w:r>
      <w:r>
        <w:rPr>
          <w:spacing w:val="-12"/>
        </w:rPr>
        <w:t xml:space="preserve"> </w:t>
      </w:r>
      <w:r>
        <w:t>a</w:t>
      </w:r>
      <w:r>
        <w:rPr>
          <w:spacing w:val="-5"/>
        </w:rPr>
        <w:t xml:space="preserve"> </w:t>
      </w:r>
      <w:r>
        <w:t>more</w:t>
      </w:r>
      <w:r>
        <w:rPr>
          <w:spacing w:val="-9"/>
        </w:rPr>
        <w:t xml:space="preserve"> </w:t>
      </w:r>
      <w:r>
        <w:t>appropriate</w:t>
      </w:r>
      <w:r>
        <w:rPr>
          <w:spacing w:val="-12"/>
        </w:rPr>
        <w:t xml:space="preserve"> </w:t>
      </w:r>
      <w:r>
        <w:t>approach</w:t>
      </w:r>
      <w:r>
        <w:t>.</w:t>
      </w:r>
      <w:r>
        <w:rPr>
          <w:spacing w:val="-7"/>
        </w:rPr>
        <w:t xml:space="preserve"> </w:t>
      </w:r>
      <w:r>
        <w:t>Anthem recommends that CMS either adjust its methodology and assign “not applicable” when determining “Improvement, Decline, or No Change” (see Column U in the QI template) for measures that increased</w:t>
      </w:r>
      <w:r>
        <w:rPr>
          <w:spacing w:val="11"/>
        </w:rPr>
        <w:t xml:space="preserve"> </w:t>
      </w:r>
      <w:r>
        <w:t>in</w:t>
      </w:r>
    </w:p>
    <w:p w:rsidR="00805174" w:rsidRDefault="00805174">
      <w:pPr>
        <w:jc w:val="both"/>
        <w:sectPr w:rsidR="00805174">
          <w:footerReference w:type="default" r:id="rId14"/>
          <w:pgSz w:w="12240" w:h="15840"/>
          <w:pgMar w:top="1360" w:right="1320" w:bottom="1200" w:left="1340" w:header="0" w:footer="1015" w:gutter="0"/>
          <w:cols w:space="720"/>
        </w:sectPr>
      </w:pPr>
    </w:p>
    <w:p w:rsidR="00805174" w:rsidRDefault="000A64A3">
      <w:pPr>
        <w:pStyle w:val="BodyText"/>
        <w:spacing w:before="74"/>
        <w:ind w:left="120" w:right="114"/>
        <w:jc w:val="both"/>
      </w:pPr>
      <w:r>
        <w:lastRenderedPageBreak/>
        <w:t>Star Ratings for year two of</w:t>
      </w:r>
      <w:r>
        <w:t xml:space="preserve"> the comparison, </w:t>
      </w:r>
      <w:r>
        <w:rPr>
          <w:u w:val="single"/>
        </w:rPr>
        <w:t xml:space="preserve">or </w:t>
      </w:r>
      <w:r>
        <w:t>add these measures to the “hold harmless” provision. Because the “hold harmless” provision is tied to raw rates, and does not take into account the actual Star Rating earned (except in cases when a plan earned a 5 Star Rating in the pri</w:t>
      </w:r>
      <w:r>
        <w:t>or year)—combined with the fact</w:t>
      </w:r>
      <w:r>
        <w:rPr>
          <w:spacing w:val="-13"/>
        </w:rPr>
        <w:t xml:space="preserve"> </w:t>
      </w:r>
      <w:r>
        <w:t>that</w:t>
      </w:r>
      <w:r>
        <w:rPr>
          <w:spacing w:val="-13"/>
        </w:rPr>
        <w:t xml:space="preserve"> </w:t>
      </w:r>
      <w:r>
        <w:t>CMS</w:t>
      </w:r>
      <w:r>
        <w:rPr>
          <w:spacing w:val="-13"/>
        </w:rPr>
        <w:t xml:space="preserve"> </w:t>
      </w:r>
      <w:r>
        <w:t>uses</w:t>
      </w:r>
      <w:r>
        <w:rPr>
          <w:spacing w:val="-13"/>
        </w:rPr>
        <w:t xml:space="preserve"> </w:t>
      </w:r>
      <w:r>
        <w:t>a</w:t>
      </w:r>
      <w:r>
        <w:rPr>
          <w:spacing w:val="-13"/>
        </w:rPr>
        <w:t xml:space="preserve"> </w:t>
      </w:r>
      <w:r>
        <w:t>clustering</w:t>
      </w:r>
      <w:r>
        <w:rPr>
          <w:spacing w:val="-16"/>
        </w:rPr>
        <w:t xml:space="preserve"> </w:t>
      </w:r>
      <w:r>
        <w:t>methodology</w:t>
      </w:r>
      <w:r>
        <w:rPr>
          <w:spacing w:val="-16"/>
        </w:rPr>
        <w:t xml:space="preserve"> </w:t>
      </w:r>
      <w:r>
        <w:t>for</w:t>
      </w:r>
      <w:r>
        <w:rPr>
          <w:spacing w:val="-13"/>
        </w:rPr>
        <w:t xml:space="preserve"> </w:t>
      </w:r>
      <w:r>
        <w:t>the</w:t>
      </w:r>
      <w:r>
        <w:rPr>
          <w:spacing w:val="-15"/>
        </w:rPr>
        <w:t xml:space="preserve"> </w:t>
      </w:r>
      <w:r>
        <w:t>cut</w:t>
      </w:r>
      <w:r>
        <w:rPr>
          <w:spacing w:val="-14"/>
        </w:rPr>
        <w:t xml:space="preserve"> </w:t>
      </w:r>
      <w:r>
        <w:t>points—a</w:t>
      </w:r>
      <w:r>
        <w:rPr>
          <w:spacing w:val="-13"/>
        </w:rPr>
        <w:t xml:space="preserve"> </w:t>
      </w:r>
      <w:r>
        <w:t>plan</w:t>
      </w:r>
      <w:r>
        <w:rPr>
          <w:spacing w:val="-13"/>
        </w:rPr>
        <w:t xml:space="preserve"> </w:t>
      </w:r>
      <w:r>
        <w:t>can</w:t>
      </w:r>
      <w:r>
        <w:rPr>
          <w:spacing w:val="-13"/>
        </w:rPr>
        <w:t xml:space="preserve"> </w:t>
      </w:r>
      <w:r>
        <w:t>improve</w:t>
      </w:r>
      <w:r>
        <w:rPr>
          <w:spacing w:val="-13"/>
        </w:rPr>
        <w:t xml:space="preserve"> </w:t>
      </w:r>
      <w:r>
        <w:t>its</w:t>
      </w:r>
      <w:r>
        <w:rPr>
          <w:spacing w:val="-15"/>
        </w:rPr>
        <w:t xml:space="preserve"> </w:t>
      </w:r>
      <w:r>
        <w:t>“earned”</w:t>
      </w:r>
      <w:r>
        <w:rPr>
          <w:spacing w:val="-13"/>
        </w:rPr>
        <w:t xml:space="preserve"> </w:t>
      </w:r>
      <w:r>
        <w:t>Star</w:t>
      </w:r>
      <w:r>
        <w:rPr>
          <w:spacing w:val="-13"/>
        </w:rPr>
        <w:t xml:space="preserve"> </w:t>
      </w:r>
      <w:r>
        <w:t>Rating while</w:t>
      </w:r>
      <w:r>
        <w:rPr>
          <w:spacing w:val="-9"/>
        </w:rPr>
        <w:t xml:space="preserve"> </w:t>
      </w:r>
      <w:r>
        <w:t>its</w:t>
      </w:r>
      <w:r>
        <w:rPr>
          <w:spacing w:val="-9"/>
        </w:rPr>
        <w:t xml:space="preserve"> </w:t>
      </w:r>
      <w:r>
        <w:t>raw</w:t>
      </w:r>
      <w:r>
        <w:rPr>
          <w:spacing w:val="-10"/>
        </w:rPr>
        <w:t xml:space="preserve"> </w:t>
      </w:r>
      <w:r>
        <w:t>rate</w:t>
      </w:r>
      <w:r>
        <w:rPr>
          <w:spacing w:val="-7"/>
        </w:rPr>
        <w:t xml:space="preserve"> </w:t>
      </w:r>
      <w:r>
        <w:t>declines</w:t>
      </w:r>
      <w:r>
        <w:rPr>
          <w:spacing w:val="-6"/>
        </w:rPr>
        <w:t xml:space="preserve"> </w:t>
      </w:r>
      <w:r>
        <w:t>year-over-year.</w:t>
      </w:r>
      <w:r>
        <w:rPr>
          <w:spacing w:val="-10"/>
        </w:rPr>
        <w:t xml:space="preserve"> </w:t>
      </w:r>
      <w:r>
        <w:t>This</w:t>
      </w:r>
      <w:r>
        <w:rPr>
          <w:spacing w:val="-6"/>
        </w:rPr>
        <w:t xml:space="preserve"> </w:t>
      </w:r>
      <w:r>
        <w:t>can</w:t>
      </w:r>
      <w:r>
        <w:rPr>
          <w:spacing w:val="-9"/>
        </w:rPr>
        <w:t xml:space="preserve"> </w:t>
      </w:r>
      <w:r>
        <w:t>lead</w:t>
      </w:r>
      <w:r>
        <w:rPr>
          <w:spacing w:val="-10"/>
        </w:rPr>
        <w:t xml:space="preserve"> </w:t>
      </w:r>
      <w:r>
        <w:t>to</w:t>
      </w:r>
      <w:r>
        <w:rPr>
          <w:spacing w:val="-10"/>
        </w:rPr>
        <w:t xml:space="preserve"> </w:t>
      </w:r>
      <w:r>
        <w:t>a</w:t>
      </w:r>
      <w:r>
        <w:rPr>
          <w:spacing w:val="-7"/>
        </w:rPr>
        <w:t xml:space="preserve"> </w:t>
      </w:r>
      <w:r>
        <w:t>“significant</w:t>
      </w:r>
      <w:r>
        <w:rPr>
          <w:spacing w:val="-8"/>
        </w:rPr>
        <w:t xml:space="preserve"> </w:t>
      </w:r>
      <w:r>
        <w:t>decline”</w:t>
      </w:r>
      <w:r>
        <w:rPr>
          <w:spacing w:val="-9"/>
        </w:rPr>
        <w:t xml:space="preserve"> </w:t>
      </w:r>
      <w:r>
        <w:t>in</w:t>
      </w:r>
      <w:r>
        <w:rPr>
          <w:spacing w:val="-10"/>
        </w:rPr>
        <w:t xml:space="preserve"> </w:t>
      </w:r>
      <w:r>
        <w:t>the</w:t>
      </w:r>
      <w:r>
        <w:rPr>
          <w:spacing w:val="-9"/>
        </w:rPr>
        <w:t xml:space="preserve"> </w:t>
      </w:r>
      <w:r>
        <w:t>QI</w:t>
      </w:r>
      <w:r>
        <w:rPr>
          <w:spacing w:val="-11"/>
        </w:rPr>
        <w:t xml:space="preserve"> </w:t>
      </w:r>
      <w:r>
        <w:t>calculation.</w:t>
      </w:r>
      <w:r>
        <w:rPr>
          <w:spacing w:val="-2"/>
        </w:rPr>
        <w:t xml:space="preserve"> </w:t>
      </w:r>
      <w:r>
        <w:t>For example: Plan A earned 4 Stars on the Complaints Tracking Module (CMT) with a rate of 0.088 in 2017, and earned 5 Stars with a CTM rate of 0.142 in 2018. Because a lower score on this measure is preferable to a higher score, Plan A actually had a highe</w:t>
      </w:r>
      <w:r>
        <w:t>r complaint rate in 2018, but earned a higher Star Rating. Since the QI calculation is based on raw rate performance, it results in a “significant decline.” We urge CMS to implement our recommended modification to this component of the</w:t>
      </w:r>
      <w:r>
        <w:rPr>
          <w:spacing w:val="-29"/>
        </w:rPr>
        <w:t xml:space="preserve"> </w:t>
      </w:r>
      <w:r>
        <w:t>methodology.</w:t>
      </w:r>
    </w:p>
    <w:p w:rsidR="00805174" w:rsidRDefault="00805174">
      <w:pPr>
        <w:pStyle w:val="BodyText"/>
        <w:spacing w:before="9"/>
        <w:rPr>
          <w:sz w:val="21"/>
        </w:rPr>
      </w:pPr>
    </w:p>
    <w:p w:rsidR="00805174" w:rsidRDefault="000A64A3">
      <w:pPr>
        <w:pStyle w:val="BodyText"/>
        <w:ind w:left="120" w:right="115"/>
        <w:jc w:val="both"/>
        <w:rPr>
          <w:sz w:val="14"/>
        </w:rPr>
      </w:pPr>
      <w:r>
        <w:t>Furthe</w:t>
      </w:r>
      <w:r>
        <w:t>rmore, all MA plans that are subject to the improvement measure should be allowed to benefit from it. Anthem does not support any proposal that would limit the application of the improvement measure to only those plans with Star Ratings greater than 2.5 St</w:t>
      </w:r>
      <w:r>
        <w:t xml:space="preserve">ars (or any other minimum threshold). Limiting the measure to only plans with more than 2.5 Stars goes against the objective of the improvement measure in encouraging and rewarding improvements in performance, particularly among lower-rated plans. This is </w:t>
      </w:r>
      <w:r>
        <w:t>important</w:t>
      </w:r>
      <w:r>
        <w:rPr>
          <w:spacing w:val="-9"/>
        </w:rPr>
        <w:t xml:space="preserve"> </w:t>
      </w:r>
      <w:r>
        <w:t>because</w:t>
      </w:r>
      <w:r>
        <w:rPr>
          <w:spacing w:val="-9"/>
        </w:rPr>
        <w:t xml:space="preserve"> </w:t>
      </w:r>
      <w:r>
        <w:t>plans</w:t>
      </w:r>
      <w:r>
        <w:rPr>
          <w:spacing w:val="-9"/>
        </w:rPr>
        <w:t xml:space="preserve"> </w:t>
      </w:r>
      <w:r>
        <w:t>with</w:t>
      </w:r>
      <w:r>
        <w:rPr>
          <w:spacing w:val="-10"/>
        </w:rPr>
        <w:t xml:space="preserve"> </w:t>
      </w:r>
      <w:r>
        <w:t>2.5</w:t>
      </w:r>
      <w:r>
        <w:rPr>
          <w:spacing w:val="-10"/>
        </w:rPr>
        <w:t xml:space="preserve"> </w:t>
      </w:r>
      <w:r>
        <w:t>Stars</w:t>
      </w:r>
      <w:r>
        <w:rPr>
          <w:spacing w:val="-9"/>
        </w:rPr>
        <w:t xml:space="preserve"> </w:t>
      </w:r>
      <w:r>
        <w:t>may</w:t>
      </w:r>
      <w:r>
        <w:rPr>
          <w:spacing w:val="-12"/>
        </w:rPr>
        <w:t xml:space="preserve"> </w:t>
      </w:r>
      <w:r>
        <w:t>have</w:t>
      </w:r>
      <w:r>
        <w:rPr>
          <w:spacing w:val="-9"/>
        </w:rPr>
        <w:t xml:space="preserve"> </w:t>
      </w:r>
      <w:r>
        <w:t>a</w:t>
      </w:r>
      <w:r>
        <w:rPr>
          <w:spacing w:val="-9"/>
        </w:rPr>
        <w:t xml:space="preserve"> </w:t>
      </w:r>
      <w:r>
        <w:t>disproportionate</w:t>
      </w:r>
      <w:r>
        <w:rPr>
          <w:spacing w:val="-12"/>
        </w:rPr>
        <w:t xml:space="preserve"> </w:t>
      </w:r>
      <w:r>
        <w:t>share</w:t>
      </w:r>
      <w:r>
        <w:rPr>
          <w:spacing w:val="-9"/>
        </w:rPr>
        <w:t xml:space="preserve"> </w:t>
      </w:r>
      <w:r>
        <w:t>of</w:t>
      </w:r>
      <w:r>
        <w:rPr>
          <w:spacing w:val="-9"/>
        </w:rPr>
        <w:t xml:space="preserve"> </w:t>
      </w:r>
      <w:r>
        <w:t>members</w:t>
      </w:r>
      <w:r>
        <w:rPr>
          <w:spacing w:val="-9"/>
        </w:rPr>
        <w:t xml:space="preserve"> </w:t>
      </w:r>
      <w:r>
        <w:t>who</w:t>
      </w:r>
      <w:r>
        <w:rPr>
          <w:spacing w:val="-10"/>
        </w:rPr>
        <w:t xml:space="preserve"> </w:t>
      </w:r>
      <w:r>
        <w:t>are</w:t>
      </w:r>
      <w:r>
        <w:rPr>
          <w:spacing w:val="-9"/>
        </w:rPr>
        <w:t xml:space="preserve"> </w:t>
      </w:r>
      <w:r>
        <w:t>low</w:t>
      </w:r>
      <w:r>
        <w:rPr>
          <w:spacing w:val="-11"/>
        </w:rPr>
        <w:t xml:space="preserve"> </w:t>
      </w:r>
      <w:r>
        <w:t>income, have low health literacy, or who are otherwise vulnerable and more difficult to reach. As a result, these plans may be struggling to make strides in the Star Ratings and should not be further disadvantaged by being excluded from the improvement</w:t>
      </w:r>
      <w:r>
        <w:rPr>
          <w:spacing w:val="-11"/>
        </w:rPr>
        <w:t xml:space="preserve"> </w:t>
      </w:r>
      <w:r>
        <w:t>mea</w:t>
      </w:r>
      <w:r>
        <w:t>sure.</w:t>
      </w:r>
      <w:r>
        <w:rPr>
          <w:position w:val="8"/>
          <w:sz w:val="14"/>
        </w:rPr>
        <w:t>3</w:t>
      </w:r>
    </w:p>
    <w:p w:rsidR="00805174" w:rsidRDefault="00805174">
      <w:pPr>
        <w:pStyle w:val="BodyText"/>
        <w:spacing w:before="11"/>
        <w:rPr>
          <w:sz w:val="21"/>
        </w:rPr>
      </w:pPr>
    </w:p>
    <w:p w:rsidR="00805174" w:rsidRDefault="000A64A3">
      <w:pPr>
        <w:pStyle w:val="BodyText"/>
        <w:ind w:left="120" w:right="114"/>
        <w:jc w:val="both"/>
      </w:pPr>
      <w:r>
        <w:t>Finally, the Consumer Assessment of Healthcare Providers and Systems (CAHPS) and Health Outcomes Survey (HOS) measures should be removed from the improvement factor calculation because survey data are based on respondents’ perceptions of their heal</w:t>
      </w:r>
      <w:r>
        <w:t>th status and thus are not a true reflection of plan performance</w:t>
      </w:r>
      <w:r>
        <w:rPr>
          <w:spacing w:val="-9"/>
        </w:rPr>
        <w:t xml:space="preserve"> </w:t>
      </w:r>
      <w:r>
        <w:t>or</w:t>
      </w:r>
      <w:r>
        <w:rPr>
          <w:spacing w:val="-9"/>
        </w:rPr>
        <w:t xml:space="preserve"> </w:t>
      </w:r>
      <w:r>
        <w:t>members’</w:t>
      </w:r>
      <w:r>
        <w:rPr>
          <w:spacing w:val="-8"/>
        </w:rPr>
        <w:t xml:space="preserve"> </w:t>
      </w:r>
      <w:r>
        <w:t>outcomes.</w:t>
      </w:r>
      <w:r>
        <w:rPr>
          <w:spacing w:val="-10"/>
        </w:rPr>
        <w:t xml:space="preserve"> </w:t>
      </w:r>
      <w:r>
        <w:t>Plans</w:t>
      </w:r>
      <w:r>
        <w:rPr>
          <w:spacing w:val="-11"/>
        </w:rPr>
        <w:t xml:space="preserve"> </w:t>
      </w:r>
      <w:r>
        <w:t>should</w:t>
      </w:r>
      <w:r>
        <w:rPr>
          <w:spacing w:val="-10"/>
        </w:rPr>
        <w:t xml:space="preserve"> </w:t>
      </w:r>
      <w:r>
        <w:t>not</w:t>
      </w:r>
      <w:r>
        <w:rPr>
          <w:spacing w:val="-11"/>
        </w:rPr>
        <w:t xml:space="preserve"> </w:t>
      </w:r>
      <w:r>
        <w:t>be</w:t>
      </w:r>
      <w:r>
        <w:rPr>
          <w:spacing w:val="-12"/>
        </w:rPr>
        <w:t xml:space="preserve"> </w:t>
      </w:r>
      <w:r>
        <w:t>judged</w:t>
      </w:r>
      <w:r>
        <w:rPr>
          <w:spacing w:val="-12"/>
        </w:rPr>
        <w:t xml:space="preserve"> </w:t>
      </w:r>
      <w:r>
        <w:t>on</w:t>
      </w:r>
      <w:r>
        <w:rPr>
          <w:spacing w:val="-10"/>
        </w:rPr>
        <w:t xml:space="preserve"> </w:t>
      </w:r>
      <w:r>
        <w:t>perceptions,</w:t>
      </w:r>
      <w:r>
        <w:rPr>
          <w:spacing w:val="-10"/>
        </w:rPr>
        <w:t xml:space="preserve"> </w:t>
      </w:r>
      <w:r>
        <w:t>but</w:t>
      </w:r>
      <w:r>
        <w:rPr>
          <w:spacing w:val="-11"/>
        </w:rPr>
        <w:t xml:space="preserve"> </w:t>
      </w:r>
      <w:r>
        <w:t>rather</w:t>
      </w:r>
      <w:r>
        <w:rPr>
          <w:spacing w:val="-9"/>
        </w:rPr>
        <w:t xml:space="preserve"> </w:t>
      </w:r>
      <w:r>
        <w:t>on</w:t>
      </w:r>
      <w:r>
        <w:rPr>
          <w:spacing w:val="-12"/>
        </w:rPr>
        <w:t xml:space="preserve"> </w:t>
      </w:r>
      <w:r>
        <w:t>objective</w:t>
      </w:r>
      <w:r>
        <w:rPr>
          <w:spacing w:val="-9"/>
        </w:rPr>
        <w:t xml:space="preserve"> </w:t>
      </w:r>
      <w:r>
        <w:t>and clinically relevant outcomes. We also note that CMS has had challenges with its CAHPS vendor in re</w:t>
      </w:r>
      <w:r>
        <w:t xml:space="preserve">cent years, particularly around sample selection, causing us to appeal our results as not statistically valid. If performed inconsistently, the improvement comparison will not be valid—further emphasizing the importance of excluding CAHPS and HOS measures </w:t>
      </w:r>
      <w:r>
        <w:t>from this</w:t>
      </w:r>
      <w:r>
        <w:rPr>
          <w:spacing w:val="-23"/>
        </w:rPr>
        <w:t xml:space="preserve"> </w:t>
      </w:r>
      <w:r>
        <w:t>calculation.</w:t>
      </w:r>
    </w:p>
    <w:p w:rsidR="00805174" w:rsidRDefault="00805174">
      <w:pPr>
        <w:pStyle w:val="BodyText"/>
      </w:pPr>
    </w:p>
    <w:p w:rsidR="00805174" w:rsidRDefault="000A64A3">
      <w:pPr>
        <w:ind w:left="120" w:right="121"/>
        <w:jc w:val="both"/>
        <w:rPr>
          <w:i/>
        </w:rPr>
      </w:pPr>
      <w:r>
        <w:rPr>
          <w:i/>
        </w:rPr>
        <w:t>Medication Adherence for Hypertension (RAS Antagonists), Medication Adherence for Diabetes Medications</w:t>
      </w:r>
    </w:p>
    <w:p w:rsidR="00805174" w:rsidRDefault="00805174">
      <w:pPr>
        <w:pStyle w:val="BodyText"/>
        <w:spacing w:before="9"/>
        <w:rPr>
          <w:i/>
          <w:sz w:val="21"/>
        </w:rPr>
      </w:pPr>
    </w:p>
    <w:p w:rsidR="00805174" w:rsidRDefault="000A64A3">
      <w:pPr>
        <w:pStyle w:val="BodyText"/>
        <w:ind w:left="120" w:right="122"/>
        <w:jc w:val="both"/>
      </w:pPr>
      <w:r>
        <w:t>Anthem agrees with CMS’ proposal to expand its data sources for identifying all Part D enrollees with ESRD for exclusion from th</w:t>
      </w:r>
      <w:r>
        <w:t>is measure.</w:t>
      </w:r>
    </w:p>
    <w:p w:rsidR="00805174" w:rsidRDefault="00805174">
      <w:pPr>
        <w:pStyle w:val="BodyText"/>
      </w:pPr>
    </w:p>
    <w:p w:rsidR="00805174" w:rsidRDefault="000A64A3">
      <w:pPr>
        <w:ind w:left="120"/>
        <w:jc w:val="both"/>
        <w:rPr>
          <w:i/>
        </w:rPr>
      </w:pPr>
      <w:r>
        <w:rPr>
          <w:i/>
        </w:rPr>
        <w:t>Medicare Plan Finder (MPF) Price Accuracy</w:t>
      </w:r>
    </w:p>
    <w:p w:rsidR="00805174" w:rsidRDefault="00805174">
      <w:pPr>
        <w:pStyle w:val="BodyText"/>
        <w:spacing w:before="9"/>
        <w:rPr>
          <w:i/>
          <w:sz w:val="21"/>
        </w:rPr>
      </w:pPr>
    </w:p>
    <w:p w:rsidR="00805174" w:rsidRDefault="000A64A3">
      <w:pPr>
        <w:pStyle w:val="BodyText"/>
        <w:ind w:left="120" w:right="116"/>
        <w:jc w:val="both"/>
      </w:pPr>
      <w:r>
        <w:t>Anthem agrees that it is important to evaluate sponsors’ pricing data as used by beneficiaries, but recommends that CMS take into account the volatility of the market for pharmaceuticals and create allowances for price swings that may occur too rapidly for</w:t>
      </w:r>
      <w:r>
        <w:t xml:space="preserve"> a plan to update the MPF (or for a beneficiary to become aware of such an update). CMS may want to consider focusing on drugs or plans that are persistent outliers, rather than those with differences that can be attributed to normal market fluctuations. W</w:t>
      </w:r>
      <w:r>
        <w:t>e note that some plan contracts require pharmacies to offer their members their absolute lowest price on the day of the sale, leaving plans at the mercy of the pharmacy even though the intent and end result is a significant benefit to our members.</w:t>
      </w:r>
    </w:p>
    <w:p w:rsidR="00805174" w:rsidRDefault="00805174">
      <w:pPr>
        <w:pStyle w:val="BodyText"/>
        <w:rPr>
          <w:sz w:val="20"/>
        </w:rPr>
      </w:pPr>
    </w:p>
    <w:p w:rsidR="00805174" w:rsidRDefault="000A64A3">
      <w:pPr>
        <w:pStyle w:val="BodyText"/>
        <w:spacing w:before="6"/>
        <w:rPr>
          <w:sz w:val="24"/>
        </w:rPr>
      </w:pPr>
      <w:r>
        <w:pict>
          <v:line id="_x0000_s2051" style="position:absolute;z-index:251658240;mso-wrap-distance-left:0;mso-wrap-distance-right:0;mso-position-horizontal-relative:page" from="1in,16.45pt" to="216.05pt,16.45pt" strokeweight=".72pt">
            <w10:wrap type="topAndBottom" anchorx="page"/>
          </v:line>
        </w:pict>
      </w:r>
    </w:p>
    <w:p w:rsidR="00805174" w:rsidRDefault="000A64A3">
      <w:pPr>
        <w:spacing w:before="73"/>
        <w:ind w:left="120"/>
        <w:rPr>
          <w:rFonts w:ascii="Calibri" w:hAnsi="Calibri"/>
          <w:sz w:val="18"/>
        </w:rPr>
      </w:pPr>
      <w:r>
        <w:rPr>
          <w:rFonts w:ascii="Calibri" w:hAnsi="Calibri"/>
          <w:position w:val="5"/>
          <w:sz w:val="12"/>
        </w:rPr>
        <w:t xml:space="preserve">3 </w:t>
      </w:r>
      <w:r>
        <w:rPr>
          <w:rFonts w:ascii="Calibri" w:hAnsi="Calibri"/>
          <w:sz w:val="18"/>
        </w:rPr>
        <w:t>ASPE. “Report to Congress: Social Risk Factors and Performance Under Medicare’s Value-Based Payment Programs.”</w:t>
      </w:r>
    </w:p>
    <w:p w:rsidR="00805174" w:rsidRDefault="000A64A3">
      <w:pPr>
        <w:spacing w:before="1" w:line="219" w:lineRule="exact"/>
        <w:ind w:left="120"/>
        <w:rPr>
          <w:rFonts w:ascii="Calibri"/>
          <w:sz w:val="18"/>
        </w:rPr>
      </w:pPr>
      <w:r>
        <w:rPr>
          <w:rFonts w:ascii="Calibri"/>
          <w:sz w:val="18"/>
        </w:rPr>
        <w:t>December 21, 2016. Available at: https://aspe.hhs.gov/pdf-report/reportcongress-social-risk-factors-and-performance-under-</w:t>
      </w:r>
    </w:p>
    <w:p w:rsidR="00805174" w:rsidRDefault="000A64A3">
      <w:pPr>
        <w:spacing w:line="219" w:lineRule="exact"/>
        <w:ind w:left="120"/>
        <w:rPr>
          <w:rFonts w:ascii="Calibri"/>
          <w:sz w:val="18"/>
        </w:rPr>
      </w:pPr>
      <w:r>
        <w:rPr>
          <w:rFonts w:ascii="Calibri"/>
          <w:sz w:val="18"/>
        </w:rPr>
        <w:t>medicares-value-based-</w:t>
      </w:r>
      <w:r>
        <w:rPr>
          <w:rFonts w:ascii="Calibri"/>
          <w:sz w:val="18"/>
        </w:rPr>
        <w:t>purchasing-programs. Accessed on February 20, 2017.</w:t>
      </w:r>
    </w:p>
    <w:p w:rsidR="00805174" w:rsidRDefault="00805174">
      <w:pPr>
        <w:spacing w:line="219" w:lineRule="exact"/>
        <w:rPr>
          <w:rFonts w:ascii="Calibri"/>
          <w:sz w:val="18"/>
        </w:rPr>
        <w:sectPr w:rsidR="00805174">
          <w:footerReference w:type="default" r:id="rId15"/>
          <w:pgSz w:w="12240" w:h="15840"/>
          <w:pgMar w:top="1360" w:right="1320" w:bottom="1200" w:left="1320" w:header="0" w:footer="1015" w:gutter="0"/>
          <w:pgNumType w:start="11"/>
          <w:cols w:space="720"/>
        </w:sectPr>
      </w:pPr>
    </w:p>
    <w:p w:rsidR="00805174" w:rsidRDefault="000A64A3">
      <w:pPr>
        <w:pStyle w:val="BodyText"/>
        <w:spacing w:before="74"/>
        <w:ind w:left="100"/>
      </w:pPr>
      <w:r>
        <w:rPr>
          <w:u w:val="single"/>
        </w:rPr>
        <w:lastRenderedPageBreak/>
        <w:t>Removal of Measures from Star Ratings</w:t>
      </w:r>
    </w:p>
    <w:p w:rsidR="00805174" w:rsidRDefault="00805174">
      <w:pPr>
        <w:pStyle w:val="BodyText"/>
        <w:spacing w:before="1"/>
        <w:rPr>
          <w:sz w:val="14"/>
        </w:rPr>
      </w:pPr>
    </w:p>
    <w:p w:rsidR="00805174" w:rsidRDefault="000A64A3">
      <w:pPr>
        <w:spacing w:before="92"/>
        <w:ind w:left="100"/>
        <w:jc w:val="both"/>
        <w:rPr>
          <w:i/>
        </w:rPr>
      </w:pPr>
      <w:r>
        <w:rPr>
          <w:i/>
        </w:rPr>
        <w:t>Beneficiary Access and Performance Problems (BAPP)</w:t>
      </w:r>
    </w:p>
    <w:p w:rsidR="00805174" w:rsidRDefault="00805174">
      <w:pPr>
        <w:pStyle w:val="BodyText"/>
        <w:rPr>
          <w:i/>
        </w:rPr>
      </w:pPr>
    </w:p>
    <w:p w:rsidR="00805174" w:rsidRDefault="000A64A3">
      <w:pPr>
        <w:pStyle w:val="BodyText"/>
        <w:ind w:left="100" w:right="115"/>
        <w:jc w:val="both"/>
      </w:pPr>
      <w:r>
        <w:t>CMS’</w:t>
      </w:r>
      <w:r>
        <w:rPr>
          <w:spacing w:val="-12"/>
        </w:rPr>
        <w:t xml:space="preserve"> </w:t>
      </w:r>
      <w:r>
        <w:t>proposal</w:t>
      </w:r>
      <w:r>
        <w:rPr>
          <w:spacing w:val="-12"/>
        </w:rPr>
        <w:t xml:space="preserve"> </w:t>
      </w:r>
      <w:r>
        <w:t>to</w:t>
      </w:r>
      <w:r>
        <w:rPr>
          <w:spacing w:val="-13"/>
        </w:rPr>
        <w:t xml:space="preserve"> </w:t>
      </w:r>
      <w:r>
        <w:t>retire</w:t>
      </w:r>
      <w:r>
        <w:rPr>
          <w:spacing w:val="-15"/>
        </w:rPr>
        <w:t xml:space="preserve"> </w:t>
      </w:r>
      <w:r>
        <w:t>the</w:t>
      </w:r>
      <w:r>
        <w:rPr>
          <w:spacing w:val="-15"/>
        </w:rPr>
        <w:t xml:space="preserve"> </w:t>
      </w:r>
      <w:r>
        <w:t>current</w:t>
      </w:r>
      <w:r>
        <w:rPr>
          <w:spacing w:val="-12"/>
        </w:rPr>
        <w:t xml:space="preserve"> </w:t>
      </w:r>
      <w:r>
        <w:t>BAPP</w:t>
      </w:r>
      <w:r>
        <w:rPr>
          <w:spacing w:val="-14"/>
        </w:rPr>
        <w:t xml:space="preserve"> </w:t>
      </w:r>
      <w:r>
        <w:t>measure</w:t>
      </w:r>
      <w:r>
        <w:rPr>
          <w:spacing w:val="-15"/>
        </w:rPr>
        <w:t xml:space="preserve"> </w:t>
      </w:r>
      <w:r>
        <w:t>and</w:t>
      </w:r>
      <w:r>
        <w:rPr>
          <w:spacing w:val="-15"/>
        </w:rPr>
        <w:t xml:space="preserve"> </w:t>
      </w:r>
      <w:r>
        <w:t>to</w:t>
      </w:r>
      <w:r>
        <w:rPr>
          <w:spacing w:val="-13"/>
        </w:rPr>
        <w:t xml:space="preserve"> </w:t>
      </w:r>
      <w:r>
        <w:t>replace</w:t>
      </w:r>
      <w:r>
        <w:rPr>
          <w:spacing w:val="-13"/>
        </w:rPr>
        <w:t xml:space="preserve"> </w:t>
      </w:r>
      <w:r>
        <w:t>it</w:t>
      </w:r>
      <w:r>
        <w:rPr>
          <w:spacing w:val="-12"/>
        </w:rPr>
        <w:t xml:space="preserve"> </w:t>
      </w:r>
      <w:r>
        <w:t>with</w:t>
      </w:r>
      <w:r>
        <w:rPr>
          <w:spacing w:val="-13"/>
        </w:rPr>
        <w:t xml:space="preserve"> </w:t>
      </w:r>
      <w:r>
        <w:t>a</w:t>
      </w:r>
      <w:r>
        <w:rPr>
          <w:spacing w:val="-13"/>
        </w:rPr>
        <w:t xml:space="preserve"> </w:t>
      </w:r>
      <w:r>
        <w:t>BAPP</w:t>
      </w:r>
      <w:r>
        <w:rPr>
          <w:spacing w:val="-14"/>
        </w:rPr>
        <w:t xml:space="preserve"> </w:t>
      </w:r>
      <w:r>
        <w:t>measure</w:t>
      </w:r>
      <w:r>
        <w:rPr>
          <w:spacing w:val="-13"/>
        </w:rPr>
        <w:t xml:space="preserve"> </w:t>
      </w:r>
      <w:r>
        <w:t>that</w:t>
      </w:r>
      <w:r>
        <w:rPr>
          <w:spacing w:val="-12"/>
        </w:rPr>
        <w:t xml:space="preserve"> </w:t>
      </w:r>
      <w:r>
        <w:t>only</w:t>
      </w:r>
      <w:r>
        <w:rPr>
          <w:spacing w:val="-16"/>
        </w:rPr>
        <w:t xml:space="preserve"> </w:t>
      </w:r>
      <w:r>
        <w:t>includes Compliance Activity Module (CAM) data would appropriately ensure that the Star Ratings program and the audit program accurately reflect the issues each are independently intended to measure. It would also ensure that plans a</w:t>
      </w:r>
      <w:r>
        <w:t xml:space="preserve">re not assessed duplicative penalties. Anthem agrees with CMS’ plan to include the revised BAPP measure on the 2019 Display Page, and asks CMS to confirm that the measure will remain on until 2020, per CMS’ policy of retaining measures on the Display Page </w:t>
      </w:r>
      <w:r>
        <w:t>for a minimum of two years before introducing them as Star Ratings</w:t>
      </w:r>
      <w:r>
        <w:rPr>
          <w:spacing w:val="-15"/>
        </w:rPr>
        <w:t xml:space="preserve"> </w:t>
      </w:r>
      <w:r>
        <w:t>measures.</w:t>
      </w:r>
    </w:p>
    <w:p w:rsidR="00805174" w:rsidRDefault="00805174">
      <w:pPr>
        <w:pStyle w:val="BodyText"/>
      </w:pPr>
    </w:p>
    <w:p w:rsidR="00805174" w:rsidRDefault="000A64A3">
      <w:pPr>
        <w:pStyle w:val="BodyText"/>
        <w:ind w:left="100" w:right="113"/>
        <w:jc w:val="both"/>
      </w:pPr>
      <w:r>
        <w:rPr>
          <w:u w:val="single"/>
        </w:rPr>
        <w:t>Data Integrity and Proposed Scaled Reductions for Appeals Independent Review Entity (IRE) Data Completeness Issues</w:t>
      </w:r>
    </w:p>
    <w:p w:rsidR="00805174" w:rsidRDefault="00805174">
      <w:pPr>
        <w:pStyle w:val="BodyText"/>
        <w:spacing w:before="1"/>
        <w:rPr>
          <w:sz w:val="14"/>
        </w:rPr>
      </w:pPr>
    </w:p>
    <w:p w:rsidR="00805174" w:rsidRDefault="000A64A3">
      <w:pPr>
        <w:pStyle w:val="BodyText"/>
        <w:spacing w:before="92"/>
        <w:ind w:left="100" w:right="114"/>
        <w:jc w:val="both"/>
      </w:pPr>
      <w:r>
        <w:t>Anthem</w:t>
      </w:r>
      <w:r>
        <w:rPr>
          <w:spacing w:val="-8"/>
        </w:rPr>
        <w:t xml:space="preserve"> </w:t>
      </w:r>
      <w:r>
        <w:t>supports</w:t>
      </w:r>
      <w:r>
        <w:rPr>
          <w:spacing w:val="-4"/>
        </w:rPr>
        <w:t xml:space="preserve"> </w:t>
      </w:r>
      <w:r>
        <w:t>CMS’</w:t>
      </w:r>
      <w:r>
        <w:rPr>
          <w:spacing w:val="-6"/>
        </w:rPr>
        <w:t xml:space="preserve"> </w:t>
      </w:r>
      <w:r>
        <w:t>proposal</w:t>
      </w:r>
      <w:r>
        <w:rPr>
          <w:spacing w:val="-6"/>
        </w:rPr>
        <w:t xml:space="preserve"> </w:t>
      </w:r>
      <w:r>
        <w:t>to</w:t>
      </w:r>
      <w:r>
        <w:rPr>
          <w:spacing w:val="-7"/>
        </w:rPr>
        <w:t xml:space="preserve"> </w:t>
      </w:r>
      <w:r>
        <w:t>scale</w:t>
      </w:r>
      <w:r>
        <w:rPr>
          <w:spacing w:val="-7"/>
        </w:rPr>
        <w:t xml:space="preserve"> </w:t>
      </w:r>
      <w:r>
        <w:t>reductions</w:t>
      </w:r>
      <w:r>
        <w:rPr>
          <w:spacing w:val="-6"/>
        </w:rPr>
        <w:t xml:space="preserve"> </w:t>
      </w:r>
      <w:r>
        <w:t>for</w:t>
      </w:r>
      <w:r>
        <w:rPr>
          <w:spacing w:val="-4"/>
        </w:rPr>
        <w:t xml:space="preserve"> </w:t>
      </w:r>
      <w:r>
        <w:t>the</w:t>
      </w:r>
      <w:r>
        <w:rPr>
          <w:spacing w:val="-4"/>
        </w:rPr>
        <w:t xml:space="preserve"> </w:t>
      </w:r>
      <w:r>
        <w:t>appe</w:t>
      </w:r>
      <w:r>
        <w:t>als</w:t>
      </w:r>
      <w:r>
        <w:rPr>
          <w:spacing w:val="-4"/>
        </w:rPr>
        <w:t xml:space="preserve"> </w:t>
      </w:r>
      <w:r>
        <w:t>measures</w:t>
      </w:r>
      <w:r>
        <w:rPr>
          <w:spacing w:val="-6"/>
        </w:rPr>
        <w:t xml:space="preserve"> </w:t>
      </w:r>
      <w:r>
        <w:t>when</w:t>
      </w:r>
      <w:r>
        <w:rPr>
          <w:spacing w:val="-5"/>
        </w:rPr>
        <w:t xml:space="preserve"> </w:t>
      </w:r>
      <w:r>
        <w:t>there</w:t>
      </w:r>
      <w:r>
        <w:rPr>
          <w:spacing w:val="-7"/>
        </w:rPr>
        <w:t xml:space="preserve"> </w:t>
      </w:r>
      <w:r>
        <w:t>are</w:t>
      </w:r>
      <w:r>
        <w:rPr>
          <w:spacing w:val="-4"/>
        </w:rPr>
        <w:t xml:space="preserve"> </w:t>
      </w:r>
      <w:r>
        <w:t>data</w:t>
      </w:r>
      <w:r>
        <w:rPr>
          <w:spacing w:val="-7"/>
        </w:rPr>
        <w:t xml:space="preserve"> </w:t>
      </w:r>
      <w:r>
        <w:t>integrity issues. Distinguishing between plans that may have an occasional data error versus plans that have significant, material errors due to major systemic issues is critical when assessing and rating plans based on</w:t>
      </w:r>
      <w:r>
        <w:rPr>
          <w:spacing w:val="-2"/>
        </w:rPr>
        <w:t xml:space="preserve"> </w:t>
      </w:r>
      <w:r>
        <w:t>the</w:t>
      </w:r>
      <w:r>
        <w:rPr>
          <w:spacing w:val="-4"/>
        </w:rPr>
        <w:t xml:space="preserve"> </w:t>
      </w:r>
      <w:r>
        <w:t>integrity</w:t>
      </w:r>
      <w:r>
        <w:rPr>
          <w:spacing w:val="-5"/>
        </w:rPr>
        <w:t xml:space="preserve"> </w:t>
      </w:r>
      <w:r>
        <w:t>of</w:t>
      </w:r>
      <w:r>
        <w:rPr>
          <w:spacing w:val="-4"/>
        </w:rPr>
        <w:t xml:space="preserve"> </w:t>
      </w:r>
      <w:r>
        <w:t>their</w:t>
      </w:r>
      <w:r>
        <w:rPr>
          <w:spacing w:val="-4"/>
        </w:rPr>
        <w:t xml:space="preserve"> </w:t>
      </w:r>
      <w:r>
        <w:t>data.</w:t>
      </w:r>
      <w:r>
        <w:rPr>
          <w:spacing w:val="-2"/>
        </w:rPr>
        <w:t xml:space="preserve"> </w:t>
      </w:r>
      <w:r>
        <w:t>Further,</w:t>
      </w:r>
      <w:r>
        <w:rPr>
          <w:spacing w:val="-5"/>
        </w:rPr>
        <w:t xml:space="preserve"> </w:t>
      </w:r>
      <w:r>
        <w:t>existing</w:t>
      </w:r>
      <w:r>
        <w:rPr>
          <w:spacing w:val="-5"/>
        </w:rPr>
        <w:t xml:space="preserve"> </w:t>
      </w:r>
      <w:r>
        <w:t>CMS</w:t>
      </w:r>
      <w:r>
        <w:rPr>
          <w:spacing w:val="-2"/>
        </w:rPr>
        <w:t xml:space="preserve"> </w:t>
      </w:r>
      <w:r>
        <w:t>policy</w:t>
      </w:r>
      <w:r>
        <w:rPr>
          <w:spacing w:val="-4"/>
        </w:rPr>
        <w:t xml:space="preserve"> </w:t>
      </w:r>
      <w:r>
        <w:t>results</w:t>
      </w:r>
      <w:r>
        <w:rPr>
          <w:spacing w:val="-4"/>
        </w:rPr>
        <w:t xml:space="preserve"> </w:t>
      </w:r>
      <w:r>
        <w:t>in</w:t>
      </w:r>
      <w:r>
        <w:rPr>
          <w:spacing w:val="-5"/>
        </w:rPr>
        <w:t xml:space="preserve"> </w:t>
      </w:r>
      <w:r>
        <w:t>inequities because</w:t>
      </w:r>
      <w:r>
        <w:rPr>
          <w:spacing w:val="-4"/>
        </w:rPr>
        <w:t xml:space="preserve"> </w:t>
      </w:r>
      <w:r>
        <w:t>audited</w:t>
      </w:r>
      <w:r>
        <w:rPr>
          <w:spacing w:val="-2"/>
        </w:rPr>
        <w:t xml:space="preserve"> </w:t>
      </w:r>
      <w:r>
        <w:t>plans’</w:t>
      </w:r>
      <w:r>
        <w:rPr>
          <w:spacing w:val="-1"/>
        </w:rPr>
        <w:t xml:space="preserve"> </w:t>
      </w:r>
      <w:r>
        <w:t>Star Ratings</w:t>
      </w:r>
      <w:r>
        <w:rPr>
          <w:spacing w:val="-6"/>
        </w:rPr>
        <w:t xml:space="preserve"> </w:t>
      </w:r>
      <w:r>
        <w:t>are</w:t>
      </w:r>
      <w:r>
        <w:rPr>
          <w:spacing w:val="-7"/>
        </w:rPr>
        <w:t xml:space="preserve"> </w:t>
      </w:r>
      <w:r>
        <w:t>evaluated</w:t>
      </w:r>
      <w:r>
        <w:rPr>
          <w:spacing w:val="-7"/>
        </w:rPr>
        <w:t xml:space="preserve"> </w:t>
      </w:r>
      <w:r>
        <w:t>against</w:t>
      </w:r>
      <w:r>
        <w:rPr>
          <w:spacing w:val="-6"/>
        </w:rPr>
        <w:t xml:space="preserve"> </w:t>
      </w:r>
      <w:r>
        <w:t>the</w:t>
      </w:r>
      <w:r>
        <w:rPr>
          <w:spacing w:val="-7"/>
        </w:rPr>
        <w:t xml:space="preserve"> </w:t>
      </w:r>
      <w:r>
        <w:t>Star</w:t>
      </w:r>
      <w:r>
        <w:rPr>
          <w:spacing w:val="-6"/>
        </w:rPr>
        <w:t xml:space="preserve"> </w:t>
      </w:r>
      <w:r>
        <w:t>Ratings</w:t>
      </w:r>
      <w:r>
        <w:rPr>
          <w:spacing w:val="-6"/>
        </w:rPr>
        <w:t xml:space="preserve"> </w:t>
      </w:r>
      <w:r>
        <w:t>of</w:t>
      </w:r>
      <w:r>
        <w:rPr>
          <w:spacing w:val="-6"/>
        </w:rPr>
        <w:t xml:space="preserve"> </w:t>
      </w:r>
      <w:r>
        <w:t>plans</w:t>
      </w:r>
      <w:r>
        <w:rPr>
          <w:spacing w:val="-6"/>
        </w:rPr>
        <w:t xml:space="preserve"> </w:t>
      </w:r>
      <w:r>
        <w:t>that</w:t>
      </w:r>
      <w:r>
        <w:rPr>
          <w:spacing w:val="-6"/>
        </w:rPr>
        <w:t xml:space="preserve"> </w:t>
      </w:r>
      <w:r>
        <w:t>are</w:t>
      </w:r>
      <w:r>
        <w:rPr>
          <w:spacing w:val="-7"/>
        </w:rPr>
        <w:t xml:space="preserve"> </w:t>
      </w:r>
      <w:r>
        <w:t>not</w:t>
      </w:r>
      <w:r>
        <w:rPr>
          <w:spacing w:val="-6"/>
        </w:rPr>
        <w:t xml:space="preserve"> </w:t>
      </w:r>
      <w:r>
        <w:t>audited.</w:t>
      </w:r>
      <w:r>
        <w:rPr>
          <w:spacing w:val="-7"/>
        </w:rPr>
        <w:t xml:space="preserve"> </w:t>
      </w:r>
      <w:r>
        <w:t>The</w:t>
      </w:r>
      <w:r>
        <w:rPr>
          <w:spacing w:val="-7"/>
        </w:rPr>
        <w:t xml:space="preserve"> </w:t>
      </w:r>
      <w:r>
        <w:t>approach</w:t>
      </w:r>
      <w:r>
        <w:rPr>
          <w:spacing w:val="-7"/>
        </w:rPr>
        <w:t xml:space="preserve"> </w:t>
      </w:r>
      <w:r>
        <w:t>CMS</w:t>
      </w:r>
      <w:r>
        <w:rPr>
          <w:spacing w:val="-7"/>
        </w:rPr>
        <w:t xml:space="preserve"> </w:t>
      </w:r>
      <w:r>
        <w:t>outlines</w:t>
      </w:r>
      <w:r>
        <w:rPr>
          <w:spacing w:val="-8"/>
        </w:rPr>
        <w:t xml:space="preserve"> </w:t>
      </w:r>
      <w:r>
        <w:t>for scaling</w:t>
      </w:r>
      <w:r>
        <w:rPr>
          <w:spacing w:val="-14"/>
        </w:rPr>
        <w:t xml:space="preserve"> </w:t>
      </w:r>
      <w:r>
        <w:t>reductions</w:t>
      </w:r>
      <w:r>
        <w:rPr>
          <w:spacing w:val="-14"/>
        </w:rPr>
        <w:t xml:space="preserve"> </w:t>
      </w:r>
      <w:r>
        <w:t>for</w:t>
      </w:r>
      <w:r>
        <w:rPr>
          <w:spacing w:val="-14"/>
        </w:rPr>
        <w:t xml:space="preserve"> </w:t>
      </w:r>
      <w:r>
        <w:t>appeals</w:t>
      </w:r>
      <w:r>
        <w:rPr>
          <w:spacing w:val="-11"/>
        </w:rPr>
        <w:t xml:space="preserve"> </w:t>
      </w:r>
      <w:r>
        <w:t>IRE</w:t>
      </w:r>
      <w:r>
        <w:rPr>
          <w:spacing w:val="-12"/>
        </w:rPr>
        <w:t xml:space="preserve"> </w:t>
      </w:r>
      <w:r>
        <w:t>data</w:t>
      </w:r>
      <w:r>
        <w:rPr>
          <w:spacing w:val="-14"/>
        </w:rPr>
        <w:t xml:space="preserve"> </w:t>
      </w:r>
      <w:r>
        <w:t>completeness</w:t>
      </w:r>
      <w:r>
        <w:rPr>
          <w:spacing w:val="-14"/>
        </w:rPr>
        <w:t xml:space="preserve"> </w:t>
      </w:r>
      <w:r>
        <w:t>issues</w:t>
      </w:r>
      <w:r>
        <w:rPr>
          <w:spacing w:val="-14"/>
        </w:rPr>
        <w:t xml:space="preserve"> </w:t>
      </w:r>
      <w:r>
        <w:t>appropriately</w:t>
      </w:r>
      <w:r>
        <w:rPr>
          <w:spacing w:val="-10"/>
        </w:rPr>
        <w:t xml:space="preserve"> </w:t>
      </w:r>
      <w:r>
        <w:t>addresses</w:t>
      </w:r>
      <w:r>
        <w:rPr>
          <w:spacing w:val="-11"/>
        </w:rPr>
        <w:t xml:space="preserve"> </w:t>
      </w:r>
      <w:r>
        <w:t>these</w:t>
      </w:r>
      <w:r>
        <w:rPr>
          <w:spacing w:val="-14"/>
        </w:rPr>
        <w:t xml:space="preserve"> </w:t>
      </w:r>
      <w:r>
        <w:t>issues</w:t>
      </w:r>
      <w:r>
        <w:rPr>
          <w:spacing w:val="-13"/>
        </w:rPr>
        <w:t xml:space="preserve"> </w:t>
      </w:r>
      <w:r>
        <w:t>and</w:t>
      </w:r>
      <w:r>
        <w:rPr>
          <w:spacing w:val="-14"/>
        </w:rPr>
        <w:t xml:space="preserve"> </w:t>
      </w:r>
      <w:r>
        <w:t>should be finalized as proposed. However, to ensure a truly level playing field across the Star Ratings system, Anthem urges CMS to apply scaled reductions for all measure ratings that can be red</w:t>
      </w:r>
      <w:r>
        <w:t>uced based on incomplete or biased data, including the Part C and D Reporting Requirements measures (SNP Care Management</w:t>
      </w:r>
      <w:r>
        <w:rPr>
          <w:spacing w:val="-5"/>
        </w:rPr>
        <w:t xml:space="preserve"> </w:t>
      </w:r>
      <w:r>
        <w:t>and</w:t>
      </w:r>
      <w:r>
        <w:rPr>
          <w:spacing w:val="-8"/>
        </w:rPr>
        <w:t xml:space="preserve"> </w:t>
      </w:r>
      <w:r>
        <w:t>Medication</w:t>
      </w:r>
      <w:r>
        <w:rPr>
          <w:spacing w:val="-6"/>
        </w:rPr>
        <w:t xml:space="preserve"> </w:t>
      </w:r>
      <w:r>
        <w:t>Therapy</w:t>
      </w:r>
      <w:r>
        <w:rPr>
          <w:spacing w:val="-8"/>
        </w:rPr>
        <w:t xml:space="preserve"> </w:t>
      </w:r>
      <w:r>
        <w:t>Management</w:t>
      </w:r>
      <w:r>
        <w:rPr>
          <w:spacing w:val="-5"/>
        </w:rPr>
        <w:t xml:space="preserve"> </w:t>
      </w:r>
      <w:r>
        <w:t>[MTM]</w:t>
      </w:r>
      <w:r>
        <w:rPr>
          <w:spacing w:val="-7"/>
        </w:rPr>
        <w:t xml:space="preserve"> </w:t>
      </w:r>
      <w:r>
        <w:t>Program</w:t>
      </w:r>
      <w:r>
        <w:rPr>
          <w:spacing w:val="-9"/>
        </w:rPr>
        <w:t xml:space="preserve"> </w:t>
      </w:r>
      <w:r>
        <w:t>Completion</w:t>
      </w:r>
      <w:r>
        <w:rPr>
          <w:spacing w:val="-6"/>
        </w:rPr>
        <w:t xml:space="preserve"> </w:t>
      </w:r>
      <w:r>
        <w:t>Rate</w:t>
      </w:r>
      <w:r>
        <w:rPr>
          <w:spacing w:val="-8"/>
        </w:rPr>
        <w:t xml:space="preserve"> </w:t>
      </w:r>
      <w:r>
        <w:t>for</w:t>
      </w:r>
      <w:r>
        <w:rPr>
          <w:spacing w:val="-8"/>
        </w:rPr>
        <w:t xml:space="preserve"> </w:t>
      </w:r>
      <w:r>
        <w:t>Comprehensive Medication Reviews</w:t>
      </w:r>
      <w:r>
        <w:rPr>
          <w:spacing w:val="-6"/>
        </w:rPr>
        <w:t xml:space="preserve"> </w:t>
      </w:r>
      <w:r>
        <w:t>[CMR]).</w:t>
      </w:r>
    </w:p>
    <w:p w:rsidR="00805174" w:rsidRDefault="00805174">
      <w:pPr>
        <w:pStyle w:val="BodyText"/>
      </w:pPr>
    </w:p>
    <w:p w:rsidR="00805174" w:rsidRDefault="000A64A3">
      <w:pPr>
        <w:pStyle w:val="BodyText"/>
        <w:spacing w:before="1"/>
        <w:ind w:left="100"/>
        <w:jc w:val="both"/>
      </w:pPr>
      <w:r>
        <w:rPr>
          <w:u w:val="single"/>
        </w:rPr>
        <w:t>2019 Star Ratings Program</w:t>
      </w:r>
      <w:r>
        <w:rPr>
          <w:u w:val="single"/>
        </w:rPr>
        <w:t xml:space="preserve"> and the Categorical Adjustment Index (CAI)</w:t>
      </w:r>
    </w:p>
    <w:p w:rsidR="00805174" w:rsidRDefault="00805174">
      <w:pPr>
        <w:pStyle w:val="BodyText"/>
        <w:spacing w:before="1"/>
        <w:rPr>
          <w:sz w:val="14"/>
        </w:rPr>
      </w:pPr>
    </w:p>
    <w:p w:rsidR="00805174" w:rsidRDefault="000A64A3">
      <w:pPr>
        <w:pStyle w:val="BodyText"/>
        <w:spacing w:before="91"/>
        <w:ind w:left="100" w:right="111"/>
        <w:jc w:val="both"/>
      </w:pPr>
      <w:r>
        <w:t>Anthem agrees that beneficiary-level characteristics have a meaningful impact on Star Ratings and that it is critical to allow plans that care for the program’s most vulnerable beneficiaries to compete on an equ</w:t>
      </w:r>
      <w:r>
        <w:t>al playing field. However, in our experience, the CAI is insufficient to address this important problem. CMS has also acknowledged that the CAI has a very small impact on plan ratings. Thus, Anthem urges CMS to continue working with plans to identify a lon</w:t>
      </w:r>
      <w:r>
        <w:t>g-term solution to the impact of dual status and SES on Star Ratings. Anthem appreciates CMS’ ongoing attention to and focus on the impact of beneficiary-level characteristics—specifically, dual status and socio-economic factors—on plan performance. We und</w:t>
      </w:r>
      <w:r>
        <w:t>erstand that the CAI is a temporary solution, but we urge CMS to work quickly to evaluate the options recently proposed by the Assistant Secretary for Planning and Evaluation (ASPE) and develop a longer- term, meaningful fix.</w:t>
      </w:r>
    </w:p>
    <w:p w:rsidR="00805174" w:rsidRDefault="00805174">
      <w:pPr>
        <w:pStyle w:val="BodyText"/>
        <w:spacing w:before="11"/>
        <w:rPr>
          <w:sz w:val="21"/>
        </w:rPr>
      </w:pPr>
    </w:p>
    <w:p w:rsidR="00805174" w:rsidRDefault="000A64A3">
      <w:pPr>
        <w:pStyle w:val="BodyText"/>
        <w:ind w:left="100" w:right="115"/>
        <w:jc w:val="both"/>
      </w:pPr>
      <w:r>
        <w:t>We are also interested in learning more about the Pharmacy Quality Alliance’s (PQA’s) work on potential risk adjustment of the three medication adherence measures (Medication Adherence for Diabetes Medications,</w:t>
      </w:r>
      <w:r>
        <w:rPr>
          <w:spacing w:val="-9"/>
        </w:rPr>
        <w:t xml:space="preserve"> </w:t>
      </w:r>
      <w:r>
        <w:t>Medication</w:t>
      </w:r>
      <w:r>
        <w:rPr>
          <w:spacing w:val="-10"/>
        </w:rPr>
        <w:t xml:space="preserve"> </w:t>
      </w:r>
      <w:r>
        <w:t>Adherence</w:t>
      </w:r>
      <w:r>
        <w:rPr>
          <w:spacing w:val="-11"/>
        </w:rPr>
        <w:t xml:space="preserve"> </w:t>
      </w:r>
      <w:r>
        <w:t>for</w:t>
      </w:r>
      <w:r>
        <w:rPr>
          <w:spacing w:val="-9"/>
        </w:rPr>
        <w:t xml:space="preserve"> </w:t>
      </w:r>
      <w:r>
        <w:t>Hypertension,</w:t>
      </w:r>
      <w:r>
        <w:rPr>
          <w:spacing w:val="-12"/>
        </w:rPr>
        <w:t xml:space="preserve"> </w:t>
      </w:r>
      <w:r>
        <w:t>and</w:t>
      </w:r>
      <w:r>
        <w:rPr>
          <w:spacing w:val="-9"/>
        </w:rPr>
        <w:t xml:space="preserve"> </w:t>
      </w:r>
      <w:r>
        <w:t>Me</w:t>
      </w:r>
      <w:r>
        <w:t>dication</w:t>
      </w:r>
      <w:r>
        <w:rPr>
          <w:spacing w:val="-10"/>
        </w:rPr>
        <w:t xml:space="preserve"> </w:t>
      </w:r>
      <w:r>
        <w:t>Adherence</w:t>
      </w:r>
      <w:r>
        <w:rPr>
          <w:spacing w:val="-12"/>
        </w:rPr>
        <w:t xml:space="preserve"> </w:t>
      </w:r>
      <w:r>
        <w:t>for</w:t>
      </w:r>
      <w:r>
        <w:rPr>
          <w:spacing w:val="-9"/>
        </w:rPr>
        <w:t xml:space="preserve"> </w:t>
      </w:r>
      <w:r>
        <w:t>Cholesterol),</w:t>
      </w:r>
      <w:r>
        <w:rPr>
          <w:spacing w:val="-10"/>
        </w:rPr>
        <w:t xml:space="preserve"> </w:t>
      </w:r>
      <w:r>
        <w:t>as</w:t>
      </w:r>
      <w:r>
        <w:rPr>
          <w:spacing w:val="-9"/>
        </w:rPr>
        <w:t xml:space="preserve"> </w:t>
      </w:r>
      <w:r>
        <w:t>well as the National Committee for Quality Assurance’s (NCQA’s) ideas for stratified reporting of four Star Ratings measures (Breast Cancer Screening, Colorectal Cancer Screening, Comprehensive Diabetes</w:t>
      </w:r>
      <w:r>
        <w:rPr>
          <w:spacing w:val="54"/>
        </w:rPr>
        <w:t xml:space="preserve"> </w:t>
      </w:r>
      <w:r>
        <w:t>Care</w:t>
      </w:r>
    </w:p>
    <w:p w:rsidR="00805174" w:rsidRDefault="000A64A3">
      <w:pPr>
        <w:pStyle w:val="BodyText"/>
        <w:ind w:left="100" w:right="114"/>
        <w:jc w:val="both"/>
      </w:pPr>
      <w:r>
        <w:t>– Eye Ex</w:t>
      </w:r>
      <w:r>
        <w:t>am Performed, and Plan All-Cause Readmissions). While these changes represent potential improvements to accounting for the impact of SES on the Star Ratings, stakeholders require more insight into how CMS might incorporate them in order to provide more mea</w:t>
      </w:r>
      <w:r>
        <w:t>ningfully feedback. We urge CMS, in collaboration with the measure developers, to include plans and other relevant stakeholders in any discussions on these issues.</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20"/>
      </w:pPr>
      <w:r>
        <w:rPr>
          <w:u w:val="single"/>
        </w:rPr>
        <w:lastRenderedPageBreak/>
        <w:t>Disaster Implications</w:t>
      </w:r>
    </w:p>
    <w:p w:rsidR="00805174" w:rsidRDefault="00805174">
      <w:pPr>
        <w:pStyle w:val="BodyText"/>
        <w:spacing w:before="1"/>
        <w:rPr>
          <w:sz w:val="14"/>
        </w:rPr>
      </w:pPr>
    </w:p>
    <w:p w:rsidR="00805174" w:rsidRDefault="000A64A3">
      <w:pPr>
        <w:pStyle w:val="BodyText"/>
        <w:spacing w:before="92"/>
        <w:ind w:left="120" w:right="113"/>
        <w:jc w:val="both"/>
      </w:pPr>
      <w:r>
        <w:t>Anthem appreciates CMS’ acknowledgement that Hurricanes Harvey, Irma, and Maria, along with the wildfires in California, created extreme and uncontrollable circumstances that negatively impacted the underlying operation and clinical systems that plans (and</w:t>
      </w:r>
      <w:r>
        <w:t xml:space="preserve"> CMS) rely on for accurate performance measurement in the Star Ratings program. We support CMS’ proposal to adjust the 2019 and 2020 Star Ratings</w:t>
      </w:r>
      <w:r>
        <w:rPr>
          <w:spacing w:val="-4"/>
        </w:rPr>
        <w:t xml:space="preserve"> </w:t>
      </w:r>
      <w:r>
        <w:t>to</w:t>
      </w:r>
      <w:r>
        <w:rPr>
          <w:spacing w:val="-4"/>
        </w:rPr>
        <w:t xml:space="preserve"> </w:t>
      </w:r>
      <w:r>
        <w:t>take</w:t>
      </w:r>
      <w:r>
        <w:rPr>
          <w:spacing w:val="-4"/>
        </w:rPr>
        <w:t xml:space="preserve"> </w:t>
      </w:r>
      <w:r>
        <w:t>into</w:t>
      </w:r>
      <w:r>
        <w:rPr>
          <w:spacing w:val="-5"/>
        </w:rPr>
        <w:t xml:space="preserve"> </w:t>
      </w:r>
      <w:r>
        <w:t>account</w:t>
      </w:r>
      <w:r>
        <w:rPr>
          <w:spacing w:val="-4"/>
        </w:rPr>
        <w:t xml:space="preserve"> </w:t>
      </w:r>
      <w:r>
        <w:t>the</w:t>
      </w:r>
      <w:r>
        <w:rPr>
          <w:spacing w:val="-2"/>
        </w:rPr>
        <w:t xml:space="preserve"> </w:t>
      </w:r>
      <w:r>
        <w:t>effects</w:t>
      </w:r>
      <w:r>
        <w:rPr>
          <w:spacing w:val="-2"/>
        </w:rPr>
        <w:t xml:space="preserve"> </w:t>
      </w:r>
      <w:r>
        <w:t>of</w:t>
      </w:r>
      <w:r>
        <w:rPr>
          <w:spacing w:val="-4"/>
        </w:rPr>
        <w:t xml:space="preserve"> </w:t>
      </w:r>
      <w:r>
        <w:t>the</w:t>
      </w:r>
      <w:r>
        <w:rPr>
          <w:spacing w:val="-2"/>
        </w:rPr>
        <w:t xml:space="preserve"> </w:t>
      </w:r>
      <w:r>
        <w:t>disasters</w:t>
      </w:r>
      <w:r>
        <w:rPr>
          <w:spacing w:val="-4"/>
        </w:rPr>
        <w:t xml:space="preserve"> </w:t>
      </w:r>
      <w:r>
        <w:t>that</w:t>
      </w:r>
      <w:r>
        <w:rPr>
          <w:spacing w:val="-3"/>
        </w:rPr>
        <w:t xml:space="preserve"> </w:t>
      </w:r>
      <w:r>
        <w:t>occurred</w:t>
      </w:r>
      <w:r>
        <w:rPr>
          <w:spacing w:val="-4"/>
        </w:rPr>
        <w:t xml:space="preserve"> </w:t>
      </w:r>
      <w:r>
        <w:t>during</w:t>
      </w:r>
      <w:r>
        <w:rPr>
          <w:spacing w:val="-5"/>
        </w:rPr>
        <w:t xml:space="preserve"> </w:t>
      </w:r>
      <w:r>
        <w:t>the</w:t>
      </w:r>
      <w:r>
        <w:rPr>
          <w:spacing w:val="-2"/>
        </w:rPr>
        <w:t xml:space="preserve"> </w:t>
      </w:r>
      <w:r>
        <w:t>performance</w:t>
      </w:r>
      <w:r>
        <w:rPr>
          <w:spacing w:val="-2"/>
        </w:rPr>
        <w:t xml:space="preserve"> </w:t>
      </w:r>
      <w:r>
        <w:t>periods.</w:t>
      </w:r>
      <w:r>
        <w:rPr>
          <w:spacing w:val="-4"/>
        </w:rPr>
        <w:t xml:space="preserve"> </w:t>
      </w:r>
      <w:r>
        <w:t>With respect</w:t>
      </w:r>
      <w:r>
        <w:rPr>
          <w:spacing w:val="-10"/>
        </w:rPr>
        <w:t xml:space="preserve"> </w:t>
      </w:r>
      <w:r>
        <w:t>t</w:t>
      </w:r>
      <w:r>
        <w:t>o</w:t>
      </w:r>
      <w:r>
        <w:rPr>
          <w:spacing w:val="-9"/>
        </w:rPr>
        <w:t xml:space="preserve"> </w:t>
      </w:r>
      <w:r>
        <w:t>CMS’</w:t>
      </w:r>
      <w:r>
        <w:rPr>
          <w:spacing w:val="-8"/>
        </w:rPr>
        <w:t xml:space="preserve"> </w:t>
      </w:r>
      <w:r>
        <w:t>proposed</w:t>
      </w:r>
      <w:r>
        <w:rPr>
          <w:spacing w:val="-8"/>
        </w:rPr>
        <w:t xml:space="preserve"> </w:t>
      </w:r>
      <w:r>
        <w:t>policy</w:t>
      </w:r>
      <w:r>
        <w:rPr>
          <w:spacing w:val="-11"/>
        </w:rPr>
        <w:t xml:space="preserve"> </w:t>
      </w:r>
      <w:r>
        <w:t>for</w:t>
      </w:r>
      <w:r>
        <w:rPr>
          <w:spacing w:val="-8"/>
        </w:rPr>
        <w:t xml:space="preserve"> </w:t>
      </w:r>
      <w:r>
        <w:t>identifying</w:t>
      </w:r>
      <w:r>
        <w:rPr>
          <w:spacing w:val="-11"/>
        </w:rPr>
        <w:t xml:space="preserve"> </w:t>
      </w:r>
      <w:r>
        <w:t>which</w:t>
      </w:r>
      <w:r>
        <w:rPr>
          <w:spacing w:val="-8"/>
        </w:rPr>
        <w:t xml:space="preserve"> </w:t>
      </w:r>
      <w:r>
        <w:t>contracts</w:t>
      </w:r>
      <w:r>
        <w:rPr>
          <w:spacing w:val="-8"/>
        </w:rPr>
        <w:t xml:space="preserve"> </w:t>
      </w:r>
      <w:r>
        <w:t>were</w:t>
      </w:r>
      <w:r>
        <w:rPr>
          <w:spacing w:val="-8"/>
        </w:rPr>
        <w:t xml:space="preserve"> </w:t>
      </w:r>
      <w:r>
        <w:t>impacted—and</w:t>
      </w:r>
      <w:r>
        <w:rPr>
          <w:spacing w:val="-9"/>
        </w:rPr>
        <w:t xml:space="preserve"> </w:t>
      </w:r>
      <w:r>
        <w:t>therefore</w:t>
      </w:r>
      <w:r>
        <w:rPr>
          <w:spacing w:val="-8"/>
        </w:rPr>
        <w:t xml:space="preserve"> </w:t>
      </w:r>
      <w:r>
        <w:t>eligible</w:t>
      </w:r>
      <w:r>
        <w:rPr>
          <w:spacing w:val="-8"/>
        </w:rPr>
        <w:t xml:space="preserve"> </w:t>
      </w:r>
      <w:r>
        <w:t>for CMS’ proposed adjustments—Anthem urges CMS to ensure timely alignment to and accurate updating of the Federal Emergency Management Agency (FEMA) web site – if it will be used as the source of truth to determine</w:t>
      </w:r>
      <w:r>
        <w:rPr>
          <w:spacing w:val="-11"/>
        </w:rPr>
        <w:t xml:space="preserve"> </w:t>
      </w:r>
      <w:r>
        <w:t>eligibility.</w:t>
      </w:r>
    </w:p>
    <w:p w:rsidR="00805174" w:rsidRDefault="00805174">
      <w:pPr>
        <w:pStyle w:val="BodyText"/>
      </w:pPr>
    </w:p>
    <w:p w:rsidR="00805174" w:rsidRDefault="000A64A3">
      <w:pPr>
        <w:pStyle w:val="BodyText"/>
        <w:ind w:left="120" w:right="114"/>
        <w:jc w:val="both"/>
      </w:pPr>
      <w:r>
        <w:t>We note that the FEMA websi</w:t>
      </w:r>
      <w:r>
        <w:t xml:space="preserve">te </w:t>
      </w:r>
      <w:r>
        <w:rPr>
          <w:color w:val="1F487C"/>
        </w:rPr>
        <w:t>(</w:t>
      </w:r>
      <w:r>
        <w:rPr>
          <w:color w:val="0000FF"/>
          <w:u w:val="single" w:color="0000FF"/>
        </w:rPr>
        <w:t>https://</w:t>
      </w:r>
      <w:hyperlink r:id="rId16">
        <w:r>
          <w:rPr>
            <w:color w:val="0000FF"/>
            <w:u w:val="single" w:color="0000FF"/>
          </w:rPr>
          <w:t>www.fema.gov/disaster/3396</w:t>
        </w:r>
        <w:r>
          <w:rPr>
            <w:color w:val="1F487C"/>
          </w:rPr>
          <w:t>)</w:t>
        </w:r>
      </w:hyperlink>
      <w:r>
        <w:rPr>
          <w:color w:val="1F487C"/>
        </w:rPr>
        <w:t xml:space="preserve"> </w:t>
      </w:r>
      <w:r>
        <w:t xml:space="preserve">has yet to be updated for the December California Wildfire Disaster Declaration (declared December 8, 2017 and referenced here: </w:t>
      </w:r>
      <w:r>
        <w:rPr>
          <w:color w:val="0000FF"/>
          <w:u w:val="single" w:color="0000FF"/>
        </w:rPr>
        <w:t>https://</w:t>
      </w:r>
      <w:hyperlink r:id="rId17">
        <w:r>
          <w:rPr>
            <w:color w:val="0000FF"/>
            <w:u w:val="single" w:color="0000FF"/>
          </w:rPr>
          <w:t>www.phe.gov/emergency/news/healthactions/section1135/Pages/cawildfires-</w:t>
        </w:r>
      </w:hyperlink>
    </w:p>
    <w:p w:rsidR="00805174" w:rsidRDefault="000A64A3">
      <w:pPr>
        <w:pStyle w:val="BodyText"/>
        <w:ind w:left="120" w:right="114"/>
        <w:jc w:val="both"/>
      </w:pPr>
      <w:r>
        <w:rPr>
          <w:color w:val="0000FF"/>
          <w:u w:val="single" w:color="0000FF"/>
        </w:rPr>
        <w:t>11Dec17.aspx</w:t>
      </w:r>
      <w:r>
        <w:t xml:space="preserve">). Anthem at one point had to refer to the Presidential Declaration to determine impacted counties, </w:t>
      </w:r>
      <w:r>
        <w:t>but note that as of February 13, 2018, that Declaration was no longer available. Based on the current information available, Anthem would not be eligible in the counties impacted by the wildfires because CMS’ criteria “a”</w:t>
      </w:r>
      <w:r>
        <w:rPr>
          <w:position w:val="8"/>
          <w:sz w:val="14"/>
        </w:rPr>
        <w:t xml:space="preserve">4 </w:t>
      </w:r>
      <w:r>
        <w:t>does not align with CMS’ criteria</w:t>
      </w:r>
      <w:r>
        <w:t xml:space="preserve"> “c,”</w:t>
      </w:r>
      <w:r>
        <w:rPr>
          <w:position w:val="8"/>
          <w:sz w:val="14"/>
        </w:rPr>
        <w:t xml:space="preserve">5 </w:t>
      </w:r>
      <w:r>
        <w:t>but based upon previously provided information by the White House, certain Anthem contracts should qualify.</w:t>
      </w:r>
    </w:p>
    <w:p w:rsidR="00805174" w:rsidRDefault="00805174">
      <w:pPr>
        <w:pStyle w:val="BodyText"/>
        <w:spacing w:before="1"/>
      </w:pPr>
    </w:p>
    <w:p w:rsidR="00805174" w:rsidRDefault="000A64A3">
      <w:pPr>
        <w:pStyle w:val="BodyText"/>
        <w:spacing w:before="1"/>
        <w:ind w:left="120" w:right="120"/>
        <w:jc w:val="both"/>
      </w:pPr>
      <w:r>
        <w:t>We recognize that CMS itself does not have control over when or how these criteria are disseminated. However, because of their meaningful im</w:t>
      </w:r>
      <w:r>
        <w:t>pact on Star Ratings, we urge CMS to work with its Federal Agency partners to ensure the necessary information is updated as quickly as possible. CMS should also notify sponsors of contracts that meet CMS’ eligibility criteria.</w:t>
      </w:r>
    </w:p>
    <w:p w:rsidR="00805174" w:rsidRDefault="00805174">
      <w:pPr>
        <w:pStyle w:val="BodyText"/>
      </w:pPr>
    </w:p>
    <w:p w:rsidR="00805174" w:rsidRDefault="000A64A3">
      <w:pPr>
        <w:pStyle w:val="BodyText"/>
        <w:ind w:left="120"/>
        <w:jc w:val="both"/>
      </w:pPr>
      <w:r>
        <w:rPr>
          <w:u w:val="single"/>
        </w:rPr>
        <w:t>New 2019 Display Measure</w:t>
      </w:r>
    </w:p>
    <w:p w:rsidR="00805174" w:rsidRDefault="00805174">
      <w:pPr>
        <w:pStyle w:val="BodyText"/>
        <w:spacing w:before="9"/>
        <w:rPr>
          <w:sz w:val="13"/>
        </w:rPr>
      </w:pPr>
    </w:p>
    <w:p w:rsidR="00805174" w:rsidRDefault="000A64A3">
      <w:pPr>
        <w:spacing w:before="92"/>
        <w:ind w:left="120"/>
        <w:jc w:val="both"/>
        <w:rPr>
          <w:i/>
        </w:rPr>
      </w:pPr>
      <w:r>
        <w:rPr>
          <w:i/>
        </w:rPr>
        <w:t>P</w:t>
      </w:r>
      <w:r>
        <w:rPr>
          <w:i/>
        </w:rPr>
        <w:t>lan Makes Timely Decisions about Appeals</w:t>
      </w:r>
    </w:p>
    <w:p w:rsidR="00805174" w:rsidRDefault="00805174">
      <w:pPr>
        <w:pStyle w:val="BodyText"/>
        <w:rPr>
          <w:i/>
        </w:rPr>
      </w:pPr>
    </w:p>
    <w:p w:rsidR="00805174" w:rsidRDefault="000A64A3">
      <w:pPr>
        <w:pStyle w:val="BodyText"/>
        <w:ind w:left="120" w:right="115"/>
        <w:jc w:val="both"/>
      </w:pPr>
      <w:r>
        <w:t>CMS is proposing to display a new appeals measure, based on 2017 data, that includes cases dismissed by the IRE because the plan has subsequently approved coverage and/or payment. All cases dismissed or withdrawn b</w:t>
      </w:r>
      <w:r>
        <w:t>y the IRE would be included in this measure. Anthem recommends that CMS not include dismissed or withdrawn appeals in this measure because there is no easy way to determine whether these appeals were appropriate or not. Given the variation that could exist</w:t>
      </w:r>
      <w:r>
        <w:t xml:space="preserve"> across plans, we are also concerned that</w:t>
      </w:r>
      <w:r>
        <w:rPr>
          <w:spacing w:val="-6"/>
        </w:rPr>
        <w:t xml:space="preserve"> </w:t>
      </w:r>
      <w:r>
        <w:t>this</w:t>
      </w:r>
      <w:r>
        <w:rPr>
          <w:spacing w:val="-4"/>
        </w:rPr>
        <w:t xml:space="preserve"> </w:t>
      </w:r>
      <w:r>
        <w:t>proposal</w:t>
      </w:r>
      <w:r>
        <w:rPr>
          <w:spacing w:val="-6"/>
        </w:rPr>
        <w:t xml:space="preserve"> </w:t>
      </w:r>
      <w:r>
        <w:t>would</w:t>
      </w:r>
      <w:r>
        <w:rPr>
          <w:spacing w:val="-7"/>
        </w:rPr>
        <w:t xml:space="preserve"> </w:t>
      </w:r>
      <w:r>
        <w:t>lead</w:t>
      </w:r>
      <w:r>
        <w:rPr>
          <w:spacing w:val="-5"/>
        </w:rPr>
        <w:t xml:space="preserve"> </w:t>
      </w:r>
      <w:r>
        <w:t>to</w:t>
      </w:r>
      <w:r>
        <w:rPr>
          <w:spacing w:val="-7"/>
        </w:rPr>
        <w:t xml:space="preserve"> </w:t>
      </w:r>
      <w:r>
        <w:t>indirect</w:t>
      </w:r>
      <w:r>
        <w:rPr>
          <w:spacing w:val="-6"/>
        </w:rPr>
        <w:t xml:space="preserve"> </w:t>
      </w:r>
      <w:r>
        <w:t>comparisons</w:t>
      </w:r>
      <w:r>
        <w:rPr>
          <w:spacing w:val="-7"/>
        </w:rPr>
        <w:t xml:space="preserve"> </w:t>
      </w:r>
      <w:r>
        <w:t>that</w:t>
      </w:r>
      <w:r>
        <w:rPr>
          <w:spacing w:val="-6"/>
        </w:rPr>
        <w:t xml:space="preserve"> </w:t>
      </w:r>
      <w:r>
        <w:t>do</w:t>
      </w:r>
      <w:r>
        <w:rPr>
          <w:spacing w:val="-5"/>
        </w:rPr>
        <w:t xml:space="preserve"> </w:t>
      </w:r>
      <w:r>
        <w:t>not</w:t>
      </w:r>
      <w:r>
        <w:rPr>
          <w:spacing w:val="-6"/>
        </w:rPr>
        <w:t xml:space="preserve"> </w:t>
      </w:r>
      <w:r>
        <w:t>ultimately</w:t>
      </w:r>
      <w:r>
        <w:rPr>
          <w:spacing w:val="-7"/>
        </w:rPr>
        <w:t xml:space="preserve"> </w:t>
      </w:r>
      <w:r>
        <w:t>help</w:t>
      </w:r>
      <w:r>
        <w:rPr>
          <w:spacing w:val="-5"/>
        </w:rPr>
        <w:t xml:space="preserve"> </w:t>
      </w:r>
      <w:r>
        <w:t>beneficiaries</w:t>
      </w:r>
      <w:r>
        <w:rPr>
          <w:spacing w:val="-6"/>
        </w:rPr>
        <w:t xml:space="preserve"> </w:t>
      </w:r>
      <w:r>
        <w:t>select</w:t>
      </w:r>
      <w:r>
        <w:rPr>
          <w:spacing w:val="-6"/>
        </w:rPr>
        <w:t xml:space="preserve"> </w:t>
      </w:r>
      <w:r>
        <w:t>a</w:t>
      </w:r>
      <w:r>
        <w:rPr>
          <w:spacing w:val="-7"/>
        </w:rPr>
        <w:t xml:space="preserve"> </w:t>
      </w:r>
      <w:r>
        <w:t>plan. Ultimately, Anthem questions how valuable such a measure would be to</w:t>
      </w:r>
      <w:r>
        <w:rPr>
          <w:spacing w:val="-25"/>
        </w:rPr>
        <w:t xml:space="preserve"> </w:t>
      </w:r>
      <w:r>
        <w:t>beneficiaries.</w:t>
      </w:r>
    </w:p>
    <w:p w:rsidR="00805174" w:rsidRDefault="00805174">
      <w:pPr>
        <w:pStyle w:val="BodyText"/>
        <w:spacing w:before="9"/>
        <w:rPr>
          <w:sz w:val="21"/>
        </w:rPr>
      </w:pPr>
    </w:p>
    <w:p w:rsidR="00805174" w:rsidRDefault="000A64A3">
      <w:pPr>
        <w:pStyle w:val="BodyText"/>
        <w:ind w:left="120"/>
        <w:jc w:val="both"/>
      </w:pPr>
      <w:r>
        <w:rPr>
          <w:u w:val="single"/>
        </w:rPr>
        <w:t>Changes to Existing Display Measures</w:t>
      </w:r>
    </w:p>
    <w:p w:rsidR="00805174" w:rsidRDefault="00805174">
      <w:pPr>
        <w:pStyle w:val="BodyText"/>
        <w:rPr>
          <w:sz w:val="14"/>
        </w:rPr>
      </w:pPr>
    </w:p>
    <w:p w:rsidR="00805174" w:rsidRDefault="000A64A3">
      <w:pPr>
        <w:spacing w:before="92"/>
        <w:ind w:left="120"/>
        <w:rPr>
          <w:i/>
        </w:rPr>
      </w:pPr>
      <w:r>
        <w:rPr>
          <w:i/>
        </w:rPr>
        <w:t>High Risk Medication</w:t>
      </w:r>
    </w:p>
    <w:p w:rsidR="00805174" w:rsidRDefault="00805174">
      <w:pPr>
        <w:pStyle w:val="BodyText"/>
        <w:spacing w:before="1"/>
        <w:rPr>
          <w:i/>
        </w:rPr>
      </w:pPr>
    </w:p>
    <w:p w:rsidR="00805174" w:rsidRDefault="000A64A3">
      <w:pPr>
        <w:pStyle w:val="BodyText"/>
        <w:ind w:left="120"/>
      </w:pPr>
      <w:r>
        <w:t>Anthem agrees that this measure should remain on the Display Page for 2019, using PQA’s updated High Risk Medication (HRM) drug list and measure specification for the numerator.</w:t>
      </w:r>
    </w:p>
    <w:p w:rsidR="00805174" w:rsidRDefault="000A64A3">
      <w:pPr>
        <w:pStyle w:val="BodyText"/>
        <w:spacing w:before="3"/>
        <w:rPr>
          <w:sz w:val="23"/>
        </w:rPr>
      </w:pPr>
      <w:r>
        <w:pict>
          <v:line id="_x0000_s2050" style="position:absolute;z-index:251659264;mso-wrap-distance-left:0;mso-wrap-distance-right:0;mso-position-horizontal-relative:page" from="1in,15.75pt" to="216.05pt,15.75pt" strokeweight=".72pt">
            <w10:wrap type="topAndBottom" anchorx="page"/>
          </v:line>
        </w:pict>
      </w:r>
    </w:p>
    <w:p w:rsidR="00805174" w:rsidRDefault="000A64A3">
      <w:pPr>
        <w:spacing w:before="69" w:line="244" w:lineRule="auto"/>
        <w:ind w:left="120" w:right="191"/>
        <w:rPr>
          <w:sz w:val="20"/>
        </w:rPr>
      </w:pPr>
      <w:r>
        <w:rPr>
          <w:rFonts w:ascii="Calibri" w:hAnsi="Calibri"/>
          <w:position w:val="7"/>
          <w:sz w:val="13"/>
        </w:rPr>
        <w:t xml:space="preserve">4 </w:t>
      </w:r>
      <w:r>
        <w:rPr>
          <w:sz w:val="20"/>
        </w:rPr>
        <w:t>The service area is within an “emergency area” during an “emergency period” as defined in Section 1135(g) of the Act.</w:t>
      </w:r>
    </w:p>
    <w:p w:rsidR="00805174" w:rsidRDefault="000A64A3">
      <w:pPr>
        <w:spacing w:line="242" w:lineRule="auto"/>
        <w:ind w:left="120" w:right="184"/>
        <w:rPr>
          <w:sz w:val="20"/>
        </w:rPr>
      </w:pPr>
      <w:r>
        <w:rPr>
          <w:rFonts w:ascii="Calibri"/>
          <w:position w:val="7"/>
          <w:sz w:val="13"/>
        </w:rPr>
        <w:t xml:space="preserve">5 </w:t>
      </w:r>
      <w:r>
        <w:rPr>
          <w:sz w:val="20"/>
        </w:rPr>
        <w:t>At least one enrollee under the contract resides in a FEMA-designated Individual Assistance area either at the time of the survey (for C</w:t>
      </w:r>
      <w:r>
        <w:rPr>
          <w:sz w:val="20"/>
        </w:rPr>
        <w:t>AHPS and HOS adjustments to survey responses) or at the time of the disaster (for all other adjustments). For some adjustments, a certain percentage (25% or 60%) of the enrollees under the contract must reside in a FEMA-designated Individual Assistance are</w:t>
      </w:r>
      <w:r>
        <w:rPr>
          <w:sz w:val="20"/>
        </w:rPr>
        <w:t>a.</w:t>
      </w:r>
    </w:p>
    <w:p w:rsidR="00805174" w:rsidRDefault="00805174">
      <w:pPr>
        <w:spacing w:line="242" w:lineRule="auto"/>
        <w:rPr>
          <w:sz w:val="20"/>
        </w:rPr>
        <w:sectPr w:rsidR="00805174">
          <w:pgSz w:w="12240" w:h="15840"/>
          <w:pgMar w:top="1360" w:right="1320" w:bottom="1200" w:left="1320" w:header="0" w:footer="1015" w:gutter="0"/>
          <w:cols w:space="720"/>
        </w:sectPr>
      </w:pPr>
    </w:p>
    <w:p w:rsidR="00805174" w:rsidRDefault="000A64A3">
      <w:pPr>
        <w:spacing w:before="74"/>
        <w:ind w:left="100"/>
        <w:jc w:val="both"/>
        <w:rPr>
          <w:i/>
        </w:rPr>
      </w:pPr>
      <w:r>
        <w:rPr>
          <w:i/>
        </w:rPr>
        <w:lastRenderedPageBreak/>
        <w:t>Use of Opioids from Multiple Providers and/or at High Dosage in Persons without Cancer</w:t>
      </w:r>
    </w:p>
    <w:p w:rsidR="00805174" w:rsidRDefault="00805174">
      <w:pPr>
        <w:pStyle w:val="BodyText"/>
        <w:spacing w:before="1"/>
        <w:rPr>
          <w:i/>
        </w:rPr>
      </w:pPr>
    </w:p>
    <w:p w:rsidR="00805174" w:rsidRDefault="000A64A3">
      <w:pPr>
        <w:pStyle w:val="BodyText"/>
        <w:ind w:left="100" w:right="114"/>
        <w:jc w:val="both"/>
      </w:pPr>
      <w:r>
        <w:t>While</w:t>
      </w:r>
      <w:r>
        <w:rPr>
          <w:spacing w:val="-14"/>
        </w:rPr>
        <w:t xml:space="preserve"> </w:t>
      </w:r>
      <w:r>
        <w:t>all</w:t>
      </w:r>
      <w:r>
        <w:rPr>
          <w:spacing w:val="-16"/>
        </w:rPr>
        <w:t xml:space="preserve"> </w:t>
      </w:r>
      <w:r>
        <w:t>three</w:t>
      </w:r>
      <w:r>
        <w:rPr>
          <w:spacing w:val="-14"/>
        </w:rPr>
        <w:t xml:space="preserve"> </w:t>
      </w:r>
      <w:r>
        <w:t>of</w:t>
      </w:r>
      <w:r>
        <w:rPr>
          <w:spacing w:val="-14"/>
        </w:rPr>
        <w:t xml:space="preserve"> </w:t>
      </w:r>
      <w:r>
        <w:t>PQA’s</w:t>
      </w:r>
      <w:r>
        <w:rPr>
          <w:spacing w:val="-16"/>
        </w:rPr>
        <w:t xml:space="preserve"> </w:t>
      </w:r>
      <w:r>
        <w:t>opioid</w:t>
      </w:r>
      <w:r>
        <w:rPr>
          <w:spacing w:val="-14"/>
        </w:rPr>
        <w:t xml:space="preserve"> </w:t>
      </w:r>
      <w:r>
        <w:t>measures</w:t>
      </w:r>
      <w:r>
        <w:rPr>
          <w:spacing w:val="-14"/>
        </w:rPr>
        <w:t xml:space="preserve"> </w:t>
      </w:r>
      <w:r>
        <w:t>will</w:t>
      </w:r>
      <w:r>
        <w:rPr>
          <w:spacing w:val="-13"/>
        </w:rPr>
        <w:t xml:space="preserve"> </w:t>
      </w:r>
      <w:r>
        <w:t>continue</w:t>
      </w:r>
      <w:r>
        <w:rPr>
          <w:spacing w:val="-16"/>
        </w:rPr>
        <w:t xml:space="preserve"> </w:t>
      </w:r>
      <w:r>
        <w:t>to</w:t>
      </w:r>
      <w:r>
        <w:rPr>
          <w:spacing w:val="-14"/>
        </w:rPr>
        <w:t xml:space="preserve"> </w:t>
      </w:r>
      <w:r>
        <w:t>be</w:t>
      </w:r>
      <w:r>
        <w:rPr>
          <w:spacing w:val="-16"/>
        </w:rPr>
        <w:t xml:space="preserve"> </w:t>
      </w:r>
      <w:r>
        <w:t>reported</w:t>
      </w:r>
      <w:r>
        <w:rPr>
          <w:spacing w:val="-14"/>
        </w:rPr>
        <w:t xml:space="preserve"> </w:t>
      </w:r>
      <w:r>
        <w:t>to</w:t>
      </w:r>
      <w:r>
        <w:rPr>
          <w:spacing w:val="-14"/>
        </w:rPr>
        <w:t xml:space="preserve"> </w:t>
      </w:r>
      <w:r>
        <w:t>plans</w:t>
      </w:r>
      <w:r>
        <w:rPr>
          <w:spacing w:val="-14"/>
        </w:rPr>
        <w:t xml:space="preserve"> </w:t>
      </w:r>
      <w:r>
        <w:t>via</w:t>
      </w:r>
      <w:r>
        <w:rPr>
          <w:spacing w:val="-16"/>
        </w:rPr>
        <w:t xml:space="preserve"> </w:t>
      </w:r>
      <w:r>
        <w:t>the</w:t>
      </w:r>
      <w:r>
        <w:rPr>
          <w:spacing w:val="-14"/>
        </w:rPr>
        <w:t xml:space="preserve"> </w:t>
      </w:r>
      <w:r>
        <w:t>Patient</w:t>
      </w:r>
      <w:r>
        <w:rPr>
          <w:spacing w:val="-13"/>
        </w:rPr>
        <w:t xml:space="preserve"> </w:t>
      </w:r>
      <w:r>
        <w:t>Safety</w:t>
      </w:r>
      <w:r>
        <w:rPr>
          <w:spacing w:val="-17"/>
        </w:rPr>
        <w:t xml:space="preserve"> </w:t>
      </w:r>
      <w:r>
        <w:t>reports, CMS</w:t>
      </w:r>
      <w:r>
        <w:rPr>
          <w:spacing w:val="-3"/>
        </w:rPr>
        <w:t xml:space="preserve"> </w:t>
      </w:r>
      <w:r>
        <w:t>is</w:t>
      </w:r>
      <w:r>
        <w:rPr>
          <w:spacing w:val="-3"/>
        </w:rPr>
        <w:t xml:space="preserve"> </w:t>
      </w:r>
      <w:r>
        <w:t>proposing</w:t>
      </w:r>
      <w:r>
        <w:rPr>
          <w:spacing w:val="-6"/>
        </w:rPr>
        <w:t xml:space="preserve"> </w:t>
      </w:r>
      <w:r>
        <w:t>to</w:t>
      </w:r>
      <w:r>
        <w:rPr>
          <w:spacing w:val="-4"/>
        </w:rPr>
        <w:t xml:space="preserve"> </w:t>
      </w:r>
      <w:r>
        <w:t>include</w:t>
      </w:r>
      <w:r>
        <w:rPr>
          <w:spacing w:val="-3"/>
        </w:rPr>
        <w:t xml:space="preserve"> </w:t>
      </w:r>
      <w:r>
        <w:t>only</w:t>
      </w:r>
      <w:r>
        <w:rPr>
          <w:spacing w:val="-6"/>
        </w:rPr>
        <w:t xml:space="preserve"> </w:t>
      </w:r>
      <w:r>
        <w:t>Measure</w:t>
      </w:r>
      <w:r>
        <w:rPr>
          <w:spacing w:val="-3"/>
        </w:rPr>
        <w:t xml:space="preserve"> </w:t>
      </w:r>
      <w:r>
        <w:t>3,</w:t>
      </w:r>
      <w:r>
        <w:rPr>
          <w:spacing w:val="-4"/>
        </w:rPr>
        <w:t xml:space="preserve"> </w:t>
      </w:r>
      <w:r>
        <w:t>Use</w:t>
      </w:r>
      <w:r>
        <w:rPr>
          <w:spacing w:val="-3"/>
        </w:rPr>
        <w:t xml:space="preserve"> </w:t>
      </w:r>
      <w:r>
        <w:t>of</w:t>
      </w:r>
      <w:r>
        <w:rPr>
          <w:spacing w:val="-3"/>
        </w:rPr>
        <w:t xml:space="preserve"> </w:t>
      </w:r>
      <w:r>
        <w:t>Opioids</w:t>
      </w:r>
      <w:r>
        <w:rPr>
          <w:spacing w:val="-3"/>
        </w:rPr>
        <w:t xml:space="preserve"> </w:t>
      </w:r>
      <w:r>
        <w:t>at</w:t>
      </w:r>
      <w:r>
        <w:rPr>
          <w:spacing w:val="-3"/>
        </w:rPr>
        <w:t xml:space="preserve"> </w:t>
      </w:r>
      <w:r>
        <w:t>High</w:t>
      </w:r>
      <w:r>
        <w:rPr>
          <w:spacing w:val="-4"/>
        </w:rPr>
        <w:t xml:space="preserve"> </w:t>
      </w:r>
      <w:r>
        <w:t>Dosage</w:t>
      </w:r>
      <w:r>
        <w:rPr>
          <w:spacing w:val="-3"/>
        </w:rPr>
        <w:t xml:space="preserve"> </w:t>
      </w:r>
      <w:r>
        <w:t>and</w:t>
      </w:r>
      <w:r>
        <w:rPr>
          <w:spacing w:val="-3"/>
        </w:rPr>
        <w:t xml:space="preserve"> </w:t>
      </w:r>
      <w:r>
        <w:t>from</w:t>
      </w:r>
      <w:r>
        <w:rPr>
          <w:spacing w:val="-7"/>
        </w:rPr>
        <w:t xml:space="preserve"> </w:t>
      </w:r>
      <w:r>
        <w:t>Multiple</w:t>
      </w:r>
      <w:r>
        <w:rPr>
          <w:spacing w:val="-3"/>
        </w:rPr>
        <w:t xml:space="preserve"> </w:t>
      </w:r>
      <w:r>
        <w:t>Providers in Persons without Cancer (OHDMP) to the 2019 Part D Display Page. Anthem supports this proposal, as this would better align with CMS’ Drug Utilization Review (DUR) requirements and the quarterl</w:t>
      </w:r>
      <w:r>
        <w:t xml:space="preserve">y Overutilization Monitoring System (OMS) report. However, in an effort to keep all opioid programs aligned, Anthem urges CMS to update the threshold and criteria to match that of the recent updates made to the OMS. Additionally, we caution CMS to conduct </w:t>
      </w:r>
      <w:r>
        <w:t>careful evaluation of the upcoming Part D Drug Management Program to understand how it will impact the OHDMP measure (or other opioid-related measures) before determining to add it to the Star Ratings</w:t>
      </w:r>
      <w:r>
        <w:rPr>
          <w:spacing w:val="-21"/>
        </w:rPr>
        <w:t xml:space="preserve"> </w:t>
      </w:r>
      <w:r>
        <w:t>program.</w:t>
      </w:r>
    </w:p>
    <w:p w:rsidR="00805174" w:rsidRDefault="00805174">
      <w:pPr>
        <w:pStyle w:val="BodyText"/>
      </w:pPr>
    </w:p>
    <w:p w:rsidR="00805174" w:rsidRDefault="000A64A3">
      <w:pPr>
        <w:pStyle w:val="BodyText"/>
        <w:ind w:left="100"/>
        <w:jc w:val="both"/>
      </w:pPr>
      <w:r>
        <w:rPr>
          <w:u w:val="single"/>
        </w:rPr>
        <w:t>Forecasting to 2020 and Beyond</w:t>
      </w:r>
    </w:p>
    <w:p w:rsidR="00805174" w:rsidRDefault="00805174">
      <w:pPr>
        <w:pStyle w:val="BodyText"/>
        <w:spacing w:before="1"/>
        <w:rPr>
          <w:sz w:val="14"/>
        </w:rPr>
      </w:pPr>
    </w:p>
    <w:p w:rsidR="00805174" w:rsidRDefault="000A64A3">
      <w:pPr>
        <w:pStyle w:val="BodyText"/>
        <w:spacing w:before="91"/>
        <w:ind w:left="100" w:right="115"/>
        <w:jc w:val="both"/>
      </w:pPr>
      <w:r>
        <w:t>Anthem has lo</w:t>
      </w:r>
      <w:r>
        <w:t>ng asserted that an annual and formal notice and comment rulemaking process should be used to propose and finalize changes to the Star Ratings system. We thank CMS for responding to this feedback</w:t>
      </w:r>
      <w:r>
        <w:rPr>
          <w:spacing w:val="-13"/>
        </w:rPr>
        <w:t xml:space="preserve"> </w:t>
      </w:r>
      <w:r>
        <w:t>and</w:t>
      </w:r>
      <w:r>
        <w:rPr>
          <w:spacing w:val="-13"/>
        </w:rPr>
        <w:t xml:space="preserve"> </w:t>
      </w:r>
      <w:r>
        <w:t>support</w:t>
      </w:r>
      <w:r>
        <w:rPr>
          <w:spacing w:val="-12"/>
        </w:rPr>
        <w:t xml:space="preserve"> </w:t>
      </w:r>
      <w:r>
        <w:t>the</w:t>
      </w:r>
      <w:r>
        <w:rPr>
          <w:spacing w:val="-13"/>
        </w:rPr>
        <w:t xml:space="preserve"> </w:t>
      </w:r>
      <w:r>
        <w:t>proposed</w:t>
      </w:r>
      <w:r>
        <w:rPr>
          <w:spacing w:val="-13"/>
        </w:rPr>
        <w:t xml:space="preserve"> </w:t>
      </w:r>
      <w:r>
        <w:t>policy</w:t>
      </w:r>
      <w:r>
        <w:rPr>
          <w:spacing w:val="-13"/>
        </w:rPr>
        <w:t xml:space="preserve"> </w:t>
      </w:r>
      <w:r>
        <w:t>to</w:t>
      </w:r>
      <w:r>
        <w:rPr>
          <w:spacing w:val="-13"/>
        </w:rPr>
        <w:t xml:space="preserve"> </w:t>
      </w:r>
      <w:r>
        <w:t>codify</w:t>
      </w:r>
      <w:r>
        <w:rPr>
          <w:spacing w:val="-13"/>
        </w:rPr>
        <w:t xml:space="preserve"> </w:t>
      </w:r>
      <w:r>
        <w:t>Star</w:t>
      </w:r>
      <w:r>
        <w:rPr>
          <w:spacing w:val="-12"/>
        </w:rPr>
        <w:t xml:space="preserve"> </w:t>
      </w:r>
      <w:r>
        <w:t>Ratings</w:t>
      </w:r>
      <w:r>
        <w:rPr>
          <w:spacing w:val="-10"/>
        </w:rPr>
        <w:t xml:space="preserve"> </w:t>
      </w:r>
      <w:r>
        <w:t>measu</w:t>
      </w:r>
      <w:r>
        <w:t>rements</w:t>
      </w:r>
      <w:r>
        <w:rPr>
          <w:spacing w:val="-10"/>
        </w:rPr>
        <w:t xml:space="preserve"> </w:t>
      </w:r>
      <w:r>
        <w:t>and</w:t>
      </w:r>
      <w:r>
        <w:rPr>
          <w:spacing w:val="-13"/>
        </w:rPr>
        <w:t xml:space="preserve"> </w:t>
      </w:r>
      <w:r>
        <w:t>methodology</w:t>
      </w:r>
      <w:r>
        <w:rPr>
          <w:spacing w:val="-13"/>
        </w:rPr>
        <w:t xml:space="preserve"> </w:t>
      </w:r>
      <w:r>
        <w:t>beginning with the 2019 measurement periods. Anthem agrees that having codified regulations to govern the Star Ratings will foster the transparency and predictability needed to support continued investment in quality improvement act</w:t>
      </w:r>
      <w:r>
        <w:t>ivities and, more importantly, ensure beneficiaries are able to rely upon the Star Ratings as a true measure of quality when selecting a plan. We look forward to continuing to engage CMS on the Star Ratings through this regulatory</w:t>
      </w:r>
      <w:r>
        <w:rPr>
          <w:spacing w:val="-17"/>
        </w:rPr>
        <w:t xml:space="preserve"> </w:t>
      </w:r>
      <w:r>
        <w:t>process.</w:t>
      </w:r>
    </w:p>
    <w:p w:rsidR="00805174" w:rsidRDefault="00805174">
      <w:pPr>
        <w:pStyle w:val="BodyText"/>
        <w:spacing w:before="8"/>
        <w:rPr>
          <w:sz w:val="21"/>
        </w:rPr>
      </w:pPr>
    </w:p>
    <w:p w:rsidR="00805174" w:rsidRDefault="000A64A3">
      <w:pPr>
        <w:pStyle w:val="BodyText"/>
        <w:spacing w:before="1"/>
        <w:ind w:left="100"/>
        <w:jc w:val="both"/>
      </w:pPr>
      <w:r>
        <w:rPr>
          <w:u w:val="single"/>
        </w:rPr>
        <w:t>Potential Chang</w:t>
      </w:r>
      <w:r>
        <w:rPr>
          <w:u w:val="single"/>
        </w:rPr>
        <w:t>es to Existing Measures</w:t>
      </w:r>
    </w:p>
    <w:p w:rsidR="00805174" w:rsidRDefault="00805174">
      <w:pPr>
        <w:pStyle w:val="BodyText"/>
        <w:spacing w:before="1"/>
        <w:rPr>
          <w:sz w:val="14"/>
        </w:rPr>
      </w:pPr>
    </w:p>
    <w:p w:rsidR="00805174" w:rsidRDefault="000A64A3">
      <w:pPr>
        <w:spacing w:before="91"/>
        <w:ind w:left="100"/>
        <w:jc w:val="both"/>
        <w:rPr>
          <w:i/>
        </w:rPr>
      </w:pPr>
      <w:r>
        <w:rPr>
          <w:i/>
        </w:rPr>
        <w:t>Controlling High Blood Pressure</w:t>
      </w:r>
    </w:p>
    <w:p w:rsidR="00805174" w:rsidRDefault="00805174">
      <w:pPr>
        <w:pStyle w:val="BodyText"/>
        <w:rPr>
          <w:i/>
        </w:rPr>
      </w:pPr>
    </w:p>
    <w:p w:rsidR="00805174" w:rsidRDefault="000A64A3">
      <w:pPr>
        <w:pStyle w:val="BodyText"/>
        <w:ind w:left="100" w:right="114"/>
        <w:jc w:val="both"/>
      </w:pPr>
      <w:r>
        <w:t>NCQA’s work to evaluate updates to the Controlling High Blood Pressure measure for the Healthcare Effectiveness</w:t>
      </w:r>
      <w:r>
        <w:rPr>
          <w:spacing w:val="-9"/>
        </w:rPr>
        <w:t xml:space="preserve"> </w:t>
      </w:r>
      <w:r>
        <w:t>Data</w:t>
      </w:r>
      <w:r>
        <w:rPr>
          <w:spacing w:val="-9"/>
        </w:rPr>
        <w:t xml:space="preserve"> </w:t>
      </w:r>
      <w:r>
        <w:t>and</w:t>
      </w:r>
      <w:r>
        <w:rPr>
          <w:spacing w:val="-9"/>
        </w:rPr>
        <w:t xml:space="preserve"> </w:t>
      </w:r>
      <w:r>
        <w:t>Information</w:t>
      </w:r>
      <w:r>
        <w:rPr>
          <w:spacing w:val="-10"/>
        </w:rPr>
        <w:t xml:space="preserve"> </w:t>
      </w:r>
      <w:r>
        <w:t>Set</w:t>
      </w:r>
      <w:r>
        <w:rPr>
          <w:spacing w:val="-9"/>
        </w:rPr>
        <w:t xml:space="preserve"> </w:t>
      </w:r>
      <w:r>
        <w:t>(HEDIS)</w:t>
      </w:r>
      <w:r>
        <w:rPr>
          <w:spacing w:val="-9"/>
        </w:rPr>
        <w:t xml:space="preserve"> </w:t>
      </w:r>
      <w:r>
        <w:t>2019</w:t>
      </w:r>
      <w:r>
        <w:rPr>
          <w:spacing w:val="-10"/>
        </w:rPr>
        <w:t xml:space="preserve"> </w:t>
      </w:r>
      <w:r>
        <w:t>as</w:t>
      </w:r>
      <w:r>
        <w:rPr>
          <w:spacing w:val="-9"/>
        </w:rPr>
        <w:t xml:space="preserve"> </w:t>
      </w:r>
      <w:r>
        <w:t>a</w:t>
      </w:r>
      <w:r>
        <w:rPr>
          <w:spacing w:val="-9"/>
        </w:rPr>
        <w:t xml:space="preserve"> </w:t>
      </w:r>
      <w:r>
        <w:t>result</w:t>
      </w:r>
      <w:r>
        <w:rPr>
          <w:spacing w:val="-9"/>
        </w:rPr>
        <w:t xml:space="preserve"> </w:t>
      </w:r>
      <w:r>
        <w:t>of</w:t>
      </w:r>
      <w:r>
        <w:rPr>
          <w:spacing w:val="-9"/>
        </w:rPr>
        <w:t xml:space="preserve"> </w:t>
      </w:r>
      <w:r>
        <w:t>new</w:t>
      </w:r>
      <w:r>
        <w:rPr>
          <w:spacing w:val="-10"/>
        </w:rPr>
        <w:t xml:space="preserve"> </w:t>
      </w:r>
      <w:r>
        <w:t>hypertension</w:t>
      </w:r>
      <w:r>
        <w:rPr>
          <w:spacing w:val="-10"/>
        </w:rPr>
        <w:t xml:space="preserve"> </w:t>
      </w:r>
      <w:r>
        <w:t>treatment</w:t>
      </w:r>
      <w:r>
        <w:rPr>
          <w:spacing w:val="-8"/>
        </w:rPr>
        <w:t xml:space="preserve"> </w:t>
      </w:r>
      <w:r>
        <w:t>guidelines from the American College of Cardiology and the American Heart Association is an important step in hypertension prevention. As CMS considers modifications to this measure, Anthem encourages CMS to include</w:t>
      </w:r>
      <w:r>
        <w:rPr>
          <w:spacing w:val="-9"/>
        </w:rPr>
        <w:t xml:space="preserve"> </w:t>
      </w:r>
      <w:r>
        <w:t>out-of-office</w:t>
      </w:r>
      <w:r>
        <w:rPr>
          <w:spacing w:val="-9"/>
        </w:rPr>
        <w:t xml:space="preserve"> </w:t>
      </w:r>
      <w:r>
        <w:t>remote</w:t>
      </w:r>
      <w:r>
        <w:rPr>
          <w:spacing w:val="-9"/>
        </w:rPr>
        <w:t xml:space="preserve"> </w:t>
      </w:r>
      <w:r>
        <w:t>monitoring</w:t>
      </w:r>
      <w:r>
        <w:rPr>
          <w:spacing w:val="-12"/>
        </w:rPr>
        <w:t xml:space="preserve"> </w:t>
      </w:r>
      <w:r>
        <w:t>encounte</w:t>
      </w:r>
      <w:r>
        <w:t>rs</w:t>
      </w:r>
      <w:r>
        <w:rPr>
          <w:spacing w:val="-11"/>
        </w:rPr>
        <w:t xml:space="preserve"> </w:t>
      </w:r>
      <w:r>
        <w:t>towards</w:t>
      </w:r>
      <w:r>
        <w:rPr>
          <w:spacing w:val="-9"/>
        </w:rPr>
        <w:t xml:space="preserve"> </w:t>
      </w:r>
      <w:r>
        <w:t>the</w:t>
      </w:r>
      <w:r>
        <w:rPr>
          <w:spacing w:val="-9"/>
        </w:rPr>
        <w:t xml:space="preserve"> </w:t>
      </w:r>
      <w:r>
        <w:t>measure</w:t>
      </w:r>
      <w:r>
        <w:rPr>
          <w:spacing w:val="-12"/>
        </w:rPr>
        <w:t xml:space="preserve"> </w:t>
      </w:r>
      <w:r>
        <w:t>rate</w:t>
      </w:r>
      <w:r>
        <w:rPr>
          <w:spacing w:val="-9"/>
        </w:rPr>
        <w:t xml:space="preserve"> </w:t>
      </w:r>
      <w:r>
        <w:t>calculation.</w:t>
      </w:r>
      <w:r>
        <w:rPr>
          <w:spacing w:val="-12"/>
        </w:rPr>
        <w:t xml:space="preserve"> </w:t>
      </w:r>
      <w:r>
        <w:t>This</w:t>
      </w:r>
      <w:r>
        <w:rPr>
          <w:spacing w:val="-9"/>
        </w:rPr>
        <w:t xml:space="preserve"> </w:t>
      </w:r>
      <w:r>
        <w:t>would</w:t>
      </w:r>
      <w:r>
        <w:rPr>
          <w:spacing w:val="-10"/>
        </w:rPr>
        <w:t xml:space="preserve"> </w:t>
      </w:r>
      <w:r>
        <w:t>make significant strides in identifying individuals with masked hypertension and ensuring that their blood pressure is adequately</w:t>
      </w:r>
      <w:r>
        <w:rPr>
          <w:spacing w:val="-7"/>
        </w:rPr>
        <w:t xml:space="preserve"> </w:t>
      </w:r>
      <w:r>
        <w:t>controlled.</w:t>
      </w:r>
    </w:p>
    <w:p w:rsidR="00805174" w:rsidRDefault="00805174">
      <w:pPr>
        <w:pStyle w:val="BodyText"/>
      </w:pPr>
    </w:p>
    <w:p w:rsidR="00805174" w:rsidRDefault="000A64A3">
      <w:pPr>
        <w:ind w:left="100"/>
        <w:jc w:val="both"/>
        <w:rPr>
          <w:i/>
        </w:rPr>
      </w:pPr>
      <w:r>
        <w:rPr>
          <w:i/>
        </w:rPr>
        <w:t>Telehealth and Remote Access Technologies</w:t>
      </w:r>
    </w:p>
    <w:p w:rsidR="00805174" w:rsidRDefault="00805174">
      <w:pPr>
        <w:pStyle w:val="BodyText"/>
        <w:rPr>
          <w:i/>
        </w:rPr>
      </w:pPr>
    </w:p>
    <w:p w:rsidR="00805174" w:rsidRDefault="000A64A3">
      <w:pPr>
        <w:pStyle w:val="BodyText"/>
        <w:ind w:left="100" w:right="114"/>
        <w:jc w:val="both"/>
      </w:pPr>
      <w:r>
        <w:t>CMS asks for feedb</w:t>
      </w:r>
      <w:r>
        <w:t>ack on the appropriateness of including telehealth and/or remote access technology encounters,</w:t>
      </w:r>
      <w:r>
        <w:rPr>
          <w:spacing w:val="-10"/>
        </w:rPr>
        <w:t xml:space="preserve"> </w:t>
      </w:r>
      <w:r>
        <w:t>as</w:t>
      </w:r>
      <w:r>
        <w:rPr>
          <w:spacing w:val="-10"/>
        </w:rPr>
        <w:t xml:space="preserve"> </w:t>
      </w:r>
      <w:r>
        <w:t>allowed</w:t>
      </w:r>
      <w:r>
        <w:rPr>
          <w:spacing w:val="-10"/>
        </w:rPr>
        <w:t xml:space="preserve"> </w:t>
      </w:r>
      <w:r>
        <w:t>under</w:t>
      </w:r>
      <w:r>
        <w:rPr>
          <w:spacing w:val="-9"/>
        </w:rPr>
        <w:t xml:space="preserve"> </w:t>
      </w:r>
      <w:r>
        <w:t>the</w:t>
      </w:r>
      <w:r>
        <w:rPr>
          <w:spacing w:val="-10"/>
        </w:rPr>
        <w:t xml:space="preserve"> </w:t>
      </w:r>
      <w:r>
        <w:t>current</w:t>
      </w:r>
      <w:r>
        <w:rPr>
          <w:spacing w:val="-10"/>
        </w:rPr>
        <w:t xml:space="preserve"> </w:t>
      </w:r>
      <w:r>
        <w:t>statutory</w:t>
      </w:r>
      <w:r>
        <w:rPr>
          <w:spacing w:val="-13"/>
        </w:rPr>
        <w:t xml:space="preserve"> </w:t>
      </w:r>
      <w:r>
        <w:t>definition</w:t>
      </w:r>
      <w:r>
        <w:rPr>
          <w:spacing w:val="-11"/>
        </w:rPr>
        <w:t xml:space="preserve"> </w:t>
      </w:r>
      <w:r>
        <w:t>of</w:t>
      </w:r>
      <w:r>
        <w:rPr>
          <w:spacing w:val="-12"/>
        </w:rPr>
        <w:t xml:space="preserve"> </w:t>
      </w:r>
      <w:r>
        <w:t>Medicare</w:t>
      </w:r>
      <w:r>
        <w:rPr>
          <w:spacing w:val="-10"/>
        </w:rPr>
        <w:t xml:space="preserve"> </w:t>
      </w:r>
      <w:r>
        <w:t>covered</w:t>
      </w:r>
      <w:r>
        <w:rPr>
          <w:spacing w:val="-13"/>
        </w:rPr>
        <w:t xml:space="preserve"> </w:t>
      </w:r>
      <w:r>
        <w:t>telehealth</w:t>
      </w:r>
      <w:r>
        <w:rPr>
          <w:spacing w:val="-11"/>
        </w:rPr>
        <w:t xml:space="preserve"> </w:t>
      </w:r>
      <w:r>
        <w:t>services</w:t>
      </w:r>
      <w:r>
        <w:rPr>
          <w:spacing w:val="-10"/>
        </w:rPr>
        <w:t xml:space="preserve"> </w:t>
      </w:r>
      <w:r>
        <w:t>and/or as a provided by the MAO as an MA supplemental benefit, as eligi</w:t>
      </w:r>
      <w:r>
        <w:t>ble encounters in various Part C</w:t>
      </w:r>
      <w:r>
        <w:rPr>
          <w:spacing w:val="-36"/>
        </w:rPr>
        <w:t xml:space="preserve"> </w:t>
      </w:r>
      <w:r>
        <w:t>quality measures. In general, Anthem is supportive of such initiatives; we believe that including these types of encounters will help ensure robust access to care, improve efficiencies, expand disease management programs, a</w:t>
      </w:r>
      <w:r>
        <w:t>ssist in transitional care activities/coordination of care amongst the Medicare population, and generally drive improvements in patient</w:t>
      </w:r>
      <w:r>
        <w:rPr>
          <w:spacing w:val="-18"/>
        </w:rPr>
        <w:t xml:space="preserve"> </w:t>
      </w:r>
      <w:r>
        <w:t>experience.</w:t>
      </w:r>
    </w:p>
    <w:p w:rsidR="00805174" w:rsidRDefault="00805174">
      <w:pPr>
        <w:pStyle w:val="BodyText"/>
        <w:spacing w:before="9"/>
        <w:rPr>
          <w:sz w:val="21"/>
        </w:rPr>
      </w:pPr>
    </w:p>
    <w:p w:rsidR="00805174" w:rsidRDefault="000A64A3">
      <w:pPr>
        <w:ind w:left="100"/>
        <w:jc w:val="both"/>
        <w:rPr>
          <w:i/>
        </w:rPr>
      </w:pPr>
      <w:r>
        <w:rPr>
          <w:i/>
        </w:rPr>
        <w:t>Cross-Cutting Exclusions for Advanced Illness</w:t>
      </w:r>
    </w:p>
    <w:p w:rsidR="00805174" w:rsidRDefault="00805174">
      <w:pPr>
        <w:pStyle w:val="BodyText"/>
        <w:rPr>
          <w:i/>
        </w:rPr>
      </w:pPr>
    </w:p>
    <w:p w:rsidR="00805174" w:rsidRDefault="000A64A3">
      <w:pPr>
        <w:pStyle w:val="BodyText"/>
        <w:ind w:left="100" w:right="122"/>
        <w:jc w:val="both"/>
      </w:pPr>
      <w:r>
        <w:t>As CMS considers the clinical appropriateness and feasibility of excluding individuals with advanced illness from selected Part C measures, Anthem recommends that patients receiving palliative care be excluded from measures with a preventive care focus.</w:t>
      </w:r>
    </w:p>
    <w:p w:rsidR="00805174" w:rsidRDefault="00805174">
      <w:pPr>
        <w:jc w:val="both"/>
        <w:sectPr w:rsidR="00805174">
          <w:pgSz w:w="12240" w:h="15840"/>
          <w:pgMar w:top="1360" w:right="1320" w:bottom="1200" w:left="1340" w:header="0" w:footer="1015" w:gutter="0"/>
          <w:cols w:space="720"/>
        </w:sectPr>
      </w:pPr>
    </w:p>
    <w:p w:rsidR="00805174" w:rsidRDefault="000A64A3">
      <w:pPr>
        <w:spacing w:before="74"/>
        <w:ind w:left="100" w:right="120"/>
        <w:jc w:val="both"/>
        <w:rPr>
          <w:i/>
        </w:rPr>
      </w:pPr>
      <w:r>
        <w:rPr>
          <w:i/>
        </w:rPr>
        <w:lastRenderedPageBreak/>
        <w:t>Medication Therapy Management (MTM) Program Completion Rate for Comprehensive Medication Reviews (CMR)</w:t>
      </w:r>
    </w:p>
    <w:p w:rsidR="00805174" w:rsidRDefault="00805174">
      <w:pPr>
        <w:pStyle w:val="BodyText"/>
        <w:rPr>
          <w:i/>
        </w:rPr>
      </w:pPr>
    </w:p>
    <w:p w:rsidR="00805174" w:rsidRDefault="000A64A3">
      <w:pPr>
        <w:pStyle w:val="BodyText"/>
        <w:ind w:left="100" w:right="112"/>
        <w:jc w:val="both"/>
      </w:pPr>
      <w:r>
        <w:t>PQA’s 2018 update to this measure includes a new denominator exception for patients eligible for CMR with fewer than 61 days of continuou</w:t>
      </w:r>
      <w:r>
        <w:t>s enrollment in the MTM program, such that beneficiaries would be excluded from the denominator if they did not receive a CMR within the 61 day timeframe (but would be included in both the numerator and denominator if they received a CMR within this timefr</w:t>
      </w:r>
      <w:r>
        <w:t>ame). Anthem agrees with CMS’ decision to apply this denominator exception to the 2020 Star Ratings, based on 2018 data.</w:t>
      </w:r>
    </w:p>
    <w:p w:rsidR="00805174" w:rsidRDefault="00805174">
      <w:pPr>
        <w:pStyle w:val="BodyText"/>
        <w:spacing w:before="11"/>
        <w:rPr>
          <w:sz w:val="21"/>
        </w:rPr>
      </w:pPr>
    </w:p>
    <w:p w:rsidR="00805174" w:rsidRDefault="000A64A3">
      <w:pPr>
        <w:pStyle w:val="BodyText"/>
        <w:ind w:left="100"/>
        <w:jc w:val="both"/>
      </w:pPr>
      <w:r>
        <w:rPr>
          <w:u w:val="single"/>
        </w:rPr>
        <w:t>Potential New Measures for 2020 and Beyond</w:t>
      </w:r>
    </w:p>
    <w:p w:rsidR="00805174" w:rsidRDefault="00805174">
      <w:pPr>
        <w:pStyle w:val="BodyText"/>
        <w:rPr>
          <w:sz w:val="14"/>
        </w:rPr>
      </w:pPr>
    </w:p>
    <w:p w:rsidR="00805174" w:rsidRDefault="000A64A3">
      <w:pPr>
        <w:spacing w:before="92"/>
        <w:ind w:left="100"/>
        <w:jc w:val="both"/>
        <w:rPr>
          <w:i/>
        </w:rPr>
      </w:pPr>
      <w:r>
        <w:rPr>
          <w:i/>
        </w:rPr>
        <w:t>Transitions of Care</w:t>
      </w:r>
    </w:p>
    <w:p w:rsidR="00805174" w:rsidRDefault="00805174">
      <w:pPr>
        <w:pStyle w:val="BodyText"/>
        <w:rPr>
          <w:i/>
        </w:rPr>
      </w:pPr>
    </w:p>
    <w:p w:rsidR="00805174" w:rsidRDefault="000A64A3">
      <w:pPr>
        <w:pStyle w:val="BodyText"/>
        <w:spacing w:before="1"/>
        <w:ind w:left="100" w:right="114"/>
        <w:jc w:val="both"/>
      </w:pPr>
      <w:r>
        <w:t>Measuring the quality of transitions of care is a complex and challenging process due to the multiple providers and multiple health care settings that are often involved. Therefore, Anthem encourages CMS to ensure</w:t>
      </w:r>
      <w:r>
        <w:rPr>
          <w:spacing w:val="-7"/>
        </w:rPr>
        <w:t xml:space="preserve"> </w:t>
      </w:r>
      <w:r>
        <w:t>that</w:t>
      </w:r>
      <w:r>
        <w:rPr>
          <w:spacing w:val="-8"/>
        </w:rPr>
        <w:t xml:space="preserve"> </w:t>
      </w:r>
      <w:r>
        <w:t>the</w:t>
      </w:r>
      <w:r>
        <w:rPr>
          <w:spacing w:val="-7"/>
        </w:rPr>
        <w:t xml:space="preserve"> </w:t>
      </w:r>
      <w:r>
        <w:t>measure</w:t>
      </w:r>
      <w:r>
        <w:rPr>
          <w:spacing w:val="-7"/>
        </w:rPr>
        <w:t xml:space="preserve"> </w:t>
      </w:r>
      <w:r>
        <w:t>indicators</w:t>
      </w:r>
      <w:r>
        <w:rPr>
          <w:spacing w:val="-9"/>
        </w:rPr>
        <w:t xml:space="preserve"> </w:t>
      </w:r>
      <w:r>
        <w:t>include</w:t>
      </w:r>
      <w:r>
        <w:rPr>
          <w:spacing w:val="-6"/>
        </w:rPr>
        <w:t xml:space="preserve"> </w:t>
      </w:r>
      <w:r>
        <w:t>all</w:t>
      </w:r>
      <w:r>
        <w:rPr>
          <w:spacing w:val="-6"/>
        </w:rPr>
        <w:t xml:space="preserve"> </w:t>
      </w:r>
      <w:r>
        <w:t>pr</w:t>
      </w:r>
      <w:r>
        <w:t>oviders</w:t>
      </w:r>
      <w:r>
        <w:rPr>
          <w:spacing w:val="-9"/>
        </w:rPr>
        <w:t xml:space="preserve"> </w:t>
      </w:r>
      <w:r>
        <w:t>who</w:t>
      </w:r>
      <w:r>
        <w:rPr>
          <w:spacing w:val="-7"/>
        </w:rPr>
        <w:t xml:space="preserve"> </w:t>
      </w:r>
      <w:r>
        <w:t>can</w:t>
      </w:r>
      <w:r>
        <w:rPr>
          <w:spacing w:val="-7"/>
        </w:rPr>
        <w:t xml:space="preserve"> </w:t>
      </w:r>
      <w:r>
        <w:t>appropriately</w:t>
      </w:r>
      <w:r>
        <w:rPr>
          <w:spacing w:val="-10"/>
        </w:rPr>
        <w:t xml:space="preserve"> </w:t>
      </w:r>
      <w:r>
        <w:t>support</w:t>
      </w:r>
      <w:r>
        <w:rPr>
          <w:spacing w:val="-6"/>
        </w:rPr>
        <w:t xml:space="preserve"> </w:t>
      </w:r>
      <w:r>
        <w:t>a</w:t>
      </w:r>
      <w:r>
        <w:rPr>
          <w:spacing w:val="-7"/>
        </w:rPr>
        <w:t xml:space="preserve"> </w:t>
      </w:r>
      <w:r>
        <w:t>beneficiary</w:t>
      </w:r>
      <w:r>
        <w:rPr>
          <w:spacing w:val="-10"/>
        </w:rPr>
        <w:t xml:space="preserve"> </w:t>
      </w:r>
      <w:r>
        <w:t>during a care transition, and not to limit the measure to “Primary Care Practitioners (PCPs),” since patients with chronic care needs can be primarily managed by a specialist rather than a traditional PCP</w:t>
      </w:r>
      <w:r>
        <w:t xml:space="preserve"> or general practitioner.</w:t>
      </w:r>
    </w:p>
    <w:p w:rsidR="00805174" w:rsidRDefault="00805174">
      <w:pPr>
        <w:pStyle w:val="BodyText"/>
      </w:pPr>
    </w:p>
    <w:p w:rsidR="00805174" w:rsidRDefault="000A64A3">
      <w:pPr>
        <w:pStyle w:val="BodyText"/>
        <w:ind w:left="100" w:right="115"/>
        <w:jc w:val="both"/>
      </w:pPr>
      <w:r>
        <w:t xml:space="preserve">Furthermore, it seems that all four component indicators CMS lists (Notification of Inpatient Admission; Receipt of Discharge Information; Patient Engagement after Inpatient Discharge; and Medication Reconciliation) in the Draft </w:t>
      </w:r>
      <w:r>
        <w:t>Call Letter must be satisfied to close a gap for this contemplated measure. Anthem cautions that such a requirement could be counter-productive to the ultimate goal of the measure, similar to the concern noted above. MA plans often have programs in place t</w:t>
      </w:r>
      <w:r>
        <w:t>o support the transition home that do not necessarily require that a member have a PCP visit (e.g., visiting nurses, or registered pharmacists who complete the medication reconciliation). These programs provide valuable services to improve the quality of c</w:t>
      </w:r>
      <w:r>
        <w:t>are transitions from an inpatient setting to home and should not be discounted or inadvertently discouraged as a result of this potential measure.</w:t>
      </w:r>
    </w:p>
    <w:p w:rsidR="00805174" w:rsidRDefault="00805174">
      <w:pPr>
        <w:pStyle w:val="BodyText"/>
        <w:spacing w:before="11"/>
        <w:rPr>
          <w:sz w:val="21"/>
        </w:rPr>
      </w:pPr>
    </w:p>
    <w:p w:rsidR="00805174" w:rsidRDefault="000A64A3">
      <w:pPr>
        <w:ind w:left="100"/>
        <w:jc w:val="both"/>
        <w:rPr>
          <w:i/>
        </w:rPr>
      </w:pPr>
      <w:r>
        <w:rPr>
          <w:i/>
        </w:rPr>
        <w:t>Care Coordination Measures</w:t>
      </w:r>
    </w:p>
    <w:p w:rsidR="00805174" w:rsidRDefault="00805174">
      <w:pPr>
        <w:pStyle w:val="BodyText"/>
        <w:spacing w:before="9"/>
        <w:rPr>
          <w:i/>
          <w:sz w:val="21"/>
        </w:rPr>
      </w:pPr>
    </w:p>
    <w:p w:rsidR="00805174" w:rsidRDefault="000A64A3">
      <w:pPr>
        <w:pStyle w:val="BodyText"/>
        <w:ind w:left="100" w:right="114"/>
        <w:jc w:val="both"/>
      </w:pPr>
      <w:r>
        <w:t>Anthem agrees with CMS that care coordination is central to the MA program’s suc</w:t>
      </w:r>
      <w:r>
        <w:t>cess, and that many highly rated MA contracts perform well on the Star Ratings measures because they effectively coordinate care for their members. We are eager to learn more about the care coordination measures CMS is testing; however, we remind CMS about</w:t>
      </w:r>
      <w:r>
        <w:t xml:space="preserve"> our serious concerns with the use of survey-based measures in the Star Ratings,</w:t>
      </w:r>
      <w:r>
        <w:rPr>
          <w:spacing w:val="-14"/>
        </w:rPr>
        <w:t xml:space="preserve"> </w:t>
      </w:r>
      <w:r>
        <w:t>and</w:t>
      </w:r>
      <w:r>
        <w:rPr>
          <w:spacing w:val="-14"/>
        </w:rPr>
        <w:t xml:space="preserve"> </w:t>
      </w:r>
      <w:r>
        <w:t>particularly</w:t>
      </w:r>
      <w:r>
        <w:rPr>
          <w:spacing w:val="-14"/>
        </w:rPr>
        <w:t xml:space="preserve"> </w:t>
      </w:r>
      <w:r>
        <w:t>for</w:t>
      </w:r>
      <w:r>
        <w:rPr>
          <w:spacing w:val="-13"/>
        </w:rPr>
        <w:t xml:space="preserve"> </w:t>
      </w:r>
      <w:r>
        <w:t>measures</w:t>
      </w:r>
      <w:r>
        <w:rPr>
          <w:spacing w:val="-13"/>
        </w:rPr>
        <w:t xml:space="preserve"> </w:t>
      </w:r>
      <w:r>
        <w:t>assessing</w:t>
      </w:r>
      <w:r>
        <w:rPr>
          <w:spacing w:val="-14"/>
        </w:rPr>
        <w:t xml:space="preserve"> </w:t>
      </w:r>
      <w:r>
        <w:t>care</w:t>
      </w:r>
      <w:r>
        <w:rPr>
          <w:spacing w:val="-14"/>
        </w:rPr>
        <w:t xml:space="preserve"> </w:t>
      </w:r>
      <w:r>
        <w:t>coordination,</w:t>
      </w:r>
      <w:r>
        <w:rPr>
          <w:spacing w:val="-14"/>
        </w:rPr>
        <w:t xml:space="preserve"> </w:t>
      </w:r>
      <w:r>
        <w:t>which</w:t>
      </w:r>
      <w:r>
        <w:rPr>
          <w:spacing w:val="-14"/>
        </w:rPr>
        <w:t xml:space="preserve"> </w:t>
      </w:r>
      <w:r>
        <w:t>require</w:t>
      </w:r>
      <w:r>
        <w:rPr>
          <w:spacing w:val="-12"/>
        </w:rPr>
        <w:t xml:space="preserve"> </w:t>
      </w:r>
      <w:r>
        <w:t>beneficiary</w:t>
      </w:r>
      <w:r>
        <w:rPr>
          <w:spacing w:val="-17"/>
        </w:rPr>
        <w:t xml:space="preserve"> </w:t>
      </w:r>
      <w:r>
        <w:t>recall</w:t>
      </w:r>
      <w:r>
        <w:rPr>
          <w:spacing w:val="-11"/>
        </w:rPr>
        <w:t xml:space="preserve"> </w:t>
      </w:r>
      <w:r>
        <w:t>and</w:t>
      </w:r>
      <w:r>
        <w:rPr>
          <w:spacing w:val="-14"/>
        </w:rPr>
        <w:t xml:space="preserve"> </w:t>
      </w:r>
      <w:r>
        <w:t>rely on</w:t>
      </w:r>
      <w:r>
        <w:rPr>
          <w:spacing w:val="-5"/>
        </w:rPr>
        <w:t xml:space="preserve"> </w:t>
      </w:r>
      <w:r>
        <w:t>perception</w:t>
      </w:r>
      <w:r>
        <w:rPr>
          <w:spacing w:val="-5"/>
        </w:rPr>
        <w:t xml:space="preserve"> </w:t>
      </w:r>
      <w:r>
        <w:t>rather</w:t>
      </w:r>
      <w:r>
        <w:rPr>
          <w:spacing w:val="-6"/>
        </w:rPr>
        <w:t xml:space="preserve"> </w:t>
      </w:r>
      <w:r>
        <w:t>than</w:t>
      </w:r>
      <w:r>
        <w:rPr>
          <w:spacing w:val="-5"/>
        </w:rPr>
        <w:t xml:space="preserve"> </w:t>
      </w:r>
      <w:r>
        <w:t>data-driven</w:t>
      </w:r>
      <w:r>
        <w:rPr>
          <w:spacing w:val="-4"/>
        </w:rPr>
        <w:t xml:space="preserve"> </w:t>
      </w:r>
      <w:r>
        <w:t>evidence.</w:t>
      </w:r>
      <w:r>
        <w:rPr>
          <w:spacing w:val="-5"/>
        </w:rPr>
        <w:t xml:space="preserve"> </w:t>
      </w:r>
      <w:r>
        <w:t>Any</w:t>
      </w:r>
      <w:r>
        <w:rPr>
          <w:spacing w:val="-7"/>
        </w:rPr>
        <w:t xml:space="preserve"> </w:t>
      </w:r>
      <w:r>
        <w:t>care</w:t>
      </w:r>
      <w:r>
        <w:rPr>
          <w:spacing w:val="-7"/>
        </w:rPr>
        <w:t xml:space="preserve"> </w:t>
      </w:r>
      <w:r>
        <w:t>coordination</w:t>
      </w:r>
      <w:r>
        <w:rPr>
          <w:spacing w:val="-5"/>
        </w:rPr>
        <w:t xml:space="preserve"> </w:t>
      </w:r>
      <w:r>
        <w:t>measures</w:t>
      </w:r>
      <w:r>
        <w:rPr>
          <w:spacing w:val="-6"/>
        </w:rPr>
        <w:t xml:space="preserve"> </w:t>
      </w:r>
      <w:r>
        <w:t>contemplated</w:t>
      </w:r>
      <w:r>
        <w:rPr>
          <w:spacing w:val="-4"/>
        </w:rPr>
        <w:t xml:space="preserve"> </w:t>
      </w:r>
      <w:r>
        <w:t>by</w:t>
      </w:r>
      <w:r>
        <w:rPr>
          <w:spacing w:val="-7"/>
        </w:rPr>
        <w:t xml:space="preserve"> </w:t>
      </w:r>
      <w:r>
        <w:t>CMS</w:t>
      </w:r>
      <w:r>
        <w:rPr>
          <w:spacing w:val="-7"/>
        </w:rPr>
        <w:t xml:space="preserve"> </w:t>
      </w:r>
      <w:r>
        <w:t>for inclusion in the Star Ratings system must be based on objective clinical relevance. Ultimately, it will be important</w:t>
      </w:r>
      <w:r>
        <w:rPr>
          <w:spacing w:val="-8"/>
        </w:rPr>
        <w:t xml:space="preserve"> </w:t>
      </w:r>
      <w:r>
        <w:t>for</w:t>
      </w:r>
      <w:r>
        <w:rPr>
          <w:spacing w:val="-8"/>
        </w:rPr>
        <w:t xml:space="preserve"> </w:t>
      </w:r>
      <w:r>
        <w:t>CMS</w:t>
      </w:r>
      <w:r>
        <w:rPr>
          <w:spacing w:val="-8"/>
        </w:rPr>
        <w:t xml:space="preserve"> </w:t>
      </w:r>
      <w:r>
        <w:t>to</w:t>
      </w:r>
      <w:r>
        <w:rPr>
          <w:spacing w:val="-9"/>
        </w:rPr>
        <w:t xml:space="preserve"> </w:t>
      </w:r>
      <w:r>
        <w:t>adopt</w:t>
      </w:r>
      <w:r>
        <w:rPr>
          <w:spacing w:val="-10"/>
        </w:rPr>
        <w:t xml:space="preserve"> </w:t>
      </w:r>
      <w:r>
        <w:t>a</w:t>
      </w:r>
      <w:r>
        <w:rPr>
          <w:spacing w:val="-8"/>
        </w:rPr>
        <w:t xml:space="preserve"> </w:t>
      </w:r>
      <w:r>
        <w:t>gradual</w:t>
      </w:r>
      <w:r>
        <w:rPr>
          <w:spacing w:val="-8"/>
        </w:rPr>
        <w:t xml:space="preserve"> </w:t>
      </w:r>
      <w:r>
        <w:t>approach</w:t>
      </w:r>
      <w:r>
        <w:rPr>
          <w:spacing w:val="-8"/>
        </w:rPr>
        <w:t xml:space="preserve"> </w:t>
      </w:r>
      <w:r>
        <w:t>for</w:t>
      </w:r>
      <w:r>
        <w:rPr>
          <w:spacing w:val="-8"/>
        </w:rPr>
        <w:t xml:space="preserve"> </w:t>
      </w:r>
      <w:r>
        <w:t>how</w:t>
      </w:r>
      <w:r>
        <w:rPr>
          <w:spacing w:val="-12"/>
        </w:rPr>
        <w:t xml:space="preserve"> </w:t>
      </w:r>
      <w:r>
        <w:t>it</w:t>
      </w:r>
      <w:r>
        <w:rPr>
          <w:spacing w:val="-8"/>
        </w:rPr>
        <w:t xml:space="preserve"> </w:t>
      </w:r>
      <w:r>
        <w:t>measures</w:t>
      </w:r>
      <w:r>
        <w:rPr>
          <w:spacing w:val="-8"/>
        </w:rPr>
        <w:t xml:space="preserve"> </w:t>
      </w:r>
      <w:r>
        <w:t>care</w:t>
      </w:r>
      <w:r>
        <w:rPr>
          <w:spacing w:val="-8"/>
        </w:rPr>
        <w:t xml:space="preserve"> </w:t>
      </w:r>
      <w:r>
        <w:t>coordination</w:t>
      </w:r>
      <w:r>
        <w:rPr>
          <w:spacing w:val="-9"/>
        </w:rPr>
        <w:t xml:space="preserve"> </w:t>
      </w:r>
      <w:r>
        <w:t>with</w:t>
      </w:r>
      <w:r>
        <w:rPr>
          <w:spacing w:val="-9"/>
        </w:rPr>
        <w:t xml:space="preserve"> </w:t>
      </w:r>
      <w:r>
        <w:t>respect</w:t>
      </w:r>
      <w:r>
        <w:rPr>
          <w:spacing w:val="-10"/>
        </w:rPr>
        <w:t xml:space="preserve"> </w:t>
      </w:r>
      <w:r>
        <w:t>to</w:t>
      </w:r>
      <w:r>
        <w:rPr>
          <w:spacing w:val="-9"/>
        </w:rPr>
        <w:t xml:space="preserve"> </w:t>
      </w:r>
      <w:r>
        <w:t>Stars, which</w:t>
      </w:r>
      <w:r>
        <w:rPr>
          <w:spacing w:val="-12"/>
        </w:rPr>
        <w:t xml:space="preserve"> </w:t>
      </w:r>
      <w:r>
        <w:t>wil</w:t>
      </w:r>
      <w:r>
        <w:t>l</w:t>
      </w:r>
      <w:r>
        <w:rPr>
          <w:spacing w:val="-13"/>
        </w:rPr>
        <w:t xml:space="preserve"> </w:t>
      </w:r>
      <w:r>
        <w:t>require</w:t>
      </w:r>
      <w:r>
        <w:rPr>
          <w:spacing w:val="-12"/>
        </w:rPr>
        <w:t xml:space="preserve"> </w:t>
      </w:r>
      <w:r>
        <w:t>collaboration</w:t>
      </w:r>
      <w:r>
        <w:rPr>
          <w:spacing w:val="-12"/>
        </w:rPr>
        <w:t xml:space="preserve"> </w:t>
      </w:r>
      <w:r>
        <w:t>with</w:t>
      </w:r>
      <w:r>
        <w:rPr>
          <w:spacing w:val="-12"/>
        </w:rPr>
        <w:t xml:space="preserve"> </w:t>
      </w:r>
      <w:r>
        <w:t>plans</w:t>
      </w:r>
      <w:r>
        <w:rPr>
          <w:spacing w:val="-11"/>
        </w:rPr>
        <w:t xml:space="preserve"> </w:t>
      </w:r>
      <w:r>
        <w:t>and</w:t>
      </w:r>
      <w:r>
        <w:rPr>
          <w:spacing w:val="-12"/>
        </w:rPr>
        <w:t xml:space="preserve"> </w:t>
      </w:r>
      <w:r>
        <w:t>other</w:t>
      </w:r>
      <w:r>
        <w:rPr>
          <w:spacing w:val="-11"/>
        </w:rPr>
        <w:t xml:space="preserve"> </w:t>
      </w:r>
      <w:r>
        <w:t>stakeholders</w:t>
      </w:r>
      <w:r>
        <w:rPr>
          <w:spacing w:val="-11"/>
        </w:rPr>
        <w:t xml:space="preserve"> </w:t>
      </w:r>
      <w:r>
        <w:t>to</w:t>
      </w:r>
      <w:r>
        <w:rPr>
          <w:spacing w:val="-13"/>
        </w:rPr>
        <w:t xml:space="preserve"> </w:t>
      </w:r>
      <w:r>
        <w:t>develop</w:t>
      </w:r>
      <w:r>
        <w:rPr>
          <w:spacing w:val="-13"/>
        </w:rPr>
        <w:t xml:space="preserve"> </w:t>
      </w:r>
      <w:r>
        <w:t>the</w:t>
      </w:r>
      <w:r>
        <w:rPr>
          <w:spacing w:val="-12"/>
        </w:rPr>
        <w:t xml:space="preserve"> </w:t>
      </w:r>
      <w:r>
        <w:t>best</w:t>
      </w:r>
      <w:r>
        <w:rPr>
          <w:spacing w:val="-11"/>
        </w:rPr>
        <w:t xml:space="preserve"> </w:t>
      </w:r>
      <w:r>
        <w:t>measure</w:t>
      </w:r>
      <w:r>
        <w:rPr>
          <w:spacing w:val="-12"/>
        </w:rPr>
        <w:t xml:space="preserve"> </w:t>
      </w:r>
      <w:r>
        <w:t>and</w:t>
      </w:r>
      <w:r>
        <w:rPr>
          <w:spacing w:val="-13"/>
        </w:rPr>
        <w:t xml:space="preserve"> </w:t>
      </w:r>
      <w:r>
        <w:t>the</w:t>
      </w:r>
      <w:r>
        <w:rPr>
          <w:spacing w:val="-12"/>
        </w:rPr>
        <w:t xml:space="preserve"> </w:t>
      </w:r>
      <w:r>
        <w:t>most appropriate implementation</w:t>
      </w:r>
      <w:r>
        <w:rPr>
          <w:spacing w:val="-8"/>
        </w:rPr>
        <w:t xml:space="preserve"> </w:t>
      </w:r>
      <w:r>
        <w:t>process.</w:t>
      </w:r>
    </w:p>
    <w:p w:rsidR="00805174" w:rsidRDefault="00805174">
      <w:pPr>
        <w:pStyle w:val="BodyText"/>
      </w:pPr>
    </w:p>
    <w:p w:rsidR="00805174" w:rsidRDefault="000A64A3">
      <w:pPr>
        <w:ind w:left="100"/>
        <w:jc w:val="both"/>
        <w:rPr>
          <w:i/>
        </w:rPr>
      </w:pPr>
      <w:r>
        <w:rPr>
          <w:i/>
        </w:rPr>
        <w:t>Assessment of Care for People with Multiple High-Risk Chronic Conditions</w:t>
      </w:r>
    </w:p>
    <w:p w:rsidR="00805174" w:rsidRDefault="00805174">
      <w:pPr>
        <w:pStyle w:val="BodyText"/>
        <w:rPr>
          <w:i/>
        </w:rPr>
      </w:pPr>
    </w:p>
    <w:p w:rsidR="00805174" w:rsidRDefault="000A64A3">
      <w:pPr>
        <w:pStyle w:val="BodyText"/>
        <w:ind w:left="100" w:right="111"/>
        <w:jc w:val="both"/>
      </w:pPr>
      <w:r>
        <w:t>Approximately 30 percent of Medicare beneficiaries have at least one chronic condition, while over two- thirds have two or more chronic conditions, according to CMS’ latest data. Beneficiaries with multiple chronic</w:t>
      </w:r>
      <w:r>
        <w:rPr>
          <w:spacing w:val="-4"/>
        </w:rPr>
        <w:t xml:space="preserve"> </w:t>
      </w:r>
      <w:r>
        <w:t>conditions</w:t>
      </w:r>
      <w:r>
        <w:rPr>
          <w:spacing w:val="-4"/>
        </w:rPr>
        <w:t xml:space="preserve"> </w:t>
      </w:r>
      <w:r>
        <w:t>account</w:t>
      </w:r>
      <w:r>
        <w:rPr>
          <w:spacing w:val="-6"/>
        </w:rPr>
        <w:t xml:space="preserve"> </w:t>
      </w:r>
      <w:r>
        <w:t>for</w:t>
      </w:r>
      <w:r>
        <w:rPr>
          <w:spacing w:val="-4"/>
        </w:rPr>
        <w:t xml:space="preserve"> </w:t>
      </w:r>
      <w:r>
        <w:t>a</w:t>
      </w:r>
      <w:r>
        <w:rPr>
          <w:spacing w:val="-4"/>
        </w:rPr>
        <w:t xml:space="preserve"> </w:t>
      </w:r>
      <w:r>
        <w:t>disproportionate</w:t>
      </w:r>
      <w:r>
        <w:rPr>
          <w:spacing w:val="-4"/>
        </w:rPr>
        <w:t xml:space="preserve"> </w:t>
      </w:r>
      <w:r>
        <w:t>share</w:t>
      </w:r>
      <w:r>
        <w:rPr>
          <w:spacing w:val="-7"/>
        </w:rPr>
        <w:t xml:space="preserve"> </w:t>
      </w:r>
      <w:r>
        <w:t>of</w:t>
      </w:r>
      <w:r>
        <w:rPr>
          <w:spacing w:val="-4"/>
        </w:rPr>
        <w:t xml:space="preserve"> </w:t>
      </w:r>
      <w:r>
        <w:t>Medicare</w:t>
      </w:r>
      <w:r>
        <w:rPr>
          <w:spacing w:val="-4"/>
        </w:rPr>
        <w:t xml:space="preserve"> </w:t>
      </w:r>
      <w:r>
        <w:t>spending.</w:t>
      </w:r>
      <w:r>
        <w:rPr>
          <w:spacing w:val="-5"/>
        </w:rPr>
        <w:t xml:space="preserve"> </w:t>
      </w:r>
      <w:r>
        <w:t>As</w:t>
      </w:r>
      <w:r>
        <w:rPr>
          <w:spacing w:val="-4"/>
        </w:rPr>
        <w:t xml:space="preserve"> </w:t>
      </w:r>
      <w:r>
        <w:t>the</w:t>
      </w:r>
      <w:r>
        <w:rPr>
          <w:spacing w:val="-4"/>
        </w:rPr>
        <w:t xml:space="preserve"> </w:t>
      </w:r>
      <w:r>
        <w:t>Medicare</w:t>
      </w:r>
      <w:r>
        <w:rPr>
          <w:spacing w:val="-4"/>
        </w:rPr>
        <w:t xml:space="preserve"> </w:t>
      </w:r>
      <w:r>
        <w:t>population continues to grow, and the prevalence of multiple chronic conditions increases, Anthem supports efforts that focus on ensuring proper assessments of this high-risk, high-need</w:t>
      </w:r>
      <w:r>
        <w:rPr>
          <w:spacing w:val="-22"/>
        </w:rPr>
        <w:t xml:space="preserve"> </w:t>
      </w:r>
      <w:r>
        <w:t>population.</w:t>
      </w:r>
    </w:p>
    <w:p w:rsidR="00805174" w:rsidRDefault="00805174">
      <w:pPr>
        <w:jc w:val="both"/>
        <w:sectPr w:rsidR="00805174">
          <w:pgSz w:w="12240" w:h="15840"/>
          <w:pgMar w:top="1360" w:right="1320" w:bottom="1200" w:left="1340" w:header="0" w:footer="1015" w:gutter="0"/>
          <w:cols w:space="720"/>
        </w:sectPr>
      </w:pPr>
    </w:p>
    <w:p w:rsidR="00805174" w:rsidRDefault="000A64A3">
      <w:pPr>
        <w:spacing w:before="74"/>
        <w:ind w:left="100"/>
        <w:jc w:val="both"/>
        <w:rPr>
          <w:i/>
        </w:rPr>
      </w:pPr>
      <w:r>
        <w:rPr>
          <w:i/>
        </w:rPr>
        <w:lastRenderedPageBreak/>
        <w:t>Depression Screening and Follow-up for Adolescents and Adults</w:t>
      </w:r>
    </w:p>
    <w:p w:rsidR="00805174" w:rsidRDefault="00805174">
      <w:pPr>
        <w:pStyle w:val="BodyText"/>
        <w:spacing w:before="1"/>
        <w:rPr>
          <w:i/>
        </w:rPr>
      </w:pPr>
    </w:p>
    <w:p w:rsidR="00805174" w:rsidRDefault="000A64A3">
      <w:pPr>
        <w:pStyle w:val="BodyText"/>
        <w:ind w:left="100" w:right="115"/>
        <w:jc w:val="both"/>
      </w:pPr>
      <w:r>
        <w:t>As CMS and NCQA continue to evaluate a measure assessing the percentage of patients age 12 and older who were screened for depression using a standardized assessment tool and, if positive, rec</w:t>
      </w:r>
      <w:r>
        <w:t>eived appropriate follow-up care within 30 days of the positive screen, Anthem notes that the Patient Health Questionnaire (PHQ-9) is a common tool used in physician settings and there are appropriate codes for submission/monitoring.</w:t>
      </w:r>
      <w:r>
        <w:rPr>
          <w:spacing w:val="-8"/>
        </w:rPr>
        <w:t xml:space="preserve"> </w:t>
      </w:r>
      <w:r>
        <w:t>Should</w:t>
      </w:r>
      <w:r>
        <w:rPr>
          <w:spacing w:val="-6"/>
        </w:rPr>
        <w:t xml:space="preserve"> </w:t>
      </w:r>
      <w:r>
        <w:t>this</w:t>
      </w:r>
      <w:r>
        <w:rPr>
          <w:spacing w:val="-7"/>
        </w:rPr>
        <w:t xml:space="preserve"> </w:t>
      </w:r>
      <w:r>
        <w:t>provider-l</w:t>
      </w:r>
      <w:r>
        <w:t>evel</w:t>
      </w:r>
      <w:r>
        <w:rPr>
          <w:spacing w:val="-7"/>
        </w:rPr>
        <w:t xml:space="preserve"> </w:t>
      </w:r>
      <w:r>
        <w:t>measure</w:t>
      </w:r>
      <w:r>
        <w:rPr>
          <w:spacing w:val="-8"/>
        </w:rPr>
        <w:t xml:space="preserve"> </w:t>
      </w:r>
      <w:r>
        <w:t>be</w:t>
      </w:r>
      <w:r>
        <w:rPr>
          <w:spacing w:val="-8"/>
        </w:rPr>
        <w:t xml:space="preserve"> </w:t>
      </w:r>
      <w:r>
        <w:t>implemented</w:t>
      </w:r>
      <w:r>
        <w:rPr>
          <w:spacing w:val="-6"/>
        </w:rPr>
        <w:t xml:space="preserve"> </w:t>
      </w:r>
      <w:r>
        <w:t>into</w:t>
      </w:r>
      <w:r>
        <w:rPr>
          <w:spacing w:val="-8"/>
        </w:rPr>
        <w:t xml:space="preserve"> </w:t>
      </w:r>
      <w:r>
        <w:t>the</w:t>
      </w:r>
      <w:r>
        <w:rPr>
          <w:spacing w:val="-8"/>
        </w:rPr>
        <w:t xml:space="preserve"> </w:t>
      </w:r>
      <w:r>
        <w:t>Star</w:t>
      </w:r>
      <w:r>
        <w:rPr>
          <w:spacing w:val="-7"/>
        </w:rPr>
        <w:t xml:space="preserve"> </w:t>
      </w:r>
      <w:r>
        <w:t>Ratings</w:t>
      </w:r>
      <w:r>
        <w:rPr>
          <w:spacing w:val="-7"/>
        </w:rPr>
        <w:t xml:space="preserve"> </w:t>
      </w:r>
      <w:r>
        <w:t>program, we</w:t>
      </w:r>
      <w:r>
        <w:rPr>
          <w:spacing w:val="-4"/>
        </w:rPr>
        <w:t xml:space="preserve"> </w:t>
      </w:r>
      <w:r>
        <w:t>recommend</w:t>
      </w:r>
      <w:r>
        <w:rPr>
          <w:spacing w:val="-4"/>
        </w:rPr>
        <w:t xml:space="preserve"> </w:t>
      </w:r>
      <w:r>
        <w:t>that</w:t>
      </w:r>
      <w:r>
        <w:rPr>
          <w:spacing w:val="-6"/>
        </w:rPr>
        <w:t xml:space="preserve"> </w:t>
      </w:r>
      <w:r>
        <w:t>the</w:t>
      </w:r>
      <w:r>
        <w:rPr>
          <w:spacing w:val="-4"/>
        </w:rPr>
        <w:t xml:space="preserve"> </w:t>
      </w:r>
      <w:r>
        <w:t>survey</w:t>
      </w:r>
      <w:r>
        <w:rPr>
          <w:spacing w:val="-7"/>
        </w:rPr>
        <w:t xml:space="preserve"> </w:t>
      </w:r>
      <w:r>
        <w:t>based</w:t>
      </w:r>
      <w:r>
        <w:rPr>
          <w:spacing w:val="-4"/>
        </w:rPr>
        <w:t xml:space="preserve"> </w:t>
      </w:r>
      <w:r>
        <w:t>measure</w:t>
      </w:r>
      <w:r>
        <w:rPr>
          <w:spacing w:val="-7"/>
        </w:rPr>
        <w:t xml:space="preserve"> </w:t>
      </w:r>
      <w:r>
        <w:t>in</w:t>
      </w:r>
      <w:r>
        <w:rPr>
          <w:spacing w:val="-5"/>
        </w:rPr>
        <w:t xml:space="preserve"> </w:t>
      </w:r>
      <w:r>
        <w:t>HOS</w:t>
      </w:r>
      <w:r>
        <w:rPr>
          <w:spacing w:val="-7"/>
        </w:rPr>
        <w:t xml:space="preserve"> </w:t>
      </w:r>
      <w:r>
        <w:t>(improving</w:t>
      </w:r>
      <w:r>
        <w:rPr>
          <w:spacing w:val="-7"/>
        </w:rPr>
        <w:t xml:space="preserve"> </w:t>
      </w:r>
      <w:r>
        <w:t>or</w:t>
      </w:r>
      <w:r>
        <w:rPr>
          <w:spacing w:val="-4"/>
        </w:rPr>
        <w:t xml:space="preserve"> </w:t>
      </w:r>
      <w:r>
        <w:t>maintaining</w:t>
      </w:r>
      <w:r>
        <w:rPr>
          <w:spacing w:val="-7"/>
        </w:rPr>
        <w:t xml:space="preserve"> </w:t>
      </w:r>
      <w:r>
        <w:t>mental</w:t>
      </w:r>
      <w:r>
        <w:rPr>
          <w:spacing w:val="-4"/>
        </w:rPr>
        <w:t xml:space="preserve"> </w:t>
      </w:r>
      <w:r>
        <w:t>health)</w:t>
      </w:r>
      <w:r>
        <w:rPr>
          <w:spacing w:val="-6"/>
        </w:rPr>
        <w:t xml:space="preserve"> </w:t>
      </w:r>
      <w:r>
        <w:t>be</w:t>
      </w:r>
      <w:r>
        <w:rPr>
          <w:spacing w:val="-4"/>
        </w:rPr>
        <w:t xml:space="preserve"> </w:t>
      </w:r>
      <w:r>
        <w:t>phased out of the Star</w:t>
      </w:r>
      <w:r>
        <w:rPr>
          <w:spacing w:val="-8"/>
        </w:rPr>
        <w:t xml:space="preserve"> </w:t>
      </w:r>
      <w:r>
        <w:t>Ratings.</w:t>
      </w:r>
    </w:p>
    <w:p w:rsidR="00805174" w:rsidRDefault="00805174">
      <w:pPr>
        <w:pStyle w:val="BodyText"/>
      </w:pPr>
    </w:p>
    <w:p w:rsidR="00805174" w:rsidRDefault="000A64A3">
      <w:pPr>
        <w:ind w:left="100"/>
        <w:jc w:val="both"/>
        <w:rPr>
          <w:i/>
        </w:rPr>
      </w:pPr>
      <w:r>
        <w:rPr>
          <w:i/>
        </w:rPr>
        <w:t>Polypharmacy Measures</w:t>
      </w:r>
    </w:p>
    <w:p w:rsidR="00805174" w:rsidRDefault="00805174">
      <w:pPr>
        <w:pStyle w:val="BodyText"/>
        <w:rPr>
          <w:i/>
        </w:rPr>
      </w:pPr>
    </w:p>
    <w:p w:rsidR="00805174" w:rsidRDefault="000A64A3">
      <w:pPr>
        <w:pStyle w:val="BodyText"/>
        <w:ind w:left="100" w:right="116"/>
        <w:jc w:val="both"/>
      </w:pPr>
      <w:r>
        <w:t>The PQA developed and endorsed three measures that identify potentially harmful concurrent drug use or polypharmacy, which CMS is proposing for potential inclusion in Patient Safety reporting, on the Display Page, or as Star Ratings in the future. Before t</w:t>
      </w:r>
      <w:r>
        <w:t xml:space="preserve">aking steps to incorporate these polypharmacy measures in the Star Ratings program in any capacity, we urge CMS to re-evaluate the utility of reporting the </w:t>
      </w:r>
      <w:r>
        <w:rPr>
          <w:spacing w:val="-2"/>
        </w:rPr>
        <w:t xml:space="preserve">HRM </w:t>
      </w:r>
      <w:r>
        <w:t>Patient Safety reports and display measure since many of the same drugs are included in both the</w:t>
      </w:r>
      <w:r>
        <w:t xml:space="preserve"> Use of Multiple</w:t>
      </w:r>
      <w:r>
        <w:rPr>
          <w:spacing w:val="-10"/>
        </w:rPr>
        <w:t xml:space="preserve"> </w:t>
      </w:r>
      <w:r>
        <w:t>Anticholinergic</w:t>
      </w:r>
      <w:r>
        <w:rPr>
          <w:spacing w:val="-13"/>
        </w:rPr>
        <w:t xml:space="preserve"> </w:t>
      </w:r>
      <w:r>
        <w:t>Medications</w:t>
      </w:r>
      <w:r>
        <w:rPr>
          <w:spacing w:val="-12"/>
        </w:rPr>
        <w:t xml:space="preserve"> </w:t>
      </w:r>
      <w:r>
        <w:t>in</w:t>
      </w:r>
      <w:r>
        <w:rPr>
          <w:spacing w:val="-11"/>
        </w:rPr>
        <w:t xml:space="preserve"> </w:t>
      </w:r>
      <w:r>
        <w:t>Older</w:t>
      </w:r>
      <w:r>
        <w:rPr>
          <w:spacing w:val="-12"/>
        </w:rPr>
        <w:t xml:space="preserve"> </w:t>
      </w:r>
      <w:r>
        <w:t>Adults</w:t>
      </w:r>
      <w:r>
        <w:rPr>
          <w:spacing w:val="-10"/>
        </w:rPr>
        <w:t xml:space="preserve"> </w:t>
      </w:r>
      <w:r>
        <w:t>and</w:t>
      </w:r>
      <w:r>
        <w:rPr>
          <w:spacing w:val="-11"/>
        </w:rPr>
        <w:t xml:space="preserve"> </w:t>
      </w:r>
      <w:r>
        <w:t>Use</w:t>
      </w:r>
      <w:r>
        <w:rPr>
          <w:spacing w:val="-10"/>
        </w:rPr>
        <w:t xml:space="preserve"> </w:t>
      </w:r>
      <w:r>
        <w:t>of</w:t>
      </w:r>
      <w:r>
        <w:rPr>
          <w:spacing w:val="-10"/>
        </w:rPr>
        <w:t xml:space="preserve"> </w:t>
      </w:r>
      <w:r>
        <w:t>Multiple</w:t>
      </w:r>
      <w:r>
        <w:rPr>
          <w:spacing w:val="-10"/>
        </w:rPr>
        <w:t xml:space="preserve"> </w:t>
      </w:r>
      <w:r>
        <w:t>Central</w:t>
      </w:r>
      <w:r>
        <w:rPr>
          <w:spacing w:val="-12"/>
        </w:rPr>
        <w:t xml:space="preserve"> </w:t>
      </w:r>
      <w:r>
        <w:t>Nervous</w:t>
      </w:r>
      <w:r>
        <w:rPr>
          <w:spacing w:val="-10"/>
        </w:rPr>
        <w:t xml:space="preserve"> </w:t>
      </w:r>
      <w:r>
        <w:t>System-Active Medications in Older Adults measures. CMS could consider retiring the HRM measure, or clearly differentiating drugs that would fall under each me</w:t>
      </w:r>
      <w:r>
        <w:t>asure’s program. We request that CMS further evaluate this overlap and provide plans with the results of that evaluation before moving</w:t>
      </w:r>
      <w:r>
        <w:rPr>
          <w:spacing w:val="-25"/>
        </w:rPr>
        <w:t xml:space="preserve"> </w:t>
      </w:r>
      <w:r>
        <w:t>forward.</w:t>
      </w:r>
    </w:p>
    <w:p w:rsidR="00805174" w:rsidRDefault="00805174">
      <w:pPr>
        <w:pStyle w:val="BodyText"/>
      </w:pPr>
    </w:p>
    <w:p w:rsidR="00805174" w:rsidRDefault="000A64A3">
      <w:pPr>
        <w:pStyle w:val="BodyText"/>
        <w:ind w:left="100"/>
        <w:jc w:val="both"/>
      </w:pPr>
      <w:r>
        <w:rPr>
          <w:u w:val="single"/>
        </w:rPr>
        <w:t>Measurement and Methodological Enhancements</w:t>
      </w:r>
    </w:p>
    <w:p w:rsidR="00805174" w:rsidRDefault="00805174">
      <w:pPr>
        <w:pStyle w:val="BodyText"/>
        <w:rPr>
          <w:sz w:val="14"/>
        </w:rPr>
      </w:pPr>
    </w:p>
    <w:p w:rsidR="00805174" w:rsidRDefault="000A64A3">
      <w:pPr>
        <w:pStyle w:val="BodyText"/>
        <w:spacing w:before="92"/>
        <w:ind w:left="100" w:right="113"/>
        <w:jc w:val="both"/>
      </w:pPr>
      <w:r>
        <w:t>CMS intends to continue to analyze existing ratings measures to de</w:t>
      </w:r>
      <w:r>
        <w:t>termine if measure scores are “topped out” or showing high performance across all contracts, noting that it does not have a strict formula for deciding</w:t>
      </w:r>
      <w:r>
        <w:rPr>
          <w:spacing w:val="-17"/>
        </w:rPr>
        <w:t xml:space="preserve"> </w:t>
      </w:r>
      <w:r>
        <w:t>which</w:t>
      </w:r>
      <w:r>
        <w:rPr>
          <w:spacing w:val="-14"/>
        </w:rPr>
        <w:t xml:space="preserve"> </w:t>
      </w:r>
      <w:r>
        <w:t>measures</w:t>
      </w:r>
      <w:r>
        <w:rPr>
          <w:spacing w:val="-16"/>
        </w:rPr>
        <w:t xml:space="preserve"> </w:t>
      </w:r>
      <w:r>
        <w:t>to</w:t>
      </w:r>
      <w:r>
        <w:rPr>
          <w:spacing w:val="-17"/>
        </w:rPr>
        <w:t xml:space="preserve"> </w:t>
      </w:r>
      <w:r>
        <w:t>transition</w:t>
      </w:r>
      <w:r>
        <w:rPr>
          <w:spacing w:val="-17"/>
        </w:rPr>
        <w:t xml:space="preserve"> </w:t>
      </w:r>
      <w:r>
        <w:t>to</w:t>
      </w:r>
      <w:r>
        <w:rPr>
          <w:spacing w:val="-17"/>
        </w:rPr>
        <w:t xml:space="preserve"> </w:t>
      </w:r>
      <w:r>
        <w:t>the</w:t>
      </w:r>
      <w:r>
        <w:rPr>
          <w:spacing w:val="-16"/>
        </w:rPr>
        <w:t xml:space="preserve"> </w:t>
      </w:r>
      <w:r>
        <w:t>Display</w:t>
      </w:r>
      <w:r>
        <w:rPr>
          <w:spacing w:val="-16"/>
        </w:rPr>
        <w:t xml:space="preserve"> </w:t>
      </w:r>
      <w:r>
        <w:t>Page.</w:t>
      </w:r>
      <w:r>
        <w:rPr>
          <w:spacing w:val="-14"/>
        </w:rPr>
        <w:t xml:space="preserve"> </w:t>
      </w:r>
      <w:r>
        <w:t>Anthem</w:t>
      </w:r>
      <w:r>
        <w:rPr>
          <w:spacing w:val="-17"/>
        </w:rPr>
        <w:t xml:space="preserve"> </w:t>
      </w:r>
      <w:r>
        <w:t>strongly</w:t>
      </w:r>
      <w:r>
        <w:rPr>
          <w:spacing w:val="-17"/>
        </w:rPr>
        <w:t xml:space="preserve"> </w:t>
      </w:r>
      <w:r>
        <w:t>believes</w:t>
      </w:r>
      <w:r>
        <w:rPr>
          <w:spacing w:val="-14"/>
        </w:rPr>
        <w:t xml:space="preserve"> </w:t>
      </w:r>
      <w:r>
        <w:t>that</w:t>
      </w:r>
      <w:r>
        <w:rPr>
          <w:spacing w:val="-13"/>
        </w:rPr>
        <w:t xml:space="preserve"> </w:t>
      </w:r>
      <w:r>
        <w:t>measures</w:t>
      </w:r>
      <w:r>
        <w:rPr>
          <w:spacing w:val="-16"/>
        </w:rPr>
        <w:t xml:space="preserve"> </w:t>
      </w:r>
      <w:r>
        <w:t>showing high performance across all contracts should remain in the Star Ratings program. Plans work hard to improve their performance on the array of measures that are important to patient quality—removing such measures</w:t>
      </w:r>
      <w:r>
        <w:rPr>
          <w:spacing w:val="-6"/>
        </w:rPr>
        <w:t xml:space="preserve"> </w:t>
      </w:r>
      <w:r>
        <w:t>unjustly</w:t>
      </w:r>
      <w:r>
        <w:rPr>
          <w:spacing w:val="-10"/>
        </w:rPr>
        <w:t xml:space="preserve"> </w:t>
      </w:r>
      <w:r>
        <w:t>penalizes</w:t>
      </w:r>
      <w:r>
        <w:rPr>
          <w:spacing w:val="-9"/>
        </w:rPr>
        <w:t xml:space="preserve"> </w:t>
      </w:r>
      <w:r>
        <w:t>plans</w:t>
      </w:r>
      <w:r>
        <w:rPr>
          <w:spacing w:val="-9"/>
        </w:rPr>
        <w:t xml:space="preserve"> </w:t>
      </w:r>
      <w:r>
        <w:t>for</w:t>
      </w:r>
      <w:r>
        <w:rPr>
          <w:spacing w:val="-9"/>
        </w:rPr>
        <w:t xml:space="preserve"> </w:t>
      </w:r>
      <w:r>
        <w:t>their</w:t>
      </w:r>
      <w:r>
        <w:rPr>
          <w:spacing w:val="-6"/>
        </w:rPr>
        <w:t xml:space="preserve"> </w:t>
      </w:r>
      <w:r>
        <w:t>e</w:t>
      </w:r>
      <w:r>
        <w:t>fforts.</w:t>
      </w:r>
      <w:r>
        <w:rPr>
          <w:spacing w:val="-6"/>
        </w:rPr>
        <w:t xml:space="preserve"> </w:t>
      </w:r>
      <w:r>
        <w:t>Furthermore,</w:t>
      </w:r>
      <w:r>
        <w:rPr>
          <w:spacing w:val="-7"/>
        </w:rPr>
        <w:t xml:space="preserve"> </w:t>
      </w:r>
      <w:r>
        <w:t>the</w:t>
      </w:r>
      <w:r>
        <w:rPr>
          <w:spacing w:val="-7"/>
        </w:rPr>
        <w:t xml:space="preserve"> </w:t>
      </w:r>
      <w:r>
        <w:t>importance</w:t>
      </w:r>
      <w:r>
        <w:rPr>
          <w:spacing w:val="-7"/>
        </w:rPr>
        <w:t xml:space="preserve"> </w:t>
      </w:r>
      <w:r>
        <w:t>of</w:t>
      </w:r>
      <w:r>
        <w:rPr>
          <w:spacing w:val="-6"/>
        </w:rPr>
        <w:t xml:space="preserve"> </w:t>
      </w:r>
      <w:r>
        <w:t>these</w:t>
      </w:r>
      <w:r>
        <w:rPr>
          <w:spacing w:val="-7"/>
        </w:rPr>
        <w:t xml:space="preserve"> </w:t>
      </w:r>
      <w:r>
        <w:t>measures</w:t>
      </w:r>
      <w:r>
        <w:rPr>
          <w:spacing w:val="-6"/>
        </w:rPr>
        <w:t xml:space="preserve"> </w:t>
      </w:r>
      <w:r>
        <w:t>does</w:t>
      </w:r>
      <w:r>
        <w:rPr>
          <w:spacing w:val="-6"/>
        </w:rPr>
        <w:t xml:space="preserve"> </w:t>
      </w:r>
      <w:r>
        <w:t>not lessen</w:t>
      </w:r>
      <w:r>
        <w:rPr>
          <w:spacing w:val="-7"/>
        </w:rPr>
        <w:t xml:space="preserve"> </w:t>
      </w:r>
      <w:r>
        <w:t>due</w:t>
      </w:r>
      <w:r>
        <w:rPr>
          <w:spacing w:val="-9"/>
        </w:rPr>
        <w:t xml:space="preserve"> </w:t>
      </w:r>
      <w:r>
        <w:t>to</w:t>
      </w:r>
      <w:r>
        <w:rPr>
          <w:spacing w:val="-7"/>
        </w:rPr>
        <w:t xml:space="preserve"> </w:t>
      </w:r>
      <w:r>
        <w:t>plans’</w:t>
      </w:r>
      <w:r>
        <w:rPr>
          <w:spacing w:val="-8"/>
        </w:rPr>
        <w:t xml:space="preserve"> </w:t>
      </w:r>
      <w:r>
        <w:t>effective</w:t>
      </w:r>
      <w:r>
        <w:rPr>
          <w:spacing w:val="-7"/>
        </w:rPr>
        <w:t xml:space="preserve"> </w:t>
      </w:r>
      <w:r>
        <w:t>management</w:t>
      </w:r>
      <w:r>
        <w:rPr>
          <w:spacing w:val="-6"/>
        </w:rPr>
        <w:t xml:space="preserve"> </w:t>
      </w:r>
      <w:r>
        <w:t>of</w:t>
      </w:r>
      <w:r>
        <w:rPr>
          <w:spacing w:val="-9"/>
        </w:rPr>
        <w:t xml:space="preserve"> </w:t>
      </w:r>
      <w:r>
        <w:t>the</w:t>
      </w:r>
      <w:r>
        <w:rPr>
          <w:spacing w:val="-9"/>
        </w:rPr>
        <w:t xml:space="preserve"> </w:t>
      </w:r>
      <w:r>
        <w:t>measures.</w:t>
      </w:r>
      <w:r>
        <w:rPr>
          <w:spacing w:val="-10"/>
        </w:rPr>
        <w:t xml:space="preserve"> </w:t>
      </w:r>
      <w:r>
        <w:t>Therefore,</w:t>
      </w:r>
      <w:r>
        <w:rPr>
          <w:spacing w:val="-2"/>
        </w:rPr>
        <w:t xml:space="preserve"> </w:t>
      </w:r>
      <w:r>
        <w:t>CMS</w:t>
      </w:r>
      <w:r>
        <w:rPr>
          <w:spacing w:val="-7"/>
        </w:rPr>
        <w:t xml:space="preserve"> </w:t>
      </w:r>
      <w:r>
        <w:t>should</w:t>
      </w:r>
      <w:r>
        <w:rPr>
          <w:spacing w:val="-10"/>
        </w:rPr>
        <w:t xml:space="preserve"> </w:t>
      </w:r>
      <w:r>
        <w:t>not</w:t>
      </w:r>
      <w:r>
        <w:rPr>
          <w:spacing w:val="-9"/>
        </w:rPr>
        <w:t xml:space="preserve"> </w:t>
      </w:r>
      <w:r>
        <w:t>transition</w:t>
      </w:r>
      <w:r>
        <w:rPr>
          <w:spacing w:val="-10"/>
        </w:rPr>
        <w:t xml:space="preserve"> </w:t>
      </w:r>
      <w:r>
        <w:t>so-called “topped out” measures to the Display</w:t>
      </w:r>
      <w:r>
        <w:rPr>
          <w:spacing w:val="-12"/>
        </w:rPr>
        <w:t xml:space="preserve"> </w:t>
      </w:r>
      <w:r>
        <w:t>Page.</w:t>
      </w:r>
    </w:p>
    <w:p w:rsidR="00805174" w:rsidRDefault="00805174">
      <w:pPr>
        <w:pStyle w:val="BodyText"/>
        <w:spacing w:before="9"/>
        <w:rPr>
          <w:sz w:val="21"/>
        </w:rPr>
      </w:pPr>
    </w:p>
    <w:p w:rsidR="00805174" w:rsidRDefault="000A64A3">
      <w:pPr>
        <w:pStyle w:val="BodyText"/>
        <w:ind w:left="100" w:right="114"/>
        <w:jc w:val="both"/>
      </w:pPr>
      <w:r>
        <w:t>CMS also seeks feedback on development of n</w:t>
      </w:r>
      <w:r>
        <w:t>ew or enhanced measures of beneficiary access. In addition to the current measures of sponsoring organizations’ timeliness and reliable decision-making, CMS is interested in evaluating sponsoring organizations’ compliance with effectuating appeals and prov</w:t>
      </w:r>
      <w:r>
        <w:t>ider outreach requirements, as well as appropriate clinical-decision making and notification to beneficiaries. Anthem</w:t>
      </w:r>
      <w:r>
        <w:rPr>
          <w:spacing w:val="-7"/>
        </w:rPr>
        <w:t xml:space="preserve"> </w:t>
      </w:r>
      <w:r>
        <w:t>is</w:t>
      </w:r>
      <w:r>
        <w:rPr>
          <w:spacing w:val="-3"/>
        </w:rPr>
        <w:t xml:space="preserve"> </w:t>
      </w:r>
      <w:r>
        <w:t>concerned</w:t>
      </w:r>
      <w:r>
        <w:rPr>
          <w:spacing w:val="-6"/>
        </w:rPr>
        <w:t xml:space="preserve"> </w:t>
      </w:r>
      <w:r>
        <w:t>by</w:t>
      </w:r>
      <w:r>
        <w:rPr>
          <w:spacing w:val="-6"/>
        </w:rPr>
        <w:t xml:space="preserve"> </w:t>
      </w:r>
      <w:r>
        <w:t>the</w:t>
      </w:r>
      <w:r>
        <w:rPr>
          <w:spacing w:val="-3"/>
        </w:rPr>
        <w:t xml:space="preserve"> </w:t>
      </w:r>
      <w:r>
        <w:t>direction</w:t>
      </w:r>
      <w:r>
        <w:rPr>
          <w:spacing w:val="-4"/>
        </w:rPr>
        <w:t xml:space="preserve"> </w:t>
      </w:r>
      <w:r>
        <w:t>of</w:t>
      </w:r>
      <w:r>
        <w:rPr>
          <w:spacing w:val="-3"/>
        </w:rPr>
        <w:t xml:space="preserve"> </w:t>
      </w:r>
      <w:r>
        <w:t>this</w:t>
      </w:r>
      <w:r>
        <w:rPr>
          <w:spacing w:val="-3"/>
        </w:rPr>
        <w:t xml:space="preserve"> </w:t>
      </w:r>
      <w:r>
        <w:t>work—the</w:t>
      </w:r>
      <w:r>
        <w:rPr>
          <w:spacing w:val="-3"/>
        </w:rPr>
        <w:t xml:space="preserve"> </w:t>
      </w:r>
      <w:r>
        <w:t>areas</w:t>
      </w:r>
      <w:r>
        <w:rPr>
          <w:spacing w:val="-6"/>
        </w:rPr>
        <w:t xml:space="preserve"> </w:t>
      </w:r>
      <w:r>
        <w:t>CMS</w:t>
      </w:r>
      <w:r>
        <w:rPr>
          <w:spacing w:val="-6"/>
        </w:rPr>
        <w:t xml:space="preserve"> </w:t>
      </w:r>
      <w:r>
        <w:t>is</w:t>
      </w:r>
      <w:r>
        <w:rPr>
          <w:spacing w:val="-5"/>
        </w:rPr>
        <w:t xml:space="preserve"> </w:t>
      </w:r>
      <w:r>
        <w:t>considering</w:t>
      </w:r>
      <w:r>
        <w:rPr>
          <w:spacing w:val="-6"/>
        </w:rPr>
        <w:t xml:space="preserve"> </w:t>
      </w:r>
      <w:r>
        <w:t>including</w:t>
      </w:r>
      <w:r>
        <w:rPr>
          <w:spacing w:val="-6"/>
        </w:rPr>
        <w:t xml:space="preserve"> </w:t>
      </w:r>
      <w:r>
        <w:t>address</w:t>
      </w:r>
      <w:r>
        <w:rPr>
          <w:spacing w:val="-5"/>
        </w:rPr>
        <w:t xml:space="preserve"> </w:t>
      </w:r>
      <w:r>
        <w:t>issues that are not easily reportable and are subject to significant variation among plans. Because these kinds of beneficiary access measures would not facilitate true apples-to-apples comparison, we question how valuable such measures would be to benefic</w:t>
      </w:r>
      <w:r>
        <w:t xml:space="preserve">iaries. Anthem urges CMS to not move forward with these measures for the 2020 Star Ratings, but to provide plans with greater insight into what standards it might measure, how performance would be measured, and what (if any) new reporting requirements may </w:t>
      </w:r>
      <w:r>
        <w:t>be imposed so that plans can provide meaningful</w:t>
      </w:r>
      <w:r>
        <w:rPr>
          <w:spacing w:val="-18"/>
        </w:rPr>
        <w:t xml:space="preserve"> </w:t>
      </w:r>
      <w:r>
        <w:t>feedback.</w:t>
      </w:r>
    </w:p>
    <w:p w:rsidR="00805174" w:rsidRDefault="00805174">
      <w:pPr>
        <w:pStyle w:val="BodyText"/>
        <w:spacing w:before="9"/>
        <w:rPr>
          <w:sz w:val="21"/>
        </w:rPr>
      </w:pPr>
    </w:p>
    <w:p w:rsidR="00805174" w:rsidRDefault="000A64A3">
      <w:pPr>
        <w:ind w:left="100"/>
        <w:jc w:val="both"/>
        <w:rPr>
          <w:i/>
        </w:rPr>
      </w:pPr>
      <w:r>
        <w:rPr>
          <w:i/>
        </w:rPr>
        <w:t>Plan Corrections</w:t>
      </w:r>
    </w:p>
    <w:p w:rsidR="00805174" w:rsidRDefault="00805174">
      <w:pPr>
        <w:pStyle w:val="BodyText"/>
        <w:rPr>
          <w:i/>
        </w:rPr>
      </w:pPr>
    </w:p>
    <w:p w:rsidR="00805174" w:rsidRDefault="000A64A3">
      <w:pPr>
        <w:pStyle w:val="BodyText"/>
        <w:ind w:left="100" w:right="114"/>
        <w:jc w:val="both"/>
      </w:pPr>
      <w:r>
        <w:t>In</w:t>
      </w:r>
      <w:r>
        <w:rPr>
          <w:spacing w:val="-5"/>
        </w:rPr>
        <w:t xml:space="preserve"> </w:t>
      </w:r>
      <w:r>
        <w:t>the</w:t>
      </w:r>
      <w:r>
        <w:rPr>
          <w:spacing w:val="-4"/>
        </w:rPr>
        <w:t xml:space="preserve"> </w:t>
      </w:r>
      <w:r>
        <w:t>Draft</w:t>
      </w:r>
      <w:r>
        <w:rPr>
          <w:spacing w:val="-4"/>
        </w:rPr>
        <w:t xml:space="preserve"> </w:t>
      </w:r>
      <w:r>
        <w:t>Call</w:t>
      </w:r>
      <w:r>
        <w:rPr>
          <w:spacing w:val="-5"/>
        </w:rPr>
        <w:t xml:space="preserve"> </w:t>
      </w:r>
      <w:r>
        <w:t>Letter,</w:t>
      </w:r>
      <w:r>
        <w:rPr>
          <w:spacing w:val="-5"/>
        </w:rPr>
        <w:t xml:space="preserve"> </w:t>
      </w:r>
      <w:r>
        <w:t>CMS</w:t>
      </w:r>
      <w:r>
        <w:rPr>
          <w:spacing w:val="-4"/>
        </w:rPr>
        <w:t xml:space="preserve"> </w:t>
      </w:r>
      <w:r>
        <w:t>indicates</w:t>
      </w:r>
      <w:r>
        <w:rPr>
          <w:spacing w:val="-6"/>
        </w:rPr>
        <w:t xml:space="preserve"> </w:t>
      </w:r>
      <w:r>
        <w:t>that</w:t>
      </w:r>
      <w:r>
        <w:rPr>
          <w:spacing w:val="-6"/>
        </w:rPr>
        <w:t xml:space="preserve"> </w:t>
      </w:r>
      <w:r>
        <w:t>the</w:t>
      </w:r>
      <w:r>
        <w:rPr>
          <w:spacing w:val="-4"/>
        </w:rPr>
        <w:t xml:space="preserve"> </w:t>
      </w:r>
      <w:r>
        <w:t>plan</w:t>
      </w:r>
      <w:r>
        <w:rPr>
          <w:spacing w:val="-7"/>
        </w:rPr>
        <w:t xml:space="preserve"> </w:t>
      </w:r>
      <w:r>
        <w:t>correction</w:t>
      </w:r>
      <w:r>
        <w:rPr>
          <w:spacing w:val="-5"/>
        </w:rPr>
        <w:t xml:space="preserve"> </w:t>
      </w:r>
      <w:r>
        <w:t>window</w:t>
      </w:r>
      <w:r>
        <w:rPr>
          <w:spacing w:val="-6"/>
        </w:rPr>
        <w:t xml:space="preserve"> </w:t>
      </w:r>
      <w:r>
        <w:t>will</w:t>
      </w:r>
      <w:r>
        <w:rPr>
          <w:spacing w:val="-4"/>
        </w:rPr>
        <w:t xml:space="preserve"> </w:t>
      </w:r>
      <w:r>
        <w:t>be</w:t>
      </w:r>
      <w:r>
        <w:rPr>
          <w:spacing w:val="-7"/>
        </w:rPr>
        <w:t xml:space="preserve"> </w:t>
      </w:r>
      <w:r>
        <w:t>open</w:t>
      </w:r>
      <w:r>
        <w:rPr>
          <w:spacing w:val="-4"/>
        </w:rPr>
        <w:t xml:space="preserve"> </w:t>
      </w:r>
      <w:r>
        <w:t>from</w:t>
      </w:r>
      <w:r>
        <w:rPr>
          <w:spacing w:val="-8"/>
        </w:rPr>
        <w:t xml:space="preserve"> </w:t>
      </w:r>
      <w:r>
        <w:t>early</w:t>
      </w:r>
      <w:r>
        <w:rPr>
          <w:spacing w:val="-3"/>
        </w:rPr>
        <w:t xml:space="preserve"> </w:t>
      </w:r>
      <w:r>
        <w:t>September to late September 2018. According to CMS, organizations and sponsors subm</w:t>
      </w:r>
      <w:r>
        <w:t>itting plan corrections will receive a compliance notice and will be suppressed in the MPF until the first MPF update in November. CMS</w:t>
      </w:r>
      <w:r>
        <w:rPr>
          <w:spacing w:val="12"/>
        </w:rPr>
        <w:t xml:space="preserve"> </w:t>
      </w:r>
      <w:r>
        <w:t>states</w:t>
      </w:r>
      <w:r>
        <w:rPr>
          <w:spacing w:val="13"/>
        </w:rPr>
        <w:t xml:space="preserve"> </w:t>
      </w:r>
      <w:r>
        <w:t>that</w:t>
      </w:r>
      <w:r>
        <w:rPr>
          <w:spacing w:val="13"/>
        </w:rPr>
        <w:t xml:space="preserve"> </w:t>
      </w:r>
      <w:r>
        <w:t>an</w:t>
      </w:r>
      <w:r>
        <w:rPr>
          <w:spacing w:val="12"/>
        </w:rPr>
        <w:t xml:space="preserve"> </w:t>
      </w:r>
      <w:r>
        <w:t>organization</w:t>
      </w:r>
      <w:r>
        <w:rPr>
          <w:spacing w:val="12"/>
        </w:rPr>
        <w:t xml:space="preserve"> </w:t>
      </w:r>
      <w:r>
        <w:t>or</w:t>
      </w:r>
      <w:r>
        <w:rPr>
          <w:spacing w:val="13"/>
        </w:rPr>
        <w:t xml:space="preserve"> </w:t>
      </w:r>
      <w:r>
        <w:t>sponsor</w:t>
      </w:r>
      <w:r>
        <w:rPr>
          <w:spacing w:val="13"/>
        </w:rPr>
        <w:t xml:space="preserve"> </w:t>
      </w:r>
      <w:r>
        <w:t>that</w:t>
      </w:r>
      <w:r>
        <w:rPr>
          <w:spacing w:val="13"/>
        </w:rPr>
        <w:t xml:space="preserve"> </w:t>
      </w:r>
      <w:r>
        <w:t>has</w:t>
      </w:r>
      <w:r>
        <w:rPr>
          <w:spacing w:val="13"/>
        </w:rPr>
        <w:t xml:space="preserve"> </w:t>
      </w:r>
      <w:r>
        <w:t>demonstrated</w:t>
      </w:r>
      <w:r>
        <w:rPr>
          <w:spacing w:val="12"/>
        </w:rPr>
        <w:t xml:space="preserve"> </w:t>
      </w:r>
      <w:r>
        <w:t>a</w:t>
      </w:r>
      <w:r>
        <w:rPr>
          <w:spacing w:val="12"/>
        </w:rPr>
        <w:t xml:space="preserve"> </w:t>
      </w:r>
      <w:r>
        <w:t>consistent</w:t>
      </w:r>
      <w:r>
        <w:rPr>
          <w:spacing w:val="13"/>
        </w:rPr>
        <w:t xml:space="preserve"> </w:t>
      </w:r>
      <w:r>
        <w:t>pattern</w:t>
      </w:r>
      <w:r>
        <w:rPr>
          <w:spacing w:val="12"/>
        </w:rPr>
        <w:t xml:space="preserve"> </w:t>
      </w:r>
      <w:r>
        <w:t>of</w:t>
      </w:r>
      <w:r>
        <w:rPr>
          <w:spacing w:val="13"/>
        </w:rPr>
        <w:t xml:space="preserve"> </w:t>
      </w:r>
      <w:r>
        <w:t>bid</w:t>
      </w:r>
      <w:r>
        <w:rPr>
          <w:spacing w:val="9"/>
        </w:rPr>
        <w:t xml:space="preserve"> </w:t>
      </w:r>
      <w:r>
        <w:t>submission</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113"/>
        <w:jc w:val="both"/>
      </w:pPr>
      <w:r>
        <w:lastRenderedPageBreak/>
        <w:t>errors over multiple contract years and/or that previously received a compliance notice for CY 2018 may receive a more severe type of compliance action in CY 2019.</w:t>
      </w:r>
    </w:p>
    <w:p w:rsidR="00805174" w:rsidRDefault="00805174">
      <w:pPr>
        <w:pStyle w:val="BodyText"/>
      </w:pPr>
    </w:p>
    <w:p w:rsidR="00805174" w:rsidRDefault="000A64A3">
      <w:pPr>
        <w:pStyle w:val="BodyText"/>
        <w:ind w:left="100" w:right="116"/>
        <w:jc w:val="both"/>
      </w:pPr>
      <w:r>
        <w:t>CMS’ corrections processes and standards are unnecessarily harsh and fail to recognize that</w:t>
      </w:r>
      <w:r>
        <w:t xml:space="preserve"> errors happen despite plans’ best efforts to avoid them. CMS’ process allows for no degree of error, which Anthem believes is unrealistic and unduly punitive for plans. Timelines are tight and there is a large amount of information which continues to chan</w:t>
      </w:r>
      <w:r>
        <w:t>ge even after plans submit their bids. The intention of the plan corrections window should be to ensure that beneficiaries receive accurate and complete information, but CMS’ proposal allows no room for inconsequential changes. The bid process moves quickl</w:t>
      </w:r>
      <w:r>
        <w:t>y and information is constantly changing, which increases the likelihood for errors considerably</w:t>
      </w:r>
      <w:r>
        <w:rPr>
          <w:spacing w:val="-38"/>
        </w:rPr>
        <w:t xml:space="preserve"> </w:t>
      </w:r>
      <w:r>
        <w:t>and necessitates opportunities for</w:t>
      </w:r>
      <w:r>
        <w:rPr>
          <w:spacing w:val="-12"/>
        </w:rPr>
        <w:t xml:space="preserve"> </w:t>
      </w:r>
      <w:r>
        <w:t>corrections.</w:t>
      </w:r>
    </w:p>
    <w:p w:rsidR="00805174" w:rsidRDefault="00805174">
      <w:pPr>
        <w:pStyle w:val="BodyText"/>
        <w:spacing w:before="11"/>
        <w:rPr>
          <w:sz w:val="21"/>
        </w:rPr>
      </w:pPr>
    </w:p>
    <w:p w:rsidR="00805174" w:rsidRDefault="000A64A3">
      <w:pPr>
        <w:pStyle w:val="BodyText"/>
        <w:ind w:left="100" w:right="113"/>
        <w:jc w:val="both"/>
      </w:pPr>
      <w:r>
        <w:t xml:space="preserve">To facilitate information accuracy and transparency, Anthem asks CMS to provide MAOs and Part D sponsors more </w:t>
      </w:r>
      <w:r>
        <w:t>flexibility throughout the corrections process. For example, we ask CMS to consider establishing</w:t>
      </w:r>
      <w:r>
        <w:rPr>
          <w:spacing w:val="-16"/>
        </w:rPr>
        <w:t xml:space="preserve"> </w:t>
      </w:r>
      <w:r>
        <w:t>an</w:t>
      </w:r>
      <w:r>
        <w:rPr>
          <w:spacing w:val="-13"/>
        </w:rPr>
        <w:t xml:space="preserve"> </w:t>
      </w:r>
      <w:r>
        <w:t>exception</w:t>
      </w:r>
      <w:r>
        <w:rPr>
          <w:spacing w:val="-13"/>
        </w:rPr>
        <w:t xml:space="preserve"> </w:t>
      </w:r>
      <w:r>
        <w:t>process</w:t>
      </w:r>
      <w:r>
        <w:rPr>
          <w:spacing w:val="-15"/>
        </w:rPr>
        <w:t xml:space="preserve"> </w:t>
      </w:r>
      <w:r>
        <w:t>for</w:t>
      </w:r>
      <w:r>
        <w:rPr>
          <w:spacing w:val="-13"/>
        </w:rPr>
        <w:t xml:space="preserve"> </w:t>
      </w:r>
      <w:r>
        <w:t>minor</w:t>
      </w:r>
      <w:r>
        <w:rPr>
          <w:spacing w:val="-13"/>
        </w:rPr>
        <w:t xml:space="preserve"> </w:t>
      </w:r>
      <w:r>
        <w:t>adjustments</w:t>
      </w:r>
      <w:r>
        <w:rPr>
          <w:spacing w:val="-15"/>
        </w:rPr>
        <w:t xml:space="preserve"> </w:t>
      </w:r>
      <w:r>
        <w:t>that</w:t>
      </w:r>
      <w:r>
        <w:rPr>
          <w:spacing w:val="-12"/>
        </w:rPr>
        <w:t xml:space="preserve"> </w:t>
      </w:r>
      <w:r>
        <w:t>would</w:t>
      </w:r>
      <w:r>
        <w:rPr>
          <w:spacing w:val="-13"/>
        </w:rPr>
        <w:t xml:space="preserve"> </w:t>
      </w:r>
      <w:r>
        <w:t>not</w:t>
      </w:r>
      <w:r>
        <w:rPr>
          <w:spacing w:val="-12"/>
        </w:rPr>
        <w:t xml:space="preserve"> </w:t>
      </w:r>
      <w:r>
        <w:t>be</w:t>
      </w:r>
      <w:r>
        <w:rPr>
          <w:spacing w:val="-13"/>
        </w:rPr>
        <w:t xml:space="preserve"> </w:t>
      </w:r>
      <w:r>
        <w:t>subject</w:t>
      </w:r>
      <w:r>
        <w:rPr>
          <w:spacing w:val="-14"/>
        </w:rPr>
        <w:t xml:space="preserve"> </w:t>
      </w:r>
      <w:r>
        <w:t>to</w:t>
      </w:r>
      <w:r>
        <w:rPr>
          <w:spacing w:val="-16"/>
        </w:rPr>
        <w:t xml:space="preserve"> </w:t>
      </w:r>
      <w:r>
        <w:t>CMS</w:t>
      </w:r>
      <w:r>
        <w:rPr>
          <w:spacing w:val="-13"/>
        </w:rPr>
        <w:t xml:space="preserve"> </w:t>
      </w:r>
      <w:r>
        <w:t>corrective</w:t>
      </w:r>
      <w:r>
        <w:rPr>
          <w:spacing w:val="-13"/>
        </w:rPr>
        <w:t xml:space="preserve"> </w:t>
      </w:r>
      <w:r>
        <w:t xml:space="preserve">action. Specifically, we recommend that CMS allow plans the opportunity </w:t>
      </w:r>
      <w:r>
        <w:t xml:space="preserve">to demonstrate that the revisions are minor (e.g., correction of a keying error) or that there are extenuating circumstances that legitimately warrant a later submission (e.g., CMS system slowness or errors that can be documented). As an example, we point </w:t>
      </w:r>
      <w:r>
        <w:t>to the changed approach CMS implemented in 2017 for ANOC and EOC errors. CMS further defined the type of errors for which plans needed to submit an errata, versus the type of errors that did not (i.e.,</w:t>
      </w:r>
      <w:r>
        <w:rPr>
          <w:spacing w:val="-15"/>
        </w:rPr>
        <w:t xml:space="preserve"> </w:t>
      </w:r>
      <w:r>
        <w:t>those</w:t>
      </w:r>
      <w:r>
        <w:rPr>
          <w:spacing w:val="-16"/>
        </w:rPr>
        <w:t xml:space="preserve"> </w:t>
      </w:r>
      <w:r>
        <w:t>that</w:t>
      </w:r>
      <w:r>
        <w:rPr>
          <w:spacing w:val="-15"/>
        </w:rPr>
        <w:t xml:space="preserve"> </w:t>
      </w:r>
      <w:r>
        <w:t>were</w:t>
      </w:r>
      <w:r>
        <w:rPr>
          <w:spacing w:val="-16"/>
        </w:rPr>
        <w:t xml:space="preserve"> </w:t>
      </w:r>
      <w:r>
        <w:t>more</w:t>
      </w:r>
      <w:r>
        <w:rPr>
          <w:spacing w:val="-15"/>
        </w:rPr>
        <w:t xml:space="preserve"> </w:t>
      </w:r>
      <w:r>
        <w:t>minimal</w:t>
      </w:r>
      <w:r>
        <w:rPr>
          <w:spacing w:val="-15"/>
        </w:rPr>
        <w:t xml:space="preserve"> </w:t>
      </w:r>
      <w:r>
        <w:t>in</w:t>
      </w:r>
      <w:r>
        <w:rPr>
          <w:spacing w:val="-15"/>
        </w:rPr>
        <w:t xml:space="preserve"> </w:t>
      </w:r>
      <w:r>
        <w:t>nature).</w:t>
      </w:r>
      <w:r>
        <w:rPr>
          <w:spacing w:val="-17"/>
        </w:rPr>
        <w:t xml:space="preserve"> </w:t>
      </w:r>
      <w:r>
        <w:t>This</w:t>
      </w:r>
      <w:r>
        <w:rPr>
          <w:spacing w:val="-15"/>
        </w:rPr>
        <w:t xml:space="preserve"> </w:t>
      </w:r>
      <w:r>
        <w:t>was</w:t>
      </w:r>
      <w:r>
        <w:rPr>
          <w:spacing w:val="-15"/>
        </w:rPr>
        <w:t xml:space="preserve"> </w:t>
      </w:r>
      <w:r>
        <w:t>exce</w:t>
      </w:r>
      <w:r>
        <w:t>ptionally</w:t>
      </w:r>
      <w:r>
        <w:rPr>
          <w:spacing w:val="-17"/>
        </w:rPr>
        <w:t xml:space="preserve"> </w:t>
      </w:r>
      <w:r>
        <w:t>helpful</w:t>
      </w:r>
      <w:r>
        <w:rPr>
          <w:spacing w:val="-14"/>
        </w:rPr>
        <w:t xml:space="preserve"> </w:t>
      </w:r>
      <w:r>
        <w:t>as</w:t>
      </w:r>
      <w:r>
        <w:rPr>
          <w:spacing w:val="-15"/>
        </w:rPr>
        <w:t xml:space="preserve"> </w:t>
      </w:r>
      <w:r>
        <w:t>the</w:t>
      </w:r>
      <w:r>
        <w:rPr>
          <w:spacing w:val="-16"/>
        </w:rPr>
        <w:t xml:space="preserve"> </w:t>
      </w:r>
      <w:r>
        <w:t>ANOC/EOC</w:t>
      </w:r>
      <w:r>
        <w:rPr>
          <w:spacing w:val="-15"/>
        </w:rPr>
        <w:t xml:space="preserve"> </w:t>
      </w:r>
      <w:r>
        <w:t>documents both contain a significant amount of detailed plan information with quick turnaround</w:t>
      </w:r>
      <w:r>
        <w:rPr>
          <w:spacing w:val="-29"/>
        </w:rPr>
        <w:t xml:space="preserve"> </w:t>
      </w:r>
      <w:r>
        <w:t>times.</w:t>
      </w:r>
    </w:p>
    <w:p w:rsidR="00805174" w:rsidRDefault="00805174">
      <w:pPr>
        <w:pStyle w:val="BodyText"/>
        <w:spacing w:before="9"/>
        <w:rPr>
          <w:sz w:val="21"/>
        </w:rPr>
      </w:pPr>
    </w:p>
    <w:p w:rsidR="00805174" w:rsidRDefault="000A64A3">
      <w:pPr>
        <w:pStyle w:val="BodyText"/>
        <w:ind w:left="100" w:right="115"/>
        <w:jc w:val="both"/>
      </w:pPr>
      <w:r>
        <w:t>In</w:t>
      </w:r>
      <w:r>
        <w:rPr>
          <w:spacing w:val="-10"/>
        </w:rPr>
        <w:t xml:space="preserve"> </w:t>
      </w:r>
      <w:r>
        <w:t>general,</w:t>
      </w:r>
      <w:r>
        <w:rPr>
          <w:spacing w:val="-14"/>
        </w:rPr>
        <w:t xml:space="preserve"> </w:t>
      </w:r>
      <w:r>
        <w:t>uniform</w:t>
      </w:r>
      <w:r>
        <w:rPr>
          <w:spacing w:val="-15"/>
        </w:rPr>
        <w:t xml:space="preserve"> </w:t>
      </w:r>
      <w:r>
        <w:t>implementation</w:t>
      </w:r>
      <w:r>
        <w:rPr>
          <w:spacing w:val="-12"/>
        </w:rPr>
        <w:t xml:space="preserve"> </w:t>
      </w:r>
      <w:r>
        <w:t>of</w:t>
      </w:r>
      <w:r>
        <w:rPr>
          <w:spacing w:val="-14"/>
        </w:rPr>
        <w:t xml:space="preserve"> </w:t>
      </w:r>
      <w:r>
        <w:t>compliance</w:t>
      </w:r>
      <w:r>
        <w:rPr>
          <w:spacing w:val="-14"/>
        </w:rPr>
        <w:t xml:space="preserve"> </w:t>
      </w:r>
      <w:r>
        <w:t>actions</w:t>
      </w:r>
      <w:r>
        <w:rPr>
          <w:spacing w:val="-11"/>
        </w:rPr>
        <w:t xml:space="preserve"> </w:t>
      </w:r>
      <w:r>
        <w:t>based</w:t>
      </w:r>
      <w:r>
        <w:rPr>
          <w:spacing w:val="-14"/>
        </w:rPr>
        <w:t xml:space="preserve"> </w:t>
      </w:r>
      <w:r>
        <w:t>on</w:t>
      </w:r>
      <w:r>
        <w:rPr>
          <w:spacing w:val="-14"/>
        </w:rPr>
        <w:t xml:space="preserve"> </w:t>
      </w:r>
      <w:r>
        <w:t>minor</w:t>
      </w:r>
      <w:r>
        <w:rPr>
          <w:spacing w:val="-14"/>
        </w:rPr>
        <w:t xml:space="preserve"> </w:t>
      </w:r>
      <w:r>
        <w:t>issues</w:t>
      </w:r>
      <w:r>
        <w:rPr>
          <w:spacing w:val="-13"/>
        </w:rPr>
        <w:t xml:space="preserve"> </w:t>
      </w:r>
      <w:r>
        <w:t>as</w:t>
      </w:r>
      <w:r>
        <w:rPr>
          <w:spacing w:val="-11"/>
        </w:rPr>
        <w:t xml:space="preserve"> </w:t>
      </w:r>
      <w:r>
        <w:t>compared</w:t>
      </w:r>
      <w:r>
        <w:rPr>
          <w:spacing w:val="-14"/>
        </w:rPr>
        <w:t xml:space="preserve"> </w:t>
      </w:r>
      <w:r>
        <w:t>to</w:t>
      </w:r>
      <w:r>
        <w:rPr>
          <w:spacing w:val="-12"/>
        </w:rPr>
        <w:t xml:space="preserve"> </w:t>
      </w:r>
      <w:r>
        <w:t>a</w:t>
      </w:r>
      <w:r>
        <w:rPr>
          <w:spacing w:val="-14"/>
        </w:rPr>
        <w:t xml:space="preserve"> </w:t>
      </w:r>
      <w:r>
        <w:t>complete disregard for program rules is inequitable. We also note that the Federally-facilitated Marketplaces distinguish</w:t>
      </w:r>
      <w:r>
        <w:rPr>
          <w:spacing w:val="-7"/>
        </w:rPr>
        <w:t xml:space="preserve"> </w:t>
      </w:r>
      <w:r>
        <w:t>between</w:t>
      </w:r>
      <w:r>
        <w:rPr>
          <w:spacing w:val="-7"/>
        </w:rPr>
        <w:t xml:space="preserve"> </w:t>
      </w:r>
      <w:r>
        <w:t>plan</w:t>
      </w:r>
      <w:r>
        <w:rPr>
          <w:spacing w:val="-5"/>
        </w:rPr>
        <w:t xml:space="preserve"> </w:t>
      </w:r>
      <w:r>
        <w:t>corrections</w:t>
      </w:r>
      <w:r>
        <w:rPr>
          <w:spacing w:val="-6"/>
        </w:rPr>
        <w:t xml:space="preserve"> </w:t>
      </w:r>
      <w:r>
        <w:t>that</w:t>
      </w:r>
      <w:r>
        <w:rPr>
          <w:spacing w:val="-6"/>
        </w:rPr>
        <w:t xml:space="preserve"> </w:t>
      </w:r>
      <w:r>
        <w:t>are</w:t>
      </w:r>
      <w:r>
        <w:rPr>
          <w:spacing w:val="-7"/>
        </w:rPr>
        <w:t xml:space="preserve"> </w:t>
      </w:r>
      <w:r>
        <w:t>significant</w:t>
      </w:r>
      <w:r>
        <w:rPr>
          <w:spacing w:val="-8"/>
        </w:rPr>
        <w:t xml:space="preserve"> </w:t>
      </w:r>
      <w:r>
        <w:t>(e.g.,</w:t>
      </w:r>
      <w:r>
        <w:rPr>
          <w:spacing w:val="-7"/>
        </w:rPr>
        <w:t xml:space="preserve"> </w:t>
      </w:r>
      <w:r>
        <w:t>changes</w:t>
      </w:r>
      <w:r>
        <w:rPr>
          <w:spacing w:val="-6"/>
        </w:rPr>
        <w:t xml:space="preserve"> </w:t>
      </w:r>
      <w:r>
        <w:t>to</w:t>
      </w:r>
      <w:r>
        <w:rPr>
          <w:spacing w:val="-7"/>
        </w:rPr>
        <w:t xml:space="preserve"> </w:t>
      </w:r>
      <w:r>
        <w:t>proposed</w:t>
      </w:r>
      <w:r>
        <w:rPr>
          <w:spacing w:val="-10"/>
        </w:rPr>
        <w:t xml:space="preserve"> </w:t>
      </w:r>
      <w:r>
        <w:t>service</w:t>
      </w:r>
      <w:r>
        <w:rPr>
          <w:spacing w:val="-7"/>
        </w:rPr>
        <w:t xml:space="preserve"> </w:t>
      </w:r>
      <w:r>
        <w:t>areas)</w:t>
      </w:r>
      <w:r>
        <w:rPr>
          <w:spacing w:val="-6"/>
        </w:rPr>
        <w:t xml:space="preserve"> </w:t>
      </w:r>
      <w:r>
        <w:t>and</w:t>
      </w:r>
      <w:r>
        <w:rPr>
          <w:spacing w:val="-7"/>
        </w:rPr>
        <w:t xml:space="preserve"> </w:t>
      </w:r>
      <w:r>
        <w:t>those that are more routine, and encourage</w:t>
      </w:r>
      <w:r>
        <w:t xml:space="preserve"> CMS to adopt a similar approach</w:t>
      </w:r>
      <w:r>
        <w:rPr>
          <w:spacing w:val="-15"/>
        </w:rPr>
        <w:t xml:space="preserve"> </w:t>
      </w:r>
      <w:r>
        <w:t>here.</w:t>
      </w:r>
    </w:p>
    <w:p w:rsidR="00805174" w:rsidRDefault="00805174">
      <w:pPr>
        <w:pStyle w:val="BodyText"/>
        <w:spacing w:before="9"/>
        <w:rPr>
          <w:sz w:val="21"/>
        </w:rPr>
      </w:pPr>
    </w:p>
    <w:p w:rsidR="00805174" w:rsidRDefault="000A64A3">
      <w:pPr>
        <w:ind w:left="100"/>
        <w:jc w:val="both"/>
        <w:rPr>
          <w:i/>
        </w:rPr>
      </w:pPr>
      <w:r>
        <w:rPr>
          <w:i/>
        </w:rPr>
        <w:t>Validation Audits</w:t>
      </w:r>
    </w:p>
    <w:p w:rsidR="00805174" w:rsidRDefault="00805174">
      <w:pPr>
        <w:pStyle w:val="BodyText"/>
        <w:spacing w:before="11"/>
        <w:rPr>
          <w:i/>
          <w:sz w:val="21"/>
        </w:rPr>
      </w:pPr>
    </w:p>
    <w:p w:rsidR="00805174" w:rsidRDefault="000A64A3">
      <w:pPr>
        <w:pStyle w:val="BodyText"/>
        <w:ind w:left="100" w:right="212"/>
        <w:jc w:val="both"/>
      </w:pPr>
      <w:r>
        <w:t>The proposals CMS puts forth to modify the program audit validation program would result in important process improvements, promote consistency, and reduce burden on sponsors. Anthem encourages CMS</w:t>
      </w:r>
      <w:r>
        <w:t xml:space="preserve"> to</w:t>
      </w:r>
      <w:r>
        <w:rPr>
          <w:spacing w:val="-12"/>
        </w:rPr>
        <w:t xml:space="preserve"> </w:t>
      </w:r>
      <w:r>
        <w:t>move</w:t>
      </w:r>
      <w:r>
        <w:rPr>
          <w:spacing w:val="-12"/>
        </w:rPr>
        <w:t xml:space="preserve"> </w:t>
      </w:r>
      <w:r>
        <w:t>forward</w:t>
      </w:r>
      <w:r>
        <w:rPr>
          <w:spacing w:val="-12"/>
        </w:rPr>
        <w:t xml:space="preserve"> </w:t>
      </w:r>
      <w:r>
        <w:t>with</w:t>
      </w:r>
      <w:r>
        <w:rPr>
          <w:spacing w:val="-12"/>
        </w:rPr>
        <w:t xml:space="preserve"> </w:t>
      </w:r>
      <w:r>
        <w:t>these</w:t>
      </w:r>
      <w:r>
        <w:rPr>
          <w:spacing w:val="-14"/>
        </w:rPr>
        <w:t xml:space="preserve"> </w:t>
      </w:r>
      <w:r>
        <w:t>enhancements,</w:t>
      </w:r>
      <w:r>
        <w:rPr>
          <w:spacing w:val="-11"/>
        </w:rPr>
        <w:t xml:space="preserve"> </w:t>
      </w:r>
      <w:r>
        <w:t>which</w:t>
      </w:r>
      <w:r>
        <w:rPr>
          <w:spacing w:val="-12"/>
        </w:rPr>
        <w:t xml:space="preserve"> </w:t>
      </w:r>
      <w:r>
        <w:t>will</w:t>
      </w:r>
      <w:r>
        <w:rPr>
          <w:spacing w:val="-11"/>
        </w:rPr>
        <w:t xml:space="preserve"> </w:t>
      </w:r>
      <w:r>
        <w:t>allow</w:t>
      </w:r>
      <w:r>
        <w:rPr>
          <w:spacing w:val="-13"/>
        </w:rPr>
        <w:t xml:space="preserve"> </w:t>
      </w:r>
      <w:r>
        <w:t>sponsors</w:t>
      </w:r>
      <w:r>
        <w:rPr>
          <w:spacing w:val="-14"/>
        </w:rPr>
        <w:t xml:space="preserve"> </w:t>
      </w:r>
      <w:r>
        <w:t>to</w:t>
      </w:r>
      <w:r>
        <w:rPr>
          <w:spacing w:val="-8"/>
        </w:rPr>
        <w:t xml:space="preserve"> </w:t>
      </w:r>
      <w:r>
        <w:t>target</w:t>
      </w:r>
      <w:r>
        <w:rPr>
          <w:spacing w:val="-13"/>
        </w:rPr>
        <w:t xml:space="preserve"> </w:t>
      </w:r>
      <w:r>
        <w:t>resources</w:t>
      </w:r>
      <w:r>
        <w:rPr>
          <w:spacing w:val="-11"/>
        </w:rPr>
        <w:t xml:space="preserve"> </w:t>
      </w:r>
      <w:r>
        <w:t>efficiently</w:t>
      </w:r>
      <w:r>
        <w:rPr>
          <w:spacing w:val="-14"/>
        </w:rPr>
        <w:t xml:space="preserve"> </w:t>
      </w:r>
      <w:r>
        <w:t>during program audit</w:t>
      </w:r>
      <w:r>
        <w:rPr>
          <w:spacing w:val="-7"/>
        </w:rPr>
        <w:t xml:space="preserve"> </w:t>
      </w:r>
      <w:r>
        <w:t>validation.</w:t>
      </w:r>
    </w:p>
    <w:p w:rsidR="00805174" w:rsidRDefault="00805174">
      <w:pPr>
        <w:pStyle w:val="BodyText"/>
      </w:pPr>
    </w:p>
    <w:p w:rsidR="00805174" w:rsidRDefault="000A64A3">
      <w:pPr>
        <w:pStyle w:val="BodyText"/>
        <w:ind w:left="100" w:right="205"/>
        <w:jc w:val="both"/>
      </w:pPr>
      <w:r>
        <w:t>Anthem supports CMS’ proposal to exclude Compliance Program Effectiveness (CPE) conditions from the</w:t>
      </w:r>
      <w:r>
        <w:rPr>
          <w:spacing w:val="-9"/>
        </w:rPr>
        <w:t xml:space="preserve"> </w:t>
      </w:r>
      <w:r>
        <w:t>threshold</w:t>
      </w:r>
      <w:r>
        <w:rPr>
          <w:spacing w:val="-10"/>
        </w:rPr>
        <w:t xml:space="preserve"> </w:t>
      </w:r>
      <w:r>
        <w:t>calculation</w:t>
      </w:r>
      <w:r>
        <w:rPr>
          <w:spacing w:val="-7"/>
        </w:rPr>
        <w:t xml:space="preserve"> </w:t>
      </w:r>
      <w:r>
        <w:t>used</w:t>
      </w:r>
      <w:r>
        <w:rPr>
          <w:spacing w:val="-7"/>
        </w:rPr>
        <w:t xml:space="preserve"> </w:t>
      </w:r>
      <w:r>
        <w:t>in</w:t>
      </w:r>
      <w:r>
        <w:rPr>
          <w:spacing w:val="-10"/>
        </w:rPr>
        <w:t xml:space="preserve"> </w:t>
      </w:r>
      <w:r>
        <w:t>determining</w:t>
      </w:r>
      <w:r>
        <w:rPr>
          <w:spacing w:val="-10"/>
        </w:rPr>
        <w:t xml:space="preserve"> </w:t>
      </w:r>
      <w:r>
        <w:t>whether</w:t>
      </w:r>
      <w:r>
        <w:rPr>
          <w:spacing w:val="-6"/>
        </w:rPr>
        <w:t xml:space="preserve"> </w:t>
      </w:r>
      <w:r>
        <w:t>a</w:t>
      </w:r>
      <w:r>
        <w:rPr>
          <w:spacing w:val="-9"/>
        </w:rPr>
        <w:t xml:space="preserve"> </w:t>
      </w:r>
      <w:r>
        <w:t>sponsoring</w:t>
      </w:r>
      <w:r>
        <w:rPr>
          <w:spacing w:val="-10"/>
        </w:rPr>
        <w:t xml:space="preserve"> </w:t>
      </w:r>
      <w:r>
        <w:t>organization</w:t>
      </w:r>
      <w:r>
        <w:rPr>
          <w:spacing w:val="-7"/>
        </w:rPr>
        <w:t xml:space="preserve"> </w:t>
      </w:r>
      <w:r>
        <w:t>would</w:t>
      </w:r>
      <w:r>
        <w:rPr>
          <w:spacing w:val="-7"/>
        </w:rPr>
        <w:t xml:space="preserve"> </w:t>
      </w:r>
      <w:r>
        <w:t>be</w:t>
      </w:r>
      <w:r>
        <w:rPr>
          <w:spacing w:val="-7"/>
        </w:rPr>
        <w:t xml:space="preserve"> </w:t>
      </w:r>
      <w:r>
        <w:t>required</w:t>
      </w:r>
      <w:r>
        <w:rPr>
          <w:spacing w:val="-9"/>
        </w:rPr>
        <w:t xml:space="preserve"> </w:t>
      </w:r>
      <w:r>
        <w:t>to</w:t>
      </w:r>
      <w:r>
        <w:rPr>
          <w:spacing w:val="-10"/>
        </w:rPr>
        <w:t xml:space="preserve"> </w:t>
      </w:r>
      <w:r>
        <w:t xml:space="preserve">hire an independent auditing firm. However, we encourage CMS to consider the severity of the non-CPE conditions, in addition to setting a specific numerical threshold, to determine </w:t>
      </w:r>
      <w:r>
        <w:t>when sponsors with non- CPE conditions cited in their final audit report would be required to hire an independent auditing firm. CMS’</w:t>
      </w:r>
      <w:r>
        <w:rPr>
          <w:spacing w:val="-3"/>
        </w:rPr>
        <w:t xml:space="preserve"> </w:t>
      </w:r>
      <w:r>
        <w:t>audit</w:t>
      </w:r>
      <w:r>
        <w:rPr>
          <w:spacing w:val="-3"/>
        </w:rPr>
        <w:t xml:space="preserve"> </w:t>
      </w:r>
      <w:r>
        <w:t>scoring</w:t>
      </w:r>
      <w:r>
        <w:rPr>
          <w:spacing w:val="-6"/>
        </w:rPr>
        <w:t xml:space="preserve"> </w:t>
      </w:r>
      <w:r>
        <w:t>already</w:t>
      </w:r>
      <w:r>
        <w:rPr>
          <w:spacing w:val="-6"/>
        </w:rPr>
        <w:t xml:space="preserve"> </w:t>
      </w:r>
      <w:r>
        <w:t>considers</w:t>
      </w:r>
      <w:r>
        <w:rPr>
          <w:spacing w:val="-3"/>
        </w:rPr>
        <w:t xml:space="preserve"> </w:t>
      </w:r>
      <w:r>
        <w:t>both</w:t>
      </w:r>
      <w:r>
        <w:rPr>
          <w:spacing w:val="-4"/>
        </w:rPr>
        <w:t xml:space="preserve"> </w:t>
      </w:r>
      <w:r>
        <w:t>the</w:t>
      </w:r>
      <w:r>
        <w:rPr>
          <w:spacing w:val="-3"/>
        </w:rPr>
        <w:t xml:space="preserve"> </w:t>
      </w:r>
      <w:r>
        <w:t>number</w:t>
      </w:r>
      <w:r>
        <w:rPr>
          <w:spacing w:val="-3"/>
        </w:rPr>
        <w:t xml:space="preserve"> </w:t>
      </w:r>
      <w:r>
        <w:t>and</w:t>
      </w:r>
      <w:r>
        <w:rPr>
          <w:spacing w:val="-3"/>
        </w:rPr>
        <w:t xml:space="preserve"> </w:t>
      </w:r>
      <w:r>
        <w:t>severity</w:t>
      </w:r>
      <w:r>
        <w:rPr>
          <w:spacing w:val="-6"/>
        </w:rPr>
        <w:t xml:space="preserve"> </w:t>
      </w:r>
      <w:r>
        <w:t>of</w:t>
      </w:r>
      <w:r>
        <w:rPr>
          <w:spacing w:val="-3"/>
        </w:rPr>
        <w:t xml:space="preserve"> </w:t>
      </w:r>
      <w:r>
        <w:t>non-compliant</w:t>
      </w:r>
      <w:r>
        <w:rPr>
          <w:spacing w:val="-3"/>
        </w:rPr>
        <w:t xml:space="preserve"> </w:t>
      </w:r>
      <w:r>
        <w:t>conditions</w:t>
      </w:r>
      <w:r>
        <w:rPr>
          <w:spacing w:val="-3"/>
        </w:rPr>
        <w:t xml:space="preserve"> </w:t>
      </w:r>
      <w:r>
        <w:t>detected in a sponsor’s operation</w:t>
      </w:r>
      <w:r>
        <w:t>s. Establishment of a threshold calculation based on a combination of the number and severity of a condition would ensure that the focus of the audit validation program remains on conditions that have the potential to impact beneficiary access, rather than</w:t>
      </w:r>
      <w:r>
        <w:t xml:space="preserve"> those conditions that likely require a lower level of effort from auditors to determine if the non-compliance has been</w:t>
      </w:r>
      <w:r>
        <w:rPr>
          <w:spacing w:val="-29"/>
        </w:rPr>
        <w:t xml:space="preserve"> </w:t>
      </w:r>
      <w:r>
        <w:t>corrected.</w:t>
      </w:r>
    </w:p>
    <w:p w:rsidR="00805174" w:rsidRDefault="00805174">
      <w:pPr>
        <w:pStyle w:val="BodyText"/>
      </w:pPr>
    </w:p>
    <w:p w:rsidR="00805174" w:rsidRDefault="000A64A3">
      <w:pPr>
        <w:pStyle w:val="BodyText"/>
        <w:ind w:left="100" w:right="209"/>
        <w:jc w:val="both"/>
      </w:pPr>
      <w:r>
        <w:t>In addition, Anthem looks forward to reviewing and providing comments on CMS’ draft validation work plan template that spons</w:t>
      </w:r>
      <w:r>
        <w:t>oring organizations undergoing independent validation audits in 2019 would be required</w:t>
      </w:r>
      <w:r>
        <w:rPr>
          <w:spacing w:val="-6"/>
        </w:rPr>
        <w:t xml:space="preserve"> </w:t>
      </w:r>
      <w:r>
        <w:t>to</w:t>
      </w:r>
      <w:r>
        <w:rPr>
          <w:spacing w:val="-6"/>
        </w:rPr>
        <w:t xml:space="preserve"> </w:t>
      </w:r>
      <w:r>
        <w:t>submit.</w:t>
      </w:r>
      <w:r>
        <w:rPr>
          <w:spacing w:val="-6"/>
        </w:rPr>
        <w:t xml:space="preserve"> </w:t>
      </w:r>
      <w:r>
        <w:t>Because</w:t>
      </w:r>
      <w:r>
        <w:rPr>
          <w:spacing w:val="-8"/>
        </w:rPr>
        <w:t xml:space="preserve"> </w:t>
      </w:r>
      <w:r>
        <w:t>the</w:t>
      </w:r>
      <w:r>
        <w:rPr>
          <w:spacing w:val="-6"/>
        </w:rPr>
        <w:t xml:space="preserve"> </w:t>
      </w:r>
      <w:r>
        <w:t>format</w:t>
      </w:r>
      <w:r>
        <w:rPr>
          <w:spacing w:val="-5"/>
        </w:rPr>
        <w:t xml:space="preserve"> </w:t>
      </w:r>
      <w:r>
        <w:t>and</w:t>
      </w:r>
      <w:r>
        <w:rPr>
          <w:spacing w:val="-6"/>
        </w:rPr>
        <w:t xml:space="preserve"> </w:t>
      </w:r>
      <w:r>
        <w:t>design</w:t>
      </w:r>
      <w:r>
        <w:rPr>
          <w:spacing w:val="-6"/>
        </w:rPr>
        <w:t xml:space="preserve"> </w:t>
      </w:r>
      <w:r>
        <w:t>of</w:t>
      </w:r>
      <w:r>
        <w:rPr>
          <w:spacing w:val="-5"/>
        </w:rPr>
        <w:t xml:space="preserve"> </w:t>
      </w:r>
      <w:r>
        <w:t>validation</w:t>
      </w:r>
      <w:r>
        <w:rPr>
          <w:spacing w:val="-6"/>
        </w:rPr>
        <w:t xml:space="preserve"> </w:t>
      </w:r>
      <w:r>
        <w:t>audit</w:t>
      </w:r>
      <w:r>
        <w:rPr>
          <w:spacing w:val="-5"/>
        </w:rPr>
        <w:t xml:space="preserve"> </w:t>
      </w:r>
      <w:r>
        <w:t>work</w:t>
      </w:r>
      <w:r>
        <w:rPr>
          <w:spacing w:val="-9"/>
        </w:rPr>
        <w:t xml:space="preserve"> </w:t>
      </w:r>
      <w:r>
        <w:t>plans</w:t>
      </w:r>
      <w:r>
        <w:rPr>
          <w:spacing w:val="-5"/>
        </w:rPr>
        <w:t xml:space="preserve"> </w:t>
      </w:r>
      <w:r>
        <w:t>and</w:t>
      </w:r>
      <w:r>
        <w:rPr>
          <w:spacing w:val="-6"/>
        </w:rPr>
        <w:t xml:space="preserve"> </w:t>
      </w:r>
      <w:r>
        <w:t>reports</w:t>
      </w:r>
      <w:r>
        <w:rPr>
          <w:spacing w:val="-5"/>
        </w:rPr>
        <w:t xml:space="preserve"> </w:t>
      </w:r>
      <w:r>
        <w:t>are</w:t>
      </w:r>
      <w:r>
        <w:rPr>
          <w:spacing w:val="-6"/>
        </w:rPr>
        <w:t xml:space="preserve"> </w:t>
      </w:r>
      <w:r>
        <w:t>currently left to the discretion of the independent auditing firm, implementation of a standardized audit work plan template</w:t>
      </w:r>
      <w:r>
        <w:rPr>
          <w:spacing w:val="-6"/>
        </w:rPr>
        <w:t xml:space="preserve"> </w:t>
      </w:r>
      <w:r>
        <w:t>will</w:t>
      </w:r>
      <w:r>
        <w:rPr>
          <w:spacing w:val="-5"/>
        </w:rPr>
        <w:t xml:space="preserve"> </w:t>
      </w:r>
      <w:r>
        <w:t>promote</w:t>
      </w:r>
      <w:r>
        <w:rPr>
          <w:spacing w:val="-6"/>
        </w:rPr>
        <w:t xml:space="preserve"> </w:t>
      </w:r>
      <w:r>
        <w:t>consistency</w:t>
      </w:r>
      <w:r>
        <w:rPr>
          <w:spacing w:val="-6"/>
        </w:rPr>
        <w:t xml:space="preserve"> </w:t>
      </w:r>
      <w:r>
        <w:t>and</w:t>
      </w:r>
      <w:r>
        <w:rPr>
          <w:spacing w:val="-6"/>
        </w:rPr>
        <w:t xml:space="preserve"> </w:t>
      </w:r>
      <w:r>
        <w:t>efficiency.</w:t>
      </w:r>
      <w:r>
        <w:rPr>
          <w:spacing w:val="-4"/>
        </w:rPr>
        <w:t xml:space="preserve"> </w:t>
      </w:r>
      <w:r>
        <w:t>We</w:t>
      </w:r>
      <w:r>
        <w:rPr>
          <w:spacing w:val="-5"/>
        </w:rPr>
        <w:t xml:space="preserve"> </w:t>
      </w:r>
      <w:r>
        <w:t>urge</w:t>
      </w:r>
      <w:r>
        <w:rPr>
          <w:spacing w:val="-3"/>
        </w:rPr>
        <w:t xml:space="preserve"> </w:t>
      </w:r>
      <w:r>
        <w:t>CMS</w:t>
      </w:r>
      <w:r>
        <w:rPr>
          <w:spacing w:val="-6"/>
        </w:rPr>
        <w:t xml:space="preserve"> </w:t>
      </w:r>
      <w:r>
        <w:t>to</w:t>
      </w:r>
      <w:r>
        <w:rPr>
          <w:spacing w:val="-6"/>
        </w:rPr>
        <w:t xml:space="preserve"> </w:t>
      </w:r>
      <w:r>
        <w:t>be</w:t>
      </w:r>
      <w:r>
        <w:rPr>
          <w:spacing w:val="-6"/>
        </w:rPr>
        <w:t xml:space="preserve"> </w:t>
      </w:r>
      <w:r>
        <w:t>as</w:t>
      </w:r>
      <w:r>
        <w:rPr>
          <w:spacing w:val="-5"/>
        </w:rPr>
        <w:t xml:space="preserve"> </w:t>
      </w:r>
      <w:r>
        <w:t>detailed</w:t>
      </w:r>
      <w:r>
        <w:rPr>
          <w:spacing w:val="-6"/>
        </w:rPr>
        <w:t xml:space="preserve"> </w:t>
      </w:r>
      <w:r>
        <w:t>and</w:t>
      </w:r>
      <w:r>
        <w:rPr>
          <w:spacing w:val="-4"/>
        </w:rPr>
        <w:t xml:space="preserve"> </w:t>
      </w:r>
      <w:r>
        <w:t>specific</w:t>
      </w:r>
      <w:r>
        <w:rPr>
          <w:spacing w:val="-3"/>
        </w:rPr>
        <w:t xml:space="preserve"> </w:t>
      </w:r>
      <w:r>
        <w:t>as</w:t>
      </w:r>
      <w:r>
        <w:rPr>
          <w:spacing w:val="-3"/>
        </w:rPr>
        <w:t xml:space="preserve"> </w:t>
      </w:r>
      <w:r>
        <w:t>possible</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215"/>
        <w:jc w:val="both"/>
      </w:pPr>
      <w:r>
        <w:lastRenderedPageBreak/>
        <w:t>when</w:t>
      </w:r>
      <w:r>
        <w:rPr>
          <w:spacing w:val="-9"/>
        </w:rPr>
        <w:t xml:space="preserve"> </w:t>
      </w:r>
      <w:r>
        <w:t>defining</w:t>
      </w:r>
      <w:r>
        <w:rPr>
          <w:spacing w:val="-12"/>
        </w:rPr>
        <w:t xml:space="preserve"> </w:t>
      </w:r>
      <w:r>
        <w:t>each</w:t>
      </w:r>
      <w:r>
        <w:rPr>
          <w:spacing w:val="-12"/>
        </w:rPr>
        <w:t xml:space="preserve"> </w:t>
      </w:r>
      <w:r>
        <w:t>fi</w:t>
      </w:r>
      <w:r>
        <w:t>eld</w:t>
      </w:r>
      <w:r>
        <w:rPr>
          <w:spacing w:val="-10"/>
        </w:rPr>
        <w:t xml:space="preserve"> </w:t>
      </w:r>
      <w:r>
        <w:t>in</w:t>
      </w:r>
      <w:r>
        <w:rPr>
          <w:spacing w:val="-14"/>
        </w:rPr>
        <w:t xml:space="preserve"> </w:t>
      </w:r>
      <w:r>
        <w:t>the</w:t>
      </w:r>
      <w:r>
        <w:rPr>
          <w:spacing w:val="-12"/>
        </w:rPr>
        <w:t xml:space="preserve"> </w:t>
      </w:r>
      <w:r>
        <w:t>template</w:t>
      </w:r>
      <w:r>
        <w:rPr>
          <w:spacing w:val="-9"/>
        </w:rPr>
        <w:t xml:space="preserve"> </w:t>
      </w:r>
      <w:r>
        <w:t>so</w:t>
      </w:r>
      <w:r>
        <w:rPr>
          <w:spacing w:val="-11"/>
        </w:rPr>
        <w:t xml:space="preserve"> </w:t>
      </w:r>
      <w:r>
        <w:t>that</w:t>
      </w:r>
      <w:r>
        <w:rPr>
          <w:spacing w:val="-9"/>
        </w:rPr>
        <w:t xml:space="preserve"> </w:t>
      </w:r>
      <w:r>
        <w:t>plans</w:t>
      </w:r>
      <w:r>
        <w:rPr>
          <w:spacing w:val="-9"/>
        </w:rPr>
        <w:t xml:space="preserve"> </w:t>
      </w:r>
      <w:r>
        <w:t>can</w:t>
      </w:r>
      <w:r>
        <w:rPr>
          <w:spacing w:val="-10"/>
        </w:rPr>
        <w:t xml:space="preserve"> </w:t>
      </w:r>
      <w:r>
        <w:t>conduct</w:t>
      </w:r>
      <w:r>
        <w:rPr>
          <w:spacing w:val="-11"/>
        </w:rPr>
        <w:t xml:space="preserve"> </w:t>
      </w:r>
      <w:r>
        <w:t>sufficient</w:t>
      </w:r>
      <w:r>
        <w:rPr>
          <w:spacing w:val="-11"/>
        </w:rPr>
        <w:t xml:space="preserve"> </w:t>
      </w:r>
      <w:r>
        <w:t>reviews</w:t>
      </w:r>
      <w:r>
        <w:rPr>
          <w:spacing w:val="-9"/>
        </w:rPr>
        <w:t xml:space="preserve"> </w:t>
      </w:r>
      <w:r>
        <w:t>and</w:t>
      </w:r>
      <w:r>
        <w:rPr>
          <w:spacing w:val="-9"/>
        </w:rPr>
        <w:t xml:space="preserve"> </w:t>
      </w:r>
      <w:r>
        <w:t>provide</w:t>
      </w:r>
      <w:r>
        <w:rPr>
          <w:spacing w:val="-12"/>
        </w:rPr>
        <w:t xml:space="preserve"> </w:t>
      </w:r>
      <w:r>
        <w:t>feedback that eliminates any speculation once the template is being used in</w:t>
      </w:r>
      <w:r>
        <w:rPr>
          <w:spacing w:val="-22"/>
        </w:rPr>
        <w:t xml:space="preserve"> </w:t>
      </w:r>
      <w:r>
        <w:t>practice.</w:t>
      </w:r>
    </w:p>
    <w:p w:rsidR="00805174" w:rsidRDefault="00805174">
      <w:pPr>
        <w:pStyle w:val="BodyText"/>
      </w:pPr>
    </w:p>
    <w:p w:rsidR="00805174" w:rsidRDefault="000A64A3">
      <w:pPr>
        <w:pStyle w:val="BodyText"/>
        <w:ind w:left="100" w:right="212"/>
        <w:jc w:val="both"/>
      </w:pPr>
      <w:r>
        <w:t>We also support CMS’ proposal to provide plans with 180 days, as opposed to 150 days, from the date that CMS accepts their program audit Corrective Action Plans (CAPs) to undergo a validation audit and submit the independent audit report to CMS for review.</w:t>
      </w:r>
      <w:r>
        <w:t xml:space="preserve"> This extended timeframe will allow for more sufficient</w:t>
      </w:r>
      <w:r>
        <w:rPr>
          <w:spacing w:val="-4"/>
        </w:rPr>
        <w:t xml:space="preserve"> </w:t>
      </w:r>
      <w:r>
        <w:t>time</w:t>
      </w:r>
      <w:r>
        <w:rPr>
          <w:spacing w:val="-2"/>
        </w:rPr>
        <w:t xml:space="preserve"> </w:t>
      </w:r>
      <w:r>
        <w:t>to</w:t>
      </w:r>
      <w:r>
        <w:rPr>
          <w:spacing w:val="-4"/>
        </w:rPr>
        <w:t xml:space="preserve"> </w:t>
      </w:r>
      <w:r>
        <w:t>first</w:t>
      </w:r>
      <w:r>
        <w:rPr>
          <w:spacing w:val="-4"/>
        </w:rPr>
        <w:t xml:space="preserve"> </w:t>
      </w:r>
      <w:r>
        <w:t>remediate</w:t>
      </w:r>
      <w:r>
        <w:rPr>
          <w:spacing w:val="-4"/>
        </w:rPr>
        <w:t xml:space="preserve"> </w:t>
      </w:r>
      <w:r>
        <w:t>issues,</w:t>
      </w:r>
      <w:r>
        <w:rPr>
          <w:spacing w:val="-5"/>
        </w:rPr>
        <w:t xml:space="preserve"> </w:t>
      </w:r>
      <w:r>
        <w:t>then</w:t>
      </w:r>
      <w:r>
        <w:rPr>
          <w:spacing w:val="-2"/>
        </w:rPr>
        <w:t xml:space="preserve"> </w:t>
      </w:r>
      <w:r>
        <w:t>accumulate</w:t>
      </w:r>
      <w:r>
        <w:rPr>
          <w:spacing w:val="-2"/>
        </w:rPr>
        <w:t xml:space="preserve"> </w:t>
      </w:r>
      <w:r>
        <w:t>a</w:t>
      </w:r>
      <w:r>
        <w:rPr>
          <w:spacing w:val="-4"/>
        </w:rPr>
        <w:t xml:space="preserve"> </w:t>
      </w:r>
      <w:r>
        <w:t>sufficient</w:t>
      </w:r>
      <w:r>
        <w:rPr>
          <w:spacing w:val="-4"/>
        </w:rPr>
        <w:t xml:space="preserve"> </w:t>
      </w:r>
      <w:r>
        <w:t>“clean</w:t>
      </w:r>
      <w:r>
        <w:rPr>
          <w:spacing w:val="-5"/>
        </w:rPr>
        <w:t xml:space="preserve"> </w:t>
      </w:r>
      <w:r>
        <w:t>period”</w:t>
      </w:r>
      <w:r>
        <w:rPr>
          <w:spacing w:val="-2"/>
        </w:rPr>
        <w:t xml:space="preserve"> </w:t>
      </w:r>
      <w:r>
        <w:t>to</w:t>
      </w:r>
      <w:r>
        <w:rPr>
          <w:spacing w:val="-5"/>
        </w:rPr>
        <w:t xml:space="preserve"> </w:t>
      </w:r>
      <w:r>
        <w:t>use</w:t>
      </w:r>
      <w:r>
        <w:rPr>
          <w:spacing w:val="-4"/>
        </w:rPr>
        <w:t xml:space="preserve"> </w:t>
      </w:r>
      <w:r>
        <w:t>as</w:t>
      </w:r>
      <w:r>
        <w:rPr>
          <w:spacing w:val="-4"/>
        </w:rPr>
        <w:t xml:space="preserve"> </w:t>
      </w:r>
      <w:r>
        <w:t>the</w:t>
      </w:r>
      <w:r>
        <w:rPr>
          <w:spacing w:val="-2"/>
        </w:rPr>
        <w:t xml:space="preserve"> </w:t>
      </w:r>
      <w:r>
        <w:t>basis</w:t>
      </w:r>
      <w:r>
        <w:rPr>
          <w:spacing w:val="-2"/>
        </w:rPr>
        <w:t xml:space="preserve"> </w:t>
      </w:r>
      <w:r>
        <w:t>for validation</w:t>
      </w:r>
      <w:r>
        <w:rPr>
          <w:spacing w:val="-8"/>
        </w:rPr>
        <w:t xml:space="preserve"> </w:t>
      </w:r>
      <w:r>
        <w:t>testing,</w:t>
      </w:r>
      <w:r>
        <w:rPr>
          <w:spacing w:val="-6"/>
        </w:rPr>
        <w:t xml:space="preserve"> </w:t>
      </w:r>
      <w:r>
        <w:t>as</w:t>
      </w:r>
      <w:r>
        <w:rPr>
          <w:spacing w:val="-7"/>
        </w:rPr>
        <w:t xml:space="preserve"> </w:t>
      </w:r>
      <w:r>
        <w:t>well</w:t>
      </w:r>
      <w:r>
        <w:rPr>
          <w:spacing w:val="-7"/>
        </w:rPr>
        <w:t xml:space="preserve"> </w:t>
      </w:r>
      <w:r>
        <w:t>as</w:t>
      </w:r>
      <w:r>
        <w:rPr>
          <w:spacing w:val="-5"/>
        </w:rPr>
        <w:t xml:space="preserve"> </w:t>
      </w:r>
      <w:r>
        <w:t>to</w:t>
      </w:r>
      <w:r>
        <w:rPr>
          <w:spacing w:val="-8"/>
        </w:rPr>
        <w:t xml:space="preserve"> </w:t>
      </w:r>
      <w:r>
        <w:t>complete</w:t>
      </w:r>
      <w:r>
        <w:rPr>
          <w:spacing w:val="-5"/>
        </w:rPr>
        <w:t xml:space="preserve"> </w:t>
      </w:r>
      <w:r>
        <w:t>meaningful</w:t>
      </w:r>
      <w:r>
        <w:rPr>
          <w:spacing w:val="-5"/>
        </w:rPr>
        <w:t xml:space="preserve"> </w:t>
      </w:r>
      <w:r>
        <w:t>validation</w:t>
      </w:r>
      <w:r>
        <w:rPr>
          <w:spacing w:val="-8"/>
        </w:rPr>
        <w:t xml:space="preserve"> </w:t>
      </w:r>
      <w:r>
        <w:t>testing.</w:t>
      </w:r>
      <w:r>
        <w:rPr>
          <w:spacing w:val="-4"/>
        </w:rPr>
        <w:t xml:space="preserve"> </w:t>
      </w:r>
      <w:r>
        <w:t>To</w:t>
      </w:r>
      <w:r>
        <w:rPr>
          <w:spacing w:val="-6"/>
        </w:rPr>
        <w:t xml:space="preserve"> </w:t>
      </w:r>
      <w:r>
        <w:t>promote</w:t>
      </w:r>
      <w:r>
        <w:rPr>
          <w:spacing w:val="-5"/>
        </w:rPr>
        <w:t xml:space="preserve"> </w:t>
      </w:r>
      <w:r>
        <w:t>efficiency</w:t>
      </w:r>
      <w:r>
        <w:rPr>
          <w:spacing w:val="-8"/>
        </w:rPr>
        <w:t xml:space="preserve"> </w:t>
      </w:r>
      <w:r>
        <w:t>thro</w:t>
      </w:r>
      <w:r>
        <w:t>ughout the</w:t>
      </w:r>
      <w:r>
        <w:rPr>
          <w:spacing w:val="-14"/>
        </w:rPr>
        <w:t xml:space="preserve"> </w:t>
      </w:r>
      <w:r>
        <w:t>process,</w:t>
      </w:r>
      <w:r>
        <w:rPr>
          <w:spacing w:val="-11"/>
        </w:rPr>
        <w:t xml:space="preserve"> </w:t>
      </w:r>
      <w:r>
        <w:t>Anthem</w:t>
      </w:r>
      <w:r>
        <w:rPr>
          <w:spacing w:val="-15"/>
        </w:rPr>
        <w:t xml:space="preserve"> </w:t>
      </w:r>
      <w:r>
        <w:t>requests</w:t>
      </w:r>
      <w:r>
        <w:rPr>
          <w:spacing w:val="-14"/>
        </w:rPr>
        <w:t xml:space="preserve"> </w:t>
      </w:r>
      <w:r>
        <w:t>that</w:t>
      </w:r>
      <w:r>
        <w:rPr>
          <w:spacing w:val="-11"/>
        </w:rPr>
        <w:t xml:space="preserve"> </w:t>
      </w:r>
      <w:r>
        <w:t>CMS’</w:t>
      </w:r>
      <w:r>
        <w:rPr>
          <w:spacing w:val="-13"/>
        </w:rPr>
        <w:t xml:space="preserve"> </w:t>
      </w:r>
      <w:r>
        <w:t>evaluation</w:t>
      </w:r>
      <w:r>
        <w:rPr>
          <w:spacing w:val="-12"/>
        </w:rPr>
        <w:t xml:space="preserve"> </w:t>
      </w:r>
      <w:r>
        <w:t>of</w:t>
      </w:r>
      <w:r>
        <w:rPr>
          <w:spacing w:val="-14"/>
        </w:rPr>
        <w:t xml:space="preserve"> </w:t>
      </w:r>
      <w:r>
        <w:t>the</w:t>
      </w:r>
      <w:r>
        <w:rPr>
          <w:spacing w:val="-12"/>
        </w:rPr>
        <w:t xml:space="preserve"> </w:t>
      </w:r>
      <w:r>
        <w:t>validation</w:t>
      </w:r>
      <w:r>
        <w:rPr>
          <w:spacing w:val="-14"/>
        </w:rPr>
        <w:t xml:space="preserve"> </w:t>
      </w:r>
      <w:r>
        <w:t>audit</w:t>
      </w:r>
      <w:r>
        <w:rPr>
          <w:spacing w:val="-13"/>
        </w:rPr>
        <w:t xml:space="preserve"> </w:t>
      </w:r>
      <w:r>
        <w:t>report</w:t>
      </w:r>
      <w:r>
        <w:rPr>
          <w:spacing w:val="-13"/>
        </w:rPr>
        <w:t xml:space="preserve"> </w:t>
      </w:r>
      <w:r>
        <w:t>to</w:t>
      </w:r>
      <w:r>
        <w:rPr>
          <w:spacing w:val="-17"/>
        </w:rPr>
        <w:t xml:space="preserve"> </w:t>
      </w:r>
      <w:r>
        <w:t>determine</w:t>
      </w:r>
      <w:r>
        <w:rPr>
          <w:spacing w:val="-12"/>
        </w:rPr>
        <w:t xml:space="preserve"> </w:t>
      </w:r>
      <w:r>
        <w:t>if</w:t>
      </w:r>
      <w:r>
        <w:rPr>
          <w:spacing w:val="-14"/>
        </w:rPr>
        <w:t xml:space="preserve"> </w:t>
      </w:r>
      <w:r>
        <w:t>conditions are corrected be completed within 30 days of receipt of the</w:t>
      </w:r>
      <w:r>
        <w:rPr>
          <w:spacing w:val="-18"/>
        </w:rPr>
        <w:t xml:space="preserve"> </w:t>
      </w:r>
      <w:r>
        <w:t>report.</w:t>
      </w:r>
    </w:p>
    <w:p w:rsidR="00805174" w:rsidRDefault="00805174">
      <w:pPr>
        <w:pStyle w:val="BodyText"/>
        <w:spacing w:before="8"/>
        <w:rPr>
          <w:sz w:val="21"/>
        </w:rPr>
      </w:pPr>
    </w:p>
    <w:p w:rsidR="00805174" w:rsidRDefault="000A64A3">
      <w:pPr>
        <w:pStyle w:val="BodyText"/>
        <w:spacing w:before="1"/>
        <w:ind w:left="100" w:right="114"/>
        <w:jc w:val="both"/>
      </w:pPr>
      <w:r>
        <w:t>Finally, we appreciate CMS’ confirmation that sponsors can submit additional documentation addressing any concerns with, or rebuttals to, the auditor’s report. This will be an important opportunity for sponsors in completing the validation audit process.</w:t>
      </w:r>
    </w:p>
    <w:p w:rsidR="00805174" w:rsidRDefault="00805174">
      <w:pPr>
        <w:pStyle w:val="BodyText"/>
        <w:spacing w:before="1"/>
      </w:pPr>
    </w:p>
    <w:p w:rsidR="00805174" w:rsidRDefault="000A64A3">
      <w:pPr>
        <w:ind w:left="100"/>
        <w:jc w:val="both"/>
        <w:rPr>
          <w:i/>
        </w:rPr>
      </w:pPr>
      <w:r>
        <w:rPr>
          <w:i/>
        </w:rPr>
        <w:t>Plan Finder Civil Money Penalty (CMP) Icon or Other Type of Notice</w:t>
      </w:r>
    </w:p>
    <w:p w:rsidR="00805174" w:rsidRDefault="00805174">
      <w:pPr>
        <w:pStyle w:val="BodyText"/>
        <w:rPr>
          <w:i/>
        </w:rPr>
      </w:pPr>
    </w:p>
    <w:p w:rsidR="00805174" w:rsidRDefault="000A64A3">
      <w:pPr>
        <w:pStyle w:val="BodyText"/>
        <w:ind w:left="100" w:right="114"/>
        <w:jc w:val="both"/>
      </w:pPr>
      <w:r>
        <w:t>Anthem urges CMS to reconsider its proposal to display an icon or other type of notice on Plan Finder for sponsoring</w:t>
      </w:r>
      <w:r>
        <w:rPr>
          <w:spacing w:val="-6"/>
        </w:rPr>
        <w:t xml:space="preserve"> </w:t>
      </w:r>
      <w:r>
        <w:t>organizations</w:t>
      </w:r>
      <w:r>
        <w:rPr>
          <w:spacing w:val="-5"/>
        </w:rPr>
        <w:t xml:space="preserve"> </w:t>
      </w:r>
      <w:r>
        <w:t>that</w:t>
      </w:r>
      <w:r>
        <w:rPr>
          <w:spacing w:val="-3"/>
        </w:rPr>
        <w:t xml:space="preserve"> </w:t>
      </w:r>
      <w:r>
        <w:t>have</w:t>
      </w:r>
      <w:r>
        <w:rPr>
          <w:spacing w:val="-3"/>
        </w:rPr>
        <w:t xml:space="preserve"> </w:t>
      </w:r>
      <w:r>
        <w:t>received</w:t>
      </w:r>
      <w:r>
        <w:rPr>
          <w:spacing w:val="-3"/>
        </w:rPr>
        <w:t xml:space="preserve"> </w:t>
      </w:r>
      <w:r>
        <w:t>a</w:t>
      </w:r>
      <w:r>
        <w:rPr>
          <w:spacing w:val="-3"/>
        </w:rPr>
        <w:t xml:space="preserve"> </w:t>
      </w:r>
      <w:r>
        <w:t>CMP.</w:t>
      </w:r>
      <w:r>
        <w:rPr>
          <w:spacing w:val="-6"/>
        </w:rPr>
        <w:t xml:space="preserve"> </w:t>
      </w:r>
      <w:r>
        <w:t>There</w:t>
      </w:r>
      <w:r>
        <w:rPr>
          <w:spacing w:val="-3"/>
        </w:rPr>
        <w:t xml:space="preserve"> </w:t>
      </w:r>
      <w:r>
        <w:t>are</w:t>
      </w:r>
      <w:r>
        <w:rPr>
          <w:spacing w:val="-3"/>
        </w:rPr>
        <w:t xml:space="preserve"> </w:t>
      </w:r>
      <w:r>
        <w:t>many</w:t>
      </w:r>
      <w:r>
        <w:rPr>
          <w:spacing w:val="-6"/>
        </w:rPr>
        <w:t xml:space="preserve"> </w:t>
      </w:r>
      <w:r>
        <w:t>potential</w:t>
      </w:r>
      <w:r>
        <w:rPr>
          <w:spacing w:val="-3"/>
        </w:rPr>
        <w:t xml:space="preserve"> </w:t>
      </w:r>
      <w:r>
        <w:t>reason</w:t>
      </w:r>
      <w:r>
        <w:t>s</w:t>
      </w:r>
      <w:r>
        <w:rPr>
          <w:spacing w:val="-3"/>
        </w:rPr>
        <w:t xml:space="preserve"> </w:t>
      </w:r>
      <w:r>
        <w:t>a</w:t>
      </w:r>
      <w:r>
        <w:rPr>
          <w:spacing w:val="-3"/>
        </w:rPr>
        <w:t xml:space="preserve"> </w:t>
      </w:r>
      <w:r>
        <w:t>plan</w:t>
      </w:r>
      <w:r>
        <w:rPr>
          <w:spacing w:val="-4"/>
        </w:rPr>
        <w:t xml:space="preserve"> </w:t>
      </w:r>
      <w:r>
        <w:t>could</w:t>
      </w:r>
      <w:r>
        <w:rPr>
          <w:spacing w:val="-4"/>
        </w:rPr>
        <w:t xml:space="preserve"> </w:t>
      </w:r>
      <w:r>
        <w:t>receive a CMP—including reasons that have nothing to do with access to care or benefit coverage—and if these reasons are not clearly explained to beneficiaries, the icon could cause significant confusion and lead to unfounded</w:t>
      </w:r>
      <w:r>
        <w:rPr>
          <w:spacing w:val="-8"/>
        </w:rPr>
        <w:t xml:space="preserve"> </w:t>
      </w:r>
      <w:r>
        <w:t>conclusions</w:t>
      </w:r>
      <w:r>
        <w:rPr>
          <w:spacing w:val="-10"/>
        </w:rPr>
        <w:t xml:space="preserve"> </w:t>
      </w:r>
      <w:r>
        <w:t>tha</w:t>
      </w:r>
      <w:r>
        <w:t>t</w:t>
      </w:r>
      <w:r>
        <w:rPr>
          <w:spacing w:val="-10"/>
        </w:rPr>
        <w:t xml:space="preserve"> </w:t>
      </w:r>
      <w:r>
        <w:t>hinder</w:t>
      </w:r>
      <w:r>
        <w:rPr>
          <w:spacing w:val="-8"/>
        </w:rPr>
        <w:t xml:space="preserve"> </w:t>
      </w:r>
      <w:r>
        <w:t>enrollment</w:t>
      </w:r>
      <w:r>
        <w:rPr>
          <w:spacing w:val="-8"/>
        </w:rPr>
        <w:t xml:space="preserve"> </w:t>
      </w:r>
      <w:r>
        <w:t>decisions.</w:t>
      </w:r>
      <w:r>
        <w:rPr>
          <w:spacing w:val="-9"/>
        </w:rPr>
        <w:t xml:space="preserve"> </w:t>
      </w:r>
      <w:r>
        <w:t>We</w:t>
      </w:r>
      <w:r>
        <w:rPr>
          <w:spacing w:val="-10"/>
        </w:rPr>
        <w:t xml:space="preserve"> </w:t>
      </w:r>
      <w:r>
        <w:t>recommend</w:t>
      </w:r>
      <w:r>
        <w:rPr>
          <w:spacing w:val="-8"/>
        </w:rPr>
        <w:t xml:space="preserve"> </w:t>
      </w:r>
      <w:r>
        <w:t>that</w:t>
      </w:r>
      <w:r>
        <w:rPr>
          <w:spacing w:val="-8"/>
        </w:rPr>
        <w:t xml:space="preserve"> </w:t>
      </w:r>
      <w:r>
        <w:t>CMS</w:t>
      </w:r>
      <w:r>
        <w:rPr>
          <w:spacing w:val="-11"/>
        </w:rPr>
        <w:t xml:space="preserve"> </w:t>
      </w:r>
      <w:r>
        <w:t>not</w:t>
      </w:r>
      <w:r>
        <w:rPr>
          <w:spacing w:val="-8"/>
        </w:rPr>
        <w:t xml:space="preserve"> </w:t>
      </w:r>
      <w:r>
        <w:t>display</w:t>
      </w:r>
      <w:r>
        <w:rPr>
          <w:spacing w:val="-11"/>
        </w:rPr>
        <w:t xml:space="preserve"> </w:t>
      </w:r>
      <w:r>
        <w:t>a</w:t>
      </w:r>
      <w:r>
        <w:rPr>
          <w:spacing w:val="-8"/>
        </w:rPr>
        <w:t xml:space="preserve"> </w:t>
      </w:r>
      <w:r>
        <w:t>CMP</w:t>
      </w:r>
      <w:r>
        <w:rPr>
          <w:spacing w:val="-11"/>
        </w:rPr>
        <w:t xml:space="preserve"> </w:t>
      </w:r>
      <w:r>
        <w:t>icon on</w:t>
      </w:r>
      <w:r>
        <w:rPr>
          <w:spacing w:val="-6"/>
        </w:rPr>
        <w:t xml:space="preserve"> </w:t>
      </w:r>
      <w:r>
        <w:t>MPF,</w:t>
      </w:r>
      <w:r>
        <w:rPr>
          <w:spacing w:val="-6"/>
        </w:rPr>
        <w:t xml:space="preserve"> </w:t>
      </w:r>
      <w:r>
        <w:t>but</w:t>
      </w:r>
      <w:r>
        <w:rPr>
          <w:spacing w:val="-5"/>
        </w:rPr>
        <w:t xml:space="preserve"> </w:t>
      </w:r>
      <w:r>
        <w:t>instead</w:t>
      </w:r>
      <w:r>
        <w:rPr>
          <w:spacing w:val="-6"/>
        </w:rPr>
        <w:t xml:space="preserve"> </w:t>
      </w:r>
      <w:r>
        <w:t>continue</w:t>
      </w:r>
      <w:r>
        <w:rPr>
          <w:spacing w:val="-6"/>
        </w:rPr>
        <w:t xml:space="preserve"> </w:t>
      </w:r>
      <w:r>
        <w:t>to</w:t>
      </w:r>
      <w:r>
        <w:rPr>
          <w:spacing w:val="-6"/>
        </w:rPr>
        <w:t xml:space="preserve"> </w:t>
      </w:r>
      <w:r>
        <w:t>post</w:t>
      </w:r>
      <w:r>
        <w:rPr>
          <w:spacing w:val="-5"/>
        </w:rPr>
        <w:t xml:space="preserve"> </w:t>
      </w:r>
      <w:r>
        <w:t>CMP</w:t>
      </w:r>
      <w:r>
        <w:rPr>
          <w:spacing w:val="-6"/>
        </w:rPr>
        <w:t xml:space="preserve"> </w:t>
      </w:r>
      <w:r>
        <w:t>information</w:t>
      </w:r>
      <w:r>
        <w:rPr>
          <w:spacing w:val="-9"/>
        </w:rPr>
        <w:t xml:space="preserve"> </w:t>
      </w:r>
      <w:r>
        <w:t>for</w:t>
      </w:r>
      <w:r>
        <w:rPr>
          <w:spacing w:val="-5"/>
        </w:rPr>
        <w:t xml:space="preserve"> </w:t>
      </w:r>
      <w:r>
        <w:t>the</w:t>
      </w:r>
      <w:r>
        <w:rPr>
          <w:spacing w:val="-6"/>
        </w:rPr>
        <w:t xml:space="preserve"> </w:t>
      </w:r>
      <w:r>
        <w:t>public</w:t>
      </w:r>
      <w:r>
        <w:rPr>
          <w:spacing w:val="-6"/>
        </w:rPr>
        <w:t xml:space="preserve"> </w:t>
      </w:r>
      <w:r>
        <w:t>on</w:t>
      </w:r>
      <w:r>
        <w:rPr>
          <w:spacing w:val="-2"/>
        </w:rPr>
        <w:t xml:space="preserve"> </w:t>
      </w:r>
      <w:r>
        <w:t>its</w:t>
      </w:r>
      <w:r>
        <w:rPr>
          <w:spacing w:val="-5"/>
        </w:rPr>
        <w:t xml:space="preserve"> </w:t>
      </w:r>
      <w:r>
        <w:t>Part</w:t>
      </w:r>
      <w:r>
        <w:rPr>
          <w:spacing w:val="-5"/>
        </w:rPr>
        <w:t xml:space="preserve"> </w:t>
      </w:r>
      <w:r>
        <w:t>C</w:t>
      </w:r>
      <w:r>
        <w:rPr>
          <w:spacing w:val="-9"/>
        </w:rPr>
        <w:t xml:space="preserve"> </w:t>
      </w:r>
      <w:r>
        <w:t>and</w:t>
      </w:r>
      <w:r>
        <w:rPr>
          <w:spacing w:val="-6"/>
        </w:rPr>
        <w:t xml:space="preserve"> </w:t>
      </w:r>
      <w:r>
        <w:t>Part</w:t>
      </w:r>
      <w:r>
        <w:rPr>
          <w:spacing w:val="-5"/>
        </w:rPr>
        <w:t xml:space="preserve"> </w:t>
      </w:r>
      <w:r>
        <w:t>D</w:t>
      </w:r>
      <w:r>
        <w:rPr>
          <w:spacing w:val="-7"/>
        </w:rPr>
        <w:t xml:space="preserve"> </w:t>
      </w:r>
      <w:r>
        <w:t>Enforcement Actions</w:t>
      </w:r>
      <w:r>
        <w:rPr>
          <w:spacing w:val="-4"/>
        </w:rPr>
        <w:t xml:space="preserve"> </w:t>
      </w:r>
      <w:r>
        <w:t>webpage.</w:t>
      </w:r>
    </w:p>
    <w:p w:rsidR="00805174" w:rsidRDefault="00805174">
      <w:pPr>
        <w:pStyle w:val="BodyText"/>
      </w:pPr>
    </w:p>
    <w:p w:rsidR="00805174" w:rsidRDefault="000A64A3">
      <w:pPr>
        <w:ind w:left="100"/>
        <w:jc w:val="both"/>
        <w:rPr>
          <w:i/>
        </w:rPr>
      </w:pPr>
      <w:r>
        <w:rPr>
          <w:i/>
        </w:rPr>
        <w:t>Enforcement Actions for Provider Directories</w:t>
      </w:r>
    </w:p>
    <w:p w:rsidR="00805174" w:rsidRDefault="00805174">
      <w:pPr>
        <w:pStyle w:val="BodyText"/>
        <w:rPr>
          <w:i/>
        </w:rPr>
      </w:pPr>
    </w:p>
    <w:p w:rsidR="00805174" w:rsidRDefault="000A64A3">
      <w:pPr>
        <w:pStyle w:val="BodyText"/>
        <w:ind w:left="100" w:right="215"/>
        <w:jc w:val="both"/>
      </w:pPr>
      <w:r>
        <w:t>While Anthem supports CMS’ ongoing focus on ensuring provider directories are accurate for Medicare beneficiaries and their caregivers, we continue to have significant concerns with the corresponding expectations</w:t>
      </w:r>
      <w:r>
        <w:rPr>
          <w:spacing w:val="-3"/>
        </w:rPr>
        <w:t xml:space="preserve"> </w:t>
      </w:r>
      <w:r>
        <w:t>and</w:t>
      </w:r>
      <w:r>
        <w:rPr>
          <w:spacing w:val="-3"/>
        </w:rPr>
        <w:t xml:space="preserve"> </w:t>
      </w:r>
      <w:r>
        <w:t>requirements</w:t>
      </w:r>
      <w:r>
        <w:rPr>
          <w:spacing w:val="-3"/>
        </w:rPr>
        <w:t xml:space="preserve"> </w:t>
      </w:r>
      <w:r>
        <w:t>put</w:t>
      </w:r>
      <w:r>
        <w:rPr>
          <w:spacing w:val="-3"/>
        </w:rPr>
        <w:t xml:space="preserve"> </w:t>
      </w:r>
      <w:r>
        <w:t>forth</w:t>
      </w:r>
      <w:r>
        <w:rPr>
          <w:spacing w:val="-4"/>
        </w:rPr>
        <w:t xml:space="preserve"> </w:t>
      </w:r>
      <w:r>
        <w:t>by</w:t>
      </w:r>
      <w:r>
        <w:rPr>
          <w:spacing w:val="-6"/>
        </w:rPr>
        <w:t xml:space="preserve"> </w:t>
      </w:r>
      <w:r>
        <w:t>CMS,</w:t>
      </w:r>
      <w:r>
        <w:rPr>
          <w:spacing w:val="-3"/>
        </w:rPr>
        <w:t xml:space="preserve"> </w:t>
      </w:r>
      <w:r>
        <w:t>includin</w:t>
      </w:r>
      <w:r>
        <w:t>g</w:t>
      </w:r>
      <w:r>
        <w:rPr>
          <w:spacing w:val="-6"/>
        </w:rPr>
        <w:t xml:space="preserve"> </w:t>
      </w:r>
      <w:r>
        <w:t>the</w:t>
      </w:r>
      <w:r>
        <w:rPr>
          <w:spacing w:val="-3"/>
        </w:rPr>
        <w:t xml:space="preserve"> </w:t>
      </w:r>
      <w:r>
        <w:t>burden</w:t>
      </w:r>
      <w:r>
        <w:rPr>
          <w:spacing w:val="-3"/>
        </w:rPr>
        <w:t xml:space="preserve"> </w:t>
      </w:r>
      <w:r>
        <w:t>they</w:t>
      </w:r>
      <w:r>
        <w:rPr>
          <w:spacing w:val="-6"/>
        </w:rPr>
        <w:t xml:space="preserve"> </w:t>
      </w:r>
      <w:r>
        <w:t>place</w:t>
      </w:r>
      <w:r>
        <w:rPr>
          <w:spacing w:val="-6"/>
        </w:rPr>
        <w:t xml:space="preserve"> </w:t>
      </w:r>
      <w:r>
        <w:t>on</w:t>
      </w:r>
      <w:r>
        <w:rPr>
          <w:spacing w:val="-4"/>
        </w:rPr>
        <w:t xml:space="preserve"> </w:t>
      </w:r>
      <w:r>
        <w:t>providers.</w:t>
      </w:r>
      <w:r>
        <w:rPr>
          <w:spacing w:val="-3"/>
        </w:rPr>
        <w:t xml:space="preserve"> </w:t>
      </w:r>
      <w:r>
        <w:t>We</w:t>
      </w:r>
      <w:r>
        <w:rPr>
          <w:spacing w:val="-3"/>
        </w:rPr>
        <w:t xml:space="preserve"> </w:t>
      </w:r>
      <w:r>
        <w:t>agree that timely dissemination of comprehensive and correct consumer information is important and thus continually work to ensure a high-quality consumer experience. However, CMS’ current rules around</w:t>
      </w:r>
      <w:r>
        <w:rPr>
          <w:spacing w:val="-31"/>
        </w:rPr>
        <w:t xml:space="preserve"> </w:t>
      </w:r>
      <w:r>
        <w:t>the informati</w:t>
      </w:r>
      <w:r>
        <w:t>on required in MA plan directories, the timeframe for directory updates, and quarterly outreach to providers for validation are overly burdensome and duplicative, detrimentally impacting plans, providers, and beneficiaries. The outbound outreach in particu</w:t>
      </w:r>
      <w:r>
        <w:t>lar has caused significant process and operational</w:t>
      </w:r>
      <w:r>
        <w:rPr>
          <w:spacing w:val="-6"/>
        </w:rPr>
        <w:t xml:space="preserve"> </w:t>
      </w:r>
      <w:r>
        <w:t>work</w:t>
      </w:r>
      <w:r>
        <w:rPr>
          <w:spacing w:val="-9"/>
        </w:rPr>
        <w:t xml:space="preserve"> </w:t>
      </w:r>
      <w:r>
        <w:t>impacting</w:t>
      </w:r>
      <w:r>
        <w:rPr>
          <w:spacing w:val="-10"/>
        </w:rPr>
        <w:t xml:space="preserve"> </w:t>
      </w:r>
      <w:r>
        <w:t>our</w:t>
      </w:r>
      <w:r>
        <w:rPr>
          <w:spacing w:val="-6"/>
        </w:rPr>
        <w:t xml:space="preserve"> </w:t>
      </w:r>
      <w:r>
        <w:t>ability</w:t>
      </w:r>
      <w:r>
        <w:rPr>
          <w:spacing w:val="-10"/>
        </w:rPr>
        <w:t xml:space="preserve"> </w:t>
      </w:r>
      <w:r>
        <w:t>to</w:t>
      </w:r>
      <w:r>
        <w:rPr>
          <w:spacing w:val="-7"/>
        </w:rPr>
        <w:t xml:space="preserve"> </w:t>
      </w:r>
      <w:r>
        <w:t>focus</w:t>
      </w:r>
      <w:r>
        <w:rPr>
          <w:spacing w:val="-6"/>
        </w:rPr>
        <w:t xml:space="preserve"> </w:t>
      </w:r>
      <w:r>
        <w:t>on</w:t>
      </w:r>
      <w:r>
        <w:rPr>
          <w:spacing w:val="-7"/>
        </w:rPr>
        <w:t xml:space="preserve"> </w:t>
      </w:r>
      <w:r>
        <w:t>more</w:t>
      </w:r>
      <w:r>
        <w:rPr>
          <w:spacing w:val="-7"/>
        </w:rPr>
        <w:t xml:space="preserve"> </w:t>
      </w:r>
      <w:r>
        <w:t>proactive</w:t>
      </w:r>
      <w:r>
        <w:rPr>
          <w:spacing w:val="-7"/>
        </w:rPr>
        <w:t xml:space="preserve"> </w:t>
      </w:r>
      <w:r>
        <w:t>provider</w:t>
      </w:r>
      <w:r>
        <w:rPr>
          <w:spacing w:val="-6"/>
        </w:rPr>
        <w:t xml:space="preserve"> </w:t>
      </w:r>
      <w:r>
        <w:t>education</w:t>
      </w:r>
      <w:r>
        <w:rPr>
          <w:spacing w:val="-7"/>
        </w:rPr>
        <w:t xml:space="preserve"> </w:t>
      </w:r>
      <w:r>
        <w:t>and</w:t>
      </w:r>
      <w:r>
        <w:rPr>
          <w:spacing w:val="-7"/>
        </w:rPr>
        <w:t xml:space="preserve"> </w:t>
      </w:r>
      <w:r>
        <w:t>communication campaigns. In addition, since providers receive these inquiries not just from Anthem, but from other MAOs as well, this creates a significant administrative burden that leads to provider abrasion. Anthem’s goal</w:t>
      </w:r>
      <w:r>
        <w:rPr>
          <w:spacing w:val="-7"/>
        </w:rPr>
        <w:t xml:space="preserve"> </w:t>
      </w:r>
      <w:r>
        <w:t>is</w:t>
      </w:r>
      <w:r>
        <w:rPr>
          <w:spacing w:val="-10"/>
        </w:rPr>
        <w:t xml:space="preserve"> </w:t>
      </w:r>
      <w:r>
        <w:t>to</w:t>
      </w:r>
      <w:r>
        <w:rPr>
          <w:spacing w:val="-11"/>
        </w:rPr>
        <w:t xml:space="preserve"> </w:t>
      </w:r>
      <w:r>
        <w:t>limit</w:t>
      </w:r>
      <w:r>
        <w:rPr>
          <w:spacing w:val="-7"/>
        </w:rPr>
        <w:t xml:space="preserve"> </w:t>
      </w:r>
      <w:r>
        <w:t>duplicative</w:t>
      </w:r>
      <w:r>
        <w:rPr>
          <w:spacing w:val="-8"/>
        </w:rPr>
        <w:t xml:space="preserve"> </w:t>
      </w:r>
      <w:r>
        <w:t>transac</w:t>
      </w:r>
      <w:r>
        <w:t>tions</w:t>
      </w:r>
      <w:r>
        <w:rPr>
          <w:spacing w:val="-7"/>
        </w:rPr>
        <w:t xml:space="preserve"> </w:t>
      </w:r>
      <w:r>
        <w:t>and</w:t>
      </w:r>
      <w:r>
        <w:rPr>
          <w:spacing w:val="-10"/>
        </w:rPr>
        <w:t xml:space="preserve"> </w:t>
      </w:r>
      <w:r>
        <w:t>streamline</w:t>
      </w:r>
      <w:r>
        <w:rPr>
          <w:spacing w:val="-10"/>
        </w:rPr>
        <w:t xml:space="preserve"> </w:t>
      </w:r>
      <w:r>
        <w:t>processes</w:t>
      </w:r>
      <w:r>
        <w:rPr>
          <w:spacing w:val="-7"/>
        </w:rPr>
        <w:t xml:space="preserve"> </w:t>
      </w:r>
      <w:r>
        <w:t>impacting</w:t>
      </w:r>
      <w:r>
        <w:rPr>
          <w:spacing w:val="-11"/>
        </w:rPr>
        <w:t xml:space="preserve"> </w:t>
      </w:r>
      <w:r>
        <w:t>providers.</w:t>
      </w:r>
      <w:r>
        <w:rPr>
          <w:spacing w:val="-7"/>
        </w:rPr>
        <w:t xml:space="preserve"> </w:t>
      </w:r>
      <w:r>
        <w:t>Anthem</w:t>
      </w:r>
      <w:r>
        <w:rPr>
          <w:spacing w:val="-5"/>
        </w:rPr>
        <w:t xml:space="preserve"> </w:t>
      </w:r>
      <w:r>
        <w:t>asserts</w:t>
      </w:r>
      <w:r>
        <w:rPr>
          <w:spacing w:val="-7"/>
        </w:rPr>
        <w:t xml:space="preserve"> </w:t>
      </w:r>
      <w:r>
        <w:t>that a</w:t>
      </w:r>
      <w:r>
        <w:rPr>
          <w:spacing w:val="-2"/>
        </w:rPr>
        <w:t xml:space="preserve"> </w:t>
      </w:r>
      <w:r>
        <w:t>more</w:t>
      </w:r>
      <w:r>
        <w:rPr>
          <w:spacing w:val="-2"/>
        </w:rPr>
        <w:t xml:space="preserve"> </w:t>
      </w:r>
      <w:r>
        <w:t>efficient</w:t>
      </w:r>
      <w:r>
        <w:rPr>
          <w:spacing w:val="-3"/>
        </w:rPr>
        <w:t xml:space="preserve"> </w:t>
      </w:r>
      <w:r>
        <w:t>process</w:t>
      </w:r>
      <w:r>
        <w:rPr>
          <w:spacing w:val="-1"/>
        </w:rPr>
        <w:t xml:space="preserve"> </w:t>
      </w:r>
      <w:r>
        <w:t>would</w:t>
      </w:r>
      <w:r>
        <w:rPr>
          <w:spacing w:val="-2"/>
        </w:rPr>
        <w:t xml:space="preserve"> </w:t>
      </w:r>
      <w:r>
        <w:t>be</w:t>
      </w:r>
      <w:r>
        <w:rPr>
          <w:spacing w:val="-4"/>
        </w:rPr>
        <w:t xml:space="preserve"> </w:t>
      </w:r>
      <w:r>
        <w:t>for</w:t>
      </w:r>
      <w:r>
        <w:rPr>
          <w:spacing w:val="-4"/>
        </w:rPr>
        <w:t xml:space="preserve"> </w:t>
      </w:r>
      <w:r>
        <w:t>CMS</w:t>
      </w:r>
      <w:r>
        <w:rPr>
          <w:spacing w:val="-4"/>
        </w:rPr>
        <w:t xml:space="preserve"> </w:t>
      </w:r>
      <w:r>
        <w:t>to</w:t>
      </w:r>
      <w:r>
        <w:rPr>
          <w:spacing w:val="-5"/>
        </w:rPr>
        <w:t xml:space="preserve"> </w:t>
      </w:r>
      <w:r>
        <w:t>require</w:t>
      </w:r>
      <w:r>
        <w:rPr>
          <w:spacing w:val="-4"/>
        </w:rPr>
        <w:t xml:space="preserve"> </w:t>
      </w:r>
      <w:r>
        <w:t>providers</w:t>
      </w:r>
      <w:r>
        <w:rPr>
          <w:spacing w:val="-4"/>
        </w:rPr>
        <w:t xml:space="preserve"> </w:t>
      </w:r>
      <w:r>
        <w:t>to</w:t>
      </w:r>
      <w:r>
        <w:rPr>
          <w:spacing w:val="-5"/>
        </w:rPr>
        <w:t xml:space="preserve"> </w:t>
      </w:r>
      <w:r>
        <w:t>submit</w:t>
      </w:r>
      <w:r>
        <w:rPr>
          <w:spacing w:val="-1"/>
        </w:rPr>
        <w:t xml:space="preserve"> </w:t>
      </w:r>
      <w:r>
        <w:t>updates</w:t>
      </w:r>
      <w:r>
        <w:rPr>
          <w:spacing w:val="-4"/>
        </w:rPr>
        <w:t xml:space="preserve"> </w:t>
      </w:r>
      <w:r>
        <w:t>directly</w:t>
      </w:r>
      <w:r>
        <w:rPr>
          <w:spacing w:val="-5"/>
        </w:rPr>
        <w:t xml:space="preserve"> </w:t>
      </w:r>
      <w:r>
        <w:t>to</w:t>
      </w:r>
      <w:r>
        <w:rPr>
          <w:spacing w:val="-5"/>
        </w:rPr>
        <w:t xml:space="preserve"> </w:t>
      </w:r>
      <w:r>
        <w:t>CMS</w:t>
      </w:r>
      <w:r>
        <w:rPr>
          <w:spacing w:val="-4"/>
        </w:rPr>
        <w:t xml:space="preserve"> </w:t>
      </w:r>
      <w:r>
        <w:t>and</w:t>
      </w:r>
      <w:r>
        <w:rPr>
          <w:spacing w:val="-4"/>
        </w:rPr>
        <w:t xml:space="preserve"> </w:t>
      </w:r>
      <w:r>
        <w:t>to make this data available to MAOs. Providers have a higher level of responsivenes</w:t>
      </w:r>
      <w:r>
        <w:t>s to CMS and this centralized process would eliminate the need for duplication of administrative queries to providers from multiple plans versus queries from a singular point of</w:t>
      </w:r>
      <w:r>
        <w:rPr>
          <w:spacing w:val="-16"/>
        </w:rPr>
        <w:t xml:space="preserve"> </w:t>
      </w:r>
      <w:r>
        <w:t>contact.</w:t>
      </w:r>
    </w:p>
    <w:p w:rsidR="00805174" w:rsidRDefault="00805174">
      <w:pPr>
        <w:pStyle w:val="BodyText"/>
        <w:spacing w:before="11"/>
        <w:rPr>
          <w:sz w:val="21"/>
        </w:rPr>
      </w:pPr>
    </w:p>
    <w:p w:rsidR="00805174" w:rsidRDefault="000A64A3">
      <w:pPr>
        <w:ind w:left="100"/>
        <w:jc w:val="both"/>
        <w:rPr>
          <w:i/>
        </w:rPr>
      </w:pPr>
      <w:r>
        <w:rPr>
          <w:i/>
        </w:rPr>
        <w:t>Audit of the Sponsoring Organization’s Compliance Program Effectiveness</w:t>
      </w:r>
    </w:p>
    <w:p w:rsidR="00805174" w:rsidRDefault="00805174">
      <w:pPr>
        <w:pStyle w:val="BodyText"/>
        <w:rPr>
          <w:i/>
        </w:rPr>
      </w:pPr>
    </w:p>
    <w:p w:rsidR="00805174" w:rsidRDefault="000A64A3">
      <w:pPr>
        <w:pStyle w:val="BodyText"/>
        <w:ind w:left="100" w:right="209"/>
        <w:jc w:val="both"/>
      </w:pPr>
      <w:r>
        <w:t>Allowing sponsoring organizations that have undergone a program audit to treat the program audit as meeting</w:t>
      </w:r>
      <w:r>
        <w:rPr>
          <w:spacing w:val="-11"/>
        </w:rPr>
        <w:t xml:space="preserve"> </w:t>
      </w:r>
      <w:r>
        <w:t>the</w:t>
      </w:r>
      <w:r>
        <w:rPr>
          <w:spacing w:val="-8"/>
        </w:rPr>
        <w:t xml:space="preserve"> </w:t>
      </w:r>
      <w:r>
        <w:t>annual</w:t>
      </w:r>
      <w:r>
        <w:rPr>
          <w:spacing w:val="-8"/>
        </w:rPr>
        <w:t xml:space="preserve"> </w:t>
      </w:r>
      <w:r>
        <w:t>compliance</w:t>
      </w:r>
      <w:r>
        <w:rPr>
          <w:spacing w:val="-8"/>
        </w:rPr>
        <w:t xml:space="preserve"> </w:t>
      </w:r>
      <w:r>
        <w:t>program</w:t>
      </w:r>
      <w:r>
        <w:rPr>
          <w:spacing w:val="-12"/>
        </w:rPr>
        <w:t xml:space="preserve"> </w:t>
      </w:r>
      <w:r>
        <w:t>audit</w:t>
      </w:r>
      <w:r>
        <w:rPr>
          <w:spacing w:val="-10"/>
        </w:rPr>
        <w:t xml:space="preserve"> </w:t>
      </w:r>
      <w:r>
        <w:t>requirement</w:t>
      </w:r>
      <w:r>
        <w:rPr>
          <w:spacing w:val="-10"/>
        </w:rPr>
        <w:t xml:space="preserve"> </w:t>
      </w:r>
      <w:r>
        <w:t>for</w:t>
      </w:r>
      <w:r>
        <w:rPr>
          <w:spacing w:val="-10"/>
        </w:rPr>
        <w:t xml:space="preserve"> </w:t>
      </w:r>
      <w:r>
        <w:t>one</w:t>
      </w:r>
      <w:r>
        <w:rPr>
          <w:spacing w:val="-8"/>
        </w:rPr>
        <w:t xml:space="preserve"> </w:t>
      </w:r>
      <w:r>
        <w:t>year</w:t>
      </w:r>
      <w:r>
        <w:rPr>
          <w:spacing w:val="-8"/>
        </w:rPr>
        <w:t xml:space="preserve"> </w:t>
      </w:r>
      <w:r>
        <w:t>from</w:t>
      </w:r>
      <w:r>
        <w:rPr>
          <w:spacing w:val="-12"/>
        </w:rPr>
        <w:t xml:space="preserve"> </w:t>
      </w:r>
      <w:r>
        <w:t>the</w:t>
      </w:r>
      <w:r>
        <w:rPr>
          <w:spacing w:val="-4"/>
        </w:rPr>
        <w:t xml:space="preserve"> </w:t>
      </w:r>
      <w:r>
        <w:t>date</w:t>
      </w:r>
      <w:r>
        <w:rPr>
          <w:spacing w:val="-8"/>
        </w:rPr>
        <w:t xml:space="preserve"> </w:t>
      </w:r>
      <w:r>
        <w:t>of</w:t>
      </w:r>
      <w:r>
        <w:rPr>
          <w:spacing w:val="-8"/>
        </w:rPr>
        <w:t xml:space="preserve"> </w:t>
      </w:r>
      <w:r>
        <w:t>the</w:t>
      </w:r>
      <w:r>
        <w:rPr>
          <w:spacing w:val="-8"/>
        </w:rPr>
        <w:t xml:space="preserve"> </w:t>
      </w:r>
      <w:r>
        <w:t>CMS</w:t>
      </w:r>
      <w:r>
        <w:rPr>
          <w:spacing w:val="-11"/>
        </w:rPr>
        <w:t xml:space="preserve"> </w:t>
      </w:r>
      <w:r>
        <w:t>program audit</w:t>
      </w:r>
      <w:r>
        <w:rPr>
          <w:spacing w:val="-11"/>
        </w:rPr>
        <w:t xml:space="preserve"> </w:t>
      </w:r>
      <w:r>
        <w:t>will</w:t>
      </w:r>
      <w:r>
        <w:rPr>
          <w:spacing w:val="-11"/>
        </w:rPr>
        <w:t xml:space="preserve"> </w:t>
      </w:r>
      <w:r>
        <w:t>reduce</w:t>
      </w:r>
      <w:r>
        <w:rPr>
          <w:spacing w:val="-11"/>
        </w:rPr>
        <w:t xml:space="preserve"> </w:t>
      </w:r>
      <w:r>
        <w:t>burden</w:t>
      </w:r>
      <w:r>
        <w:rPr>
          <w:spacing w:val="-12"/>
        </w:rPr>
        <w:t xml:space="preserve"> </w:t>
      </w:r>
      <w:r>
        <w:t>and</w:t>
      </w:r>
      <w:r>
        <w:rPr>
          <w:spacing w:val="-12"/>
        </w:rPr>
        <w:t xml:space="preserve"> </w:t>
      </w:r>
      <w:r>
        <w:t>eliminate</w:t>
      </w:r>
      <w:r>
        <w:rPr>
          <w:spacing w:val="-12"/>
        </w:rPr>
        <w:t xml:space="preserve"> </w:t>
      </w:r>
      <w:r>
        <w:t>the</w:t>
      </w:r>
      <w:r>
        <w:rPr>
          <w:spacing w:val="-12"/>
        </w:rPr>
        <w:t xml:space="preserve"> </w:t>
      </w:r>
      <w:r>
        <w:t>duplication</w:t>
      </w:r>
      <w:r>
        <w:rPr>
          <w:spacing w:val="-12"/>
        </w:rPr>
        <w:t xml:space="preserve"> </w:t>
      </w:r>
      <w:r>
        <w:t>of</w:t>
      </w:r>
      <w:r>
        <w:rPr>
          <w:spacing w:val="-11"/>
        </w:rPr>
        <w:t xml:space="preserve"> </w:t>
      </w:r>
      <w:r>
        <w:t>effort.</w:t>
      </w:r>
      <w:r>
        <w:rPr>
          <w:spacing w:val="-12"/>
        </w:rPr>
        <w:t xml:space="preserve"> </w:t>
      </w:r>
      <w:r>
        <w:t>Anthem</w:t>
      </w:r>
      <w:r>
        <w:rPr>
          <w:spacing w:val="-12"/>
        </w:rPr>
        <w:t xml:space="preserve"> </w:t>
      </w:r>
      <w:r>
        <w:t>urges</w:t>
      </w:r>
      <w:r>
        <w:rPr>
          <w:spacing w:val="-11"/>
        </w:rPr>
        <w:t xml:space="preserve"> </w:t>
      </w:r>
      <w:r>
        <w:t>CMS</w:t>
      </w:r>
      <w:r>
        <w:rPr>
          <w:spacing w:val="-12"/>
        </w:rPr>
        <w:t xml:space="preserve"> </w:t>
      </w:r>
      <w:r>
        <w:t>to</w:t>
      </w:r>
      <w:r>
        <w:rPr>
          <w:spacing w:val="-12"/>
        </w:rPr>
        <w:t xml:space="preserve"> </w:t>
      </w:r>
      <w:r>
        <w:t>finalize</w:t>
      </w:r>
      <w:r>
        <w:rPr>
          <w:spacing w:val="-12"/>
        </w:rPr>
        <w:t xml:space="preserve"> </w:t>
      </w:r>
      <w:r>
        <w:t>this</w:t>
      </w:r>
      <w:r>
        <w:rPr>
          <w:spacing w:val="-11"/>
        </w:rPr>
        <w:t xml:space="preserve"> </w:t>
      </w:r>
      <w:r>
        <w:t>change as</w:t>
      </w:r>
      <w:r>
        <w:rPr>
          <w:spacing w:val="-1"/>
        </w:rPr>
        <w:t xml:space="preserve"> </w:t>
      </w:r>
      <w:r>
        <w:t>proposed.</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Heading1"/>
        <w:numPr>
          <w:ilvl w:val="0"/>
          <w:numId w:val="9"/>
        </w:numPr>
        <w:tabs>
          <w:tab w:val="left" w:pos="382"/>
        </w:tabs>
        <w:spacing w:before="78"/>
        <w:ind w:left="381" w:hanging="281"/>
        <w:jc w:val="both"/>
      </w:pPr>
      <w:r>
        <w:lastRenderedPageBreak/>
        <w:t>Part</w:t>
      </w:r>
      <w:r>
        <w:rPr>
          <w:spacing w:val="1"/>
        </w:rPr>
        <w:t xml:space="preserve"> </w:t>
      </w:r>
      <w:r>
        <w:t>C</w:t>
      </w:r>
    </w:p>
    <w:p w:rsidR="00805174" w:rsidRDefault="00805174">
      <w:pPr>
        <w:pStyle w:val="BodyText"/>
        <w:spacing w:before="6"/>
        <w:rPr>
          <w:b/>
          <w:sz w:val="21"/>
        </w:rPr>
      </w:pPr>
    </w:p>
    <w:p w:rsidR="00805174" w:rsidRDefault="000A64A3">
      <w:pPr>
        <w:spacing w:before="1"/>
        <w:ind w:left="100"/>
        <w:jc w:val="both"/>
        <w:rPr>
          <w:i/>
        </w:rPr>
      </w:pPr>
      <w:r>
        <w:rPr>
          <w:i/>
        </w:rPr>
        <w:t>Meaningful Difference (Substantially Duplicative Plan Offerings)</w:t>
      </w:r>
    </w:p>
    <w:p w:rsidR="00805174" w:rsidRDefault="00805174">
      <w:pPr>
        <w:pStyle w:val="BodyText"/>
        <w:rPr>
          <w:i/>
        </w:rPr>
      </w:pPr>
    </w:p>
    <w:p w:rsidR="00805174" w:rsidRDefault="000A64A3">
      <w:pPr>
        <w:pStyle w:val="BodyText"/>
        <w:ind w:left="100" w:right="114"/>
        <w:jc w:val="both"/>
      </w:pPr>
      <w:r>
        <w:t>As indicated in our comments in response to the CY 2019 Policy and Technical Changes to the Medicare Advantage, Medicare Cost Plan, Medicare Fee-for-Service, the Medicare Prescription Drug Benefit Programs, and the PACE Program proposed rule, Anthem agrees</w:t>
      </w:r>
      <w:r>
        <w:t xml:space="preserve"> with CMS’ assertion that elimination of the meaningful difference requirement will improve competition, innovation, available benefit offerings, and provide beneficiaries with affordable plans that are tailored for their unique health care needs and finan</w:t>
      </w:r>
      <w:r>
        <w:t>cial situation. We look forward to CMS’ finalization of this policy for CY 2019 in the final rule, the Final Call Letter, or an HPMS memo, and remind CMS that we stand ready to work with the Agency as it</w:t>
      </w:r>
    </w:p>
    <w:p w:rsidR="00805174" w:rsidRDefault="000A64A3">
      <w:pPr>
        <w:pStyle w:val="ListParagraph"/>
        <w:numPr>
          <w:ilvl w:val="0"/>
          <w:numId w:val="7"/>
        </w:numPr>
        <w:tabs>
          <w:tab w:val="left" w:pos="350"/>
        </w:tabs>
        <w:spacing w:line="252" w:lineRule="exact"/>
        <w:ind w:firstLine="0"/>
        <w:jc w:val="both"/>
      </w:pPr>
      <w:r>
        <w:t xml:space="preserve">aims to improve MPF and 1-800-MEDICARE to help beneficiaries easily compare multiple plans </w:t>
      </w:r>
      <w:r>
        <w:rPr>
          <w:spacing w:val="41"/>
        </w:rPr>
        <w:t xml:space="preserve"> </w:t>
      </w:r>
      <w:r>
        <w:t>and</w:t>
      </w:r>
    </w:p>
    <w:p w:rsidR="00805174" w:rsidRDefault="000A64A3">
      <w:pPr>
        <w:pStyle w:val="ListParagraph"/>
        <w:numPr>
          <w:ilvl w:val="0"/>
          <w:numId w:val="7"/>
        </w:numPr>
        <w:tabs>
          <w:tab w:val="left" w:pos="345"/>
        </w:tabs>
        <w:spacing w:before="2"/>
        <w:ind w:right="118" w:firstLine="0"/>
        <w:jc w:val="both"/>
      </w:pPr>
      <w:r>
        <w:t>updates guidance and model materials for MAOs to use to provide valuable information to enrollees to evaluate and select the best plan for their</w:t>
      </w:r>
      <w:r>
        <w:rPr>
          <w:spacing w:val="-9"/>
        </w:rPr>
        <w:t xml:space="preserve"> </w:t>
      </w:r>
      <w:r>
        <w:t>needs.</w:t>
      </w:r>
    </w:p>
    <w:p w:rsidR="00805174" w:rsidRDefault="00805174">
      <w:pPr>
        <w:pStyle w:val="BodyText"/>
        <w:spacing w:before="1"/>
      </w:pPr>
    </w:p>
    <w:p w:rsidR="00805174" w:rsidRDefault="000A64A3">
      <w:pPr>
        <w:ind w:left="100"/>
        <w:jc w:val="both"/>
        <w:rPr>
          <w:i/>
        </w:rPr>
      </w:pPr>
      <w:r>
        <w:rPr>
          <w:i/>
        </w:rPr>
        <w:t>Total B</w:t>
      </w:r>
      <w:r>
        <w:rPr>
          <w:i/>
        </w:rPr>
        <w:t>eneficiary Cost (TBC)</w:t>
      </w:r>
    </w:p>
    <w:p w:rsidR="00805174" w:rsidRDefault="00805174">
      <w:pPr>
        <w:pStyle w:val="BodyText"/>
        <w:rPr>
          <w:i/>
        </w:rPr>
      </w:pPr>
    </w:p>
    <w:p w:rsidR="00805174" w:rsidRDefault="000A64A3">
      <w:pPr>
        <w:pStyle w:val="BodyText"/>
        <w:ind w:left="100" w:right="112"/>
        <w:jc w:val="both"/>
      </w:pPr>
      <w:r>
        <w:t>Anthem continues to oppose CMS’ methodology for calculating the TBC threshold for ESRD Chronic Condition SNPs (C-SNPs). ESRD payment rates have fluctuated substantially from year-to-year, forcing plans</w:t>
      </w:r>
      <w:r>
        <w:rPr>
          <w:spacing w:val="-11"/>
        </w:rPr>
        <w:t xml:space="preserve"> </w:t>
      </w:r>
      <w:r>
        <w:t>to</w:t>
      </w:r>
      <w:r>
        <w:rPr>
          <w:spacing w:val="-10"/>
        </w:rPr>
        <w:t xml:space="preserve"> </w:t>
      </w:r>
      <w:r>
        <w:t>make</w:t>
      </w:r>
      <w:r>
        <w:rPr>
          <w:spacing w:val="-9"/>
        </w:rPr>
        <w:t xml:space="preserve"> </w:t>
      </w:r>
      <w:r>
        <w:t>benefit</w:t>
      </w:r>
      <w:r>
        <w:rPr>
          <w:spacing w:val="-11"/>
        </w:rPr>
        <w:t xml:space="preserve"> </w:t>
      </w:r>
      <w:r>
        <w:t>additions</w:t>
      </w:r>
      <w:r>
        <w:rPr>
          <w:spacing w:val="-9"/>
        </w:rPr>
        <w:t xml:space="preserve"> </w:t>
      </w:r>
      <w:r>
        <w:t>in</w:t>
      </w:r>
      <w:r>
        <w:rPr>
          <w:spacing w:val="-12"/>
        </w:rPr>
        <w:t xml:space="preserve"> </w:t>
      </w:r>
      <w:r>
        <w:t>ce</w:t>
      </w:r>
      <w:r>
        <w:t>rtain</w:t>
      </w:r>
      <w:r>
        <w:rPr>
          <w:spacing w:val="-10"/>
        </w:rPr>
        <w:t xml:space="preserve"> </w:t>
      </w:r>
      <w:r>
        <w:t>years</w:t>
      </w:r>
      <w:r>
        <w:rPr>
          <w:spacing w:val="-9"/>
        </w:rPr>
        <w:t xml:space="preserve"> </w:t>
      </w:r>
      <w:r>
        <w:t>despite</w:t>
      </w:r>
      <w:r>
        <w:rPr>
          <w:spacing w:val="-12"/>
        </w:rPr>
        <w:t xml:space="preserve"> </w:t>
      </w:r>
      <w:r>
        <w:t>the</w:t>
      </w:r>
      <w:r>
        <w:rPr>
          <w:spacing w:val="-12"/>
        </w:rPr>
        <w:t xml:space="preserve"> </w:t>
      </w:r>
      <w:r>
        <w:t>fact</w:t>
      </w:r>
      <w:r>
        <w:rPr>
          <w:spacing w:val="-9"/>
        </w:rPr>
        <w:t xml:space="preserve"> </w:t>
      </w:r>
      <w:r>
        <w:t>that</w:t>
      </w:r>
      <w:r>
        <w:rPr>
          <w:spacing w:val="-8"/>
        </w:rPr>
        <w:t xml:space="preserve"> </w:t>
      </w:r>
      <w:r>
        <w:t>payment</w:t>
      </w:r>
      <w:r>
        <w:rPr>
          <w:spacing w:val="-8"/>
        </w:rPr>
        <w:t xml:space="preserve"> </w:t>
      </w:r>
      <w:r>
        <w:t>rates</w:t>
      </w:r>
      <w:r>
        <w:rPr>
          <w:spacing w:val="-9"/>
        </w:rPr>
        <w:t xml:space="preserve"> </w:t>
      </w:r>
      <w:r>
        <w:t>have</w:t>
      </w:r>
      <w:r>
        <w:rPr>
          <w:spacing w:val="-9"/>
        </w:rPr>
        <w:t xml:space="preserve"> </w:t>
      </w:r>
      <w:r>
        <w:t>remained</w:t>
      </w:r>
      <w:r>
        <w:rPr>
          <w:spacing w:val="-9"/>
        </w:rPr>
        <w:t xml:space="preserve"> </w:t>
      </w:r>
      <w:r>
        <w:t>fairly</w:t>
      </w:r>
      <w:r>
        <w:rPr>
          <w:spacing w:val="-12"/>
        </w:rPr>
        <w:t xml:space="preserve"> </w:t>
      </w:r>
      <w:r>
        <w:t>flat. In recent years, CMS has used the “rebasing” value for ESRD payment rates as the TBC threshold for ESRD. Anthem does not agree with this methodology as it is not consistent with tot</w:t>
      </w:r>
      <w:r>
        <w:t>al changes in payment each</w:t>
      </w:r>
      <w:r>
        <w:rPr>
          <w:spacing w:val="-1"/>
        </w:rPr>
        <w:t xml:space="preserve"> </w:t>
      </w:r>
      <w:r>
        <w:t>year.</w:t>
      </w:r>
    </w:p>
    <w:p w:rsidR="00805174" w:rsidRDefault="00805174">
      <w:pPr>
        <w:pStyle w:val="BodyText"/>
      </w:pPr>
    </w:p>
    <w:p w:rsidR="00805174" w:rsidRDefault="000A64A3">
      <w:pPr>
        <w:pStyle w:val="BodyText"/>
        <w:ind w:left="100" w:right="115"/>
        <w:jc w:val="both"/>
      </w:pPr>
      <w:r>
        <w:t xml:space="preserve">Anthem also remains concerned that the standard model used to value benefit changes is calibrated to a population that excludes ESRD members (the typical population for which plans submit MA bids), yet are applied to ESRD </w:t>
      </w:r>
      <w:r>
        <w:t>plans. If TBC rules are to be applied to ESRD plans, then the rules must reflect plans’ experience with the ESRD population.</w:t>
      </w:r>
    </w:p>
    <w:p w:rsidR="00805174" w:rsidRDefault="00805174">
      <w:pPr>
        <w:pStyle w:val="BodyText"/>
      </w:pPr>
    </w:p>
    <w:p w:rsidR="00805174" w:rsidRDefault="000A64A3">
      <w:pPr>
        <w:pStyle w:val="BodyText"/>
        <w:ind w:left="100" w:right="115"/>
        <w:jc w:val="both"/>
      </w:pPr>
      <w:r>
        <w:t>With this in mind, Anthem supports CMS’ consideration of eliminating of the current TBC evaluation in future years. In the CY 2019</w:t>
      </w:r>
      <w:r>
        <w:t xml:space="preserve"> Policy and Technical Changes to the Medicare Advantage, Medicare Cost Plan,</w:t>
      </w:r>
      <w:r>
        <w:rPr>
          <w:spacing w:val="-10"/>
        </w:rPr>
        <w:t xml:space="preserve"> </w:t>
      </w:r>
      <w:r>
        <w:t>Medicare</w:t>
      </w:r>
      <w:r>
        <w:rPr>
          <w:spacing w:val="-9"/>
        </w:rPr>
        <w:t xml:space="preserve"> </w:t>
      </w:r>
      <w:r>
        <w:t>Fee-for-Service,</w:t>
      </w:r>
      <w:r>
        <w:rPr>
          <w:spacing w:val="-10"/>
        </w:rPr>
        <w:t xml:space="preserve"> </w:t>
      </w:r>
      <w:r>
        <w:t>the</w:t>
      </w:r>
      <w:r>
        <w:rPr>
          <w:spacing w:val="-12"/>
        </w:rPr>
        <w:t xml:space="preserve"> </w:t>
      </w:r>
      <w:r>
        <w:t>Medicare</w:t>
      </w:r>
      <w:r>
        <w:rPr>
          <w:spacing w:val="-9"/>
        </w:rPr>
        <w:t xml:space="preserve"> </w:t>
      </w:r>
      <w:r>
        <w:t>Prescription</w:t>
      </w:r>
      <w:r>
        <w:rPr>
          <w:spacing w:val="-10"/>
        </w:rPr>
        <w:t xml:space="preserve"> </w:t>
      </w:r>
      <w:r>
        <w:t>Drug</w:t>
      </w:r>
      <w:r>
        <w:rPr>
          <w:spacing w:val="-12"/>
        </w:rPr>
        <w:t xml:space="preserve"> </w:t>
      </w:r>
      <w:r>
        <w:t>Benefit</w:t>
      </w:r>
      <w:r>
        <w:rPr>
          <w:spacing w:val="-9"/>
        </w:rPr>
        <w:t xml:space="preserve"> </w:t>
      </w:r>
      <w:r>
        <w:t>Programs,</w:t>
      </w:r>
      <w:r>
        <w:rPr>
          <w:spacing w:val="-9"/>
        </w:rPr>
        <w:t xml:space="preserve"> </w:t>
      </w:r>
      <w:r>
        <w:t>and</w:t>
      </w:r>
      <w:r>
        <w:rPr>
          <w:spacing w:val="-9"/>
        </w:rPr>
        <w:t xml:space="preserve"> </w:t>
      </w:r>
      <w:r>
        <w:t>the</w:t>
      </w:r>
      <w:r>
        <w:rPr>
          <w:spacing w:val="-9"/>
        </w:rPr>
        <w:t xml:space="preserve"> </w:t>
      </w:r>
      <w:r>
        <w:t>PACE</w:t>
      </w:r>
      <w:r>
        <w:rPr>
          <w:spacing w:val="-10"/>
        </w:rPr>
        <w:t xml:space="preserve"> </w:t>
      </w:r>
      <w:r>
        <w:t>Program proposed rule, CMS indicated that it was proposing to eliminate the meaningful diff</w:t>
      </w:r>
      <w:r>
        <w:t>erence requirement because doing so would “improve competition, innovation, available benefit offerings, and provide beneficiaries with affordable plans that are tailored for their unique health care needs and financial situation.” Anthem asserts that atta</w:t>
      </w:r>
      <w:r>
        <w:t>inment of these goals would be supported through elimination of the TBC</w:t>
      </w:r>
      <w:r>
        <w:rPr>
          <w:spacing w:val="-2"/>
        </w:rPr>
        <w:t xml:space="preserve"> </w:t>
      </w:r>
      <w:r>
        <w:t>evaluation.</w:t>
      </w:r>
    </w:p>
    <w:p w:rsidR="00805174" w:rsidRDefault="00805174">
      <w:pPr>
        <w:pStyle w:val="BodyText"/>
        <w:spacing w:before="9"/>
        <w:rPr>
          <w:sz w:val="21"/>
        </w:rPr>
      </w:pPr>
    </w:p>
    <w:p w:rsidR="00805174" w:rsidRDefault="000A64A3">
      <w:pPr>
        <w:pStyle w:val="BodyText"/>
        <w:ind w:left="100" w:right="113"/>
        <w:jc w:val="both"/>
      </w:pPr>
      <w:r>
        <w:t>Although</w:t>
      </w:r>
      <w:r>
        <w:rPr>
          <w:spacing w:val="-7"/>
        </w:rPr>
        <w:t xml:space="preserve"> </w:t>
      </w:r>
      <w:r>
        <w:t>the</w:t>
      </w:r>
      <w:r>
        <w:rPr>
          <w:spacing w:val="-9"/>
        </w:rPr>
        <w:t xml:space="preserve"> </w:t>
      </w:r>
      <w:r>
        <w:t>TBC</w:t>
      </w:r>
      <w:r>
        <w:rPr>
          <w:spacing w:val="-8"/>
        </w:rPr>
        <w:t xml:space="preserve"> </w:t>
      </w:r>
      <w:r>
        <w:t>test</w:t>
      </w:r>
      <w:r>
        <w:rPr>
          <w:spacing w:val="-4"/>
        </w:rPr>
        <w:t xml:space="preserve"> </w:t>
      </w:r>
      <w:r>
        <w:t>only</w:t>
      </w:r>
      <w:r>
        <w:rPr>
          <w:spacing w:val="-7"/>
        </w:rPr>
        <w:t xml:space="preserve"> </w:t>
      </w:r>
      <w:r>
        <w:t>compares</w:t>
      </w:r>
      <w:r>
        <w:rPr>
          <w:spacing w:val="-6"/>
        </w:rPr>
        <w:t xml:space="preserve"> </w:t>
      </w:r>
      <w:r>
        <w:t>a</w:t>
      </w:r>
      <w:r>
        <w:rPr>
          <w:spacing w:val="-5"/>
        </w:rPr>
        <w:t xml:space="preserve"> </w:t>
      </w:r>
      <w:r>
        <w:t>plan</w:t>
      </w:r>
      <w:r>
        <w:rPr>
          <w:spacing w:val="-7"/>
        </w:rPr>
        <w:t xml:space="preserve"> </w:t>
      </w:r>
      <w:r>
        <w:t>to</w:t>
      </w:r>
      <w:r>
        <w:rPr>
          <w:spacing w:val="-7"/>
        </w:rPr>
        <w:t xml:space="preserve"> </w:t>
      </w:r>
      <w:r>
        <w:t>itself</w:t>
      </w:r>
      <w:r>
        <w:rPr>
          <w:spacing w:val="-6"/>
        </w:rPr>
        <w:t xml:space="preserve"> </w:t>
      </w:r>
      <w:r>
        <w:t>year-over-year,</w:t>
      </w:r>
      <w:r>
        <w:rPr>
          <w:spacing w:val="-5"/>
        </w:rPr>
        <w:t xml:space="preserve"> </w:t>
      </w:r>
      <w:r>
        <w:t>there</w:t>
      </w:r>
      <w:r>
        <w:rPr>
          <w:spacing w:val="-4"/>
        </w:rPr>
        <w:t xml:space="preserve"> </w:t>
      </w:r>
      <w:r>
        <w:t>are</w:t>
      </w:r>
      <w:r>
        <w:rPr>
          <w:spacing w:val="-7"/>
        </w:rPr>
        <w:t xml:space="preserve"> </w:t>
      </w:r>
      <w:r>
        <w:t>benefit</w:t>
      </w:r>
      <w:r>
        <w:rPr>
          <w:spacing w:val="-4"/>
        </w:rPr>
        <w:t xml:space="preserve"> </w:t>
      </w:r>
      <w:r>
        <w:t>elements</w:t>
      </w:r>
      <w:r>
        <w:rPr>
          <w:spacing w:val="-5"/>
        </w:rPr>
        <w:t xml:space="preserve"> </w:t>
      </w:r>
      <w:r>
        <w:t>that</w:t>
      </w:r>
      <w:r>
        <w:rPr>
          <w:spacing w:val="-6"/>
        </w:rPr>
        <w:t xml:space="preserve"> </w:t>
      </w:r>
      <w:r>
        <w:t>are</w:t>
      </w:r>
      <w:r>
        <w:rPr>
          <w:spacing w:val="-7"/>
        </w:rPr>
        <w:t xml:space="preserve"> </w:t>
      </w:r>
      <w:r>
        <w:t>not captured by CMS’ current Out-of-Pocket Cost (OOPC) model. For example, a number of supplemental benefits</w:t>
      </w:r>
      <w:r>
        <w:rPr>
          <w:spacing w:val="-9"/>
        </w:rPr>
        <w:t xml:space="preserve"> </w:t>
      </w:r>
      <w:r>
        <w:t>that</w:t>
      </w:r>
      <w:r>
        <w:rPr>
          <w:spacing w:val="-11"/>
        </w:rPr>
        <w:t xml:space="preserve"> </w:t>
      </w:r>
      <w:r>
        <w:t>are</w:t>
      </w:r>
      <w:r>
        <w:rPr>
          <w:spacing w:val="-12"/>
        </w:rPr>
        <w:t xml:space="preserve"> </w:t>
      </w:r>
      <w:r>
        <w:t>important</w:t>
      </w:r>
      <w:r>
        <w:rPr>
          <w:spacing w:val="-9"/>
        </w:rPr>
        <w:t xml:space="preserve"> </w:t>
      </w:r>
      <w:r>
        <w:t>to</w:t>
      </w:r>
      <w:r>
        <w:rPr>
          <w:spacing w:val="-10"/>
        </w:rPr>
        <w:t xml:space="preserve"> </w:t>
      </w:r>
      <w:r>
        <w:t>beneficiaries,</w:t>
      </w:r>
      <w:r>
        <w:rPr>
          <w:spacing w:val="-10"/>
        </w:rPr>
        <w:t xml:space="preserve"> </w:t>
      </w:r>
      <w:r>
        <w:t>such</w:t>
      </w:r>
      <w:r>
        <w:rPr>
          <w:spacing w:val="-9"/>
        </w:rPr>
        <w:t xml:space="preserve"> </w:t>
      </w:r>
      <w:r>
        <w:t>as</w:t>
      </w:r>
      <w:r>
        <w:rPr>
          <w:spacing w:val="-7"/>
        </w:rPr>
        <w:t xml:space="preserve"> </w:t>
      </w:r>
      <w:r>
        <w:t>such</w:t>
      </w:r>
      <w:r>
        <w:rPr>
          <w:spacing w:val="-10"/>
        </w:rPr>
        <w:t xml:space="preserve"> </w:t>
      </w:r>
      <w:r>
        <w:t>as</w:t>
      </w:r>
      <w:r>
        <w:rPr>
          <w:spacing w:val="-9"/>
        </w:rPr>
        <w:t xml:space="preserve"> </w:t>
      </w:r>
      <w:r>
        <w:t>over-the-counter</w:t>
      </w:r>
      <w:r>
        <w:rPr>
          <w:spacing w:val="-8"/>
        </w:rPr>
        <w:t xml:space="preserve"> </w:t>
      </w:r>
      <w:r>
        <w:t>benefits,</w:t>
      </w:r>
      <w:r>
        <w:rPr>
          <w:spacing w:val="-9"/>
        </w:rPr>
        <w:t xml:space="preserve"> </w:t>
      </w:r>
      <w:r>
        <w:t>transportation,</w:t>
      </w:r>
      <w:r>
        <w:rPr>
          <w:spacing w:val="-10"/>
        </w:rPr>
        <w:t xml:space="preserve"> </w:t>
      </w:r>
      <w:r>
        <w:t>meals, etc., are not valued in the OOPC model but c</w:t>
      </w:r>
      <w:r>
        <w:t>an significantly impact the benefit richness of the plan. In addition,</w:t>
      </w:r>
      <w:r>
        <w:rPr>
          <w:spacing w:val="-8"/>
        </w:rPr>
        <w:t xml:space="preserve"> </w:t>
      </w:r>
      <w:r>
        <w:t>tiering</w:t>
      </w:r>
      <w:r>
        <w:rPr>
          <w:spacing w:val="-8"/>
        </w:rPr>
        <w:t xml:space="preserve"> </w:t>
      </w:r>
      <w:r>
        <w:t>of</w:t>
      </w:r>
      <w:r>
        <w:rPr>
          <w:spacing w:val="-5"/>
        </w:rPr>
        <w:t xml:space="preserve"> </w:t>
      </w:r>
      <w:r>
        <w:t>benefits</w:t>
      </w:r>
      <w:r>
        <w:rPr>
          <w:spacing w:val="-8"/>
        </w:rPr>
        <w:t xml:space="preserve"> </w:t>
      </w:r>
      <w:r>
        <w:t>and</w:t>
      </w:r>
      <w:r>
        <w:rPr>
          <w:spacing w:val="-5"/>
        </w:rPr>
        <w:t xml:space="preserve"> </w:t>
      </w:r>
      <w:r>
        <w:t>provider</w:t>
      </w:r>
      <w:r>
        <w:rPr>
          <w:spacing w:val="-5"/>
        </w:rPr>
        <w:t xml:space="preserve"> </w:t>
      </w:r>
      <w:r>
        <w:t>network</w:t>
      </w:r>
      <w:r>
        <w:rPr>
          <w:spacing w:val="-8"/>
        </w:rPr>
        <w:t xml:space="preserve"> </w:t>
      </w:r>
      <w:r>
        <w:t>changes</w:t>
      </w:r>
      <w:r>
        <w:rPr>
          <w:spacing w:val="-5"/>
        </w:rPr>
        <w:t xml:space="preserve"> </w:t>
      </w:r>
      <w:r>
        <w:t>impact</w:t>
      </w:r>
      <w:r>
        <w:rPr>
          <w:spacing w:val="-3"/>
        </w:rPr>
        <w:t xml:space="preserve"> </w:t>
      </w:r>
      <w:r>
        <w:t>beneficiaries’</w:t>
      </w:r>
      <w:r>
        <w:rPr>
          <w:spacing w:val="-7"/>
        </w:rPr>
        <w:t xml:space="preserve"> </w:t>
      </w:r>
      <w:r>
        <w:t>enrollment</w:t>
      </w:r>
      <w:r>
        <w:rPr>
          <w:spacing w:val="-5"/>
        </w:rPr>
        <w:t xml:space="preserve"> </w:t>
      </w:r>
      <w:r>
        <w:t>decisions—but these factors are not reflected in the current OOPC model. We also note that Part D OOPC changes are valued</w:t>
      </w:r>
      <w:r>
        <w:rPr>
          <w:spacing w:val="-8"/>
        </w:rPr>
        <w:t xml:space="preserve"> </w:t>
      </w:r>
      <w:r>
        <w:t>on</w:t>
      </w:r>
      <w:r>
        <w:rPr>
          <w:spacing w:val="-9"/>
        </w:rPr>
        <w:t xml:space="preserve"> </w:t>
      </w:r>
      <w:r>
        <w:t>an</w:t>
      </w:r>
      <w:r>
        <w:rPr>
          <w:spacing w:val="-11"/>
        </w:rPr>
        <w:t xml:space="preserve"> </w:t>
      </w:r>
      <w:r>
        <w:t>old</w:t>
      </w:r>
      <w:r>
        <w:rPr>
          <w:spacing w:val="-11"/>
        </w:rPr>
        <w:t xml:space="preserve"> </w:t>
      </w:r>
      <w:r>
        <w:t>set</w:t>
      </w:r>
      <w:r>
        <w:rPr>
          <w:spacing w:val="-8"/>
        </w:rPr>
        <w:t xml:space="preserve"> </w:t>
      </w:r>
      <w:r>
        <w:t>of</w:t>
      </w:r>
      <w:r>
        <w:rPr>
          <w:spacing w:val="-8"/>
        </w:rPr>
        <w:t xml:space="preserve"> </w:t>
      </w:r>
      <w:r>
        <w:t>drug</w:t>
      </w:r>
      <w:r>
        <w:rPr>
          <w:spacing w:val="-11"/>
        </w:rPr>
        <w:t xml:space="preserve"> </w:t>
      </w:r>
      <w:r>
        <w:t>utilization,</w:t>
      </w:r>
      <w:r>
        <w:rPr>
          <w:spacing w:val="-11"/>
        </w:rPr>
        <w:t xml:space="preserve"> </w:t>
      </w:r>
      <w:r>
        <w:t>and</w:t>
      </w:r>
      <w:r>
        <w:rPr>
          <w:spacing w:val="-8"/>
        </w:rPr>
        <w:t xml:space="preserve"> </w:t>
      </w:r>
      <w:r>
        <w:t>new</w:t>
      </w:r>
      <w:r>
        <w:rPr>
          <w:spacing w:val="-9"/>
        </w:rPr>
        <w:t xml:space="preserve"> </w:t>
      </w:r>
      <w:r>
        <w:t>drugs</w:t>
      </w:r>
      <w:r>
        <w:rPr>
          <w:spacing w:val="-10"/>
        </w:rPr>
        <w:t xml:space="preserve"> </w:t>
      </w:r>
      <w:r>
        <w:t>are</w:t>
      </w:r>
      <w:r>
        <w:rPr>
          <w:spacing w:val="-8"/>
        </w:rPr>
        <w:t xml:space="preserve"> </w:t>
      </w:r>
      <w:r>
        <w:t>not</w:t>
      </w:r>
      <w:r>
        <w:rPr>
          <w:spacing w:val="-10"/>
        </w:rPr>
        <w:t xml:space="preserve"> </w:t>
      </w:r>
      <w:r>
        <w:t>taken</w:t>
      </w:r>
      <w:r>
        <w:rPr>
          <w:spacing w:val="-8"/>
        </w:rPr>
        <w:t xml:space="preserve"> </w:t>
      </w:r>
      <w:r>
        <w:t>into</w:t>
      </w:r>
      <w:r>
        <w:rPr>
          <w:spacing w:val="-9"/>
        </w:rPr>
        <w:t xml:space="preserve"> </w:t>
      </w:r>
      <w:r>
        <w:t>account</w:t>
      </w:r>
      <w:r>
        <w:rPr>
          <w:spacing w:val="-8"/>
        </w:rPr>
        <w:t xml:space="preserve"> </w:t>
      </w:r>
      <w:r>
        <w:t>when</w:t>
      </w:r>
      <w:r>
        <w:rPr>
          <w:spacing w:val="-8"/>
        </w:rPr>
        <w:t xml:space="preserve"> </w:t>
      </w:r>
      <w:r>
        <w:t>conducting</w:t>
      </w:r>
      <w:r>
        <w:rPr>
          <w:spacing w:val="-11"/>
        </w:rPr>
        <w:t xml:space="preserve"> </w:t>
      </w:r>
      <w:r>
        <w:t>the</w:t>
      </w:r>
      <w:r>
        <w:rPr>
          <w:spacing w:val="-11"/>
        </w:rPr>
        <w:t xml:space="preserve"> </w:t>
      </w:r>
      <w:r>
        <w:t>TBC test.</w:t>
      </w:r>
    </w:p>
    <w:p w:rsidR="00805174" w:rsidRDefault="00805174">
      <w:pPr>
        <w:pStyle w:val="BodyText"/>
      </w:pPr>
    </w:p>
    <w:p w:rsidR="00805174" w:rsidRDefault="000A64A3">
      <w:pPr>
        <w:pStyle w:val="BodyText"/>
        <w:ind w:left="100" w:right="113"/>
        <w:jc w:val="both"/>
      </w:pPr>
      <w:r>
        <w:t>For</w:t>
      </w:r>
      <w:r>
        <w:rPr>
          <w:spacing w:val="-13"/>
        </w:rPr>
        <w:t xml:space="preserve"> </w:t>
      </w:r>
      <w:r>
        <w:t>these</w:t>
      </w:r>
      <w:r>
        <w:rPr>
          <w:spacing w:val="-15"/>
        </w:rPr>
        <w:t xml:space="preserve"> </w:t>
      </w:r>
      <w:r>
        <w:t>reasons,</w:t>
      </w:r>
      <w:r>
        <w:rPr>
          <w:spacing w:val="-13"/>
        </w:rPr>
        <w:t xml:space="preserve"> </w:t>
      </w:r>
      <w:r>
        <w:t>Anthem</w:t>
      </w:r>
      <w:r>
        <w:rPr>
          <w:spacing w:val="-16"/>
        </w:rPr>
        <w:t xml:space="preserve"> </w:t>
      </w:r>
      <w:r>
        <w:t>u</w:t>
      </w:r>
      <w:r>
        <w:t>rges</w:t>
      </w:r>
      <w:r>
        <w:rPr>
          <w:spacing w:val="-13"/>
        </w:rPr>
        <w:t xml:space="preserve"> </w:t>
      </w:r>
      <w:r>
        <w:t>CMS</w:t>
      </w:r>
      <w:r>
        <w:rPr>
          <w:spacing w:val="-13"/>
        </w:rPr>
        <w:t xml:space="preserve"> </w:t>
      </w:r>
      <w:r>
        <w:t>to</w:t>
      </w:r>
      <w:r>
        <w:rPr>
          <w:spacing w:val="-13"/>
        </w:rPr>
        <w:t xml:space="preserve"> </w:t>
      </w:r>
      <w:r>
        <w:t>discontinue</w:t>
      </w:r>
      <w:r>
        <w:rPr>
          <w:spacing w:val="-15"/>
        </w:rPr>
        <w:t xml:space="preserve"> </w:t>
      </w:r>
      <w:r>
        <w:t>its</w:t>
      </w:r>
      <w:r>
        <w:rPr>
          <w:spacing w:val="-13"/>
        </w:rPr>
        <w:t xml:space="preserve"> </w:t>
      </w:r>
      <w:r>
        <w:t>TBC</w:t>
      </w:r>
      <w:r>
        <w:rPr>
          <w:spacing w:val="-14"/>
        </w:rPr>
        <w:t xml:space="preserve"> </w:t>
      </w:r>
      <w:r>
        <w:t>evaluations</w:t>
      </w:r>
      <w:r>
        <w:rPr>
          <w:spacing w:val="-13"/>
        </w:rPr>
        <w:t xml:space="preserve"> </w:t>
      </w:r>
      <w:r>
        <w:t>based</w:t>
      </w:r>
      <w:r>
        <w:rPr>
          <w:spacing w:val="-15"/>
        </w:rPr>
        <w:t xml:space="preserve"> </w:t>
      </w:r>
      <w:r>
        <w:t>on</w:t>
      </w:r>
      <w:r>
        <w:rPr>
          <w:spacing w:val="-16"/>
        </w:rPr>
        <w:t xml:space="preserve"> </w:t>
      </w:r>
      <w:r>
        <w:t>the</w:t>
      </w:r>
      <w:r>
        <w:rPr>
          <w:spacing w:val="-13"/>
        </w:rPr>
        <w:t xml:space="preserve"> </w:t>
      </w:r>
      <w:r>
        <w:t>OOPC</w:t>
      </w:r>
      <w:r>
        <w:rPr>
          <w:spacing w:val="-15"/>
        </w:rPr>
        <w:t xml:space="preserve"> </w:t>
      </w:r>
      <w:r>
        <w:t>model.</w:t>
      </w:r>
      <w:r>
        <w:rPr>
          <w:spacing w:val="-13"/>
        </w:rPr>
        <w:t xml:space="preserve"> </w:t>
      </w:r>
      <w:r>
        <w:t xml:space="preserve">While we are supportive of evaluations that control for drastic annual benefit changes, we do not support an arbitrary limit that does not effectively account for the innovative benefits </w:t>
      </w:r>
      <w:r>
        <w:t>MA plans provide to their members. As CMS’ work on eliminating the TBC test continues, Anthem encourages CMS to</w:t>
      </w:r>
      <w:r>
        <w:rPr>
          <w:spacing w:val="26"/>
        </w:rPr>
        <w:t xml:space="preserve"> </w:t>
      </w:r>
      <w:r>
        <w:t>collaborate</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113"/>
        <w:jc w:val="both"/>
      </w:pPr>
      <w:r>
        <w:lastRenderedPageBreak/>
        <w:t>closely with the plan community to ensure that any alternate approach for determining whether plan bids propose too significant an increase in cost sharing or decrease in benefits from one plan year to the next is sound and enables truly meaningful assessm</w:t>
      </w:r>
      <w:r>
        <w:t>ents by beneficiaries. Anthem stands ready to partner with CMS on this work.</w:t>
      </w:r>
    </w:p>
    <w:p w:rsidR="00805174" w:rsidRDefault="00805174">
      <w:pPr>
        <w:pStyle w:val="BodyText"/>
      </w:pPr>
    </w:p>
    <w:p w:rsidR="00805174" w:rsidRDefault="000A64A3">
      <w:pPr>
        <w:ind w:left="100"/>
        <w:jc w:val="both"/>
        <w:rPr>
          <w:i/>
        </w:rPr>
      </w:pPr>
      <w:r>
        <w:rPr>
          <w:i/>
        </w:rPr>
        <w:t>Part C Cost-Sharing Standards</w:t>
      </w:r>
    </w:p>
    <w:p w:rsidR="00805174" w:rsidRDefault="00805174">
      <w:pPr>
        <w:pStyle w:val="BodyText"/>
        <w:spacing w:before="11"/>
        <w:rPr>
          <w:i/>
          <w:sz w:val="21"/>
        </w:rPr>
      </w:pPr>
    </w:p>
    <w:p w:rsidR="00805174" w:rsidRDefault="000A64A3">
      <w:pPr>
        <w:pStyle w:val="BodyText"/>
        <w:ind w:left="100" w:right="116"/>
        <w:jc w:val="both"/>
      </w:pPr>
      <w:r>
        <w:t>Anthem supports CMS’ proposal to increase both the voluntary and mandatory thresholds for the Emergency Care/Post Stabilization Care limit for plans for CY 2019. We agree that this will better align cost</w:t>
      </w:r>
      <w:r>
        <w:rPr>
          <w:spacing w:val="-4"/>
        </w:rPr>
        <w:t xml:space="preserve"> </w:t>
      </w:r>
      <w:r>
        <w:t>sharing</w:t>
      </w:r>
      <w:r>
        <w:rPr>
          <w:spacing w:val="-5"/>
        </w:rPr>
        <w:t xml:space="preserve"> </w:t>
      </w:r>
      <w:r>
        <w:t>with</w:t>
      </w:r>
      <w:r>
        <w:rPr>
          <w:spacing w:val="-2"/>
        </w:rPr>
        <w:t xml:space="preserve"> </w:t>
      </w:r>
      <w:r>
        <w:t>actual</w:t>
      </w:r>
      <w:r>
        <w:rPr>
          <w:spacing w:val="-4"/>
        </w:rPr>
        <w:t xml:space="preserve"> </w:t>
      </w:r>
      <w:r>
        <w:t>costs</w:t>
      </w:r>
      <w:r>
        <w:rPr>
          <w:spacing w:val="-2"/>
        </w:rPr>
        <w:t xml:space="preserve"> </w:t>
      </w:r>
      <w:r>
        <w:t>and create</w:t>
      </w:r>
      <w:r>
        <w:rPr>
          <w:spacing w:val="-4"/>
        </w:rPr>
        <w:t xml:space="preserve"> </w:t>
      </w:r>
      <w:r>
        <w:t>an</w:t>
      </w:r>
      <w:r>
        <w:rPr>
          <w:spacing w:val="-4"/>
        </w:rPr>
        <w:t xml:space="preserve"> </w:t>
      </w:r>
      <w:r>
        <w:t>incentive</w:t>
      </w:r>
      <w:r>
        <w:rPr>
          <w:spacing w:val="-2"/>
        </w:rPr>
        <w:t xml:space="preserve"> </w:t>
      </w:r>
      <w:r>
        <w:t>to</w:t>
      </w:r>
      <w:r>
        <w:rPr>
          <w:spacing w:val="-5"/>
        </w:rPr>
        <w:t xml:space="preserve"> </w:t>
      </w:r>
      <w:r>
        <w:t>use</w:t>
      </w:r>
      <w:r>
        <w:rPr>
          <w:spacing w:val="-2"/>
        </w:rPr>
        <w:t xml:space="preserve"> </w:t>
      </w:r>
      <w:r>
        <w:t>primary</w:t>
      </w:r>
      <w:r>
        <w:rPr>
          <w:spacing w:val="-5"/>
        </w:rPr>
        <w:t xml:space="preserve"> </w:t>
      </w:r>
      <w:r>
        <w:t>and</w:t>
      </w:r>
      <w:r>
        <w:rPr>
          <w:spacing w:val="-2"/>
        </w:rPr>
        <w:t xml:space="preserve"> </w:t>
      </w:r>
      <w:r>
        <w:t>specialty</w:t>
      </w:r>
      <w:r>
        <w:rPr>
          <w:spacing w:val="-5"/>
        </w:rPr>
        <w:t xml:space="preserve"> </w:t>
      </w:r>
      <w:r>
        <w:t>care</w:t>
      </w:r>
      <w:r>
        <w:rPr>
          <w:spacing w:val="-4"/>
        </w:rPr>
        <w:t xml:space="preserve"> </w:t>
      </w:r>
      <w:r>
        <w:t>services</w:t>
      </w:r>
      <w:r>
        <w:rPr>
          <w:spacing w:val="-4"/>
        </w:rPr>
        <w:t xml:space="preserve"> </w:t>
      </w:r>
      <w:r>
        <w:t>for</w:t>
      </w:r>
      <w:r>
        <w:rPr>
          <w:spacing w:val="-2"/>
        </w:rPr>
        <w:t xml:space="preserve"> </w:t>
      </w:r>
      <w:r>
        <w:t>routine care and avoid using the emergency room for non-emergent routine</w:t>
      </w:r>
      <w:r>
        <w:rPr>
          <w:spacing w:val="-16"/>
        </w:rPr>
        <w:t xml:space="preserve"> </w:t>
      </w:r>
      <w:r>
        <w:t>services.</w:t>
      </w:r>
    </w:p>
    <w:p w:rsidR="00805174" w:rsidRDefault="000A64A3">
      <w:pPr>
        <w:pStyle w:val="BodyText"/>
        <w:ind w:left="100" w:right="113"/>
        <w:jc w:val="both"/>
      </w:pPr>
      <w:r>
        <w:t>For</w:t>
      </w:r>
      <w:r>
        <w:rPr>
          <w:spacing w:val="-3"/>
        </w:rPr>
        <w:t xml:space="preserve"> </w:t>
      </w:r>
      <w:r>
        <w:t>CY</w:t>
      </w:r>
      <w:r>
        <w:rPr>
          <w:spacing w:val="-5"/>
        </w:rPr>
        <w:t xml:space="preserve"> </w:t>
      </w:r>
      <w:r>
        <w:t>2020,</w:t>
      </w:r>
      <w:r>
        <w:rPr>
          <w:spacing w:val="-4"/>
        </w:rPr>
        <w:t xml:space="preserve"> </w:t>
      </w:r>
      <w:r>
        <w:t>CMS</w:t>
      </w:r>
      <w:r>
        <w:rPr>
          <w:spacing w:val="-3"/>
        </w:rPr>
        <w:t xml:space="preserve"> </w:t>
      </w:r>
      <w:r>
        <w:t>is</w:t>
      </w:r>
      <w:r>
        <w:rPr>
          <w:spacing w:val="-3"/>
        </w:rPr>
        <w:t xml:space="preserve"> </w:t>
      </w:r>
      <w:r>
        <w:t>considering</w:t>
      </w:r>
      <w:r>
        <w:rPr>
          <w:spacing w:val="-6"/>
        </w:rPr>
        <w:t xml:space="preserve"> </w:t>
      </w:r>
      <w:r>
        <w:t>changes</w:t>
      </w:r>
      <w:r>
        <w:rPr>
          <w:spacing w:val="-3"/>
        </w:rPr>
        <w:t xml:space="preserve"> </w:t>
      </w:r>
      <w:r>
        <w:t>to</w:t>
      </w:r>
      <w:r>
        <w:rPr>
          <w:spacing w:val="-4"/>
        </w:rPr>
        <w:t xml:space="preserve"> </w:t>
      </w:r>
      <w:r>
        <w:t>its</w:t>
      </w:r>
      <w:r>
        <w:rPr>
          <w:spacing w:val="-3"/>
        </w:rPr>
        <w:t xml:space="preserve"> </w:t>
      </w:r>
      <w:r>
        <w:t>policies</w:t>
      </w:r>
      <w:r>
        <w:rPr>
          <w:spacing w:val="-1"/>
        </w:rPr>
        <w:t xml:space="preserve"> </w:t>
      </w:r>
      <w:r>
        <w:t>related</w:t>
      </w:r>
      <w:r>
        <w:rPr>
          <w:spacing w:val="-3"/>
        </w:rPr>
        <w:t xml:space="preserve"> </w:t>
      </w:r>
      <w:r>
        <w:t>to</w:t>
      </w:r>
      <w:r>
        <w:rPr>
          <w:spacing w:val="-4"/>
        </w:rPr>
        <w:t xml:space="preserve"> </w:t>
      </w:r>
      <w:r>
        <w:t>service</w:t>
      </w:r>
      <w:r>
        <w:rPr>
          <w:spacing w:val="-3"/>
        </w:rPr>
        <w:t xml:space="preserve"> </w:t>
      </w:r>
      <w:r>
        <w:t>category</w:t>
      </w:r>
      <w:r>
        <w:rPr>
          <w:spacing w:val="-6"/>
        </w:rPr>
        <w:t xml:space="preserve"> </w:t>
      </w:r>
      <w:r>
        <w:t>cost-sharing</w:t>
      </w:r>
      <w:r>
        <w:rPr>
          <w:spacing w:val="-6"/>
        </w:rPr>
        <w:t xml:space="preserve"> </w:t>
      </w:r>
      <w:r>
        <w:t>limits,</w:t>
      </w:r>
      <w:r>
        <w:rPr>
          <w:spacing w:val="-3"/>
        </w:rPr>
        <w:t xml:space="preserve"> </w:t>
      </w:r>
      <w:r>
        <w:t>an initiative Anthem st</w:t>
      </w:r>
      <w:r>
        <w:t>rongly supports because CMS’ current interpretation of the cost-sharing limits may impact plans’ ability to offer more flexible benefit designs that would provide beneficiaries with valuable plan options. For example, we note that CMS is not permitting cos</w:t>
      </w:r>
      <w:r>
        <w:t>t sharing for the first 20 days of the Skilled Nursing Facility (SNF) benefit for CY 2019, but may apply cost sharing for days 21 through 100. Moving</w:t>
      </w:r>
      <w:r>
        <w:rPr>
          <w:spacing w:val="-6"/>
        </w:rPr>
        <w:t xml:space="preserve"> </w:t>
      </w:r>
      <w:r>
        <w:t>forward,</w:t>
      </w:r>
      <w:r>
        <w:rPr>
          <w:spacing w:val="-4"/>
        </w:rPr>
        <w:t xml:space="preserve"> </w:t>
      </w:r>
      <w:r>
        <w:t>CMS</w:t>
      </w:r>
      <w:r>
        <w:rPr>
          <w:spacing w:val="-6"/>
        </w:rPr>
        <w:t xml:space="preserve"> </w:t>
      </w:r>
      <w:r>
        <w:t>should</w:t>
      </w:r>
      <w:r>
        <w:rPr>
          <w:spacing w:val="-4"/>
        </w:rPr>
        <w:t xml:space="preserve"> </w:t>
      </w:r>
      <w:r>
        <w:t>allow</w:t>
      </w:r>
      <w:r>
        <w:rPr>
          <w:spacing w:val="-5"/>
        </w:rPr>
        <w:t xml:space="preserve"> </w:t>
      </w:r>
      <w:r>
        <w:t>plans</w:t>
      </w:r>
      <w:r>
        <w:rPr>
          <w:spacing w:val="-5"/>
        </w:rPr>
        <w:t xml:space="preserve"> </w:t>
      </w:r>
      <w:r>
        <w:t>flexibility</w:t>
      </w:r>
      <w:r>
        <w:rPr>
          <w:spacing w:val="-6"/>
        </w:rPr>
        <w:t xml:space="preserve"> </w:t>
      </w:r>
      <w:r>
        <w:t>in</w:t>
      </w:r>
      <w:r>
        <w:rPr>
          <w:spacing w:val="-4"/>
        </w:rPr>
        <w:t xml:space="preserve"> </w:t>
      </w:r>
      <w:r>
        <w:t>applying</w:t>
      </w:r>
      <w:r>
        <w:rPr>
          <w:spacing w:val="-6"/>
        </w:rPr>
        <w:t xml:space="preserve"> </w:t>
      </w:r>
      <w:r>
        <w:t>cost</w:t>
      </w:r>
      <w:r>
        <w:rPr>
          <w:spacing w:val="-5"/>
        </w:rPr>
        <w:t xml:space="preserve"> </w:t>
      </w:r>
      <w:r>
        <w:t>sharing</w:t>
      </w:r>
      <w:r>
        <w:rPr>
          <w:spacing w:val="-6"/>
        </w:rPr>
        <w:t xml:space="preserve"> </w:t>
      </w:r>
      <w:r>
        <w:t>to</w:t>
      </w:r>
      <w:r>
        <w:rPr>
          <w:spacing w:val="-6"/>
        </w:rPr>
        <w:t xml:space="preserve"> </w:t>
      </w:r>
      <w:r>
        <w:t>support</w:t>
      </w:r>
      <w:r>
        <w:rPr>
          <w:spacing w:val="-3"/>
        </w:rPr>
        <w:t xml:space="preserve"> </w:t>
      </w:r>
      <w:r>
        <w:t>the</w:t>
      </w:r>
      <w:r>
        <w:rPr>
          <w:spacing w:val="-3"/>
        </w:rPr>
        <w:t xml:space="preserve"> </w:t>
      </w:r>
      <w:r>
        <w:t>quality</w:t>
      </w:r>
      <w:r>
        <w:rPr>
          <w:spacing w:val="-6"/>
        </w:rPr>
        <w:t xml:space="preserve"> </w:t>
      </w:r>
      <w:r>
        <w:t>of</w:t>
      </w:r>
      <w:r>
        <w:rPr>
          <w:spacing w:val="-5"/>
        </w:rPr>
        <w:t xml:space="preserve"> </w:t>
      </w:r>
      <w:r>
        <w:t>care provided to their members, while meeting actuarial equivalence standards necessary to align with</w:t>
      </w:r>
      <w:r>
        <w:rPr>
          <w:spacing w:val="-27"/>
        </w:rPr>
        <w:t xml:space="preserve"> </w:t>
      </w:r>
      <w:r>
        <w:t>FFS.</w:t>
      </w:r>
    </w:p>
    <w:p w:rsidR="00805174" w:rsidRDefault="00805174">
      <w:pPr>
        <w:pStyle w:val="BodyText"/>
        <w:spacing w:before="1"/>
      </w:pPr>
    </w:p>
    <w:p w:rsidR="00805174" w:rsidRDefault="000A64A3">
      <w:pPr>
        <w:ind w:left="100"/>
        <w:jc w:val="both"/>
        <w:rPr>
          <w:i/>
        </w:rPr>
      </w:pPr>
      <w:r>
        <w:rPr>
          <w:i/>
        </w:rPr>
        <w:t>Tiered Cost Sharing of Medical Benefits</w:t>
      </w:r>
    </w:p>
    <w:p w:rsidR="00805174" w:rsidRDefault="00805174">
      <w:pPr>
        <w:pStyle w:val="BodyText"/>
        <w:spacing w:before="11"/>
        <w:rPr>
          <w:i/>
          <w:sz w:val="21"/>
        </w:rPr>
      </w:pPr>
    </w:p>
    <w:p w:rsidR="00805174" w:rsidRDefault="000A64A3">
      <w:pPr>
        <w:pStyle w:val="BodyText"/>
        <w:ind w:left="100" w:right="114"/>
        <w:jc w:val="both"/>
      </w:pPr>
      <w:r>
        <w:t>For</w:t>
      </w:r>
      <w:r>
        <w:rPr>
          <w:spacing w:val="-8"/>
        </w:rPr>
        <w:t xml:space="preserve"> </w:t>
      </w:r>
      <w:r>
        <w:t>CY</w:t>
      </w:r>
      <w:r>
        <w:rPr>
          <w:spacing w:val="-10"/>
        </w:rPr>
        <w:t xml:space="preserve"> </w:t>
      </w:r>
      <w:r>
        <w:t>2019,</w:t>
      </w:r>
      <w:r>
        <w:rPr>
          <w:spacing w:val="-9"/>
        </w:rPr>
        <w:t xml:space="preserve"> </w:t>
      </w:r>
      <w:r>
        <w:t>CMS</w:t>
      </w:r>
      <w:r>
        <w:rPr>
          <w:spacing w:val="-11"/>
        </w:rPr>
        <w:t xml:space="preserve"> </w:t>
      </w:r>
      <w:r>
        <w:t>will</w:t>
      </w:r>
      <w:r>
        <w:rPr>
          <w:spacing w:val="-10"/>
        </w:rPr>
        <w:t xml:space="preserve"> </w:t>
      </w:r>
      <w:r>
        <w:t>not</w:t>
      </w:r>
      <w:r>
        <w:rPr>
          <w:spacing w:val="-10"/>
        </w:rPr>
        <w:t xml:space="preserve"> </w:t>
      </w:r>
      <w:r>
        <w:t>expect</w:t>
      </w:r>
      <w:r>
        <w:rPr>
          <w:spacing w:val="-10"/>
        </w:rPr>
        <w:t xml:space="preserve"> </w:t>
      </w:r>
      <w:r>
        <w:t>MAOs</w:t>
      </w:r>
      <w:r>
        <w:rPr>
          <w:spacing w:val="-10"/>
        </w:rPr>
        <w:t xml:space="preserve"> </w:t>
      </w:r>
      <w:r>
        <w:t>to</w:t>
      </w:r>
      <w:r>
        <w:rPr>
          <w:spacing w:val="-9"/>
        </w:rPr>
        <w:t xml:space="preserve"> </w:t>
      </w:r>
      <w:r>
        <w:t>submit</w:t>
      </w:r>
      <w:r>
        <w:rPr>
          <w:spacing w:val="-8"/>
        </w:rPr>
        <w:t xml:space="preserve"> </w:t>
      </w:r>
      <w:r>
        <w:t>a</w:t>
      </w:r>
      <w:r>
        <w:rPr>
          <w:spacing w:val="-11"/>
        </w:rPr>
        <w:t xml:space="preserve"> </w:t>
      </w:r>
      <w:r>
        <w:t>proposal</w:t>
      </w:r>
      <w:r>
        <w:rPr>
          <w:spacing w:val="-10"/>
        </w:rPr>
        <w:t xml:space="preserve"> </w:t>
      </w:r>
      <w:r>
        <w:t>summarizing</w:t>
      </w:r>
      <w:r>
        <w:rPr>
          <w:spacing w:val="-11"/>
        </w:rPr>
        <w:t xml:space="preserve"> </w:t>
      </w:r>
      <w:r>
        <w:t>their</w:t>
      </w:r>
      <w:r>
        <w:rPr>
          <w:spacing w:val="-10"/>
        </w:rPr>
        <w:t xml:space="preserve"> </w:t>
      </w:r>
      <w:r>
        <w:t>intent</w:t>
      </w:r>
      <w:r>
        <w:rPr>
          <w:spacing w:val="-10"/>
        </w:rPr>
        <w:t xml:space="preserve"> </w:t>
      </w:r>
      <w:r>
        <w:t>to</w:t>
      </w:r>
      <w:r>
        <w:rPr>
          <w:spacing w:val="-11"/>
        </w:rPr>
        <w:t xml:space="preserve"> </w:t>
      </w:r>
      <w:r>
        <w:t>tier</w:t>
      </w:r>
      <w:r>
        <w:rPr>
          <w:spacing w:val="-10"/>
        </w:rPr>
        <w:t xml:space="preserve"> </w:t>
      </w:r>
      <w:r>
        <w:t>cost</w:t>
      </w:r>
      <w:r>
        <w:rPr>
          <w:spacing w:val="-8"/>
        </w:rPr>
        <w:t xml:space="preserve"> </w:t>
      </w:r>
      <w:r>
        <w:t>sharing of</w:t>
      </w:r>
      <w:r>
        <w:t xml:space="preserve"> medical benefits prior to bid submission. Anthem supports elimination of the proposal summary, but asks</w:t>
      </w:r>
      <w:r>
        <w:rPr>
          <w:spacing w:val="-6"/>
        </w:rPr>
        <w:t xml:space="preserve"> </w:t>
      </w:r>
      <w:r>
        <w:t>CMS</w:t>
      </w:r>
      <w:r>
        <w:rPr>
          <w:spacing w:val="-6"/>
        </w:rPr>
        <w:t xml:space="preserve"> </w:t>
      </w:r>
      <w:r>
        <w:t>to</w:t>
      </w:r>
      <w:r>
        <w:rPr>
          <w:spacing w:val="-6"/>
        </w:rPr>
        <w:t xml:space="preserve"> </w:t>
      </w:r>
      <w:r>
        <w:t>clarify</w:t>
      </w:r>
      <w:r>
        <w:rPr>
          <w:spacing w:val="-9"/>
        </w:rPr>
        <w:t xml:space="preserve"> </w:t>
      </w:r>
      <w:r>
        <w:t>whether</w:t>
      </w:r>
      <w:r>
        <w:rPr>
          <w:spacing w:val="-4"/>
        </w:rPr>
        <w:t xml:space="preserve"> </w:t>
      </w:r>
      <w:r>
        <w:t>plans’</w:t>
      </w:r>
      <w:r>
        <w:rPr>
          <w:spacing w:val="-7"/>
        </w:rPr>
        <w:t xml:space="preserve"> </w:t>
      </w:r>
      <w:r>
        <w:t>intentions</w:t>
      </w:r>
      <w:r>
        <w:rPr>
          <w:spacing w:val="-7"/>
        </w:rPr>
        <w:t xml:space="preserve"> </w:t>
      </w:r>
      <w:r>
        <w:t>to</w:t>
      </w:r>
      <w:r>
        <w:rPr>
          <w:spacing w:val="-6"/>
        </w:rPr>
        <w:t xml:space="preserve"> </w:t>
      </w:r>
      <w:r>
        <w:t>tier</w:t>
      </w:r>
      <w:r>
        <w:rPr>
          <w:spacing w:val="-5"/>
        </w:rPr>
        <w:t xml:space="preserve"> </w:t>
      </w:r>
      <w:r>
        <w:t>cost</w:t>
      </w:r>
      <w:r>
        <w:rPr>
          <w:spacing w:val="-5"/>
        </w:rPr>
        <w:t xml:space="preserve"> </w:t>
      </w:r>
      <w:r>
        <w:t>sharing</w:t>
      </w:r>
      <w:r>
        <w:rPr>
          <w:spacing w:val="-9"/>
        </w:rPr>
        <w:t xml:space="preserve"> </w:t>
      </w:r>
      <w:r>
        <w:t>would</w:t>
      </w:r>
      <w:r>
        <w:rPr>
          <w:spacing w:val="-6"/>
        </w:rPr>
        <w:t xml:space="preserve"> </w:t>
      </w:r>
      <w:r>
        <w:t>come</w:t>
      </w:r>
      <w:r>
        <w:rPr>
          <w:spacing w:val="-6"/>
        </w:rPr>
        <w:t xml:space="preserve"> </w:t>
      </w:r>
      <w:r>
        <w:t>up</w:t>
      </w:r>
      <w:r>
        <w:rPr>
          <w:spacing w:val="-6"/>
        </w:rPr>
        <w:t xml:space="preserve"> </w:t>
      </w:r>
      <w:r>
        <w:t>as</w:t>
      </w:r>
      <w:r>
        <w:rPr>
          <w:spacing w:val="-5"/>
        </w:rPr>
        <w:t xml:space="preserve"> </w:t>
      </w:r>
      <w:r>
        <w:t>part</w:t>
      </w:r>
      <w:r>
        <w:rPr>
          <w:spacing w:val="-3"/>
        </w:rPr>
        <w:t xml:space="preserve"> </w:t>
      </w:r>
      <w:r>
        <w:t>of</w:t>
      </w:r>
      <w:r>
        <w:rPr>
          <w:spacing w:val="-5"/>
        </w:rPr>
        <w:t xml:space="preserve"> </w:t>
      </w:r>
      <w:r>
        <w:t>the</w:t>
      </w:r>
      <w:r>
        <w:rPr>
          <w:spacing w:val="-6"/>
        </w:rPr>
        <w:t xml:space="preserve"> </w:t>
      </w:r>
      <w:r>
        <w:t>desk</w:t>
      </w:r>
      <w:r>
        <w:rPr>
          <w:spacing w:val="-8"/>
        </w:rPr>
        <w:t xml:space="preserve"> </w:t>
      </w:r>
      <w:r>
        <w:t>review process.</w:t>
      </w:r>
    </w:p>
    <w:p w:rsidR="00805174" w:rsidRDefault="00805174">
      <w:pPr>
        <w:pStyle w:val="BodyText"/>
      </w:pPr>
    </w:p>
    <w:p w:rsidR="00805174" w:rsidRDefault="000A64A3">
      <w:pPr>
        <w:ind w:left="100"/>
        <w:jc w:val="both"/>
        <w:rPr>
          <w:i/>
        </w:rPr>
      </w:pPr>
      <w:r>
        <w:rPr>
          <w:i/>
        </w:rPr>
        <w:t>Outpatient Observation Services</w:t>
      </w:r>
    </w:p>
    <w:p w:rsidR="00805174" w:rsidRDefault="00805174">
      <w:pPr>
        <w:pStyle w:val="BodyText"/>
        <w:spacing w:before="9"/>
        <w:rPr>
          <w:i/>
          <w:sz w:val="21"/>
        </w:rPr>
      </w:pPr>
    </w:p>
    <w:p w:rsidR="00805174" w:rsidRDefault="000A64A3">
      <w:pPr>
        <w:pStyle w:val="BodyText"/>
        <w:ind w:left="100" w:right="113"/>
        <w:jc w:val="both"/>
      </w:pPr>
      <w:r>
        <w:t>We commend CMS for proposing to distinguish the cost sharing for observation services from other outpatient hospital services in the modifying the Plan Benefit Package (PBP). The ability to make this differentiation will ensure that cost sharing for observ</w:t>
      </w:r>
      <w:r>
        <w:t>ation services is more transparent.</w:t>
      </w:r>
    </w:p>
    <w:p w:rsidR="00805174" w:rsidRDefault="00805174">
      <w:pPr>
        <w:pStyle w:val="BodyText"/>
        <w:spacing w:before="11"/>
        <w:rPr>
          <w:sz w:val="21"/>
        </w:rPr>
      </w:pPr>
    </w:p>
    <w:p w:rsidR="00805174" w:rsidRDefault="000A64A3">
      <w:pPr>
        <w:ind w:left="100"/>
        <w:jc w:val="both"/>
        <w:rPr>
          <w:i/>
        </w:rPr>
      </w:pPr>
      <w:r>
        <w:rPr>
          <w:i/>
        </w:rPr>
        <w:t>Health-Related Supplemental Benefits</w:t>
      </w:r>
    </w:p>
    <w:p w:rsidR="00805174" w:rsidRDefault="00805174">
      <w:pPr>
        <w:pStyle w:val="BodyText"/>
        <w:rPr>
          <w:i/>
        </w:rPr>
      </w:pPr>
    </w:p>
    <w:p w:rsidR="00805174" w:rsidRDefault="000A64A3">
      <w:pPr>
        <w:pStyle w:val="BodyText"/>
        <w:ind w:left="100" w:right="116"/>
        <w:jc w:val="both"/>
      </w:pPr>
      <w:r>
        <w:t>Anthem has long-recommended that CMS consider options that would allow MA plans to offer a wider array</w:t>
      </w:r>
      <w:r>
        <w:rPr>
          <w:spacing w:val="-18"/>
        </w:rPr>
        <w:t xml:space="preserve"> </w:t>
      </w:r>
      <w:r>
        <w:t>of</w:t>
      </w:r>
      <w:r>
        <w:rPr>
          <w:spacing w:val="-15"/>
        </w:rPr>
        <w:t xml:space="preserve"> </w:t>
      </w:r>
      <w:r>
        <w:t>supplemental</w:t>
      </w:r>
      <w:r>
        <w:rPr>
          <w:spacing w:val="-14"/>
        </w:rPr>
        <w:t xml:space="preserve"> </w:t>
      </w:r>
      <w:r>
        <w:t>benefits</w:t>
      </w:r>
      <w:r>
        <w:rPr>
          <w:spacing w:val="-18"/>
        </w:rPr>
        <w:t xml:space="preserve"> </w:t>
      </w:r>
      <w:r>
        <w:t>than</w:t>
      </w:r>
      <w:r>
        <w:rPr>
          <w:spacing w:val="-15"/>
        </w:rPr>
        <w:t xml:space="preserve"> </w:t>
      </w:r>
      <w:r>
        <w:t>they</w:t>
      </w:r>
      <w:r>
        <w:rPr>
          <w:spacing w:val="-18"/>
        </w:rPr>
        <w:t xml:space="preserve"> </w:t>
      </w:r>
      <w:r>
        <w:t>can</w:t>
      </w:r>
      <w:r>
        <w:rPr>
          <w:spacing w:val="-16"/>
        </w:rPr>
        <w:t xml:space="preserve"> </w:t>
      </w:r>
      <w:r>
        <w:t>today.</w:t>
      </w:r>
      <w:r>
        <w:rPr>
          <w:spacing w:val="-16"/>
        </w:rPr>
        <w:t xml:space="preserve"> </w:t>
      </w:r>
      <w:r>
        <w:t>These</w:t>
      </w:r>
      <w:r>
        <w:rPr>
          <w:spacing w:val="-15"/>
        </w:rPr>
        <w:t xml:space="preserve"> </w:t>
      </w:r>
      <w:r>
        <w:t>additional</w:t>
      </w:r>
      <w:r>
        <w:rPr>
          <w:spacing w:val="-14"/>
        </w:rPr>
        <w:t xml:space="preserve"> </w:t>
      </w:r>
      <w:r>
        <w:t>supplemental</w:t>
      </w:r>
      <w:r>
        <w:rPr>
          <w:spacing w:val="-14"/>
        </w:rPr>
        <w:t xml:space="preserve"> </w:t>
      </w:r>
      <w:r>
        <w:t>be</w:t>
      </w:r>
      <w:r>
        <w:t>nefits</w:t>
      </w:r>
      <w:r>
        <w:rPr>
          <w:spacing w:val="-15"/>
        </w:rPr>
        <w:t xml:space="preserve"> </w:t>
      </w:r>
      <w:r>
        <w:t>could</w:t>
      </w:r>
      <w:r>
        <w:rPr>
          <w:spacing w:val="-16"/>
        </w:rPr>
        <w:t xml:space="preserve"> </w:t>
      </w:r>
      <w:r>
        <w:t>be</w:t>
      </w:r>
      <w:r>
        <w:rPr>
          <w:spacing w:val="-15"/>
        </w:rPr>
        <w:t xml:space="preserve"> </w:t>
      </w:r>
      <w:r>
        <w:t>medical services or other non-medical, social services that improve the overall health of individuals with chronic disease (for example, homemaker services, home-delivered meals, personal care services to assist with bathing and dressing, t</w:t>
      </w:r>
      <w:r>
        <w:t>ransportation services, inpatient custodial level care, in-home caregiver relief, adult day care services, and medical and safety equipment). Therefore, we strongly support CMS’ intention to expand</w:t>
      </w:r>
      <w:r>
        <w:rPr>
          <w:spacing w:val="-4"/>
        </w:rPr>
        <w:t xml:space="preserve"> </w:t>
      </w:r>
      <w:r>
        <w:t>the</w:t>
      </w:r>
      <w:r>
        <w:rPr>
          <w:spacing w:val="-2"/>
        </w:rPr>
        <w:t xml:space="preserve"> </w:t>
      </w:r>
      <w:r>
        <w:t>scope</w:t>
      </w:r>
      <w:r>
        <w:rPr>
          <w:spacing w:val="-4"/>
        </w:rPr>
        <w:t xml:space="preserve"> </w:t>
      </w:r>
      <w:r>
        <w:t>of</w:t>
      </w:r>
      <w:r>
        <w:rPr>
          <w:spacing w:val="-4"/>
        </w:rPr>
        <w:t xml:space="preserve"> </w:t>
      </w:r>
      <w:r>
        <w:t>the</w:t>
      </w:r>
      <w:r>
        <w:rPr>
          <w:spacing w:val="-2"/>
        </w:rPr>
        <w:t xml:space="preserve"> </w:t>
      </w:r>
      <w:r>
        <w:t>primarily</w:t>
      </w:r>
      <w:r>
        <w:rPr>
          <w:spacing w:val="-4"/>
        </w:rPr>
        <w:t xml:space="preserve"> </w:t>
      </w:r>
      <w:r>
        <w:t>health</w:t>
      </w:r>
      <w:r>
        <w:rPr>
          <w:spacing w:val="-4"/>
        </w:rPr>
        <w:t xml:space="preserve"> </w:t>
      </w:r>
      <w:r>
        <w:t>related</w:t>
      </w:r>
      <w:r>
        <w:rPr>
          <w:spacing w:val="-4"/>
        </w:rPr>
        <w:t xml:space="preserve"> </w:t>
      </w:r>
      <w:r>
        <w:t>supplemental</w:t>
      </w:r>
      <w:r>
        <w:rPr>
          <w:spacing w:val="-1"/>
        </w:rPr>
        <w:t xml:space="preserve"> </w:t>
      </w:r>
      <w:r>
        <w:t>ben</w:t>
      </w:r>
      <w:r>
        <w:t>efit</w:t>
      </w:r>
      <w:r>
        <w:rPr>
          <w:spacing w:val="-4"/>
        </w:rPr>
        <w:t xml:space="preserve"> </w:t>
      </w:r>
      <w:r>
        <w:t>standard</w:t>
      </w:r>
      <w:r>
        <w:rPr>
          <w:spacing w:val="-4"/>
        </w:rPr>
        <w:t xml:space="preserve"> </w:t>
      </w:r>
      <w:r>
        <w:t>so</w:t>
      </w:r>
      <w:r>
        <w:rPr>
          <w:spacing w:val="-4"/>
        </w:rPr>
        <w:t xml:space="preserve"> </w:t>
      </w:r>
      <w:r>
        <w:t>that</w:t>
      </w:r>
      <w:r>
        <w:rPr>
          <w:spacing w:val="-4"/>
        </w:rPr>
        <w:t xml:space="preserve"> </w:t>
      </w:r>
      <w:r>
        <w:t>MA</w:t>
      </w:r>
      <w:r>
        <w:rPr>
          <w:spacing w:val="-2"/>
        </w:rPr>
        <w:t xml:space="preserve"> </w:t>
      </w:r>
      <w:r>
        <w:t>plans</w:t>
      </w:r>
      <w:r>
        <w:rPr>
          <w:spacing w:val="-2"/>
        </w:rPr>
        <w:t xml:space="preserve"> </w:t>
      </w:r>
      <w:r>
        <w:t>may</w:t>
      </w:r>
      <w:r>
        <w:rPr>
          <w:spacing w:val="-4"/>
        </w:rPr>
        <w:t xml:space="preserve"> </w:t>
      </w:r>
      <w:r>
        <w:t xml:space="preserve">offer additional benefits as “supplemental benefits” if they diagnose, prevent, or treat an illness or injury, compensate for physical impairments, act to ameliorate the functional/psychological impact of injuries or health conditions, or reduce avoidable </w:t>
      </w:r>
      <w:r>
        <w:t>emergency and health care</w:t>
      </w:r>
      <w:r>
        <w:rPr>
          <w:spacing w:val="-19"/>
        </w:rPr>
        <w:t xml:space="preserve"> </w:t>
      </w:r>
      <w:r>
        <w:t>utilization.</w:t>
      </w:r>
    </w:p>
    <w:p w:rsidR="00805174" w:rsidRDefault="00805174">
      <w:pPr>
        <w:pStyle w:val="BodyText"/>
        <w:spacing w:before="9"/>
        <w:rPr>
          <w:sz w:val="21"/>
        </w:rPr>
      </w:pPr>
    </w:p>
    <w:p w:rsidR="00805174" w:rsidRDefault="000A64A3">
      <w:pPr>
        <w:pStyle w:val="BodyText"/>
        <w:ind w:left="100" w:right="115"/>
        <w:jc w:val="both"/>
      </w:pPr>
      <w:r>
        <w:t>This kind of flexibility is only extended to Fully-Integrated Dual Eligible SNPs (FIDE SNPs) today; however,</w:t>
      </w:r>
      <w:r>
        <w:rPr>
          <w:spacing w:val="-7"/>
        </w:rPr>
        <w:t xml:space="preserve"> </w:t>
      </w:r>
      <w:r>
        <w:t>providing</w:t>
      </w:r>
      <w:r>
        <w:rPr>
          <w:spacing w:val="-9"/>
        </w:rPr>
        <w:t xml:space="preserve"> </w:t>
      </w:r>
      <w:r>
        <w:t>this</w:t>
      </w:r>
      <w:r>
        <w:rPr>
          <w:spacing w:val="-6"/>
        </w:rPr>
        <w:t xml:space="preserve"> </w:t>
      </w:r>
      <w:r>
        <w:t>additional</w:t>
      </w:r>
      <w:r>
        <w:rPr>
          <w:spacing w:val="-6"/>
        </w:rPr>
        <w:t xml:space="preserve"> </w:t>
      </w:r>
      <w:r>
        <w:t>flexibility</w:t>
      </w:r>
      <w:r>
        <w:rPr>
          <w:spacing w:val="-10"/>
        </w:rPr>
        <w:t xml:space="preserve"> </w:t>
      </w:r>
      <w:r>
        <w:t>to</w:t>
      </w:r>
      <w:r>
        <w:rPr>
          <w:spacing w:val="-7"/>
        </w:rPr>
        <w:t xml:space="preserve"> </w:t>
      </w:r>
      <w:r>
        <w:t>more</w:t>
      </w:r>
      <w:r>
        <w:rPr>
          <w:spacing w:val="-7"/>
        </w:rPr>
        <w:t xml:space="preserve"> </w:t>
      </w:r>
      <w:r>
        <w:t>than</w:t>
      </w:r>
      <w:r>
        <w:rPr>
          <w:spacing w:val="-9"/>
        </w:rPr>
        <w:t xml:space="preserve"> </w:t>
      </w:r>
      <w:r>
        <w:t>just</w:t>
      </w:r>
      <w:r>
        <w:rPr>
          <w:spacing w:val="-6"/>
        </w:rPr>
        <w:t xml:space="preserve"> </w:t>
      </w:r>
      <w:r>
        <w:t>FIDE-SNPs</w:t>
      </w:r>
      <w:r>
        <w:rPr>
          <w:spacing w:val="-7"/>
        </w:rPr>
        <w:t xml:space="preserve"> </w:t>
      </w:r>
      <w:r>
        <w:t>would</w:t>
      </w:r>
      <w:r>
        <w:rPr>
          <w:spacing w:val="-7"/>
        </w:rPr>
        <w:t xml:space="preserve"> </w:t>
      </w:r>
      <w:r>
        <w:t>allow</w:t>
      </w:r>
      <w:r>
        <w:rPr>
          <w:spacing w:val="-8"/>
        </w:rPr>
        <w:t xml:space="preserve"> </w:t>
      </w:r>
      <w:r>
        <w:t>significantly</w:t>
      </w:r>
      <w:r>
        <w:rPr>
          <w:spacing w:val="-7"/>
        </w:rPr>
        <w:t xml:space="preserve"> </w:t>
      </w:r>
      <w:r>
        <w:t>more beneficiaries to reap the benefits—and these beneficiaries could perhaps benefit even more because many of them may not be dual eligibles who would otherwise obtain some of these benefits through</w:t>
      </w:r>
      <w:r>
        <w:rPr>
          <w:spacing w:val="-26"/>
        </w:rPr>
        <w:t xml:space="preserve"> </w:t>
      </w:r>
      <w:r>
        <w:t>Medicaid.</w:t>
      </w:r>
    </w:p>
    <w:p w:rsidR="00805174" w:rsidRDefault="00805174">
      <w:pPr>
        <w:jc w:val="both"/>
        <w:sectPr w:rsidR="00805174">
          <w:footerReference w:type="default" r:id="rId18"/>
          <w:pgSz w:w="12240" w:h="15840"/>
          <w:pgMar w:top="1360" w:right="1320" w:bottom="1200" w:left="1340" w:header="0" w:footer="1015" w:gutter="0"/>
          <w:cols w:space="720"/>
        </w:sectPr>
      </w:pPr>
    </w:p>
    <w:p w:rsidR="00805174" w:rsidRDefault="000A64A3">
      <w:pPr>
        <w:pStyle w:val="BodyText"/>
        <w:spacing w:before="74"/>
        <w:ind w:left="100" w:right="117"/>
        <w:jc w:val="both"/>
      </w:pPr>
      <w:r>
        <w:lastRenderedPageBreak/>
        <w:t>We</w:t>
      </w:r>
      <w:r>
        <w:rPr>
          <w:spacing w:val="-15"/>
        </w:rPr>
        <w:t xml:space="preserve"> </w:t>
      </w:r>
      <w:r>
        <w:t>also</w:t>
      </w:r>
      <w:r>
        <w:rPr>
          <w:spacing w:val="-15"/>
        </w:rPr>
        <w:t xml:space="preserve"> </w:t>
      </w:r>
      <w:r>
        <w:t>note</w:t>
      </w:r>
      <w:r>
        <w:rPr>
          <w:spacing w:val="-15"/>
        </w:rPr>
        <w:t xml:space="preserve"> </w:t>
      </w:r>
      <w:r>
        <w:t>that</w:t>
      </w:r>
      <w:r>
        <w:rPr>
          <w:spacing w:val="-15"/>
        </w:rPr>
        <w:t xml:space="preserve"> </w:t>
      </w:r>
      <w:r>
        <w:t>famil</w:t>
      </w:r>
      <w:r>
        <w:t>ies</w:t>
      </w:r>
      <w:r>
        <w:rPr>
          <w:spacing w:val="-15"/>
        </w:rPr>
        <w:t xml:space="preserve"> </w:t>
      </w:r>
      <w:r>
        <w:t>and</w:t>
      </w:r>
      <w:r>
        <w:rPr>
          <w:spacing w:val="-16"/>
        </w:rPr>
        <w:t xml:space="preserve"> </w:t>
      </w:r>
      <w:r>
        <w:t>caregivers</w:t>
      </w:r>
      <w:r>
        <w:rPr>
          <w:spacing w:val="-15"/>
        </w:rPr>
        <w:t xml:space="preserve"> </w:t>
      </w:r>
      <w:r>
        <w:t>are</w:t>
      </w:r>
      <w:r>
        <w:rPr>
          <w:spacing w:val="-15"/>
        </w:rPr>
        <w:t xml:space="preserve"> </w:t>
      </w:r>
      <w:r>
        <w:t>an</w:t>
      </w:r>
      <w:r>
        <w:rPr>
          <w:spacing w:val="-18"/>
        </w:rPr>
        <w:t xml:space="preserve"> </w:t>
      </w:r>
      <w:r>
        <w:t>integral</w:t>
      </w:r>
      <w:r>
        <w:rPr>
          <w:spacing w:val="-17"/>
        </w:rPr>
        <w:t xml:space="preserve"> </w:t>
      </w:r>
      <w:r>
        <w:t>part</w:t>
      </w:r>
      <w:r>
        <w:rPr>
          <w:spacing w:val="-15"/>
        </w:rPr>
        <w:t xml:space="preserve"> </w:t>
      </w:r>
      <w:r>
        <w:t>of</w:t>
      </w:r>
      <w:r>
        <w:rPr>
          <w:spacing w:val="-15"/>
        </w:rPr>
        <w:t xml:space="preserve"> </w:t>
      </w:r>
      <w:r>
        <w:t>the</w:t>
      </w:r>
      <w:r>
        <w:rPr>
          <w:spacing w:val="-15"/>
        </w:rPr>
        <w:t xml:space="preserve"> </w:t>
      </w:r>
      <w:r>
        <w:t>support</w:t>
      </w:r>
      <w:r>
        <w:rPr>
          <w:spacing w:val="-15"/>
        </w:rPr>
        <w:t xml:space="preserve"> </w:t>
      </w:r>
      <w:r>
        <w:t>team</w:t>
      </w:r>
      <w:r>
        <w:rPr>
          <w:spacing w:val="-19"/>
        </w:rPr>
        <w:t xml:space="preserve"> </w:t>
      </w:r>
      <w:r>
        <w:t>for</w:t>
      </w:r>
      <w:r>
        <w:rPr>
          <w:spacing w:val="-15"/>
        </w:rPr>
        <w:t xml:space="preserve"> </w:t>
      </w:r>
      <w:r>
        <w:t>individuals</w:t>
      </w:r>
      <w:r>
        <w:rPr>
          <w:spacing w:val="-15"/>
        </w:rPr>
        <w:t xml:space="preserve"> </w:t>
      </w:r>
      <w:r>
        <w:t>with</w:t>
      </w:r>
      <w:r>
        <w:rPr>
          <w:spacing w:val="-16"/>
        </w:rPr>
        <w:t xml:space="preserve"> </w:t>
      </w:r>
      <w:r>
        <w:t>chronic illness. For optimal care management, CMS cannot ignore home-based care. Historically, Medicare has better supported family- and home-based models of care by including services such as family respite, certain</w:t>
      </w:r>
      <w:r>
        <w:rPr>
          <w:spacing w:val="-10"/>
        </w:rPr>
        <w:t xml:space="preserve"> </w:t>
      </w:r>
      <w:r>
        <w:t>home-aide</w:t>
      </w:r>
      <w:r>
        <w:rPr>
          <w:spacing w:val="-9"/>
        </w:rPr>
        <w:t xml:space="preserve"> </w:t>
      </w:r>
      <w:r>
        <w:t>assistance,</w:t>
      </w:r>
      <w:r>
        <w:rPr>
          <w:spacing w:val="-9"/>
        </w:rPr>
        <w:t xml:space="preserve"> </w:t>
      </w:r>
      <w:r>
        <w:t>and</w:t>
      </w:r>
      <w:r>
        <w:rPr>
          <w:spacing w:val="-12"/>
        </w:rPr>
        <w:t xml:space="preserve"> </w:t>
      </w:r>
      <w:r>
        <w:t>home-care</w:t>
      </w:r>
      <w:r>
        <w:rPr>
          <w:spacing w:val="-9"/>
        </w:rPr>
        <w:t xml:space="preserve"> </w:t>
      </w:r>
      <w:r>
        <w:t>ben</w:t>
      </w:r>
      <w:r>
        <w:t>efits,</w:t>
      </w:r>
      <w:r>
        <w:rPr>
          <w:spacing w:val="-10"/>
        </w:rPr>
        <w:t xml:space="preserve"> </w:t>
      </w:r>
      <w:r>
        <w:t>as</w:t>
      </w:r>
      <w:r>
        <w:rPr>
          <w:spacing w:val="-9"/>
        </w:rPr>
        <w:t xml:space="preserve"> </w:t>
      </w:r>
      <w:r>
        <w:t>part</w:t>
      </w:r>
      <w:r>
        <w:rPr>
          <w:spacing w:val="-11"/>
        </w:rPr>
        <w:t xml:space="preserve"> </w:t>
      </w:r>
      <w:r>
        <w:t>of</w:t>
      </w:r>
      <w:r>
        <w:rPr>
          <w:spacing w:val="-11"/>
        </w:rPr>
        <w:t xml:space="preserve"> </w:t>
      </w:r>
      <w:r>
        <w:t>the</w:t>
      </w:r>
      <w:r>
        <w:rPr>
          <w:spacing w:val="-12"/>
        </w:rPr>
        <w:t xml:space="preserve"> </w:t>
      </w:r>
      <w:r>
        <w:t>Medicare</w:t>
      </w:r>
      <w:r>
        <w:rPr>
          <w:spacing w:val="-12"/>
        </w:rPr>
        <w:t xml:space="preserve"> </w:t>
      </w:r>
      <w:r>
        <w:t>benefit</w:t>
      </w:r>
      <w:r>
        <w:rPr>
          <w:spacing w:val="-11"/>
        </w:rPr>
        <w:t xml:space="preserve"> </w:t>
      </w:r>
      <w:r>
        <w:t>package.</w:t>
      </w:r>
      <w:r>
        <w:rPr>
          <w:spacing w:val="-9"/>
        </w:rPr>
        <w:t xml:space="preserve"> </w:t>
      </w:r>
      <w:r>
        <w:t>We</w:t>
      </w:r>
      <w:r>
        <w:rPr>
          <w:spacing w:val="-12"/>
        </w:rPr>
        <w:t xml:space="preserve"> </w:t>
      </w:r>
      <w:r>
        <w:t>interpret CMS’ proposal to mean that these types of benefits would be permitted under the expanded definition of supplemental benefits, but ask that CMS confirm this</w:t>
      </w:r>
      <w:r>
        <w:rPr>
          <w:spacing w:val="-21"/>
        </w:rPr>
        <w:t xml:space="preserve"> </w:t>
      </w:r>
      <w:r>
        <w:t>interpretation.</w:t>
      </w:r>
    </w:p>
    <w:p w:rsidR="00805174" w:rsidRDefault="00805174">
      <w:pPr>
        <w:pStyle w:val="BodyText"/>
      </w:pPr>
    </w:p>
    <w:p w:rsidR="00805174" w:rsidRDefault="000A64A3">
      <w:pPr>
        <w:ind w:left="100"/>
        <w:jc w:val="both"/>
        <w:rPr>
          <w:i/>
        </w:rPr>
      </w:pPr>
      <w:r>
        <w:rPr>
          <w:i/>
        </w:rPr>
        <w:t>MA Uniformity Flexibil</w:t>
      </w:r>
      <w:r>
        <w:rPr>
          <w:i/>
        </w:rPr>
        <w:t>ity</w:t>
      </w:r>
    </w:p>
    <w:p w:rsidR="00805174" w:rsidRDefault="00805174">
      <w:pPr>
        <w:pStyle w:val="BodyText"/>
        <w:spacing w:before="11"/>
        <w:rPr>
          <w:i/>
          <w:sz w:val="21"/>
        </w:rPr>
      </w:pPr>
    </w:p>
    <w:p w:rsidR="00805174" w:rsidRDefault="000A64A3">
      <w:pPr>
        <w:pStyle w:val="BodyText"/>
        <w:ind w:left="100" w:right="117"/>
        <w:jc w:val="both"/>
      </w:pPr>
      <w:r>
        <w:t>Beginning with CY 2019, CMS proposes to allow MA plans the flexibility to offer targeted supplemental Part C benefits to medically vulnerable enrollees. These benefit packages could offer differential access to enhanced</w:t>
      </w:r>
      <w:r>
        <w:rPr>
          <w:spacing w:val="-8"/>
        </w:rPr>
        <w:t xml:space="preserve"> </w:t>
      </w:r>
      <w:r>
        <w:t>services,</w:t>
      </w:r>
      <w:r>
        <w:rPr>
          <w:spacing w:val="-8"/>
        </w:rPr>
        <w:t xml:space="preserve"> </w:t>
      </w:r>
      <w:r>
        <w:t>or</w:t>
      </w:r>
      <w:r>
        <w:rPr>
          <w:spacing w:val="-8"/>
        </w:rPr>
        <w:t xml:space="preserve"> </w:t>
      </w:r>
      <w:r>
        <w:t>reduced</w:t>
      </w:r>
      <w:r>
        <w:rPr>
          <w:spacing w:val="-8"/>
        </w:rPr>
        <w:t xml:space="preserve"> </w:t>
      </w:r>
      <w:r>
        <w:t>cost-shari</w:t>
      </w:r>
      <w:r>
        <w:t>ng</w:t>
      </w:r>
      <w:r>
        <w:rPr>
          <w:spacing w:val="-11"/>
        </w:rPr>
        <w:t xml:space="preserve"> </w:t>
      </w:r>
      <w:r>
        <w:t>or</w:t>
      </w:r>
      <w:r>
        <w:rPr>
          <w:spacing w:val="-8"/>
        </w:rPr>
        <w:t xml:space="preserve"> </w:t>
      </w:r>
      <w:r>
        <w:t>different</w:t>
      </w:r>
      <w:r>
        <w:rPr>
          <w:spacing w:val="-10"/>
        </w:rPr>
        <w:t xml:space="preserve"> </w:t>
      </w:r>
      <w:r>
        <w:t>deductibles</w:t>
      </w:r>
      <w:r>
        <w:rPr>
          <w:spacing w:val="-10"/>
        </w:rPr>
        <w:t xml:space="preserve"> </w:t>
      </w:r>
      <w:r>
        <w:t>for</w:t>
      </w:r>
      <w:r>
        <w:rPr>
          <w:spacing w:val="-8"/>
        </w:rPr>
        <w:t xml:space="preserve"> </w:t>
      </w:r>
      <w:r>
        <w:t>certain</w:t>
      </w:r>
      <w:r>
        <w:rPr>
          <w:spacing w:val="-9"/>
        </w:rPr>
        <w:t xml:space="preserve"> </w:t>
      </w:r>
      <w:r>
        <w:t>services,</w:t>
      </w:r>
      <w:r>
        <w:rPr>
          <w:spacing w:val="-8"/>
        </w:rPr>
        <w:t xml:space="preserve"> </w:t>
      </w:r>
      <w:r>
        <w:t>and</w:t>
      </w:r>
      <w:r>
        <w:rPr>
          <w:spacing w:val="-8"/>
        </w:rPr>
        <w:t xml:space="preserve"> </w:t>
      </w:r>
      <w:r>
        <w:t>MA</w:t>
      </w:r>
      <w:r>
        <w:rPr>
          <w:spacing w:val="-9"/>
        </w:rPr>
        <w:t xml:space="preserve"> </w:t>
      </w:r>
      <w:r>
        <w:t>plans</w:t>
      </w:r>
      <w:r>
        <w:rPr>
          <w:spacing w:val="-8"/>
        </w:rPr>
        <w:t xml:space="preserve"> </w:t>
      </w:r>
      <w:r>
        <w:t>must use</w:t>
      </w:r>
      <w:r>
        <w:rPr>
          <w:spacing w:val="-2"/>
        </w:rPr>
        <w:t xml:space="preserve"> </w:t>
      </w:r>
      <w:r>
        <w:t>objective</w:t>
      </w:r>
      <w:r>
        <w:rPr>
          <w:spacing w:val="-2"/>
        </w:rPr>
        <w:t xml:space="preserve"> </w:t>
      </w:r>
      <w:r>
        <w:t>and</w:t>
      </w:r>
      <w:r>
        <w:rPr>
          <w:spacing w:val="-2"/>
        </w:rPr>
        <w:t xml:space="preserve"> </w:t>
      </w:r>
      <w:r>
        <w:t>measurable</w:t>
      </w:r>
      <w:r>
        <w:rPr>
          <w:spacing w:val="-2"/>
        </w:rPr>
        <w:t xml:space="preserve"> </w:t>
      </w:r>
      <w:r>
        <w:t>criteria</w:t>
      </w:r>
      <w:r>
        <w:rPr>
          <w:spacing w:val="-4"/>
        </w:rPr>
        <w:t xml:space="preserve"> </w:t>
      </w:r>
      <w:r>
        <w:t>to</w:t>
      </w:r>
      <w:r>
        <w:rPr>
          <w:spacing w:val="-5"/>
        </w:rPr>
        <w:t xml:space="preserve"> </w:t>
      </w:r>
      <w:r>
        <w:t>identify</w:t>
      </w:r>
      <w:r>
        <w:rPr>
          <w:spacing w:val="-5"/>
        </w:rPr>
        <w:t xml:space="preserve"> </w:t>
      </w:r>
      <w:r>
        <w:t>enrollees</w:t>
      </w:r>
      <w:r>
        <w:rPr>
          <w:spacing w:val="-2"/>
        </w:rPr>
        <w:t xml:space="preserve"> </w:t>
      </w:r>
      <w:r>
        <w:t>eligible</w:t>
      </w:r>
      <w:r>
        <w:rPr>
          <w:spacing w:val="-4"/>
        </w:rPr>
        <w:t xml:space="preserve"> </w:t>
      </w:r>
      <w:r>
        <w:t>for</w:t>
      </w:r>
      <w:r>
        <w:rPr>
          <w:spacing w:val="-4"/>
        </w:rPr>
        <w:t xml:space="preserve"> </w:t>
      </w:r>
      <w:r>
        <w:t>such</w:t>
      </w:r>
      <w:r>
        <w:rPr>
          <w:spacing w:val="-5"/>
        </w:rPr>
        <w:t xml:space="preserve"> </w:t>
      </w:r>
      <w:r>
        <w:t>tailored</w:t>
      </w:r>
      <w:r>
        <w:rPr>
          <w:spacing w:val="-2"/>
        </w:rPr>
        <w:t xml:space="preserve"> </w:t>
      </w:r>
      <w:r>
        <w:t>supplemental</w:t>
      </w:r>
      <w:r>
        <w:rPr>
          <w:spacing w:val="-3"/>
        </w:rPr>
        <w:t xml:space="preserve"> </w:t>
      </w:r>
      <w:r>
        <w:t>benefits.</w:t>
      </w:r>
    </w:p>
    <w:p w:rsidR="00805174" w:rsidRDefault="00805174">
      <w:pPr>
        <w:pStyle w:val="BodyText"/>
      </w:pPr>
    </w:p>
    <w:p w:rsidR="00805174" w:rsidRDefault="000A64A3">
      <w:pPr>
        <w:pStyle w:val="BodyText"/>
        <w:ind w:left="100" w:right="112"/>
        <w:jc w:val="both"/>
      </w:pPr>
      <w:r>
        <w:t>As noted in our comments to the proposed rule, Anthem appreciates the additional flexibility that CMS is proposing for MA plans to tailor benefits to their members, which should include sufficient latitude for plans to identify eligible enrollees. As CMS m</w:t>
      </w:r>
      <w:r>
        <w:t>oves to enact this flexibility, we urge CMS to clarify that plans</w:t>
      </w:r>
      <w:r>
        <w:rPr>
          <w:spacing w:val="-9"/>
        </w:rPr>
        <w:t xml:space="preserve"> </w:t>
      </w:r>
      <w:r>
        <w:t>will</w:t>
      </w:r>
      <w:r>
        <w:rPr>
          <w:spacing w:val="-9"/>
        </w:rPr>
        <w:t xml:space="preserve"> </w:t>
      </w:r>
      <w:r>
        <w:t>have</w:t>
      </w:r>
      <w:r>
        <w:rPr>
          <w:spacing w:val="-7"/>
        </w:rPr>
        <w:t xml:space="preserve"> </w:t>
      </w:r>
      <w:r>
        <w:t>the</w:t>
      </w:r>
      <w:r>
        <w:rPr>
          <w:spacing w:val="-7"/>
        </w:rPr>
        <w:t xml:space="preserve"> </w:t>
      </w:r>
      <w:r>
        <w:t>ability</w:t>
      </w:r>
      <w:r>
        <w:rPr>
          <w:spacing w:val="-10"/>
        </w:rPr>
        <w:t xml:space="preserve"> </w:t>
      </w:r>
      <w:r>
        <w:t>to</w:t>
      </w:r>
      <w:r>
        <w:rPr>
          <w:spacing w:val="-7"/>
        </w:rPr>
        <w:t xml:space="preserve"> </w:t>
      </w:r>
      <w:r>
        <w:t>appropriately</w:t>
      </w:r>
      <w:r>
        <w:rPr>
          <w:spacing w:val="-10"/>
        </w:rPr>
        <w:t xml:space="preserve"> </w:t>
      </w:r>
      <w:r>
        <w:t>market</w:t>
      </w:r>
      <w:r>
        <w:rPr>
          <w:spacing w:val="-6"/>
        </w:rPr>
        <w:t xml:space="preserve"> </w:t>
      </w:r>
      <w:r>
        <w:t>these</w:t>
      </w:r>
      <w:r>
        <w:rPr>
          <w:spacing w:val="-4"/>
        </w:rPr>
        <w:t xml:space="preserve"> </w:t>
      </w:r>
      <w:r>
        <w:t>benefits</w:t>
      </w:r>
      <w:r>
        <w:rPr>
          <w:spacing w:val="-9"/>
        </w:rPr>
        <w:t xml:space="preserve"> </w:t>
      </w:r>
      <w:r>
        <w:t>to</w:t>
      </w:r>
      <w:r>
        <w:rPr>
          <w:spacing w:val="-10"/>
        </w:rPr>
        <w:t xml:space="preserve"> </w:t>
      </w:r>
      <w:r>
        <w:t>eligible</w:t>
      </w:r>
      <w:r>
        <w:rPr>
          <w:spacing w:val="-7"/>
        </w:rPr>
        <w:t xml:space="preserve"> </w:t>
      </w:r>
      <w:r>
        <w:t>members—and</w:t>
      </w:r>
      <w:r>
        <w:rPr>
          <w:spacing w:val="-9"/>
        </w:rPr>
        <w:t xml:space="preserve"> </w:t>
      </w:r>
      <w:r>
        <w:t>that</w:t>
      </w:r>
      <w:r>
        <w:rPr>
          <w:spacing w:val="-9"/>
        </w:rPr>
        <w:t xml:space="preserve"> </w:t>
      </w:r>
      <w:r>
        <w:t>the</w:t>
      </w:r>
      <w:r>
        <w:rPr>
          <w:spacing w:val="-7"/>
        </w:rPr>
        <w:t xml:space="preserve"> </w:t>
      </w:r>
      <w:r>
        <w:t>Agency will undertake beneficiary education efforts—to mitigate confusion and ensure that benefi</w:t>
      </w:r>
      <w:r>
        <w:t>ciaries are able to make informed coverage decisions that best meet their health care</w:t>
      </w:r>
      <w:r>
        <w:rPr>
          <w:spacing w:val="-20"/>
        </w:rPr>
        <w:t xml:space="preserve"> </w:t>
      </w:r>
      <w:r>
        <w:t>needs.</w:t>
      </w:r>
    </w:p>
    <w:p w:rsidR="00805174" w:rsidRDefault="00805174">
      <w:pPr>
        <w:pStyle w:val="BodyText"/>
        <w:spacing w:before="11"/>
        <w:rPr>
          <w:sz w:val="21"/>
        </w:rPr>
      </w:pPr>
    </w:p>
    <w:p w:rsidR="00805174" w:rsidRDefault="000A64A3">
      <w:pPr>
        <w:ind w:left="100"/>
        <w:jc w:val="both"/>
        <w:rPr>
          <w:i/>
        </w:rPr>
      </w:pPr>
      <w:r>
        <w:rPr>
          <w:i/>
        </w:rPr>
        <w:t>SNP-Specific Networks Research and Development</w:t>
      </w:r>
    </w:p>
    <w:p w:rsidR="00805174" w:rsidRDefault="00805174">
      <w:pPr>
        <w:pStyle w:val="BodyText"/>
        <w:spacing w:before="9"/>
        <w:rPr>
          <w:i/>
          <w:sz w:val="21"/>
        </w:rPr>
      </w:pPr>
    </w:p>
    <w:p w:rsidR="00805174" w:rsidRDefault="000A64A3">
      <w:pPr>
        <w:pStyle w:val="BodyText"/>
        <w:ind w:left="100" w:right="111"/>
        <w:jc w:val="both"/>
      </w:pPr>
      <w:r>
        <w:t>Although CMS states the current network adequacy criteria and exception request process account for the unique hea</w:t>
      </w:r>
      <w:r>
        <w:t>lth care needs and delivery patterns for MA beneficiaries enrolled in SNPs, Anthem continues to assert that beneficiaries with chronic conditions, dual eligible status, or institutional-level health care needs must have access to provider networks that ref</w:t>
      </w:r>
      <w:r>
        <w:t>lects their unique needs. Anthem is committed to treating</w:t>
      </w:r>
      <w:r>
        <w:rPr>
          <w:spacing w:val="-10"/>
        </w:rPr>
        <w:t xml:space="preserve"> </w:t>
      </w:r>
      <w:r>
        <w:t>each</w:t>
      </w:r>
      <w:r>
        <w:rPr>
          <w:spacing w:val="-9"/>
        </w:rPr>
        <w:t xml:space="preserve"> </w:t>
      </w:r>
      <w:r>
        <w:t>beneficiary’s</w:t>
      </w:r>
      <w:r>
        <w:rPr>
          <w:spacing w:val="-12"/>
        </w:rPr>
        <w:t xml:space="preserve"> </w:t>
      </w:r>
      <w:r>
        <w:t>health</w:t>
      </w:r>
      <w:r>
        <w:rPr>
          <w:spacing w:val="-10"/>
        </w:rPr>
        <w:t xml:space="preserve"> </w:t>
      </w:r>
      <w:r>
        <w:t>conditions</w:t>
      </w:r>
      <w:r>
        <w:rPr>
          <w:spacing w:val="-9"/>
        </w:rPr>
        <w:t xml:space="preserve"> </w:t>
      </w:r>
      <w:r>
        <w:t>comprehensively</w:t>
      </w:r>
      <w:r>
        <w:rPr>
          <w:spacing w:val="-10"/>
        </w:rPr>
        <w:t xml:space="preserve"> </w:t>
      </w:r>
      <w:r>
        <w:t>and</w:t>
      </w:r>
      <w:r>
        <w:rPr>
          <w:spacing w:val="-9"/>
        </w:rPr>
        <w:t xml:space="preserve"> </w:t>
      </w:r>
      <w:r>
        <w:t>appropriately,</w:t>
      </w:r>
      <w:r>
        <w:rPr>
          <w:spacing w:val="-7"/>
        </w:rPr>
        <w:t xml:space="preserve"> </w:t>
      </w:r>
      <w:r>
        <w:t>irrespective</w:t>
      </w:r>
      <w:r>
        <w:rPr>
          <w:spacing w:val="-7"/>
        </w:rPr>
        <w:t xml:space="preserve"> </w:t>
      </w:r>
      <w:r>
        <w:t>of</w:t>
      </w:r>
      <w:r>
        <w:rPr>
          <w:spacing w:val="-9"/>
        </w:rPr>
        <w:t xml:space="preserve"> </w:t>
      </w:r>
      <w:r>
        <w:t>the</w:t>
      </w:r>
      <w:r>
        <w:rPr>
          <w:spacing w:val="-9"/>
        </w:rPr>
        <w:t xml:space="preserve"> </w:t>
      </w:r>
      <w:r>
        <w:t>plan</w:t>
      </w:r>
      <w:r>
        <w:rPr>
          <w:spacing w:val="-7"/>
        </w:rPr>
        <w:t xml:space="preserve"> </w:t>
      </w:r>
      <w:r>
        <w:t>or product in which the member is enrolled. To that end, as CMS continues to examine the need for SNP- specific network adequacy evaluations, we request that CMS identify key questions, describe potential alternatives,</w:t>
      </w:r>
      <w:r>
        <w:rPr>
          <w:spacing w:val="-7"/>
        </w:rPr>
        <w:t xml:space="preserve"> </w:t>
      </w:r>
      <w:r>
        <w:t>and</w:t>
      </w:r>
      <w:r>
        <w:rPr>
          <w:spacing w:val="-7"/>
        </w:rPr>
        <w:t xml:space="preserve"> </w:t>
      </w:r>
      <w:r>
        <w:t>generally</w:t>
      </w:r>
      <w:r>
        <w:rPr>
          <w:spacing w:val="-10"/>
        </w:rPr>
        <w:t xml:space="preserve"> </w:t>
      </w:r>
      <w:r>
        <w:t>provide</w:t>
      </w:r>
      <w:r>
        <w:rPr>
          <w:spacing w:val="-9"/>
        </w:rPr>
        <w:t xml:space="preserve"> </w:t>
      </w:r>
      <w:r>
        <w:t>additional</w:t>
      </w:r>
      <w:r>
        <w:rPr>
          <w:spacing w:val="-6"/>
        </w:rPr>
        <w:t xml:space="preserve"> </w:t>
      </w:r>
      <w:r>
        <w:t>clar</w:t>
      </w:r>
      <w:r>
        <w:t>ity</w:t>
      </w:r>
      <w:r>
        <w:rPr>
          <w:spacing w:val="-10"/>
        </w:rPr>
        <w:t xml:space="preserve"> </w:t>
      </w:r>
      <w:r>
        <w:t>so</w:t>
      </w:r>
      <w:r>
        <w:rPr>
          <w:spacing w:val="-7"/>
        </w:rPr>
        <w:t xml:space="preserve"> </w:t>
      </w:r>
      <w:r>
        <w:t>that</w:t>
      </w:r>
      <w:r>
        <w:rPr>
          <w:spacing w:val="-8"/>
        </w:rPr>
        <w:t xml:space="preserve"> </w:t>
      </w:r>
      <w:r>
        <w:t>plans</w:t>
      </w:r>
      <w:r>
        <w:rPr>
          <w:spacing w:val="-9"/>
        </w:rPr>
        <w:t xml:space="preserve"> </w:t>
      </w:r>
      <w:r>
        <w:t>can</w:t>
      </w:r>
      <w:r>
        <w:rPr>
          <w:spacing w:val="-10"/>
        </w:rPr>
        <w:t xml:space="preserve"> </w:t>
      </w:r>
      <w:r>
        <w:t>respond</w:t>
      </w:r>
      <w:r>
        <w:rPr>
          <w:spacing w:val="-9"/>
        </w:rPr>
        <w:t xml:space="preserve"> </w:t>
      </w:r>
      <w:r>
        <w:t>with</w:t>
      </w:r>
      <w:r>
        <w:rPr>
          <w:spacing w:val="-7"/>
        </w:rPr>
        <w:t xml:space="preserve"> </w:t>
      </w:r>
      <w:r>
        <w:t>concrete</w:t>
      </w:r>
      <w:r>
        <w:rPr>
          <w:spacing w:val="-9"/>
        </w:rPr>
        <w:t xml:space="preserve"> </w:t>
      </w:r>
      <w:r>
        <w:t>and</w:t>
      </w:r>
      <w:r>
        <w:rPr>
          <w:spacing w:val="-9"/>
        </w:rPr>
        <w:t xml:space="preserve"> </w:t>
      </w:r>
      <w:r>
        <w:t>actionable feedback before any proposal is</w:t>
      </w:r>
      <w:r>
        <w:rPr>
          <w:spacing w:val="-9"/>
        </w:rPr>
        <w:t xml:space="preserve"> </w:t>
      </w:r>
      <w:r>
        <w:t>finalized.</w:t>
      </w:r>
    </w:p>
    <w:p w:rsidR="00805174" w:rsidRDefault="00805174">
      <w:pPr>
        <w:pStyle w:val="BodyText"/>
        <w:spacing w:before="9"/>
        <w:rPr>
          <w:sz w:val="21"/>
        </w:rPr>
      </w:pPr>
    </w:p>
    <w:p w:rsidR="00805174" w:rsidRDefault="000A64A3">
      <w:pPr>
        <w:pStyle w:val="BodyText"/>
        <w:ind w:left="100" w:right="117"/>
        <w:jc w:val="both"/>
      </w:pPr>
      <w:r>
        <w:t>As potential changes to SNP network requirements are contemplated, Anthem notes that CMS’ current emphasis on time-and-distance standards can often be overly prescriptive and ultimately limit sponsors’ ability to serve certain geographic areas and harder-t</w:t>
      </w:r>
      <w:r>
        <w:t>o-reach members. Accordingly, any new standards related to SNP network evaluation should not unduly emphasize inflexible time-and-distance metrics, and must not have the unintended effect of making it harder for plans to serve Medicare’s most vulnerable be</w:t>
      </w:r>
      <w:r>
        <w:t>neficiaries.</w:t>
      </w:r>
    </w:p>
    <w:p w:rsidR="00805174" w:rsidRDefault="00805174">
      <w:pPr>
        <w:pStyle w:val="BodyText"/>
      </w:pPr>
    </w:p>
    <w:p w:rsidR="00805174" w:rsidRDefault="000A64A3">
      <w:pPr>
        <w:ind w:left="100"/>
        <w:jc w:val="both"/>
        <w:rPr>
          <w:i/>
        </w:rPr>
      </w:pPr>
      <w:r>
        <w:rPr>
          <w:i/>
        </w:rPr>
        <w:t>Rewards and Incentives for Completion of a Health Risk Assessment (HRA)</w:t>
      </w:r>
    </w:p>
    <w:p w:rsidR="00805174" w:rsidRDefault="00805174">
      <w:pPr>
        <w:pStyle w:val="BodyText"/>
        <w:rPr>
          <w:i/>
        </w:rPr>
      </w:pPr>
    </w:p>
    <w:p w:rsidR="00805174" w:rsidRDefault="000A64A3">
      <w:pPr>
        <w:pStyle w:val="BodyText"/>
        <w:spacing w:before="1"/>
        <w:ind w:left="100" w:right="114"/>
        <w:jc w:val="both"/>
      </w:pPr>
      <w:r>
        <w:t>Anthem supports CMS’ proposal to allow MA plans to include the completion of an HRA as a permitted health-related activity in a Rewards and Incentives (RI) program. HRAs</w:t>
      </w:r>
      <w:r>
        <w:t>, as noted by CMS, are important tools that facilitate the assessment of a patient’s holistic (medical, functional, cognitive, psychosocial, and mental) health needs. Including HRAs in RI programs creates an important opportunity for patients, providers, a</w:t>
      </w:r>
      <w:r>
        <w:t>nd plans to continue focusing on patient-centered care that promotes proper care management, improved health, and efficient use of resources.</w:t>
      </w:r>
    </w:p>
    <w:p w:rsidR="00805174" w:rsidRDefault="00805174">
      <w:pPr>
        <w:jc w:val="both"/>
        <w:sectPr w:rsidR="00805174">
          <w:footerReference w:type="default" r:id="rId19"/>
          <w:pgSz w:w="12240" w:h="15840"/>
          <w:pgMar w:top="1360" w:right="1320" w:bottom="1200" w:left="1340" w:header="0" w:footer="1015" w:gutter="0"/>
          <w:pgNumType w:start="21"/>
          <w:cols w:space="720"/>
        </w:sectPr>
      </w:pPr>
    </w:p>
    <w:p w:rsidR="00805174" w:rsidRDefault="000A64A3">
      <w:pPr>
        <w:spacing w:before="74"/>
        <w:ind w:left="100"/>
        <w:jc w:val="both"/>
        <w:rPr>
          <w:i/>
        </w:rPr>
      </w:pPr>
      <w:r>
        <w:rPr>
          <w:i/>
        </w:rPr>
        <w:lastRenderedPageBreak/>
        <w:t>Improving Beneficiary Communications and Reducing Burden for Integrated D-SN</w:t>
      </w:r>
      <w:r>
        <w:rPr>
          <w:i/>
        </w:rPr>
        <w:t>Ps</w:t>
      </w:r>
    </w:p>
    <w:p w:rsidR="00805174" w:rsidRDefault="00805174">
      <w:pPr>
        <w:pStyle w:val="BodyText"/>
        <w:spacing w:before="1"/>
        <w:rPr>
          <w:i/>
        </w:rPr>
      </w:pPr>
    </w:p>
    <w:p w:rsidR="00805174" w:rsidRDefault="000A64A3">
      <w:pPr>
        <w:pStyle w:val="BodyText"/>
        <w:ind w:left="100" w:right="111"/>
        <w:jc w:val="both"/>
      </w:pPr>
      <w:r>
        <w:t>Anthem</w:t>
      </w:r>
      <w:r>
        <w:rPr>
          <w:spacing w:val="-17"/>
        </w:rPr>
        <w:t xml:space="preserve"> </w:t>
      </w:r>
      <w:r>
        <w:t>commends</w:t>
      </w:r>
      <w:r>
        <w:rPr>
          <w:spacing w:val="-14"/>
        </w:rPr>
        <w:t xml:space="preserve"> </w:t>
      </w:r>
      <w:r>
        <w:t>CMS</w:t>
      </w:r>
      <w:r>
        <w:rPr>
          <w:spacing w:val="-14"/>
        </w:rPr>
        <w:t xml:space="preserve"> </w:t>
      </w:r>
      <w:r>
        <w:t>for</w:t>
      </w:r>
      <w:r>
        <w:rPr>
          <w:spacing w:val="-14"/>
        </w:rPr>
        <w:t xml:space="preserve"> </w:t>
      </w:r>
      <w:r>
        <w:t>its</w:t>
      </w:r>
      <w:r>
        <w:rPr>
          <w:spacing w:val="-14"/>
        </w:rPr>
        <w:t xml:space="preserve"> </w:t>
      </w:r>
      <w:r>
        <w:t>efforts</w:t>
      </w:r>
      <w:r>
        <w:rPr>
          <w:spacing w:val="-14"/>
        </w:rPr>
        <w:t xml:space="preserve"> </w:t>
      </w:r>
      <w:r>
        <w:t>to</w:t>
      </w:r>
      <w:r>
        <w:rPr>
          <w:spacing w:val="-14"/>
        </w:rPr>
        <w:t xml:space="preserve"> </w:t>
      </w:r>
      <w:r>
        <w:t>maximize</w:t>
      </w:r>
      <w:r>
        <w:rPr>
          <w:spacing w:val="-14"/>
        </w:rPr>
        <w:t xml:space="preserve"> </w:t>
      </w:r>
      <w:r>
        <w:t>the</w:t>
      </w:r>
      <w:r>
        <w:rPr>
          <w:spacing w:val="-16"/>
        </w:rPr>
        <w:t xml:space="preserve"> </w:t>
      </w:r>
      <w:r>
        <w:t>potential</w:t>
      </w:r>
      <w:r>
        <w:rPr>
          <w:spacing w:val="-15"/>
        </w:rPr>
        <w:t xml:space="preserve"> </w:t>
      </w:r>
      <w:r>
        <w:t>to</w:t>
      </w:r>
      <w:r>
        <w:rPr>
          <w:spacing w:val="-14"/>
        </w:rPr>
        <w:t xml:space="preserve"> </w:t>
      </w:r>
      <w:r>
        <w:t>align</w:t>
      </w:r>
      <w:r>
        <w:rPr>
          <w:spacing w:val="-14"/>
        </w:rPr>
        <w:t xml:space="preserve"> </w:t>
      </w:r>
      <w:r>
        <w:t>benefits</w:t>
      </w:r>
      <w:r>
        <w:rPr>
          <w:spacing w:val="-16"/>
        </w:rPr>
        <w:t xml:space="preserve"> </w:t>
      </w:r>
      <w:r>
        <w:t>and</w:t>
      </w:r>
      <w:r>
        <w:rPr>
          <w:spacing w:val="-10"/>
        </w:rPr>
        <w:t xml:space="preserve"> </w:t>
      </w:r>
      <w:r>
        <w:t>improve</w:t>
      </w:r>
      <w:r>
        <w:rPr>
          <w:spacing w:val="-14"/>
        </w:rPr>
        <w:t xml:space="preserve"> </w:t>
      </w:r>
      <w:r>
        <w:t>coordination for dual eligible beneficiaries. As CMS works with states, it should also incorporate feedback and lessons- learned</w:t>
      </w:r>
      <w:r>
        <w:rPr>
          <w:spacing w:val="-3"/>
        </w:rPr>
        <w:t xml:space="preserve"> </w:t>
      </w:r>
      <w:r>
        <w:t>from</w:t>
      </w:r>
      <w:r>
        <w:rPr>
          <w:spacing w:val="-7"/>
        </w:rPr>
        <w:t xml:space="preserve"> </w:t>
      </w:r>
      <w:r>
        <w:t>plans,</w:t>
      </w:r>
      <w:r>
        <w:rPr>
          <w:spacing w:val="-4"/>
        </w:rPr>
        <w:t xml:space="preserve"> </w:t>
      </w:r>
      <w:r>
        <w:t>which</w:t>
      </w:r>
      <w:r>
        <w:rPr>
          <w:spacing w:val="-3"/>
        </w:rPr>
        <w:t xml:space="preserve"> </w:t>
      </w:r>
      <w:r>
        <w:t>also</w:t>
      </w:r>
      <w:r>
        <w:rPr>
          <w:spacing w:val="-3"/>
        </w:rPr>
        <w:t xml:space="preserve"> </w:t>
      </w:r>
      <w:r>
        <w:t>have</w:t>
      </w:r>
      <w:r>
        <w:rPr>
          <w:spacing w:val="-3"/>
        </w:rPr>
        <w:t xml:space="preserve"> </w:t>
      </w:r>
      <w:r>
        <w:t>a</w:t>
      </w:r>
      <w:r>
        <w:rPr>
          <w:spacing w:val="-3"/>
        </w:rPr>
        <w:t xml:space="preserve"> </w:t>
      </w:r>
      <w:r>
        <w:t>vested</w:t>
      </w:r>
      <w:r>
        <w:rPr>
          <w:spacing w:val="-3"/>
        </w:rPr>
        <w:t xml:space="preserve"> </w:t>
      </w:r>
      <w:r>
        <w:t>interested</w:t>
      </w:r>
      <w:r>
        <w:rPr>
          <w:spacing w:val="-6"/>
        </w:rPr>
        <w:t xml:space="preserve"> </w:t>
      </w:r>
      <w:r>
        <w:t>in</w:t>
      </w:r>
      <w:r>
        <w:rPr>
          <w:spacing w:val="-4"/>
        </w:rPr>
        <w:t xml:space="preserve"> </w:t>
      </w:r>
      <w:r>
        <w:t>promoting</w:t>
      </w:r>
      <w:r>
        <w:rPr>
          <w:spacing w:val="-6"/>
        </w:rPr>
        <w:t xml:space="preserve"> </w:t>
      </w:r>
      <w:r>
        <w:t>integration.</w:t>
      </w:r>
      <w:r>
        <w:rPr>
          <w:spacing w:val="-4"/>
        </w:rPr>
        <w:t xml:space="preserve"> </w:t>
      </w:r>
      <w:r>
        <w:t>Below,</w:t>
      </w:r>
      <w:r>
        <w:rPr>
          <w:spacing w:val="-4"/>
        </w:rPr>
        <w:t xml:space="preserve"> </w:t>
      </w:r>
      <w:r>
        <w:t>Anthem</w:t>
      </w:r>
      <w:r>
        <w:rPr>
          <w:spacing w:val="-7"/>
        </w:rPr>
        <w:t xml:space="preserve"> </w:t>
      </w:r>
      <w:r>
        <w:t>provides comments on the priority areas CMS identified for its</w:t>
      </w:r>
      <w:r>
        <w:rPr>
          <w:spacing w:val="-22"/>
        </w:rPr>
        <w:t xml:space="preserve"> </w:t>
      </w:r>
      <w:r>
        <w:t>work:</w:t>
      </w:r>
    </w:p>
    <w:p w:rsidR="00805174" w:rsidRDefault="00805174">
      <w:pPr>
        <w:pStyle w:val="BodyText"/>
        <w:spacing w:before="10"/>
        <w:rPr>
          <w:sz w:val="21"/>
        </w:rPr>
      </w:pPr>
    </w:p>
    <w:p w:rsidR="00805174" w:rsidRDefault="000A64A3">
      <w:pPr>
        <w:pStyle w:val="ListParagraph"/>
        <w:numPr>
          <w:ilvl w:val="1"/>
          <w:numId w:val="7"/>
        </w:numPr>
        <w:tabs>
          <w:tab w:val="left" w:pos="821"/>
        </w:tabs>
        <w:ind w:right="113"/>
      </w:pPr>
      <w:r>
        <w:rPr>
          <w:u w:val="single"/>
        </w:rPr>
        <w:t>Integrated Model Materials</w:t>
      </w:r>
      <w:r>
        <w:t>: The Center for Medicare &amp; Medicaid Innovation (CMMI), in coordination with the Medicare-Medicaid Coo</w:t>
      </w:r>
      <w:r>
        <w:t>rdination Office (MMCO), should explore models that allow states and participating FIDE-SNPs, D-SNPs, and Medicaid plans to test the</w:t>
      </w:r>
      <w:r>
        <w:rPr>
          <w:spacing w:val="-38"/>
        </w:rPr>
        <w:t xml:space="preserve"> </w:t>
      </w:r>
      <w:r>
        <w:t>delivery of services</w:t>
      </w:r>
      <w:r>
        <w:rPr>
          <w:spacing w:val="-4"/>
        </w:rPr>
        <w:t xml:space="preserve"> </w:t>
      </w:r>
      <w:r>
        <w:t>to</w:t>
      </w:r>
      <w:r>
        <w:rPr>
          <w:spacing w:val="-5"/>
        </w:rPr>
        <w:t xml:space="preserve"> </w:t>
      </w:r>
      <w:r>
        <w:t>dual</w:t>
      </w:r>
      <w:r>
        <w:rPr>
          <w:spacing w:val="-4"/>
        </w:rPr>
        <w:t xml:space="preserve"> </w:t>
      </w:r>
      <w:r>
        <w:t>eligibles</w:t>
      </w:r>
      <w:r>
        <w:rPr>
          <w:spacing w:val="-4"/>
        </w:rPr>
        <w:t xml:space="preserve"> </w:t>
      </w:r>
      <w:r>
        <w:t>under</w:t>
      </w:r>
      <w:r>
        <w:rPr>
          <w:spacing w:val="-4"/>
        </w:rPr>
        <w:t xml:space="preserve"> </w:t>
      </w:r>
      <w:r>
        <w:t>certain</w:t>
      </w:r>
      <w:r>
        <w:rPr>
          <w:spacing w:val="-5"/>
        </w:rPr>
        <w:t xml:space="preserve"> </w:t>
      </w:r>
      <w:r>
        <w:t>regulatory</w:t>
      </w:r>
      <w:r>
        <w:rPr>
          <w:spacing w:val="-7"/>
        </w:rPr>
        <w:t xml:space="preserve"> </w:t>
      </w:r>
      <w:r>
        <w:t>flexibilities.</w:t>
      </w:r>
      <w:r>
        <w:rPr>
          <w:spacing w:val="-5"/>
        </w:rPr>
        <w:t xml:space="preserve"> </w:t>
      </w:r>
      <w:r>
        <w:t>Similar</w:t>
      </w:r>
      <w:r>
        <w:rPr>
          <w:spacing w:val="-4"/>
        </w:rPr>
        <w:t xml:space="preserve"> </w:t>
      </w:r>
      <w:r>
        <w:t>to</w:t>
      </w:r>
      <w:r>
        <w:rPr>
          <w:spacing w:val="-7"/>
        </w:rPr>
        <w:t xml:space="preserve"> </w:t>
      </w:r>
      <w:r>
        <w:t>the</w:t>
      </w:r>
      <w:r>
        <w:rPr>
          <w:spacing w:val="-4"/>
        </w:rPr>
        <w:t xml:space="preserve"> </w:t>
      </w:r>
      <w:r>
        <w:t>structure</w:t>
      </w:r>
      <w:r>
        <w:rPr>
          <w:spacing w:val="-4"/>
        </w:rPr>
        <w:t xml:space="preserve"> </w:t>
      </w:r>
      <w:r>
        <w:t>and</w:t>
      </w:r>
      <w:r>
        <w:rPr>
          <w:spacing w:val="-4"/>
        </w:rPr>
        <w:t xml:space="preserve"> </w:t>
      </w:r>
      <w:r>
        <w:t>goals</w:t>
      </w:r>
      <w:r>
        <w:rPr>
          <w:spacing w:val="-4"/>
        </w:rPr>
        <w:t xml:space="preserve"> </w:t>
      </w:r>
      <w:r>
        <w:t>of the</w:t>
      </w:r>
      <w:r>
        <w:rPr>
          <w:spacing w:val="-6"/>
        </w:rPr>
        <w:t xml:space="preserve"> </w:t>
      </w:r>
      <w:r>
        <w:t>MMP</w:t>
      </w:r>
      <w:r>
        <w:rPr>
          <w:spacing w:val="-4"/>
        </w:rPr>
        <w:t xml:space="preserve"> </w:t>
      </w:r>
      <w:r>
        <w:t>model,</w:t>
      </w:r>
      <w:r>
        <w:rPr>
          <w:spacing w:val="-6"/>
        </w:rPr>
        <w:t xml:space="preserve"> </w:t>
      </w:r>
      <w:r>
        <w:t>these</w:t>
      </w:r>
      <w:r>
        <w:rPr>
          <w:spacing w:val="-3"/>
        </w:rPr>
        <w:t xml:space="preserve"> </w:t>
      </w:r>
      <w:r>
        <w:t>Medicaid</w:t>
      </w:r>
      <w:r>
        <w:rPr>
          <w:spacing w:val="-4"/>
        </w:rPr>
        <w:t xml:space="preserve"> </w:t>
      </w:r>
      <w:r>
        <w:t>plans,</w:t>
      </w:r>
      <w:r>
        <w:rPr>
          <w:spacing w:val="-6"/>
        </w:rPr>
        <w:t xml:space="preserve"> </w:t>
      </w:r>
      <w:r>
        <w:t>D-SNPs</w:t>
      </w:r>
      <w:r>
        <w:rPr>
          <w:spacing w:val="-3"/>
        </w:rPr>
        <w:t xml:space="preserve"> </w:t>
      </w:r>
      <w:r>
        <w:t>and</w:t>
      </w:r>
      <w:r>
        <w:rPr>
          <w:spacing w:val="-3"/>
        </w:rPr>
        <w:t xml:space="preserve"> </w:t>
      </w:r>
      <w:r>
        <w:t>FIDE-SNPs</w:t>
      </w:r>
      <w:r>
        <w:rPr>
          <w:spacing w:val="-3"/>
        </w:rPr>
        <w:t xml:space="preserve"> </w:t>
      </w:r>
      <w:r>
        <w:t>serving</w:t>
      </w:r>
      <w:r>
        <w:rPr>
          <w:spacing w:val="-6"/>
        </w:rPr>
        <w:t xml:space="preserve"> </w:t>
      </w:r>
      <w:r>
        <w:t>dual</w:t>
      </w:r>
      <w:r>
        <w:rPr>
          <w:spacing w:val="-3"/>
        </w:rPr>
        <w:t xml:space="preserve"> </w:t>
      </w:r>
      <w:r>
        <w:t>eligibles</w:t>
      </w:r>
      <w:r>
        <w:rPr>
          <w:spacing w:val="-3"/>
        </w:rPr>
        <w:t xml:space="preserve"> </w:t>
      </w:r>
      <w:r>
        <w:t>could</w:t>
      </w:r>
      <w:r>
        <w:rPr>
          <w:spacing w:val="-4"/>
        </w:rPr>
        <w:t xml:space="preserve"> </w:t>
      </w:r>
      <w:r>
        <w:t>have the ability to test the positive impact that a single set of Medicare and Medicaid standards (i.e., unified appeals and grievances processes, unified beneficiaries mate</w:t>
      </w:r>
      <w:r>
        <w:t>rials, a single coverage identification card, benefit flexibility, and other integrated elements) could have on effective, efficient operation of programs covering dual eligibles. This may be an especially valuable model to</w:t>
      </w:r>
      <w:r>
        <w:rPr>
          <w:spacing w:val="-6"/>
        </w:rPr>
        <w:t xml:space="preserve"> </w:t>
      </w:r>
      <w:r>
        <w:t>test</w:t>
      </w:r>
      <w:r>
        <w:rPr>
          <w:spacing w:val="-5"/>
        </w:rPr>
        <w:t xml:space="preserve"> </w:t>
      </w:r>
      <w:r>
        <w:t>among</w:t>
      </w:r>
      <w:r>
        <w:rPr>
          <w:spacing w:val="-9"/>
        </w:rPr>
        <w:t xml:space="preserve"> </w:t>
      </w:r>
      <w:r>
        <w:t>those</w:t>
      </w:r>
      <w:r>
        <w:rPr>
          <w:spacing w:val="-4"/>
        </w:rPr>
        <w:t xml:space="preserve"> </w:t>
      </w:r>
      <w:r>
        <w:t>issuers</w:t>
      </w:r>
      <w:r>
        <w:rPr>
          <w:spacing w:val="-8"/>
        </w:rPr>
        <w:t xml:space="preserve"> </w:t>
      </w:r>
      <w:r>
        <w:t>serving</w:t>
      </w:r>
      <w:r>
        <w:rPr>
          <w:spacing w:val="-9"/>
        </w:rPr>
        <w:t xml:space="preserve"> </w:t>
      </w:r>
      <w:r>
        <w:t>the</w:t>
      </w:r>
      <w:r>
        <w:rPr>
          <w:spacing w:val="-6"/>
        </w:rPr>
        <w:t xml:space="preserve"> </w:t>
      </w:r>
      <w:r>
        <w:t>same</w:t>
      </w:r>
      <w:r>
        <w:rPr>
          <w:spacing w:val="-6"/>
        </w:rPr>
        <w:t xml:space="preserve"> </w:t>
      </w:r>
      <w:r>
        <w:t>dual</w:t>
      </w:r>
      <w:r>
        <w:rPr>
          <w:spacing w:val="-5"/>
        </w:rPr>
        <w:t xml:space="preserve"> </w:t>
      </w:r>
      <w:r>
        <w:t>eligible</w:t>
      </w:r>
      <w:r>
        <w:rPr>
          <w:spacing w:val="-3"/>
        </w:rPr>
        <w:t xml:space="preserve"> </w:t>
      </w:r>
      <w:r>
        <w:t>individuals</w:t>
      </w:r>
      <w:r>
        <w:rPr>
          <w:spacing w:val="-5"/>
        </w:rPr>
        <w:t xml:space="preserve"> </w:t>
      </w:r>
      <w:r>
        <w:t>in</w:t>
      </w:r>
      <w:r>
        <w:rPr>
          <w:spacing w:val="-6"/>
        </w:rPr>
        <w:t xml:space="preserve"> </w:t>
      </w:r>
      <w:r>
        <w:t>both</w:t>
      </w:r>
      <w:r>
        <w:rPr>
          <w:spacing w:val="-6"/>
        </w:rPr>
        <w:t xml:space="preserve"> </w:t>
      </w:r>
      <w:r>
        <w:t>of</w:t>
      </w:r>
      <w:r>
        <w:rPr>
          <w:spacing w:val="-8"/>
        </w:rPr>
        <w:t xml:space="preserve"> </w:t>
      </w:r>
      <w:r>
        <w:t>their</w:t>
      </w:r>
      <w:r>
        <w:rPr>
          <w:spacing w:val="-5"/>
        </w:rPr>
        <w:t xml:space="preserve"> </w:t>
      </w:r>
      <w:r>
        <w:t>Medicaid</w:t>
      </w:r>
      <w:r>
        <w:rPr>
          <w:spacing w:val="-6"/>
        </w:rPr>
        <w:t xml:space="preserve"> </w:t>
      </w:r>
      <w:r>
        <w:t>and Medicare products and are equipped to deploy tools and processes that offer an integrated experience. This type of model could promote a better experience for enrolled dual eligibles and net</w:t>
      </w:r>
      <w:r>
        <w:t>work providers in these programs. It also promises higher levels of integration that could produce better outcomes and cost efficiencies. CMMI should enlist the input of stakeholders to identify those areas of needed integration and alignment as well as ad</w:t>
      </w:r>
      <w:r>
        <w:t>ditional model elements in order to develop a demonstration inclusive of this</w:t>
      </w:r>
      <w:r>
        <w:rPr>
          <w:spacing w:val="-17"/>
        </w:rPr>
        <w:t xml:space="preserve"> </w:t>
      </w:r>
      <w:r>
        <w:t>concept.</w:t>
      </w:r>
    </w:p>
    <w:p w:rsidR="00805174" w:rsidRDefault="00805174">
      <w:pPr>
        <w:pStyle w:val="BodyText"/>
        <w:spacing w:before="7"/>
        <w:rPr>
          <w:sz w:val="21"/>
        </w:rPr>
      </w:pPr>
    </w:p>
    <w:p w:rsidR="00805174" w:rsidRDefault="000A64A3">
      <w:pPr>
        <w:pStyle w:val="ListParagraph"/>
        <w:numPr>
          <w:ilvl w:val="1"/>
          <w:numId w:val="7"/>
        </w:numPr>
        <w:tabs>
          <w:tab w:val="left" w:pos="821"/>
        </w:tabs>
        <w:ind w:right="114"/>
      </w:pPr>
      <w:r>
        <w:rPr>
          <w:u w:val="single"/>
        </w:rPr>
        <w:t>Non-renewals</w:t>
      </w:r>
      <w:r>
        <w:t>: As more states move towards integration, a streamlined process regarding pending non-renewals, service area reduction, and terminations will become increasingly critical. Alternatively,</w:t>
      </w:r>
      <w:r>
        <w:rPr>
          <w:spacing w:val="-5"/>
        </w:rPr>
        <w:t xml:space="preserve"> </w:t>
      </w:r>
      <w:r>
        <w:t>CMS</w:t>
      </w:r>
      <w:r>
        <w:rPr>
          <w:spacing w:val="-4"/>
        </w:rPr>
        <w:t xml:space="preserve"> </w:t>
      </w:r>
      <w:r>
        <w:t>could</w:t>
      </w:r>
      <w:r>
        <w:rPr>
          <w:spacing w:val="-7"/>
        </w:rPr>
        <w:t xml:space="preserve"> </w:t>
      </w:r>
      <w:r>
        <w:t>consider</w:t>
      </w:r>
      <w:r>
        <w:rPr>
          <w:spacing w:val="-4"/>
        </w:rPr>
        <w:t xml:space="preserve"> </w:t>
      </w:r>
      <w:r>
        <w:t>developing</w:t>
      </w:r>
      <w:r>
        <w:rPr>
          <w:spacing w:val="-7"/>
        </w:rPr>
        <w:t xml:space="preserve"> </w:t>
      </w:r>
      <w:r>
        <w:t>a</w:t>
      </w:r>
      <w:r>
        <w:rPr>
          <w:spacing w:val="-4"/>
        </w:rPr>
        <w:t xml:space="preserve"> </w:t>
      </w:r>
      <w:r>
        <w:t>truly</w:t>
      </w:r>
      <w:r>
        <w:rPr>
          <w:spacing w:val="-7"/>
        </w:rPr>
        <w:t xml:space="preserve"> </w:t>
      </w:r>
      <w:r>
        <w:t>integrated</w:t>
      </w:r>
      <w:r>
        <w:rPr>
          <w:spacing w:val="-7"/>
        </w:rPr>
        <w:t xml:space="preserve"> </w:t>
      </w:r>
      <w:r>
        <w:t>termination</w:t>
      </w:r>
      <w:r>
        <w:rPr>
          <w:spacing w:val="-7"/>
        </w:rPr>
        <w:t xml:space="preserve"> </w:t>
      </w:r>
      <w:r>
        <w:t>notice</w:t>
      </w:r>
      <w:r>
        <w:rPr>
          <w:spacing w:val="-4"/>
        </w:rPr>
        <w:t xml:space="preserve"> </w:t>
      </w:r>
      <w:r>
        <w:t>in</w:t>
      </w:r>
      <w:r>
        <w:rPr>
          <w:spacing w:val="-5"/>
        </w:rPr>
        <w:t xml:space="preserve"> </w:t>
      </w:r>
      <w:r>
        <w:t>which</w:t>
      </w:r>
      <w:r>
        <w:rPr>
          <w:spacing w:val="-4"/>
        </w:rPr>
        <w:t xml:space="preserve"> </w:t>
      </w:r>
      <w:r>
        <w:t>plans would be able to include optional, customizable language outlining the steps members should</w:t>
      </w:r>
      <w:r>
        <w:rPr>
          <w:spacing w:val="-36"/>
        </w:rPr>
        <w:t xml:space="preserve"> </w:t>
      </w:r>
      <w:r>
        <w:t>take if they receive Medicaid services from the non-renewing or terminating plan as well. Ultimately, while Anthem supports a streamlined process, we</w:t>
      </w:r>
      <w:r>
        <w:t xml:space="preserve"> continue to believe it would be most helpful for CMS to be less prescriptive and allow for plan flexibility when it comes to member materials and communication.</w:t>
      </w:r>
    </w:p>
    <w:p w:rsidR="00805174" w:rsidRDefault="00805174">
      <w:pPr>
        <w:pStyle w:val="BodyText"/>
        <w:spacing w:before="9"/>
        <w:rPr>
          <w:sz w:val="21"/>
        </w:rPr>
      </w:pPr>
    </w:p>
    <w:p w:rsidR="00805174" w:rsidRDefault="000A64A3">
      <w:pPr>
        <w:pStyle w:val="ListParagraph"/>
        <w:numPr>
          <w:ilvl w:val="1"/>
          <w:numId w:val="7"/>
        </w:numPr>
        <w:tabs>
          <w:tab w:val="left" w:pos="821"/>
        </w:tabs>
        <w:spacing w:before="1"/>
        <w:ind w:right="113"/>
      </w:pPr>
      <w:r>
        <w:rPr>
          <w:u w:val="single"/>
        </w:rPr>
        <w:t>Model of Care (MOC)</w:t>
      </w:r>
      <w:r>
        <w:t>: CMS had previously noted its desire to explore allowing states to review</w:t>
      </w:r>
      <w:r>
        <w:t xml:space="preserve"> MOCs against their requirements concurrent with NCQA’s review of MOCs in HPMS to avoid duplicative reviews by each program. Anthem notes that this is the process that occurs under the MMP demonstration—however, one challenge that Anthem has experienced in</w:t>
      </w:r>
      <w:r>
        <w:t xml:space="preserve"> this process is receiving</w:t>
      </w:r>
      <w:r>
        <w:rPr>
          <w:spacing w:val="-8"/>
        </w:rPr>
        <w:t xml:space="preserve"> </w:t>
      </w:r>
      <w:r>
        <w:t>consistent,</w:t>
      </w:r>
      <w:r>
        <w:rPr>
          <w:spacing w:val="-8"/>
        </w:rPr>
        <w:t xml:space="preserve"> </w:t>
      </w:r>
      <w:r>
        <w:t>timely</w:t>
      </w:r>
      <w:r>
        <w:rPr>
          <w:spacing w:val="-8"/>
        </w:rPr>
        <w:t xml:space="preserve"> </w:t>
      </w:r>
      <w:r>
        <w:t>feedback</w:t>
      </w:r>
      <w:r>
        <w:rPr>
          <w:spacing w:val="-8"/>
        </w:rPr>
        <w:t xml:space="preserve"> </w:t>
      </w:r>
      <w:r>
        <w:t>and</w:t>
      </w:r>
      <w:r>
        <w:rPr>
          <w:spacing w:val="-5"/>
        </w:rPr>
        <w:t xml:space="preserve"> </w:t>
      </w:r>
      <w:r>
        <w:t>approval</w:t>
      </w:r>
      <w:r>
        <w:rPr>
          <w:spacing w:val="-4"/>
        </w:rPr>
        <w:t xml:space="preserve"> </w:t>
      </w:r>
      <w:r>
        <w:t>from</w:t>
      </w:r>
      <w:r>
        <w:rPr>
          <w:spacing w:val="-9"/>
        </w:rPr>
        <w:t xml:space="preserve"> </w:t>
      </w:r>
      <w:r>
        <w:t>both</w:t>
      </w:r>
      <w:r>
        <w:rPr>
          <w:spacing w:val="-5"/>
        </w:rPr>
        <w:t xml:space="preserve"> </w:t>
      </w:r>
      <w:r>
        <w:t>the</w:t>
      </w:r>
      <w:r>
        <w:rPr>
          <w:spacing w:val="-5"/>
        </w:rPr>
        <w:t xml:space="preserve"> </w:t>
      </w:r>
      <w:r>
        <w:t>state</w:t>
      </w:r>
      <w:r>
        <w:rPr>
          <w:spacing w:val="-5"/>
        </w:rPr>
        <w:t xml:space="preserve"> </w:t>
      </w:r>
      <w:r>
        <w:t>and</w:t>
      </w:r>
      <w:r>
        <w:rPr>
          <w:spacing w:val="-5"/>
        </w:rPr>
        <w:t xml:space="preserve"> </w:t>
      </w:r>
      <w:r>
        <w:t>CMS.</w:t>
      </w:r>
      <w:r>
        <w:rPr>
          <w:spacing w:val="-7"/>
        </w:rPr>
        <w:t xml:space="preserve"> </w:t>
      </w:r>
      <w:r>
        <w:t>Anthem</w:t>
      </w:r>
      <w:r>
        <w:rPr>
          <w:spacing w:val="-8"/>
        </w:rPr>
        <w:t xml:space="preserve"> </w:t>
      </w:r>
      <w:r>
        <w:t>supports CMS and states conducting a joint review and providing one set of comments instead of two. We note that this joint MOC review would need to all</w:t>
      </w:r>
      <w:r>
        <w:t>ow for nuances such that MOC standards for Long-Term Services and Supports (LTSS) at the state-level are appropriately factored into the requirements for D-SNP beneficiaries (keeping in mind that not all D-SNP beneficiaries need or receive LTSS). Because o</w:t>
      </w:r>
      <w:r>
        <w:t>f this, applying a one-size-fits-all approach to the D-SNP MOC review process (which could mean LTSS standards being applied to non-LTSS membership) could add unnecessary costs, and portions of it may not be meaningful to all models. Plans could be more ex</w:t>
      </w:r>
      <w:r>
        <w:t>posed to these challenges as they move providers into risk-based</w:t>
      </w:r>
      <w:r>
        <w:rPr>
          <w:spacing w:val="-20"/>
        </w:rPr>
        <w:t xml:space="preserve"> </w:t>
      </w:r>
      <w:r>
        <w:t>contracts.</w:t>
      </w:r>
    </w:p>
    <w:p w:rsidR="00805174" w:rsidRDefault="00805174">
      <w:pPr>
        <w:pStyle w:val="BodyText"/>
      </w:pPr>
    </w:p>
    <w:p w:rsidR="00805174" w:rsidRDefault="000A64A3">
      <w:pPr>
        <w:ind w:left="100"/>
        <w:jc w:val="both"/>
        <w:rPr>
          <w:i/>
        </w:rPr>
      </w:pPr>
      <w:r>
        <w:rPr>
          <w:i/>
        </w:rPr>
        <w:t>Parts</w:t>
      </w:r>
      <w:r>
        <w:rPr>
          <w:i/>
          <w:spacing w:val="-15"/>
        </w:rPr>
        <w:t xml:space="preserve"> </w:t>
      </w:r>
      <w:r>
        <w:rPr>
          <w:i/>
        </w:rPr>
        <w:t>A</w:t>
      </w:r>
      <w:r>
        <w:rPr>
          <w:i/>
          <w:spacing w:val="-16"/>
        </w:rPr>
        <w:t xml:space="preserve"> </w:t>
      </w:r>
      <w:r>
        <w:rPr>
          <w:i/>
        </w:rPr>
        <w:t>and</w:t>
      </w:r>
      <w:r>
        <w:rPr>
          <w:i/>
          <w:spacing w:val="-16"/>
        </w:rPr>
        <w:t xml:space="preserve"> </w:t>
      </w:r>
      <w:r>
        <w:rPr>
          <w:i/>
        </w:rPr>
        <w:t>B</w:t>
      </w:r>
      <w:r>
        <w:rPr>
          <w:i/>
          <w:spacing w:val="-16"/>
        </w:rPr>
        <w:t xml:space="preserve"> </w:t>
      </w:r>
      <w:r>
        <w:rPr>
          <w:i/>
        </w:rPr>
        <w:t>Cost</w:t>
      </w:r>
      <w:r>
        <w:rPr>
          <w:i/>
          <w:spacing w:val="-15"/>
        </w:rPr>
        <w:t xml:space="preserve"> </w:t>
      </w:r>
      <w:r>
        <w:rPr>
          <w:i/>
        </w:rPr>
        <w:t>Sharing</w:t>
      </w:r>
      <w:r>
        <w:rPr>
          <w:i/>
          <w:spacing w:val="-18"/>
        </w:rPr>
        <w:t xml:space="preserve"> </w:t>
      </w:r>
      <w:r>
        <w:rPr>
          <w:i/>
        </w:rPr>
        <w:t>for</w:t>
      </w:r>
      <w:r>
        <w:rPr>
          <w:i/>
          <w:spacing w:val="-15"/>
        </w:rPr>
        <w:t xml:space="preserve"> </w:t>
      </w:r>
      <w:r>
        <w:rPr>
          <w:i/>
        </w:rPr>
        <w:t>Individuals</w:t>
      </w:r>
      <w:r>
        <w:rPr>
          <w:i/>
          <w:spacing w:val="-15"/>
        </w:rPr>
        <w:t xml:space="preserve"> </w:t>
      </w:r>
      <w:r>
        <w:rPr>
          <w:i/>
        </w:rPr>
        <w:t>Enrolled</w:t>
      </w:r>
      <w:r>
        <w:rPr>
          <w:i/>
          <w:spacing w:val="-15"/>
        </w:rPr>
        <w:t xml:space="preserve"> </w:t>
      </w:r>
      <w:r>
        <w:rPr>
          <w:i/>
        </w:rPr>
        <w:t>in</w:t>
      </w:r>
      <w:r>
        <w:rPr>
          <w:i/>
          <w:spacing w:val="-16"/>
        </w:rPr>
        <w:t xml:space="preserve"> </w:t>
      </w:r>
      <w:r>
        <w:rPr>
          <w:i/>
        </w:rPr>
        <w:t>the</w:t>
      </w:r>
      <w:r>
        <w:rPr>
          <w:i/>
          <w:spacing w:val="-15"/>
        </w:rPr>
        <w:t xml:space="preserve"> </w:t>
      </w:r>
      <w:r>
        <w:rPr>
          <w:i/>
        </w:rPr>
        <w:t>Qualified</w:t>
      </w:r>
      <w:r>
        <w:rPr>
          <w:i/>
          <w:spacing w:val="-15"/>
        </w:rPr>
        <w:t xml:space="preserve"> </w:t>
      </w:r>
      <w:r>
        <w:rPr>
          <w:i/>
        </w:rPr>
        <w:t>Medicare</w:t>
      </w:r>
      <w:r>
        <w:rPr>
          <w:i/>
          <w:spacing w:val="-15"/>
        </w:rPr>
        <w:t xml:space="preserve"> </w:t>
      </w:r>
      <w:r>
        <w:rPr>
          <w:i/>
        </w:rPr>
        <w:t>Beneficiary</w:t>
      </w:r>
      <w:r>
        <w:rPr>
          <w:i/>
          <w:spacing w:val="-15"/>
        </w:rPr>
        <w:t xml:space="preserve"> </w:t>
      </w:r>
      <w:r>
        <w:rPr>
          <w:i/>
        </w:rPr>
        <w:t>(QMB)</w:t>
      </w:r>
      <w:r>
        <w:rPr>
          <w:i/>
          <w:spacing w:val="-18"/>
        </w:rPr>
        <w:t xml:space="preserve"> </w:t>
      </w:r>
      <w:r>
        <w:rPr>
          <w:i/>
        </w:rPr>
        <w:t>Program</w:t>
      </w:r>
    </w:p>
    <w:p w:rsidR="00805174" w:rsidRDefault="00805174">
      <w:pPr>
        <w:pStyle w:val="BodyText"/>
        <w:spacing w:before="11"/>
        <w:rPr>
          <w:i/>
          <w:sz w:val="21"/>
        </w:rPr>
      </w:pPr>
    </w:p>
    <w:p w:rsidR="00805174" w:rsidRDefault="000A64A3">
      <w:pPr>
        <w:pStyle w:val="BodyText"/>
        <w:ind w:left="100" w:right="118"/>
        <w:jc w:val="both"/>
      </w:pPr>
      <w:r>
        <w:t>CMS continues to remind plans of their obligations to educate network providers about QMB billing rules and to maintain procedures that ensure network providers do not discriminate against enrollees based   on</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233"/>
        <w:jc w:val="both"/>
      </w:pPr>
      <w:r>
        <w:lastRenderedPageBreak/>
        <w:t>their payment status. Anthem app</w:t>
      </w:r>
      <w:r>
        <w:t>reciates these reminders that are aimed at ensuring beneficiaries enrolled in</w:t>
      </w:r>
      <w:r>
        <w:rPr>
          <w:spacing w:val="-11"/>
        </w:rPr>
        <w:t xml:space="preserve"> </w:t>
      </w:r>
      <w:r>
        <w:t>the</w:t>
      </w:r>
      <w:r>
        <w:rPr>
          <w:spacing w:val="-10"/>
        </w:rPr>
        <w:t xml:space="preserve"> </w:t>
      </w:r>
      <w:r>
        <w:t>QMB</w:t>
      </w:r>
      <w:r>
        <w:rPr>
          <w:spacing w:val="-11"/>
        </w:rPr>
        <w:t xml:space="preserve"> </w:t>
      </w:r>
      <w:r>
        <w:t>program</w:t>
      </w:r>
      <w:r>
        <w:rPr>
          <w:spacing w:val="-14"/>
        </w:rPr>
        <w:t xml:space="preserve"> </w:t>
      </w:r>
      <w:r>
        <w:t>are</w:t>
      </w:r>
      <w:r>
        <w:rPr>
          <w:spacing w:val="-11"/>
        </w:rPr>
        <w:t xml:space="preserve"> </w:t>
      </w:r>
      <w:r>
        <w:t>protected</w:t>
      </w:r>
      <w:r>
        <w:rPr>
          <w:spacing w:val="-11"/>
        </w:rPr>
        <w:t xml:space="preserve"> </w:t>
      </w:r>
      <w:r>
        <w:t>from</w:t>
      </w:r>
      <w:r>
        <w:rPr>
          <w:spacing w:val="-14"/>
        </w:rPr>
        <w:t xml:space="preserve"> </w:t>
      </w:r>
      <w:r>
        <w:t>the</w:t>
      </w:r>
      <w:r>
        <w:rPr>
          <w:spacing w:val="-11"/>
        </w:rPr>
        <w:t xml:space="preserve"> </w:t>
      </w:r>
      <w:r>
        <w:t>collection</w:t>
      </w:r>
      <w:r>
        <w:rPr>
          <w:spacing w:val="-11"/>
        </w:rPr>
        <w:t xml:space="preserve"> </w:t>
      </w:r>
      <w:r>
        <w:t>of</w:t>
      </w:r>
      <w:r>
        <w:rPr>
          <w:spacing w:val="-10"/>
        </w:rPr>
        <w:t xml:space="preserve"> </w:t>
      </w:r>
      <w:r>
        <w:t>Medicare</w:t>
      </w:r>
      <w:r>
        <w:rPr>
          <w:spacing w:val="-11"/>
        </w:rPr>
        <w:t xml:space="preserve"> </w:t>
      </w:r>
      <w:r>
        <w:t>Part</w:t>
      </w:r>
      <w:r>
        <w:rPr>
          <w:spacing w:val="-10"/>
        </w:rPr>
        <w:t xml:space="preserve"> </w:t>
      </w:r>
      <w:r>
        <w:t>A</w:t>
      </w:r>
      <w:r>
        <w:rPr>
          <w:spacing w:val="-12"/>
        </w:rPr>
        <w:t xml:space="preserve"> </w:t>
      </w:r>
      <w:r>
        <w:t>and</w:t>
      </w:r>
      <w:r>
        <w:rPr>
          <w:spacing w:val="-11"/>
        </w:rPr>
        <w:t xml:space="preserve"> </w:t>
      </w:r>
      <w:r>
        <w:t>Medicare</w:t>
      </w:r>
      <w:r>
        <w:rPr>
          <w:spacing w:val="-11"/>
        </w:rPr>
        <w:t xml:space="preserve"> </w:t>
      </w:r>
      <w:r>
        <w:t>Part</w:t>
      </w:r>
      <w:r>
        <w:rPr>
          <w:spacing w:val="-10"/>
        </w:rPr>
        <w:t xml:space="preserve"> </w:t>
      </w:r>
      <w:r>
        <w:t>B</w:t>
      </w:r>
      <w:r>
        <w:rPr>
          <w:spacing w:val="-12"/>
        </w:rPr>
        <w:t xml:space="preserve"> </w:t>
      </w:r>
      <w:r>
        <w:t>deductibles, coinsurance and copayments. However, in Anthem’s experience, there remains s</w:t>
      </w:r>
      <w:r>
        <w:t xml:space="preserve">ignificant confusion among the various entities involved in assuring compliance with this protection. Anthem supports the increased educational activities that CMS is leading to help educate providers regarding the QMB billing prohibition, including those </w:t>
      </w:r>
      <w:r>
        <w:t>carried out under the Medicare Learning Network. Similarly, Anthem takes appropriate</w:t>
      </w:r>
      <w:r>
        <w:rPr>
          <w:spacing w:val="-7"/>
        </w:rPr>
        <w:t xml:space="preserve"> </w:t>
      </w:r>
      <w:r>
        <w:t>measures</w:t>
      </w:r>
      <w:r>
        <w:rPr>
          <w:spacing w:val="-6"/>
        </w:rPr>
        <w:t xml:space="preserve"> </w:t>
      </w:r>
      <w:r>
        <w:t>to</w:t>
      </w:r>
      <w:r>
        <w:rPr>
          <w:spacing w:val="-7"/>
        </w:rPr>
        <w:t xml:space="preserve"> </w:t>
      </w:r>
      <w:r>
        <w:t>inform</w:t>
      </w:r>
      <w:r>
        <w:rPr>
          <w:spacing w:val="-11"/>
        </w:rPr>
        <w:t xml:space="preserve"> </w:t>
      </w:r>
      <w:r>
        <w:t>network</w:t>
      </w:r>
      <w:r>
        <w:rPr>
          <w:spacing w:val="-10"/>
        </w:rPr>
        <w:t xml:space="preserve"> </w:t>
      </w:r>
      <w:r>
        <w:t>providers</w:t>
      </w:r>
      <w:r>
        <w:rPr>
          <w:spacing w:val="-9"/>
        </w:rPr>
        <w:t xml:space="preserve"> </w:t>
      </w:r>
      <w:r>
        <w:t>regarding</w:t>
      </w:r>
      <w:r>
        <w:rPr>
          <w:spacing w:val="-10"/>
        </w:rPr>
        <w:t xml:space="preserve"> </w:t>
      </w:r>
      <w:r>
        <w:t>proper</w:t>
      </w:r>
      <w:r>
        <w:rPr>
          <w:spacing w:val="-8"/>
        </w:rPr>
        <w:t xml:space="preserve"> </w:t>
      </w:r>
      <w:r>
        <w:t>billing</w:t>
      </w:r>
      <w:r>
        <w:rPr>
          <w:spacing w:val="-10"/>
        </w:rPr>
        <w:t xml:space="preserve"> </w:t>
      </w:r>
      <w:r>
        <w:t>procedures</w:t>
      </w:r>
      <w:r>
        <w:rPr>
          <w:spacing w:val="-9"/>
        </w:rPr>
        <w:t xml:space="preserve"> </w:t>
      </w:r>
      <w:r>
        <w:t>and</w:t>
      </w:r>
      <w:r>
        <w:rPr>
          <w:spacing w:val="-9"/>
        </w:rPr>
        <w:t xml:space="preserve"> </w:t>
      </w:r>
      <w:r>
        <w:t>resources</w:t>
      </w:r>
      <w:r>
        <w:rPr>
          <w:spacing w:val="-9"/>
        </w:rPr>
        <w:t xml:space="preserve"> </w:t>
      </w:r>
      <w:r>
        <w:t>in</w:t>
      </w:r>
      <w:r>
        <w:rPr>
          <w:spacing w:val="-7"/>
        </w:rPr>
        <w:t xml:space="preserve"> </w:t>
      </w:r>
      <w:r>
        <w:t>our contracts.</w:t>
      </w:r>
    </w:p>
    <w:p w:rsidR="00805174" w:rsidRDefault="00805174">
      <w:pPr>
        <w:pStyle w:val="BodyText"/>
      </w:pPr>
    </w:p>
    <w:p w:rsidR="00805174" w:rsidRDefault="000A64A3">
      <w:pPr>
        <w:pStyle w:val="BodyText"/>
        <w:ind w:left="100" w:right="231"/>
        <w:jc w:val="both"/>
      </w:pPr>
      <w:r>
        <w:t>However,</w:t>
      </w:r>
      <w:r>
        <w:rPr>
          <w:spacing w:val="-10"/>
        </w:rPr>
        <w:t xml:space="preserve"> </w:t>
      </w:r>
      <w:r>
        <w:t>despite</w:t>
      </w:r>
      <w:r>
        <w:rPr>
          <w:spacing w:val="-12"/>
        </w:rPr>
        <w:t xml:space="preserve"> </w:t>
      </w:r>
      <w:r>
        <w:t>these</w:t>
      </w:r>
      <w:r>
        <w:rPr>
          <w:spacing w:val="-9"/>
        </w:rPr>
        <w:t xml:space="preserve"> </w:t>
      </w:r>
      <w:r>
        <w:t>efforts,</w:t>
      </w:r>
      <w:r>
        <w:rPr>
          <w:spacing w:val="-9"/>
        </w:rPr>
        <w:t xml:space="preserve"> </w:t>
      </w:r>
      <w:r>
        <w:t>we</w:t>
      </w:r>
      <w:r>
        <w:rPr>
          <w:spacing w:val="-12"/>
        </w:rPr>
        <w:t xml:space="preserve"> </w:t>
      </w:r>
      <w:r>
        <w:t>believe</w:t>
      </w:r>
      <w:r>
        <w:rPr>
          <w:spacing w:val="-9"/>
        </w:rPr>
        <w:t xml:space="preserve"> </w:t>
      </w:r>
      <w:r>
        <w:t>there</w:t>
      </w:r>
      <w:r>
        <w:rPr>
          <w:spacing w:val="-9"/>
        </w:rPr>
        <w:t xml:space="preserve"> </w:t>
      </w:r>
      <w:r>
        <w:t>are</w:t>
      </w:r>
      <w:r>
        <w:rPr>
          <w:spacing w:val="-9"/>
        </w:rPr>
        <w:t xml:space="preserve"> </w:t>
      </w:r>
      <w:r>
        <w:t>additional</w:t>
      </w:r>
      <w:r>
        <w:rPr>
          <w:spacing w:val="-9"/>
        </w:rPr>
        <w:t xml:space="preserve"> </w:t>
      </w:r>
      <w:r>
        <w:t>opportunities</w:t>
      </w:r>
      <w:r>
        <w:rPr>
          <w:spacing w:val="-9"/>
        </w:rPr>
        <w:t xml:space="preserve"> </w:t>
      </w:r>
      <w:r>
        <w:t>for</w:t>
      </w:r>
      <w:r>
        <w:rPr>
          <w:spacing w:val="-9"/>
        </w:rPr>
        <w:t xml:space="preserve"> </w:t>
      </w:r>
      <w:r>
        <w:t>CMS</w:t>
      </w:r>
      <w:r>
        <w:rPr>
          <w:spacing w:val="-9"/>
        </w:rPr>
        <w:t xml:space="preserve"> </w:t>
      </w:r>
      <w:r>
        <w:t>leadership</w:t>
      </w:r>
      <w:r>
        <w:rPr>
          <w:spacing w:val="-10"/>
        </w:rPr>
        <w:t xml:space="preserve"> </w:t>
      </w:r>
      <w:r>
        <w:t>to</w:t>
      </w:r>
      <w:r>
        <w:rPr>
          <w:spacing w:val="-12"/>
        </w:rPr>
        <w:t xml:space="preserve"> </w:t>
      </w:r>
      <w:r>
        <w:t>identify and help address the ongoing challenges experienced by health plans, state Medicaid agencies, and providers (including pharmacists) in assuring accurate cost-sharing protections for the QMB population. One</w:t>
      </w:r>
      <w:r>
        <w:rPr>
          <w:spacing w:val="-12"/>
        </w:rPr>
        <w:t xml:space="preserve"> </w:t>
      </w:r>
      <w:r>
        <w:t>chall</w:t>
      </w:r>
      <w:r>
        <w:t>enge</w:t>
      </w:r>
      <w:r>
        <w:rPr>
          <w:spacing w:val="-12"/>
        </w:rPr>
        <w:t xml:space="preserve"> </w:t>
      </w:r>
      <w:r>
        <w:t>we</w:t>
      </w:r>
      <w:r>
        <w:rPr>
          <w:spacing w:val="-12"/>
        </w:rPr>
        <w:t xml:space="preserve"> </w:t>
      </w:r>
      <w:r>
        <w:t>recognize</w:t>
      </w:r>
      <w:r>
        <w:rPr>
          <w:spacing w:val="-14"/>
        </w:rPr>
        <w:t xml:space="preserve"> </w:t>
      </w:r>
      <w:r>
        <w:t>must</w:t>
      </w:r>
      <w:r>
        <w:rPr>
          <w:spacing w:val="-10"/>
        </w:rPr>
        <w:t xml:space="preserve"> </w:t>
      </w:r>
      <w:r>
        <w:t>be</w:t>
      </w:r>
      <w:r>
        <w:rPr>
          <w:spacing w:val="-12"/>
        </w:rPr>
        <w:t xml:space="preserve"> </w:t>
      </w:r>
      <w:r>
        <w:t>addressed</w:t>
      </w:r>
      <w:r>
        <w:rPr>
          <w:spacing w:val="-14"/>
        </w:rPr>
        <w:t xml:space="preserve"> </w:t>
      </w:r>
      <w:r>
        <w:t>is</w:t>
      </w:r>
      <w:r>
        <w:rPr>
          <w:spacing w:val="-10"/>
        </w:rPr>
        <w:t xml:space="preserve"> </w:t>
      </w:r>
      <w:r>
        <w:t>guaranteeing</w:t>
      </w:r>
      <w:r>
        <w:rPr>
          <w:spacing w:val="-14"/>
        </w:rPr>
        <w:t xml:space="preserve"> </w:t>
      </w:r>
      <w:r>
        <w:t>proper</w:t>
      </w:r>
      <w:r>
        <w:rPr>
          <w:spacing w:val="-13"/>
        </w:rPr>
        <w:t xml:space="preserve"> </w:t>
      </w:r>
      <w:r>
        <w:t>identification</w:t>
      </w:r>
      <w:r>
        <w:rPr>
          <w:spacing w:val="-12"/>
        </w:rPr>
        <w:t xml:space="preserve"> </w:t>
      </w:r>
      <w:r>
        <w:t>of</w:t>
      </w:r>
      <w:r>
        <w:rPr>
          <w:spacing w:val="-11"/>
        </w:rPr>
        <w:t xml:space="preserve"> </w:t>
      </w:r>
      <w:r>
        <w:t>QMBs</w:t>
      </w:r>
      <w:r>
        <w:rPr>
          <w:spacing w:val="-12"/>
        </w:rPr>
        <w:t xml:space="preserve"> </w:t>
      </w:r>
      <w:r>
        <w:t>by</w:t>
      </w:r>
      <w:r>
        <w:rPr>
          <w:spacing w:val="-14"/>
        </w:rPr>
        <w:t xml:space="preserve"> </w:t>
      </w:r>
      <w:r>
        <w:t>providers. Currently,</w:t>
      </w:r>
      <w:r>
        <w:rPr>
          <w:spacing w:val="-13"/>
        </w:rPr>
        <w:t xml:space="preserve"> </w:t>
      </w:r>
      <w:r>
        <w:t>CMS</w:t>
      </w:r>
      <w:r>
        <w:rPr>
          <w:spacing w:val="-13"/>
        </w:rPr>
        <w:t xml:space="preserve"> </w:t>
      </w:r>
      <w:r>
        <w:t>instructs</w:t>
      </w:r>
      <w:r>
        <w:rPr>
          <w:spacing w:val="-13"/>
        </w:rPr>
        <w:t xml:space="preserve"> </w:t>
      </w:r>
      <w:r>
        <w:t>providers</w:t>
      </w:r>
      <w:r>
        <w:rPr>
          <w:spacing w:val="-13"/>
        </w:rPr>
        <w:t xml:space="preserve"> </w:t>
      </w:r>
      <w:r>
        <w:t>to</w:t>
      </w:r>
      <w:r>
        <w:rPr>
          <w:spacing w:val="-13"/>
        </w:rPr>
        <w:t xml:space="preserve"> </w:t>
      </w:r>
      <w:r>
        <w:t>contact</w:t>
      </w:r>
      <w:r>
        <w:rPr>
          <w:spacing w:val="-12"/>
        </w:rPr>
        <w:t xml:space="preserve"> </w:t>
      </w:r>
      <w:r>
        <w:t>state</w:t>
      </w:r>
      <w:r>
        <w:rPr>
          <w:spacing w:val="-13"/>
        </w:rPr>
        <w:t xml:space="preserve"> </w:t>
      </w:r>
      <w:r>
        <w:t>agencies</w:t>
      </w:r>
      <w:r>
        <w:rPr>
          <w:spacing w:val="-13"/>
        </w:rPr>
        <w:t xml:space="preserve"> </w:t>
      </w:r>
      <w:r>
        <w:t>and</w:t>
      </w:r>
      <w:r>
        <w:rPr>
          <w:spacing w:val="-13"/>
        </w:rPr>
        <w:t xml:space="preserve"> </w:t>
      </w:r>
      <w:r>
        <w:t>health</w:t>
      </w:r>
      <w:r>
        <w:rPr>
          <w:spacing w:val="-13"/>
        </w:rPr>
        <w:t xml:space="preserve"> </w:t>
      </w:r>
      <w:r>
        <w:t>plans</w:t>
      </w:r>
      <w:r>
        <w:rPr>
          <w:spacing w:val="-13"/>
        </w:rPr>
        <w:t xml:space="preserve"> </w:t>
      </w:r>
      <w:r>
        <w:t>to</w:t>
      </w:r>
      <w:r>
        <w:rPr>
          <w:spacing w:val="-13"/>
        </w:rPr>
        <w:t xml:space="preserve"> </w:t>
      </w:r>
      <w:r>
        <w:t>learn</w:t>
      </w:r>
      <w:r>
        <w:rPr>
          <w:spacing w:val="-13"/>
        </w:rPr>
        <w:t xml:space="preserve"> </w:t>
      </w:r>
      <w:r>
        <w:t>how</w:t>
      </w:r>
      <w:r>
        <w:rPr>
          <w:spacing w:val="-14"/>
        </w:rPr>
        <w:t xml:space="preserve"> </w:t>
      </w:r>
      <w:r>
        <w:t>to</w:t>
      </w:r>
      <w:r>
        <w:rPr>
          <w:spacing w:val="-13"/>
        </w:rPr>
        <w:t xml:space="preserve"> </w:t>
      </w:r>
      <w:r>
        <w:t>identify</w:t>
      </w:r>
      <w:r>
        <w:rPr>
          <w:spacing w:val="-16"/>
        </w:rPr>
        <w:t xml:space="preserve"> </w:t>
      </w:r>
      <w:r>
        <w:t>QMBs and to become familiar with identification cards used in their state. We suggest that CMS work with providers, health plans, and states to develop clear processes and protocols for QMB identification among all entities involved to help minimize provid</w:t>
      </w:r>
      <w:r>
        <w:t>er confusion. For example, CMS could require the establishment of clear points of contact at state Medicaid agencies for inquiries regarding QMB balance billing and explore the use of simpler, standardized approaches for QMB identification (e.g., particula</w:t>
      </w:r>
      <w:r>
        <w:t>r identifiers</w:t>
      </w:r>
      <w:r>
        <w:rPr>
          <w:spacing w:val="-14"/>
        </w:rPr>
        <w:t xml:space="preserve"> </w:t>
      </w:r>
      <w:r>
        <w:t>that</w:t>
      </w:r>
      <w:r>
        <w:rPr>
          <w:spacing w:val="-13"/>
        </w:rPr>
        <w:t xml:space="preserve"> </w:t>
      </w:r>
      <w:r>
        <w:t>may</w:t>
      </w:r>
      <w:r>
        <w:rPr>
          <w:spacing w:val="-14"/>
        </w:rPr>
        <w:t xml:space="preserve"> </w:t>
      </w:r>
      <w:r>
        <w:t>be</w:t>
      </w:r>
      <w:r>
        <w:rPr>
          <w:spacing w:val="-12"/>
        </w:rPr>
        <w:t xml:space="preserve"> </w:t>
      </w:r>
      <w:r>
        <w:t>assigned).</w:t>
      </w:r>
      <w:r>
        <w:rPr>
          <w:spacing w:val="-14"/>
        </w:rPr>
        <w:t xml:space="preserve"> </w:t>
      </w:r>
      <w:r>
        <w:t>Lastly,</w:t>
      </w:r>
      <w:r>
        <w:rPr>
          <w:spacing w:val="-12"/>
        </w:rPr>
        <w:t xml:space="preserve"> </w:t>
      </w:r>
      <w:r>
        <w:t>Anthem</w:t>
      </w:r>
      <w:r>
        <w:rPr>
          <w:spacing w:val="-15"/>
        </w:rPr>
        <w:t xml:space="preserve"> </w:t>
      </w:r>
      <w:r>
        <w:t>encourages</w:t>
      </w:r>
      <w:r>
        <w:rPr>
          <w:spacing w:val="-11"/>
        </w:rPr>
        <w:t xml:space="preserve"> </w:t>
      </w:r>
      <w:r>
        <w:t>CMS</w:t>
      </w:r>
      <w:r>
        <w:rPr>
          <w:spacing w:val="-14"/>
        </w:rPr>
        <w:t xml:space="preserve"> </w:t>
      </w:r>
      <w:r>
        <w:t>to</w:t>
      </w:r>
      <w:r>
        <w:rPr>
          <w:spacing w:val="-12"/>
        </w:rPr>
        <w:t xml:space="preserve"> </w:t>
      </w:r>
      <w:r>
        <w:t>continue</w:t>
      </w:r>
      <w:r>
        <w:rPr>
          <w:spacing w:val="-16"/>
        </w:rPr>
        <w:t xml:space="preserve"> </w:t>
      </w:r>
      <w:r>
        <w:t>to</w:t>
      </w:r>
      <w:r>
        <w:rPr>
          <w:spacing w:val="-12"/>
        </w:rPr>
        <w:t xml:space="preserve"> </w:t>
      </w:r>
      <w:r>
        <w:t>hold</w:t>
      </w:r>
      <w:r>
        <w:rPr>
          <w:spacing w:val="-14"/>
        </w:rPr>
        <w:t xml:space="preserve"> </w:t>
      </w:r>
      <w:r>
        <w:t>all</w:t>
      </w:r>
      <w:r>
        <w:rPr>
          <w:spacing w:val="-13"/>
        </w:rPr>
        <w:t xml:space="preserve"> </w:t>
      </w:r>
      <w:r>
        <w:t>entities,</w:t>
      </w:r>
      <w:r>
        <w:rPr>
          <w:spacing w:val="-14"/>
        </w:rPr>
        <w:t xml:space="preserve"> </w:t>
      </w:r>
      <w:r>
        <w:t>including health plans, states, and all provider types, accountable for compliance with the balance billing protection of QMB</w:t>
      </w:r>
      <w:r>
        <w:rPr>
          <w:spacing w:val="-5"/>
        </w:rPr>
        <w:t xml:space="preserve"> </w:t>
      </w:r>
      <w:r>
        <w:t>enrollees.</w:t>
      </w:r>
    </w:p>
    <w:p w:rsidR="00805174" w:rsidRDefault="00805174">
      <w:pPr>
        <w:pStyle w:val="BodyText"/>
        <w:spacing w:before="8"/>
        <w:rPr>
          <w:sz w:val="21"/>
        </w:rPr>
      </w:pPr>
    </w:p>
    <w:p w:rsidR="00805174" w:rsidRDefault="000A64A3">
      <w:pPr>
        <w:spacing w:before="1"/>
        <w:ind w:left="100"/>
        <w:jc w:val="both"/>
        <w:rPr>
          <w:i/>
        </w:rPr>
      </w:pPr>
      <w:r>
        <w:rPr>
          <w:i/>
        </w:rPr>
        <w:t>Encounter Data Li</w:t>
      </w:r>
      <w:r>
        <w:rPr>
          <w:i/>
        </w:rPr>
        <w:t>stening Forums, Monitoring and Compliance Activities</w:t>
      </w:r>
    </w:p>
    <w:p w:rsidR="00805174" w:rsidRDefault="00805174">
      <w:pPr>
        <w:pStyle w:val="BodyText"/>
        <w:rPr>
          <w:i/>
        </w:rPr>
      </w:pPr>
    </w:p>
    <w:p w:rsidR="00805174" w:rsidRDefault="000A64A3">
      <w:pPr>
        <w:pStyle w:val="BodyText"/>
        <w:ind w:left="100" w:right="235"/>
        <w:jc w:val="both"/>
      </w:pPr>
      <w:r>
        <w:t>Though</w:t>
      </w:r>
      <w:r>
        <w:rPr>
          <w:spacing w:val="-6"/>
        </w:rPr>
        <w:t xml:space="preserve"> </w:t>
      </w:r>
      <w:r>
        <w:t>the</w:t>
      </w:r>
      <w:r>
        <w:rPr>
          <w:spacing w:val="-6"/>
        </w:rPr>
        <w:t xml:space="preserve"> </w:t>
      </w:r>
      <w:r>
        <w:t>current</w:t>
      </w:r>
      <w:r>
        <w:rPr>
          <w:spacing w:val="-2"/>
        </w:rPr>
        <w:t xml:space="preserve"> </w:t>
      </w:r>
      <w:r>
        <w:t>EDS</w:t>
      </w:r>
      <w:r>
        <w:rPr>
          <w:spacing w:val="-6"/>
        </w:rPr>
        <w:t xml:space="preserve"> </w:t>
      </w:r>
      <w:r>
        <w:t>faces</w:t>
      </w:r>
      <w:r>
        <w:rPr>
          <w:spacing w:val="-3"/>
        </w:rPr>
        <w:t xml:space="preserve"> </w:t>
      </w:r>
      <w:r>
        <w:t>numerous</w:t>
      </w:r>
      <w:r>
        <w:rPr>
          <w:spacing w:val="-3"/>
        </w:rPr>
        <w:t xml:space="preserve"> </w:t>
      </w:r>
      <w:r>
        <w:t>challenges,</w:t>
      </w:r>
      <w:r>
        <w:rPr>
          <w:spacing w:val="-5"/>
        </w:rPr>
        <w:t xml:space="preserve"> </w:t>
      </w:r>
      <w:r>
        <w:t>Anthem</w:t>
      </w:r>
      <w:r>
        <w:rPr>
          <w:spacing w:val="-7"/>
        </w:rPr>
        <w:t xml:space="preserve"> </w:t>
      </w:r>
      <w:r>
        <w:t>continues</w:t>
      </w:r>
      <w:r>
        <w:rPr>
          <w:spacing w:val="-5"/>
        </w:rPr>
        <w:t xml:space="preserve"> </w:t>
      </w:r>
      <w:r>
        <w:t>to</w:t>
      </w:r>
      <w:r>
        <w:rPr>
          <w:spacing w:val="-6"/>
        </w:rPr>
        <w:t xml:space="preserve"> </w:t>
      </w:r>
      <w:r>
        <w:t>support</w:t>
      </w:r>
      <w:r>
        <w:rPr>
          <w:spacing w:val="-7"/>
        </w:rPr>
        <w:t xml:space="preserve"> </w:t>
      </w:r>
      <w:r>
        <w:t>an</w:t>
      </w:r>
      <w:r>
        <w:rPr>
          <w:spacing w:val="-3"/>
        </w:rPr>
        <w:t xml:space="preserve"> </w:t>
      </w:r>
      <w:r>
        <w:t>eventual</w:t>
      </w:r>
      <w:r>
        <w:rPr>
          <w:spacing w:val="-5"/>
        </w:rPr>
        <w:t xml:space="preserve"> </w:t>
      </w:r>
      <w:r>
        <w:t>transition</w:t>
      </w:r>
      <w:r>
        <w:rPr>
          <w:spacing w:val="-6"/>
        </w:rPr>
        <w:t xml:space="preserve"> </w:t>
      </w:r>
      <w:r>
        <w:t>to a risk adjustment system based fully on encounter data. However, we stress the importance of established milestones—including the need for all testing of the filtering logic to be completed prior to bid submission—in order for the transition to be succe</w:t>
      </w:r>
      <w:r>
        <w:t>ssfully implemented. These milestones require plan engagement and CMS transparency—two elements that are key to a properly functioning, valid, and accurate system. Below we highlight those</w:t>
      </w:r>
      <w:r>
        <w:rPr>
          <w:spacing w:val="-14"/>
        </w:rPr>
        <w:t xml:space="preserve"> </w:t>
      </w:r>
      <w:r>
        <w:t>milestones:</w:t>
      </w:r>
    </w:p>
    <w:p w:rsidR="00805174" w:rsidRDefault="00805174">
      <w:pPr>
        <w:pStyle w:val="BodyText"/>
        <w:spacing w:before="6"/>
      </w:pPr>
    </w:p>
    <w:tbl>
      <w:tblPr>
        <w:tblW w:w="0" w:type="auto"/>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6930"/>
      </w:tblGrid>
      <w:tr w:rsidR="00805174">
        <w:trPr>
          <w:trHeight w:hRule="exact" w:val="274"/>
        </w:trPr>
        <w:tc>
          <w:tcPr>
            <w:tcW w:w="2432" w:type="dxa"/>
          </w:tcPr>
          <w:p w:rsidR="00805174" w:rsidRDefault="000A64A3">
            <w:pPr>
              <w:pStyle w:val="TableParagraph"/>
              <w:spacing w:before="0" w:line="252" w:lineRule="exact"/>
              <w:ind w:left="98"/>
              <w:rPr>
                <w:rFonts w:ascii="Times New Roman"/>
                <w:b/>
              </w:rPr>
            </w:pPr>
            <w:r>
              <w:rPr>
                <w:rFonts w:ascii="Times New Roman"/>
                <w:b/>
              </w:rPr>
              <w:t>Milestone</w:t>
            </w:r>
          </w:p>
        </w:tc>
        <w:tc>
          <w:tcPr>
            <w:tcW w:w="6930" w:type="dxa"/>
          </w:tcPr>
          <w:p w:rsidR="00805174" w:rsidRDefault="000A64A3">
            <w:pPr>
              <w:pStyle w:val="TableParagraph"/>
              <w:spacing w:before="0" w:line="252" w:lineRule="exact"/>
              <w:ind w:left="98"/>
              <w:rPr>
                <w:rFonts w:ascii="Times New Roman"/>
                <w:b/>
              </w:rPr>
            </w:pPr>
            <w:r>
              <w:rPr>
                <w:rFonts w:ascii="Times New Roman"/>
                <w:b/>
              </w:rPr>
              <w:t>Measure</w:t>
            </w:r>
          </w:p>
        </w:tc>
      </w:tr>
      <w:tr w:rsidR="00805174">
        <w:trPr>
          <w:trHeight w:hRule="exact" w:val="811"/>
        </w:trPr>
        <w:tc>
          <w:tcPr>
            <w:tcW w:w="2432" w:type="dxa"/>
          </w:tcPr>
          <w:p w:rsidR="00805174" w:rsidRDefault="000A64A3">
            <w:pPr>
              <w:pStyle w:val="TableParagraph"/>
              <w:spacing w:before="135"/>
              <w:ind w:left="98" w:right="376"/>
              <w:rPr>
                <w:rFonts w:ascii="Times New Roman"/>
              </w:rPr>
            </w:pPr>
            <w:r>
              <w:rPr>
                <w:rFonts w:ascii="Times New Roman"/>
              </w:rPr>
              <w:t>Accurate data capture and intake by CMS</w:t>
            </w:r>
          </w:p>
        </w:tc>
        <w:tc>
          <w:tcPr>
            <w:tcW w:w="6930" w:type="dxa"/>
          </w:tcPr>
          <w:p w:rsidR="00805174" w:rsidRDefault="000A64A3">
            <w:pPr>
              <w:pStyle w:val="TableParagraph"/>
              <w:numPr>
                <w:ilvl w:val="0"/>
                <w:numId w:val="6"/>
              </w:numPr>
              <w:tabs>
                <w:tab w:val="left" w:pos="262"/>
              </w:tabs>
              <w:spacing w:before="0"/>
              <w:ind w:right="633" w:hanging="163"/>
              <w:rPr>
                <w:rFonts w:ascii="Times New Roman"/>
              </w:rPr>
            </w:pPr>
            <w:r>
              <w:rPr>
                <w:rFonts w:ascii="Times New Roman"/>
              </w:rPr>
              <w:t>Plan MAO-002 submissions match data input by CMS (this phase is largely</w:t>
            </w:r>
            <w:r>
              <w:rPr>
                <w:rFonts w:ascii="Times New Roman"/>
                <w:spacing w:val="-4"/>
              </w:rPr>
              <w:t xml:space="preserve"> </w:t>
            </w:r>
            <w:r>
              <w:rPr>
                <w:rFonts w:ascii="Times New Roman"/>
              </w:rPr>
              <w:t>complete).</w:t>
            </w:r>
          </w:p>
          <w:p w:rsidR="00805174" w:rsidRDefault="000A64A3">
            <w:pPr>
              <w:pStyle w:val="TableParagraph"/>
              <w:numPr>
                <w:ilvl w:val="0"/>
                <w:numId w:val="6"/>
              </w:numPr>
              <w:tabs>
                <w:tab w:val="left" w:pos="262"/>
              </w:tabs>
              <w:spacing w:before="7"/>
              <w:ind w:hanging="163"/>
              <w:rPr>
                <w:rFonts w:ascii="Times New Roman"/>
              </w:rPr>
            </w:pPr>
            <w:r>
              <w:rPr>
                <w:rFonts w:ascii="Times New Roman"/>
              </w:rPr>
              <w:t>CMS and plans address all issues with the new version of the</w:t>
            </w:r>
            <w:r>
              <w:rPr>
                <w:rFonts w:ascii="Times New Roman"/>
                <w:spacing w:val="-19"/>
              </w:rPr>
              <w:t xml:space="preserve"> </w:t>
            </w:r>
            <w:r>
              <w:rPr>
                <w:rFonts w:ascii="Times New Roman"/>
              </w:rPr>
              <w:t>MAO-004.</w:t>
            </w:r>
          </w:p>
        </w:tc>
      </w:tr>
      <w:tr w:rsidR="00805174">
        <w:trPr>
          <w:trHeight w:hRule="exact" w:val="3605"/>
        </w:trPr>
        <w:tc>
          <w:tcPr>
            <w:tcW w:w="2432" w:type="dxa"/>
          </w:tcPr>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0A64A3">
            <w:pPr>
              <w:pStyle w:val="TableParagraph"/>
              <w:spacing w:before="153"/>
              <w:ind w:left="98" w:right="83"/>
              <w:rPr>
                <w:rFonts w:ascii="Times New Roman"/>
              </w:rPr>
            </w:pPr>
            <w:r>
              <w:rPr>
                <w:rFonts w:ascii="Times New Roman"/>
              </w:rPr>
              <w:t>Accurate data processing in payment system</w:t>
            </w:r>
          </w:p>
        </w:tc>
        <w:tc>
          <w:tcPr>
            <w:tcW w:w="6930" w:type="dxa"/>
          </w:tcPr>
          <w:p w:rsidR="00805174" w:rsidRDefault="000A64A3">
            <w:pPr>
              <w:pStyle w:val="TableParagraph"/>
              <w:numPr>
                <w:ilvl w:val="0"/>
                <w:numId w:val="5"/>
              </w:numPr>
              <w:tabs>
                <w:tab w:val="left" w:pos="262"/>
              </w:tabs>
              <w:spacing w:before="0"/>
              <w:ind w:right="281" w:hanging="163"/>
              <w:jc w:val="both"/>
              <w:rPr>
                <w:rFonts w:ascii="Times New Roman"/>
              </w:rPr>
            </w:pPr>
            <w:r>
              <w:rPr>
                <w:rFonts w:ascii="Times New Roman"/>
              </w:rPr>
              <w:t>Every submitted encounter that is eligible for payment must be accepted by CMS. Conversely, encounters that are not eligible for payment must be denied. Specifically, this standard has two vital</w:t>
            </w:r>
            <w:r>
              <w:rPr>
                <w:rFonts w:ascii="Times New Roman"/>
                <w:spacing w:val="-22"/>
              </w:rPr>
              <w:t xml:space="preserve"> </w:t>
            </w:r>
            <w:r>
              <w:rPr>
                <w:rFonts w:ascii="Times New Roman"/>
              </w:rPr>
              <w:t>parts:</w:t>
            </w:r>
          </w:p>
          <w:p w:rsidR="00805174" w:rsidRDefault="000A64A3">
            <w:pPr>
              <w:pStyle w:val="TableParagraph"/>
              <w:numPr>
                <w:ilvl w:val="1"/>
                <w:numId w:val="5"/>
              </w:numPr>
              <w:tabs>
                <w:tab w:val="left" w:pos="622"/>
              </w:tabs>
              <w:spacing w:before="9" w:line="262" w:lineRule="exact"/>
              <w:rPr>
                <w:rFonts w:ascii="Times New Roman"/>
              </w:rPr>
            </w:pPr>
            <w:r>
              <w:rPr>
                <w:rFonts w:ascii="Times New Roman"/>
              </w:rPr>
              <w:t>Data Accuracy (6 to 12-month validation</w:t>
            </w:r>
            <w:r>
              <w:rPr>
                <w:rFonts w:ascii="Times New Roman"/>
                <w:spacing w:val="-15"/>
              </w:rPr>
              <w:t xml:space="preserve"> </w:t>
            </w:r>
            <w:r>
              <w:rPr>
                <w:rFonts w:ascii="Times New Roman"/>
              </w:rPr>
              <w:t>period):</w:t>
            </w:r>
          </w:p>
          <w:p w:rsidR="00805174" w:rsidRDefault="000A64A3">
            <w:pPr>
              <w:pStyle w:val="TableParagraph"/>
              <w:numPr>
                <w:ilvl w:val="2"/>
                <w:numId w:val="5"/>
              </w:numPr>
              <w:tabs>
                <w:tab w:val="left" w:pos="982"/>
              </w:tabs>
              <w:spacing w:before="0" w:line="235" w:lineRule="auto"/>
              <w:ind w:right="263"/>
              <w:rPr>
                <w:rFonts w:ascii="Times New Roman"/>
              </w:rPr>
            </w:pPr>
            <w:r>
              <w:rPr>
                <w:rFonts w:ascii="Times New Roman"/>
              </w:rPr>
              <w:t>Data must be retained throughout processing. All accepted encounter data needs to match submitted data to ensure integrity of the data and</w:t>
            </w:r>
            <w:r>
              <w:rPr>
                <w:rFonts w:ascii="Times New Roman"/>
                <w:spacing w:val="-5"/>
              </w:rPr>
              <w:t xml:space="preserve"> </w:t>
            </w:r>
            <w:r>
              <w:rPr>
                <w:rFonts w:ascii="Times New Roman"/>
              </w:rPr>
              <w:t>process.</w:t>
            </w:r>
          </w:p>
          <w:p w:rsidR="00805174" w:rsidRDefault="000A64A3">
            <w:pPr>
              <w:pStyle w:val="TableParagraph"/>
              <w:numPr>
                <w:ilvl w:val="2"/>
                <w:numId w:val="5"/>
              </w:numPr>
              <w:tabs>
                <w:tab w:val="left" w:pos="982"/>
              </w:tabs>
              <w:spacing w:before="13" w:line="252" w:lineRule="exact"/>
              <w:ind w:right="98"/>
              <w:rPr>
                <w:rFonts w:ascii="Times New Roman"/>
              </w:rPr>
            </w:pPr>
            <w:r>
              <w:rPr>
                <w:rFonts w:ascii="Times New Roman"/>
              </w:rPr>
              <w:t>For example: Eliminate mismatched Beneficiary Health Insurance Claim Numbers</w:t>
            </w:r>
            <w:r>
              <w:rPr>
                <w:rFonts w:ascii="Times New Roman"/>
                <w:spacing w:val="-8"/>
              </w:rPr>
              <w:t xml:space="preserve"> </w:t>
            </w:r>
            <w:r>
              <w:rPr>
                <w:rFonts w:ascii="Times New Roman"/>
              </w:rPr>
              <w:t>(HICNs).</w:t>
            </w:r>
          </w:p>
          <w:p w:rsidR="00805174" w:rsidRDefault="000A64A3">
            <w:pPr>
              <w:pStyle w:val="TableParagraph"/>
              <w:numPr>
                <w:ilvl w:val="1"/>
                <w:numId w:val="5"/>
              </w:numPr>
              <w:tabs>
                <w:tab w:val="left" w:pos="622"/>
              </w:tabs>
              <w:spacing w:before="0" w:line="259" w:lineRule="exact"/>
              <w:rPr>
                <w:rFonts w:ascii="Times New Roman"/>
              </w:rPr>
            </w:pPr>
            <w:r>
              <w:rPr>
                <w:rFonts w:ascii="Times New Roman"/>
              </w:rPr>
              <w:t>Filtering logic progra</w:t>
            </w:r>
            <w:r>
              <w:rPr>
                <w:rFonts w:ascii="Times New Roman"/>
              </w:rPr>
              <w:t>mmed to accurately reflect payment</w:t>
            </w:r>
            <w:r>
              <w:rPr>
                <w:rFonts w:ascii="Times New Roman"/>
                <w:spacing w:val="-22"/>
              </w:rPr>
              <w:t xml:space="preserve"> </w:t>
            </w:r>
            <w:r>
              <w:rPr>
                <w:rFonts w:ascii="Times New Roman"/>
              </w:rPr>
              <w:t>policy:</w:t>
            </w:r>
          </w:p>
          <w:p w:rsidR="00805174" w:rsidRDefault="000A64A3">
            <w:pPr>
              <w:pStyle w:val="TableParagraph"/>
              <w:numPr>
                <w:ilvl w:val="2"/>
                <w:numId w:val="5"/>
              </w:numPr>
              <w:tabs>
                <w:tab w:val="left" w:pos="982"/>
              </w:tabs>
              <w:spacing w:before="2" w:line="228" w:lineRule="auto"/>
              <w:ind w:right="202"/>
              <w:rPr>
                <w:rFonts w:ascii="Times New Roman"/>
              </w:rPr>
            </w:pPr>
            <w:r>
              <w:rPr>
                <w:rFonts w:ascii="Times New Roman"/>
              </w:rPr>
              <w:t>All information that impacts MA payment needs to be accurately configured in the filtering</w:t>
            </w:r>
            <w:r>
              <w:rPr>
                <w:rFonts w:ascii="Times New Roman"/>
                <w:spacing w:val="-15"/>
              </w:rPr>
              <w:t xml:space="preserve"> </w:t>
            </w:r>
            <w:r>
              <w:rPr>
                <w:rFonts w:ascii="Times New Roman"/>
              </w:rPr>
              <w:t>logic.</w:t>
            </w:r>
          </w:p>
          <w:p w:rsidR="00805174" w:rsidRDefault="000A64A3">
            <w:pPr>
              <w:pStyle w:val="TableParagraph"/>
              <w:numPr>
                <w:ilvl w:val="0"/>
                <w:numId w:val="5"/>
              </w:numPr>
              <w:tabs>
                <w:tab w:val="left" w:pos="262"/>
              </w:tabs>
              <w:spacing w:before="0"/>
              <w:ind w:right="323" w:hanging="163"/>
              <w:jc w:val="both"/>
              <w:rPr>
                <w:rFonts w:ascii="Times New Roman"/>
              </w:rPr>
            </w:pPr>
            <w:r>
              <w:rPr>
                <w:rFonts w:ascii="Times New Roman"/>
              </w:rPr>
              <w:t>CMS should share comparisons they have with each plan and/or mask a couple contracts and show results at a high</w:t>
            </w:r>
            <w:r>
              <w:rPr>
                <w:rFonts w:ascii="Times New Roman"/>
                <w:spacing w:val="-15"/>
              </w:rPr>
              <w:t xml:space="preserve"> </w:t>
            </w:r>
            <w:r>
              <w:rPr>
                <w:rFonts w:ascii="Times New Roman"/>
              </w:rPr>
              <w:t>lev</w:t>
            </w:r>
            <w:r>
              <w:rPr>
                <w:rFonts w:ascii="Times New Roman"/>
              </w:rPr>
              <w:t>el.</w:t>
            </w:r>
          </w:p>
        </w:tc>
      </w:tr>
    </w:tbl>
    <w:p w:rsidR="00805174" w:rsidRDefault="00805174">
      <w:pPr>
        <w:jc w:val="both"/>
        <w:sectPr w:rsidR="00805174">
          <w:pgSz w:w="12240" w:h="15840"/>
          <w:pgMar w:top="1360" w:right="1200" w:bottom="1200" w:left="1340" w:header="0" w:footer="1015" w:gutter="0"/>
          <w:cols w:space="720"/>
        </w:sectPr>
      </w:pPr>
    </w:p>
    <w:tbl>
      <w:tblPr>
        <w:tblW w:w="0" w:type="auto"/>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6930"/>
      </w:tblGrid>
      <w:tr w:rsidR="00805174">
        <w:trPr>
          <w:trHeight w:hRule="exact" w:val="274"/>
        </w:trPr>
        <w:tc>
          <w:tcPr>
            <w:tcW w:w="2432" w:type="dxa"/>
          </w:tcPr>
          <w:p w:rsidR="00805174" w:rsidRDefault="000A64A3">
            <w:pPr>
              <w:pStyle w:val="TableParagraph"/>
              <w:spacing w:before="0" w:line="252" w:lineRule="exact"/>
              <w:ind w:left="98"/>
              <w:rPr>
                <w:rFonts w:ascii="Times New Roman"/>
                <w:b/>
              </w:rPr>
            </w:pPr>
            <w:r>
              <w:rPr>
                <w:rFonts w:ascii="Times New Roman"/>
                <w:b/>
              </w:rPr>
              <w:lastRenderedPageBreak/>
              <w:t>Milestone</w:t>
            </w:r>
          </w:p>
        </w:tc>
        <w:tc>
          <w:tcPr>
            <w:tcW w:w="6930" w:type="dxa"/>
          </w:tcPr>
          <w:p w:rsidR="00805174" w:rsidRDefault="000A64A3">
            <w:pPr>
              <w:pStyle w:val="TableParagraph"/>
              <w:spacing w:before="0" w:line="252" w:lineRule="exact"/>
              <w:ind w:left="98"/>
              <w:rPr>
                <w:rFonts w:ascii="Times New Roman"/>
                <w:b/>
              </w:rPr>
            </w:pPr>
            <w:r>
              <w:rPr>
                <w:rFonts w:ascii="Times New Roman"/>
                <w:b/>
              </w:rPr>
              <w:t>Measure</w:t>
            </w:r>
          </w:p>
        </w:tc>
      </w:tr>
      <w:tr w:rsidR="00805174">
        <w:trPr>
          <w:trHeight w:hRule="exact" w:val="521"/>
        </w:trPr>
        <w:tc>
          <w:tcPr>
            <w:tcW w:w="2432" w:type="dxa"/>
          </w:tcPr>
          <w:p w:rsidR="00805174" w:rsidRDefault="00805174"/>
        </w:tc>
        <w:tc>
          <w:tcPr>
            <w:tcW w:w="6930" w:type="dxa"/>
          </w:tcPr>
          <w:p w:rsidR="00805174" w:rsidRDefault="000A64A3">
            <w:pPr>
              <w:pStyle w:val="TableParagraph"/>
              <w:numPr>
                <w:ilvl w:val="0"/>
                <w:numId w:val="4"/>
              </w:numPr>
              <w:tabs>
                <w:tab w:val="left" w:pos="262"/>
              </w:tabs>
              <w:spacing w:before="0" w:line="243" w:lineRule="exact"/>
              <w:ind w:hanging="163"/>
              <w:rPr>
                <w:rFonts w:ascii="Times New Roman"/>
              </w:rPr>
            </w:pPr>
            <w:r>
              <w:rPr>
                <w:rFonts w:ascii="Times New Roman"/>
              </w:rPr>
              <w:t>Plans should be involved in testing of the EDS payments. Testing</w:t>
            </w:r>
            <w:r>
              <w:rPr>
                <w:rFonts w:ascii="Times New Roman"/>
                <w:spacing w:val="-19"/>
              </w:rPr>
              <w:t xml:space="preserve"> </w:t>
            </w:r>
            <w:r>
              <w:rPr>
                <w:rFonts w:ascii="Times New Roman"/>
              </w:rPr>
              <w:t>should</w:t>
            </w:r>
          </w:p>
          <w:p w:rsidR="00805174" w:rsidRDefault="000A64A3">
            <w:pPr>
              <w:pStyle w:val="TableParagraph"/>
              <w:spacing w:before="0"/>
              <w:ind w:left="261"/>
              <w:rPr>
                <w:rFonts w:ascii="Times New Roman"/>
              </w:rPr>
            </w:pPr>
            <w:r>
              <w:rPr>
                <w:rFonts w:ascii="Times New Roman"/>
              </w:rPr>
              <w:t>use DOS 2015 or a model of focus on a particular contract.</w:t>
            </w:r>
          </w:p>
        </w:tc>
      </w:tr>
      <w:tr w:rsidR="00805174">
        <w:trPr>
          <w:trHeight w:hRule="exact" w:val="2597"/>
        </w:trPr>
        <w:tc>
          <w:tcPr>
            <w:tcW w:w="2432" w:type="dxa"/>
          </w:tcPr>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0A64A3">
            <w:pPr>
              <w:pStyle w:val="TableParagraph"/>
              <w:spacing w:before="202"/>
              <w:ind w:left="98" w:right="607"/>
              <w:rPr>
                <w:rFonts w:ascii="Times New Roman"/>
              </w:rPr>
            </w:pPr>
            <w:r>
              <w:rPr>
                <w:rFonts w:ascii="Times New Roman"/>
              </w:rPr>
              <w:t>Rigorous testing of filtering logic</w:t>
            </w:r>
          </w:p>
        </w:tc>
        <w:tc>
          <w:tcPr>
            <w:tcW w:w="6930" w:type="dxa"/>
          </w:tcPr>
          <w:p w:rsidR="00805174" w:rsidRDefault="000A64A3">
            <w:pPr>
              <w:pStyle w:val="TableParagraph"/>
              <w:numPr>
                <w:ilvl w:val="0"/>
                <w:numId w:val="3"/>
              </w:numPr>
              <w:tabs>
                <w:tab w:val="left" w:pos="458"/>
                <w:tab w:val="left" w:pos="459"/>
              </w:tabs>
              <w:spacing w:before="0"/>
              <w:ind w:right="492"/>
              <w:rPr>
                <w:rFonts w:ascii="Times New Roman"/>
              </w:rPr>
            </w:pPr>
            <w:r>
              <w:rPr>
                <w:rFonts w:ascii="Times New Roman"/>
              </w:rPr>
              <w:t>CMS should partner with plans and provide raps to EDS compare reports by Payment Year. We have questions internally about DOS 2016 and have a level of doubt as there is delay in MAO-004 (~45 days)</w:t>
            </w:r>
          </w:p>
          <w:p w:rsidR="00805174" w:rsidRDefault="000A64A3">
            <w:pPr>
              <w:pStyle w:val="TableParagraph"/>
              <w:numPr>
                <w:ilvl w:val="0"/>
                <w:numId w:val="3"/>
              </w:numPr>
              <w:tabs>
                <w:tab w:val="left" w:pos="459"/>
              </w:tabs>
              <w:spacing w:before="7"/>
              <w:ind w:right="249"/>
              <w:jc w:val="both"/>
              <w:rPr>
                <w:rFonts w:ascii="Times New Roman"/>
              </w:rPr>
            </w:pPr>
            <w:r>
              <w:rPr>
                <w:rFonts w:ascii="Times New Roman"/>
              </w:rPr>
              <w:t>All testing must be completed prospectively before the bid submission deadline (i.e., for the 2019 bid cycle, CMS should complete all testing of the filtering logic by June</w:t>
            </w:r>
            <w:r>
              <w:rPr>
                <w:rFonts w:ascii="Times New Roman"/>
                <w:spacing w:val="-13"/>
              </w:rPr>
              <w:t xml:space="preserve"> </w:t>
            </w:r>
            <w:r>
              <w:rPr>
                <w:rFonts w:ascii="Times New Roman"/>
              </w:rPr>
              <w:t>2018).</w:t>
            </w:r>
          </w:p>
          <w:p w:rsidR="00805174" w:rsidRDefault="000A64A3">
            <w:pPr>
              <w:pStyle w:val="TableParagraph"/>
              <w:numPr>
                <w:ilvl w:val="0"/>
                <w:numId w:val="3"/>
              </w:numPr>
              <w:tabs>
                <w:tab w:val="left" w:pos="458"/>
                <w:tab w:val="left" w:pos="459"/>
              </w:tabs>
              <w:spacing w:before="0"/>
              <w:ind w:right="121"/>
              <w:rPr>
                <w:rFonts w:ascii="Times New Roman"/>
              </w:rPr>
            </w:pPr>
            <w:r>
              <w:rPr>
                <w:rFonts w:ascii="Times New Roman"/>
              </w:rPr>
              <w:t>Plans rely on this information to form assumptions, which are then</w:t>
            </w:r>
            <w:r>
              <w:rPr>
                <w:rFonts w:ascii="Times New Roman"/>
                <w:spacing w:val="-24"/>
              </w:rPr>
              <w:t xml:space="preserve"> </w:t>
            </w:r>
            <w:r>
              <w:rPr>
                <w:rFonts w:ascii="Times New Roman"/>
              </w:rPr>
              <w:t>built into the bid submitted to CMS. Inaccurate information leads to real beneficiary impacts, including the loss of value-added</w:t>
            </w:r>
            <w:r>
              <w:rPr>
                <w:rFonts w:ascii="Times New Roman"/>
                <w:spacing w:val="-17"/>
              </w:rPr>
              <w:t xml:space="preserve"> </w:t>
            </w:r>
            <w:r>
              <w:rPr>
                <w:rFonts w:ascii="Times New Roman"/>
              </w:rPr>
              <w:t>benefits.</w:t>
            </w:r>
          </w:p>
        </w:tc>
      </w:tr>
      <w:tr w:rsidR="00805174">
        <w:trPr>
          <w:trHeight w:hRule="exact" w:val="1808"/>
        </w:trPr>
        <w:tc>
          <w:tcPr>
            <w:tcW w:w="2432" w:type="dxa"/>
          </w:tcPr>
          <w:p w:rsidR="00805174" w:rsidRDefault="00805174">
            <w:pPr>
              <w:pStyle w:val="TableParagraph"/>
              <w:spacing w:before="0"/>
              <w:rPr>
                <w:rFonts w:ascii="Times New Roman"/>
                <w:sz w:val="24"/>
              </w:rPr>
            </w:pPr>
          </w:p>
          <w:p w:rsidR="00805174" w:rsidRDefault="00805174">
            <w:pPr>
              <w:pStyle w:val="TableParagraph"/>
              <w:spacing w:before="0"/>
              <w:rPr>
                <w:rFonts w:ascii="Times New Roman"/>
                <w:sz w:val="24"/>
              </w:rPr>
            </w:pPr>
          </w:p>
          <w:p w:rsidR="00805174" w:rsidRDefault="000A64A3">
            <w:pPr>
              <w:pStyle w:val="TableParagraph"/>
              <w:spacing w:before="210"/>
              <w:ind w:left="98"/>
              <w:rPr>
                <w:rFonts w:ascii="Times New Roman"/>
              </w:rPr>
            </w:pPr>
            <w:r>
              <w:rPr>
                <w:rFonts w:ascii="Times New Roman"/>
              </w:rPr>
              <w:t>Payment Validation</w:t>
            </w:r>
          </w:p>
        </w:tc>
        <w:tc>
          <w:tcPr>
            <w:tcW w:w="6930" w:type="dxa"/>
          </w:tcPr>
          <w:p w:rsidR="00805174" w:rsidRDefault="000A64A3">
            <w:pPr>
              <w:pStyle w:val="TableParagraph"/>
              <w:numPr>
                <w:ilvl w:val="0"/>
                <w:numId w:val="2"/>
              </w:numPr>
              <w:tabs>
                <w:tab w:val="left" w:pos="262"/>
              </w:tabs>
              <w:spacing w:before="0" w:line="265" w:lineRule="exact"/>
              <w:ind w:hanging="163"/>
              <w:rPr>
                <w:rFonts w:ascii="Times New Roman"/>
              </w:rPr>
            </w:pPr>
            <w:r>
              <w:rPr>
                <w:rFonts w:ascii="Times New Roman"/>
              </w:rPr>
              <w:t>Ensure a clear and complete outline of reconciliation process,</w:t>
            </w:r>
            <w:r>
              <w:rPr>
                <w:rFonts w:ascii="Times New Roman"/>
                <w:spacing w:val="-25"/>
              </w:rPr>
              <w:t xml:space="preserve"> </w:t>
            </w:r>
            <w:r>
              <w:rPr>
                <w:rFonts w:ascii="Times New Roman"/>
              </w:rPr>
              <w:t>including:</w:t>
            </w:r>
          </w:p>
          <w:p w:rsidR="00805174" w:rsidRDefault="000A64A3">
            <w:pPr>
              <w:pStyle w:val="TableParagraph"/>
              <w:numPr>
                <w:ilvl w:val="1"/>
                <w:numId w:val="2"/>
              </w:numPr>
              <w:tabs>
                <w:tab w:val="left" w:pos="622"/>
              </w:tabs>
              <w:spacing w:before="0" w:line="262" w:lineRule="exact"/>
              <w:rPr>
                <w:rFonts w:ascii="Times New Roman"/>
              </w:rPr>
            </w:pPr>
            <w:r>
              <w:rPr>
                <w:rFonts w:ascii="Times New Roman"/>
              </w:rPr>
              <w:t>Method of payment validation, including models and</w:t>
            </w:r>
            <w:r>
              <w:rPr>
                <w:rFonts w:ascii="Times New Roman"/>
                <w:spacing w:val="-19"/>
              </w:rPr>
              <w:t xml:space="preserve"> </w:t>
            </w:r>
            <w:r>
              <w:rPr>
                <w:rFonts w:ascii="Times New Roman"/>
              </w:rPr>
              <w:t>examples</w:t>
            </w:r>
          </w:p>
          <w:p w:rsidR="00805174" w:rsidRDefault="000A64A3">
            <w:pPr>
              <w:pStyle w:val="TableParagraph"/>
              <w:numPr>
                <w:ilvl w:val="1"/>
                <w:numId w:val="2"/>
              </w:numPr>
              <w:tabs>
                <w:tab w:val="left" w:pos="622"/>
              </w:tabs>
              <w:spacing w:before="0" w:line="252" w:lineRule="exact"/>
              <w:rPr>
                <w:rFonts w:ascii="Times New Roman"/>
              </w:rPr>
            </w:pPr>
            <w:r>
              <w:rPr>
                <w:rFonts w:ascii="Times New Roman"/>
              </w:rPr>
              <w:t>Data to be used in payment</w:t>
            </w:r>
            <w:r>
              <w:rPr>
                <w:rFonts w:ascii="Times New Roman"/>
                <w:spacing w:val="-10"/>
              </w:rPr>
              <w:t xml:space="preserve"> </w:t>
            </w:r>
            <w:r>
              <w:rPr>
                <w:rFonts w:ascii="Times New Roman"/>
              </w:rPr>
              <w:t>validation</w:t>
            </w:r>
          </w:p>
          <w:p w:rsidR="00805174" w:rsidRDefault="000A64A3">
            <w:pPr>
              <w:pStyle w:val="TableParagraph"/>
              <w:numPr>
                <w:ilvl w:val="1"/>
                <w:numId w:val="2"/>
              </w:numPr>
              <w:tabs>
                <w:tab w:val="left" w:pos="622"/>
              </w:tabs>
              <w:spacing w:before="0" w:line="253" w:lineRule="exact"/>
              <w:rPr>
                <w:rFonts w:ascii="Times New Roman"/>
              </w:rPr>
            </w:pPr>
            <w:r>
              <w:rPr>
                <w:rFonts w:ascii="Times New Roman"/>
              </w:rPr>
              <w:t>Output from a test sample or</w:t>
            </w:r>
            <w:r>
              <w:rPr>
                <w:rFonts w:ascii="Times New Roman"/>
                <w:spacing w:val="-10"/>
              </w:rPr>
              <w:t xml:space="preserve"> </w:t>
            </w:r>
            <w:r>
              <w:rPr>
                <w:rFonts w:ascii="Times New Roman"/>
              </w:rPr>
              <w:t>contract</w:t>
            </w:r>
          </w:p>
          <w:p w:rsidR="00805174" w:rsidRDefault="000A64A3">
            <w:pPr>
              <w:pStyle w:val="TableParagraph"/>
              <w:numPr>
                <w:ilvl w:val="1"/>
                <w:numId w:val="2"/>
              </w:numPr>
              <w:tabs>
                <w:tab w:val="left" w:pos="622"/>
              </w:tabs>
              <w:spacing w:before="0" w:line="253" w:lineRule="exact"/>
              <w:rPr>
                <w:rFonts w:ascii="Times New Roman"/>
              </w:rPr>
            </w:pPr>
            <w:r>
              <w:rPr>
                <w:rFonts w:ascii="Times New Roman"/>
              </w:rPr>
              <w:t>Timeline for payment and</w:t>
            </w:r>
            <w:r>
              <w:rPr>
                <w:rFonts w:ascii="Times New Roman"/>
                <w:spacing w:val="-11"/>
              </w:rPr>
              <w:t xml:space="preserve"> </w:t>
            </w:r>
            <w:r>
              <w:rPr>
                <w:rFonts w:ascii="Times New Roman"/>
              </w:rPr>
              <w:t>reconciliation</w:t>
            </w:r>
          </w:p>
          <w:p w:rsidR="00805174" w:rsidRDefault="000A64A3">
            <w:pPr>
              <w:pStyle w:val="TableParagraph"/>
              <w:numPr>
                <w:ilvl w:val="1"/>
                <w:numId w:val="2"/>
              </w:numPr>
              <w:tabs>
                <w:tab w:val="left" w:pos="622"/>
              </w:tabs>
              <w:spacing w:before="0" w:line="253" w:lineRule="exact"/>
              <w:rPr>
                <w:rFonts w:ascii="Times New Roman"/>
              </w:rPr>
            </w:pPr>
            <w:r>
              <w:rPr>
                <w:rFonts w:ascii="Times New Roman"/>
              </w:rPr>
              <w:t>Appeals</w:t>
            </w:r>
            <w:r>
              <w:rPr>
                <w:rFonts w:ascii="Times New Roman"/>
                <w:spacing w:val="-6"/>
              </w:rPr>
              <w:t xml:space="preserve"> </w:t>
            </w:r>
            <w:r>
              <w:rPr>
                <w:rFonts w:ascii="Times New Roman"/>
              </w:rPr>
              <w:t>structure</w:t>
            </w:r>
          </w:p>
          <w:p w:rsidR="00805174" w:rsidRDefault="000A64A3">
            <w:pPr>
              <w:pStyle w:val="TableParagraph"/>
              <w:numPr>
                <w:ilvl w:val="1"/>
                <w:numId w:val="2"/>
              </w:numPr>
              <w:tabs>
                <w:tab w:val="left" w:pos="622"/>
              </w:tabs>
              <w:spacing w:before="0" w:line="263" w:lineRule="exact"/>
              <w:rPr>
                <w:rFonts w:ascii="Times New Roman"/>
              </w:rPr>
            </w:pPr>
            <w:r>
              <w:rPr>
                <w:rFonts w:ascii="Times New Roman"/>
              </w:rPr>
              <w:t>Testing</w:t>
            </w:r>
            <w:r>
              <w:rPr>
                <w:rFonts w:ascii="Times New Roman"/>
                <w:spacing w:val="-5"/>
              </w:rPr>
              <w:t xml:space="preserve"> </w:t>
            </w:r>
            <w:r>
              <w:rPr>
                <w:rFonts w:ascii="Times New Roman"/>
              </w:rPr>
              <w:t>methodology</w:t>
            </w:r>
          </w:p>
        </w:tc>
      </w:tr>
      <w:tr w:rsidR="00805174">
        <w:trPr>
          <w:trHeight w:hRule="exact" w:val="1032"/>
        </w:trPr>
        <w:tc>
          <w:tcPr>
            <w:tcW w:w="2432" w:type="dxa"/>
          </w:tcPr>
          <w:p w:rsidR="00805174" w:rsidRDefault="000A64A3">
            <w:pPr>
              <w:pStyle w:val="TableParagraph"/>
              <w:spacing w:before="0"/>
              <w:ind w:left="98" w:right="138"/>
              <w:rPr>
                <w:rFonts w:ascii="Times New Roman"/>
              </w:rPr>
            </w:pPr>
            <w:r>
              <w:rPr>
                <w:rFonts w:ascii="Times New Roman"/>
              </w:rPr>
              <w:t>Increased Transparency; Transactional Reports Must be Available to Plans</w:t>
            </w:r>
          </w:p>
        </w:tc>
        <w:tc>
          <w:tcPr>
            <w:tcW w:w="6930" w:type="dxa"/>
          </w:tcPr>
          <w:p w:rsidR="00805174" w:rsidRDefault="000A64A3">
            <w:pPr>
              <w:pStyle w:val="TableParagraph"/>
              <w:numPr>
                <w:ilvl w:val="0"/>
                <w:numId w:val="1"/>
              </w:numPr>
              <w:tabs>
                <w:tab w:val="left" w:pos="262"/>
              </w:tabs>
              <w:spacing w:before="105"/>
              <w:ind w:right="229" w:hanging="163"/>
              <w:rPr>
                <w:rFonts w:ascii="Times New Roman"/>
              </w:rPr>
            </w:pPr>
            <w:r>
              <w:rPr>
                <w:rFonts w:ascii="Times New Roman"/>
              </w:rPr>
              <w:t>All RAPS based reports should be made available for EDS data, with a 3 to 6-month testing</w:t>
            </w:r>
            <w:r>
              <w:rPr>
                <w:rFonts w:ascii="Times New Roman"/>
                <w:spacing w:val="-8"/>
              </w:rPr>
              <w:t xml:space="preserve"> </w:t>
            </w:r>
            <w:r>
              <w:rPr>
                <w:rFonts w:ascii="Times New Roman"/>
              </w:rPr>
              <w:t>period.</w:t>
            </w:r>
          </w:p>
          <w:p w:rsidR="00805174" w:rsidRDefault="000A64A3">
            <w:pPr>
              <w:pStyle w:val="TableParagraph"/>
              <w:numPr>
                <w:ilvl w:val="0"/>
                <w:numId w:val="1"/>
              </w:numPr>
              <w:tabs>
                <w:tab w:val="left" w:pos="262"/>
              </w:tabs>
              <w:spacing w:before="0"/>
              <w:ind w:hanging="163"/>
              <w:rPr>
                <w:rFonts w:ascii="Times New Roman"/>
              </w:rPr>
            </w:pPr>
            <w:r>
              <w:rPr>
                <w:rFonts w:ascii="Times New Roman"/>
              </w:rPr>
              <w:t>CMS should increase the rate at which MAO-004 will be</w:t>
            </w:r>
            <w:r>
              <w:rPr>
                <w:rFonts w:ascii="Times New Roman"/>
                <w:spacing w:val="-11"/>
              </w:rPr>
              <w:t xml:space="preserve"> </w:t>
            </w:r>
            <w:r>
              <w:rPr>
                <w:rFonts w:ascii="Times New Roman"/>
              </w:rPr>
              <w:t>issued.</w:t>
            </w:r>
          </w:p>
        </w:tc>
      </w:tr>
    </w:tbl>
    <w:p w:rsidR="00805174" w:rsidRDefault="00805174">
      <w:pPr>
        <w:pStyle w:val="BodyText"/>
        <w:spacing w:before="7"/>
        <w:rPr>
          <w:sz w:val="13"/>
        </w:rPr>
      </w:pPr>
    </w:p>
    <w:p w:rsidR="00805174" w:rsidRDefault="000A64A3">
      <w:pPr>
        <w:pStyle w:val="BodyText"/>
        <w:spacing w:before="91"/>
        <w:ind w:left="100" w:right="237"/>
        <w:jc w:val="both"/>
      </w:pPr>
      <w:r>
        <w:t>While</w:t>
      </w:r>
      <w:r>
        <w:rPr>
          <w:spacing w:val="-12"/>
        </w:rPr>
        <w:t xml:space="preserve"> </w:t>
      </w:r>
      <w:r>
        <w:t>work</w:t>
      </w:r>
      <w:r>
        <w:rPr>
          <w:spacing w:val="-12"/>
        </w:rPr>
        <w:t xml:space="preserve"> </w:t>
      </w:r>
      <w:r>
        <w:t>towards</w:t>
      </w:r>
      <w:r>
        <w:rPr>
          <w:spacing w:val="-12"/>
        </w:rPr>
        <w:t xml:space="preserve"> </w:t>
      </w:r>
      <w:r>
        <w:t>ac</w:t>
      </w:r>
      <w:r>
        <w:t>hieving</w:t>
      </w:r>
      <w:r>
        <w:rPr>
          <w:spacing w:val="-12"/>
        </w:rPr>
        <w:t xml:space="preserve"> </w:t>
      </w:r>
      <w:r>
        <w:t>the</w:t>
      </w:r>
      <w:r>
        <w:rPr>
          <w:spacing w:val="-12"/>
        </w:rPr>
        <w:t xml:space="preserve"> </w:t>
      </w:r>
      <w:r>
        <w:t>above</w:t>
      </w:r>
      <w:r>
        <w:rPr>
          <w:spacing w:val="-9"/>
        </w:rPr>
        <w:t xml:space="preserve"> </w:t>
      </w:r>
      <w:r>
        <w:t>milestones</w:t>
      </w:r>
      <w:r>
        <w:rPr>
          <w:spacing w:val="-13"/>
        </w:rPr>
        <w:t xml:space="preserve"> </w:t>
      </w:r>
      <w:r>
        <w:t>is</w:t>
      </w:r>
      <w:r>
        <w:rPr>
          <w:spacing w:val="-11"/>
        </w:rPr>
        <w:t xml:space="preserve"> </w:t>
      </w:r>
      <w:r>
        <w:t>ongoing,</w:t>
      </w:r>
      <w:r>
        <w:rPr>
          <w:spacing w:val="-10"/>
        </w:rPr>
        <w:t xml:space="preserve"> </w:t>
      </w:r>
      <w:r>
        <w:t>Anthem</w:t>
      </w:r>
      <w:r>
        <w:rPr>
          <w:spacing w:val="-13"/>
        </w:rPr>
        <w:t xml:space="preserve"> </w:t>
      </w:r>
      <w:r>
        <w:t>continues</w:t>
      </w:r>
      <w:r>
        <w:rPr>
          <w:spacing w:val="-11"/>
        </w:rPr>
        <w:t xml:space="preserve"> </w:t>
      </w:r>
      <w:r>
        <w:t>to</w:t>
      </w:r>
      <w:r>
        <w:rPr>
          <w:spacing w:val="-12"/>
        </w:rPr>
        <w:t xml:space="preserve"> </w:t>
      </w:r>
      <w:r>
        <w:t>assert</w:t>
      </w:r>
      <w:r>
        <w:rPr>
          <w:spacing w:val="-11"/>
        </w:rPr>
        <w:t xml:space="preserve"> </w:t>
      </w:r>
      <w:r>
        <w:t>that</w:t>
      </w:r>
      <w:r>
        <w:rPr>
          <w:spacing w:val="-11"/>
        </w:rPr>
        <w:t xml:space="preserve"> </w:t>
      </w:r>
      <w:r>
        <w:t>integrating performance metrics related to EDS submissions into potential compliance actions, negatively impacting plans,</w:t>
      </w:r>
      <w:r>
        <w:rPr>
          <w:spacing w:val="-16"/>
        </w:rPr>
        <w:t xml:space="preserve"> </w:t>
      </w:r>
      <w:r>
        <w:t>is</w:t>
      </w:r>
      <w:r>
        <w:rPr>
          <w:spacing w:val="-15"/>
        </w:rPr>
        <w:t xml:space="preserve"> </w:t>
      </w:r>
      <w:r>
        <w:t>premature.</w:t>
      </w:r>
      <w:r>
        <w:rPr>
          <w:spacing w:val="-15"/>
        </w:rPr>
        <w:t xml:space="preserve"> </w:t>
      </w:r>
      <w:r>
        <w:t>Anthem</w:t>
      </w:r>
      <w:r>
        <w:rPr>
          <w:spacing w:val="-19"/>
        </w:rPr>
        <w:t xml:space="preserve"> </w:t>
      </w:r>
      <w:r>
        <w:t>understands</w:t>
      </w:r>
      <w:r>
        <w:rPr>
          <w:spacing w:val="-15"/>
        </w:rPr>
        <w:t xml:space="preserve"> </w:t>
      </w:r>
      <w:r>
        <w:t>the</w:t>
      </w:r>
      <w:r>
        <w:rPr>
          <w:spacing w:val="-15"/>
        </w:rPr>
        <w:t xml:space="preserve"> </w:t>
      </w:r>
      <w:r>
        <w:t>need</w:t>
      </w:r>
      <w:r>
        <w:rPr>
          <w:spacing w:val="-18"/>
        </w:rPr>
        <w:t xml:space="preserve"> </w:t>
      </w:r>
      <w:r>
        <w:t>for</w:t>
      </w:r>
      <w:r>
        <w:rPr>
          <w:spacing w:val="-15"/>
        </w:rPr>
        <w:t xml:space="preserve"> </w:t>
      </w:r>
      <w:r>
        <w:t>CMS</w:t>
      </w:r>
      <w:r>
        <w:rPr>
          <w:spacing w:val="-16"/>
        </w:rPr>
        <w:t xml:space="preserve"> </w:t>
      </w:r>
      <w:r>
        <w:t>to</w:t>
      </w:r>
      <w:r>
        <w:rPr>
          <w:spacing w:val="-16"/>
        </w:rPr>
        <w:t xml:space="preserve"> </w:t>
      </w:r>
      <w:r>
        <w:t>ensure</w:t>
      </w:r>
      <w:r>
        <w:rPr>
          <w:spacing w:val="-15"/>
        </w:rPr>
        <w:t xml:space="preserve"> </w:t>
      </w:r>
      <w:r>
        <w:t>that</w:t>
      </w:r>
      <w:r>
        <w:rPr>
          <w:spacing w:val="-15"/>
        </w:rPr>
        <w:t xml:space="preserve"> </w:t>
      </w:r>
      <w:r>
        <w:t>plan</w:t>
      </w:r>
      <w:r>
        <w:rPr>
          <w:spacing w:val="-15"/>
        </w:rPr>
        <w:t xml:space="preserve"> </w:t>
      </w:r>
      <w:r>
        <w:t>sponsors</w:t>
      </w:r>
      <w:r>
        <w:rPr>
          <w:spacing w:val="-15"/>
        </w:rPr>
        <w:t xml:space="preserve"> </w:t>
      </w:r>
      <w:r>
        <w:t>are</w:t>
      </w:r>
      <w:r>
        <w:rPr>
          <w:spacing w:val="-15"/>
        </w:rPr>
        <w:t xml:space="preserve"> </w:t>
      </w:r>
      <w:r>
        <w:t>actively</w:t>
      </w:r>
      <w:r>
        <w:rPr>
          <w:spacing w:val="-18"/>
        </w:rPr>
        <w:t xml:space="preserve"> </w:t>
      </w:r>
      <w:r>
        <w:t>engaged in making the transition to encounter data, and we support any efforts to improve both plans’ and CMS’ understanding of this data. While Anthem agrees that CMS should be monitoring this data, plan sponsors should not</w:t>
      </w:r>
      <w:r>
        <w:t xml:space="preserve"> be penalized—whether through warning letters or CAPs—with respect to the timeliness or quality of encounter data submissions until CMS’ systems are consistently able to intake, process, and reconcile encounter data submissions with all</w:t>
      </w:r>
      <w:r>
        <w:rPr>
          <w:spacing w:val="-18"/>
        </w:rPr>
        <w:t xml:space="preserve"> </w:t>
      </w:r>
      <w:r>
        <w:t>sponsors.</w:t>
      </w:r>
    </w:p>
    <w:p w:rsidR="00805174" w:rsidRDefault="00805174">
      <w:pPr>
        <w:pStyle w:val="BodyText"/>
        <w:spacing w:before="8"/>
        <w:rPr>
          <w:sz w:val="21"/>
        </w:rPr>
      </w:pPr>
    </w:p>
    <w:p w:rsidR="00805174" w:rsidRDefault="000A64A3">
      <w:pPr>
        <w:pStyle w:val="BodyText"/>
        <w:spacing w:before="1"/>
        <w:ind w:left="100" w:right="235"/>
        <w:jc w:val="both"/>
      </w:pPr>
      <w:r>
        <w:t>Anthem u</w:t>
      </w:r>
      <w:r>
        <w:t>rges CMS to continue collaborating with stakeholders to develop sound, realistic standards that are representative of the issues important to CMS, sponsors, and providers before implementing any oversight</w:t>
      </w:r>
      <w:r>
        <w:rPr>
          <w:spacing w:val="-9"/>
        </w:rPr>
        <w:t xml:space="preserve"> </w:t>
      </w:r>
      <w:r>
        <w:t>and</w:t>
      </w:r>
      <w:r>
        <w:rPr>
          <w:spacing w:val="-9"/>
        </w:rPr>
        <w:t xml:space="preserve"> </w:t>
      </w:r>
      <w:r>
        <w:t>enforcement</w:t>
      </w:r>
      <w:r>
        <w:rPr>
          <w:spacing w:val="-8"/>
        </w:rPr>
        <w:t xml:space="preserve"> </w:t>
      </w:r>
      <w:r>
        <w:t>activities.</w:t>
      </w:r>
      <w:r>
        <w:rPr>
          <w:spacing w:val="-12"/>
        </w:rPr>
        <w:t xml:space="preserve"> </w:t>
      </w:r>
      <w:r>
        <w:t>This</w:t>
      </w:r>
      <w:r>
        <w:rPr>
          <w:spacing w:val="-9"/>
        </w:rPr>
        <w:t xml:space="preserve"> </w:t>
      </w:r>
      <w:r>
        <w:t>is</w:t>
      </w:r>
      <w:r>
        <w:rPr>
          <w:spacing w:val="-9"/>
        </w:rPr>
        <w:t xml:space="preserve"> </w:t>
      </w:r>
      <w:r>
        <w:t>a</w:t>
      </w:r>
      <w:r>
        <w:rPr>
          <w:spacing w:val="-7"/>
        </w:rPr>
        <w:t xml:space="preserve"> </w:t>
      </w:r>
      <w:r>
        <w:t>critical</w:t>
      </w:r>
      <w:r>
        <w:rPr>
          <w:spacing w:val="-6"/>
        </w:rPr>
        <w:t xml:space="preserve"> </w:t>
      </w:r>
      <w:r>
        <w:t>step</w:t>
      </w:r>
      <w:r>
        <w:rPr>
          <w:spacing w:val="-9"/>
        </w:rPr>
        <w:t xml:space="preserve"> </w:t>
      </w:r>
      <w:r>
        <w:t>that</w:t>
      </w:r>
      <w:r>
        <w:rPr>
          <w:spacing w:val="-6"/>
        </w:rPr>
        <w:t xml:space="preserve"> </w:t>
      </w:r>
      <w:r>
        <w:t>must</w:t>
      </w:r>
      <w:r>
        <w:rPr>
          <w:spacing w:val="-8"/>
        </w:rPr>
        <w:t xml:space="preserve"> </w:t>
      </w:r>
      <w:r>
        <w:t>be</w:t>
      </w:r>
      <w:r>
        <w:rPr>
          <w:spacing w:val="-9"/>
        </w:rPr>
        <w:t xml:space="preserve"> </w:t>
      </w:r>
      <w:r>
        <w:t>taken</w:t>
      </w:r>
      <w:r>
        <w:rPr>
          <w:spacing w:val="-9"/>
        </w:rPr>
        <w:t xml:space="preserve"> </w:t>
      </w:r>
      <w:r>
        <w:t>to</w:t>
      </w:r>
      <w:r>
        <w:rPr>
          <w:spacing w:val="-10"/>
        </w:rPr>
        <w:t xml:space="preserve"> </w:t>
      </w:r>
      <w:r>
        <w:t>ensure</w:t>
      </w:r>
      <w:r>
        <w:rPr>
          <w:spacing w:val="-9"/>
        </w:rPr>
        <w:t xml:space="preserve"> </w:t>
      </w:r>
      <w:r>
        <w:t>the</w:t>
      </w:r>
      <w:r>
        <w:rPr>
          <w:spacing w:val="-7"/>
        </w:rPr>
        <w:t xml:space="preserve"> </w:t>
      </w:r>
      <w:r>
        <w:t>ultimate</w:t>
      </w:r>
      <w:r>
        <w:rPr>
          <w:spacing w:val="-9"/>
        </w:rPr>
        <w:t xml:space="preserve"> </w:t>
      </w:r>
      <w:r>
        <w:t>success of an encounter data-based</w:t>
      </w:r>
      <w:r>
        <w:rPr>
          <w:spacing w:val="-8"/>
        </w:rPr>
        <w:t xml:space="preserve"> </w:t>
      </w:r>
      <w:r>
        <w:t>system.</w:t>
      </w:r>
    </w:p>
    <w:p w:rsidR="00805174" w:rsidRDefault="00805174">
      <w:pPr>
        <w:pStyle w:val="BodyText"/>
        <w:spacing w:before="9"/>
        <w:rPr>
          <w:sz w:val="21"/>
        </w:rPr>
      </w:pPr>
    </w:p>
    <w:p w:rsidR="00805174" w:rsidRDefault="000A64A3">
      <w:pPr>
        <w:ind w:left="100"/>
        <w:jc w:val="both"/>
        <w:rPr>
          <w:i/>
        </w:rPr>
      </w:pPr>
      <w:r>
        <w:rPr>
          <w:i/>
        </w:rPr>
        <w:t>Transparency and Timeliness with Prior Authorization (PA) Processes</w:t>
      </w:r>
    </w:p>
    <w:p w:rsidR="00805174" w:rsidRDefault="00805174">
      <w:pPr>
        <w:pStyle w:val="BodyText"/>
        <w:rPr>
          <w:i/>
        </w:rPr>
      </w:pPr>
    </w:p>
    <w:p w:rsidR="00805174" w:rsidRDefault="000A64A3">
      <w:pPr>
        <w:pStyle w:val="BodyText"/>
        <w:ind w:left="100" w:right="239"/>
        <w:jc w:val="both"/>
      </w:pPr>
      <w:r>
        <w:t>The stakeholder concerns about the burdens imposed by coverage restriction like PA that CMS mentions in the Draft Call Letter are a twofold issue, which we describe in detail below. In light of the challenges described, Anthem urges CMS to take steps to:</w:t>
      </w:r>
    </w:p>
    <w:p w:rsidR="00805174" w:rsidRDefault="00805174">
      <w:pPr>
        <w:pStyle w:val="BodyText"/>
        <w:spacing w:before="10"/>
        <w:rPr>
          <w:sz w:val="21"/>
        </w:rPr>
      </w:pPr>
    </w:p>
    <w:p w:rsidR="00805174" w:rsidRDefault="000A64A3">
      <w:pPr>
        <w:pStyle w:val="ListParagraph"/>
        <w:numPr>
          <w:ilvl w:val="1"/>
          <w:numId w:val="7"/>
        </w:numPr>
        <w:tabs>
          <w:tab w:val="left" w:pos="821"/>
        </w:tabs>
        <w:ind w:right="238"/>
      </w:pPr>
      <w:r>
        <w:t>Hold all Medicare participating providers accountable to the same standards, which will eliminate confusion, prevent abuse, eliminate the disparity between FFS and MA processing, and stop rewarding bad behavior with inappropriate</w:t>
      </w:r>
      <w:r>
        <w:rPr>
          <w:spacing w:val="-17"/>
        </w:rPr>
        <w:t xml:space="preserve"> </w:t>
      </w:r>
      <w:r>
        <w:t>billing;</w:t>
      </w:r>
    </w:p>
    <w:p w:rsidR="00805174" w:rsidRDefault="000A64A3">
      <w:pPr>
        <w:pStyle w:val="ListParagraph"/>
        <w:numPr>
          <w:ilvl w:val="1"/>
          <w:numId w:val="7"/>
        </w:numPr>
        <w:tabs>
          <w:tab w:val="left" w:pos="821"/>
        </w:tabs>
        <w:ind w:right="240"/>
      </w:pPr>
      <w:r>
        <w:t xml:space="preserve">Identify all CMS </w:t>
      </w:r>
      <w:r>
        <w:t>sub-regulatory guidance that applies to the referenced processes and provide clarification, but most importantly;</w:t>
      </w:r>
      <w:r>
        <w:rPr>
          <w:spacing w:val="-11"/>
        </w:rPr>
        <w:t xml:space="preserve"> </w:t>
      </w:r>
      <w:r>
        <w:t>and</w:t>
      </w:r>
    </w:p>
    <w:p w:rsidR="00805174" w:rsidRDefault="00805174">
      <w:pPr>
        <w:jc w:val="both"/>
        <w:sectPr w:rsidR="00805174">
          <w:pgSz w:w="12240" w:h="15840"/>
          <w:pgMar w:top="1440" w:right="1200" w:bottom="1200" w:left="1340" w:header="0" w:footer="1015" w:gutter="0"/>
          <w:cols w:space="720"/>
        </w:sectPr>
      </w:pPr>
    </w:p>
    <w:p w:rsidR="00805174" w:rsidRDefault="000A64A3">
      <w:pPr>
        <w:pStyle w:val="ListParagraph"/>
        <w:numPr>
          <w:ilvl w:val="1"/>
          <w:numId w:val="7"/>
        </w:numPr>
        <w:tabs>
          <w:tab w:val="left" w:pos="820"/>
          <w:tab w:val="left" w:pos="821"/>
        </w:tabs>
        <w:spacing w:before="72"/>
        <w:jc w:val="left"/>
      </w:pPr>
      <w:r>
        <w:lastRenderedPageBreak/>
        <w:t>Protect the Medicare beneficiary and ultimately the Medicare</w:t>
      </w:r>
      <w:r>
        <w:rPr>
          <w:spacing w:val="-19"/>
        </w:rPr>
        <w:t xml:space="preserve"> </w:t>
      </w:r>
      <w:r>
        <w:t>program</w:t>
      </w:r>
    </w:p>
    <w:p w:rsidR="00805174" w:rsidRDefault="00805174">
      <w:pPr>
        <w:pStyle w:val="BodyText"/>
        <w:spacing w:before="11"/>
        <w:rPr>
          <w:sz w:val="21"/>
        </w:rPr>
      </w:pPr>
    </w:p>
    <w:p w:rsidR="00805174" w:rsidRDefault="000A64A3">
      <w:pPr>
        <w:pStyle w:val="BodyText"/>
        <w:ind w:left="100" w:right="113"/>
        <w:jc w:val="both"/>
      </w:pPr>
      <w:r>
        <w:t>First,</w:t>
      </w:r>
      <w:r>
        <w:rPr>
          <w:spacing w:val="-4"/>
        </w:rPr>
        <w:t xml:space="preserve"> </w:t>
      </w:r>
      <w:r>
        <w:t>Anthem</w:t>
      </w:r>
      <w:r>
        <w:rPr>
          <w:spacing w:val="-7"/>
        </w:rPr>
        <w:t xml:space="preserve"> </w:t>
      </w:r>
      <w:r>
        <w:t>notes</w:t>
      </w:r>
      <w:r>
        <w:rPr>
          <w:spacing w:val="-5"/>
        </w:rPr>
        <w:t xml:space="preserve"> </w:t>
      </w:r>
      <w:r>
        <w:t>that</w:t>
      </w:r>
      <w:r>
        <w:rPr>
          <w:spacing w:val="-2"/>
        </w:rPr>
        <w:t xml:space="preserve"> </w:t>
      </w:r>
      <w:r>
        <w:t>while</w:t>
      </w:r>
      <w:r>
        <w:rPr>
          <w:spacing w:val="-5"/>
        </w:rPr>
        <w:t xml:space="preserve"> </w:t>
      </w:r>
      <w:r>
        <w:t>an</w:t>
      </w:r>
      <w:r>
        <w:rPr>
          <w:spacing w:val="-6"/>
        </w:rPr>
        <w:t xml:space="preserve"> </w:t>
      </w:r>
      <w:r>
        <w:t>MAO’s</w:t>
      </w:r>
      <w:r>
        <w:rPr>
          <w:spacing w:val="-4"/>
        </w:rPr>
        <w:t xml:space="preserve"> </w:t>
      </w:r>
      <w:r>
        <w:t>contracted</w:t>
      </w:r>
      <w:r>
        <w:rPr>
          <w:spacing w:val="-6"/>
        </w:rPr>
        <w:t xml:space="preserve"> </w:t>
      </w:r>
      <w:r>
        <w:t>provi</w:t>
      </w:r>
      <w:r>
        <w:t>der</w:t>
      </w:r>
      <w:r>
        <w:rPr>
          <w:spacing w:val="-4"/>
        </w:rPr>
        <w:t xml:space="preserve"> </w:t>
      </w:r>
      <w:r>
        <w:t>network</w:t>
      </w:r>
      <w:r>
        <w:rPr>
          <w:spacing w:val="-6"/>
        </w:rPr>
        <w:t xml:space="preserve"> </w:t>
      </w:r>
      <w:r>
        <w:t>must</w:t>
      </w:r>
      <w:r>
        <w:rPr>
          <w:spacing w:val="-3"/>
        </w:rPr>
        <w:t xml:space="preserve"> </w:t>
      </w:r>
      <w:r>
        <w:t>follow</w:t>
      </w:r>
      <w:r>
        <w:rPr>
          <w:spacing w:val="-7"/>
        </w:rPr>
        <w:t xml:space="preserve"> </w:t>
      </w:r>
      <w:r>
        <w:t>the</w:t>
      </w:r>
      <w:r>
        <w:rPr>
          <w:spacing w:val="-6"/>
        </w:rPr>
        <w:t xml:space="preserve"> </w:t>
      </w:r>
      <w:r>
        <w:t>rules</w:t>
      </w:r>
      <w:r>
        <w:rPr>
          <w:spacing w:val="-4"/>
        </w:rPr>
        <w:t xml:space="preserve"> </w:t>
      </w:r>
      <w:r>
        <w:t>as</w:t>
      </w:r>
      <w:r>
        <w:rPr>
          <w:spacing w:val="-4"/>
        </w:rPr>
        <w:t xml:space="preserve"> </w:t>
      </w:r>
      <w:r>
        <w:t>established by</w:t>
      </w:r>
      <w:r>
        <w:rPr>
          <w:spacing w:val="-11"/>
        </w:rPr>
        <w:t xml:space="preserve"> </w:t>
      </w:r>
      <w:r>
        <w:t>the</w:t>
      </w:r>
      <w:r>
        <w:rPr>
          <w:spacing w:val="-8"/>
        </w:rPr>
        <w:t xml:space="preserve"> </w:t>
      </w:r>
      <w:r>
        <w:t>plan,</w:t>
      </w:r>
      <w:r>
        <w:rPr>
          <w:spacing w:val="-8"/>
        </w:rPr>
        <w:t xml:space="preserve"> </w:t>
      </w:r>
      <w:r>
        <w:t>even</w:t>
      </w:r>
      <w:r>
        <w:rPr>
          <w:spacing w:val="-8"/>
        </w:rPr>
        <w:t xml:space="preserve"> </w:t>
      </w:r>
      <w:r>
        <w:t>contracted</w:t>
      </w:r>
      <w:r>
        <w:rPr>
          <w:spacing w:val="-11"/>
        </w:rPr>
        <w:t xml:space="preserve"> </w:t>
      </w:r>
      <w:r>
        <w:t>MAO</w:t>
      </w:r>
      <w:r>
        <w:rPr>
          <w:spacing w:val="-10"/>
        </w:rPr>
        <w:t xml:space="preserve"> </w:t>
      </w:r>
      <w:r>
        <w:t>provider</w:t>
      </w:r>
      <w:r>
        <w:rPr>
          <w:spacing w:val="-7"/>
        </w:rPr>
        <w:t xml:space="preserve"> </w:t>
      </w:r>
      <w:r>
        <w:t>staff</w:t>
      </w:r>
      <w:r>
        <w:rPr>
          <w:spacing w:val="-8"/>
        </w:rPr>
        <w:t xml:space="preserve"> </w:t>
      </w:r>
      <w:r>
        <w:t>have</w:t>
      </w:r>
      <w:r>
        <w:rPr>
          <w:spacing w:val="-5"/>
        </w:rPr>
        <w:t xml:space="preserve"> </w:t>
      </w:r>
      <w:r>
        <w:t>difficulty</w:t>
      </w:r>
      <w:r>
        <w:rPr>
          <w:spacing w:val="-8"/>
        </w:rPr>
        <w:t xml:space="preserve"> </w:t>
      </w:r>
      <w:r>
        <w:t>managing</w:t>
      </w:r>
      <w:r>
        <w:rPr>
          <w:spacing w:val="-9"/>
        </w:rPr>
        <w:t xml:space="preserve"> </w:t>
      </w:r>
      <w:r>
        <w:t>all</w:t>
      </w:r>
      <w:r>
        <w:rPr>
          <w:spacing w:val="-8"/>
        </w:rPr>
        <w:t xml:space="preserve"> </w:t>
      </w:r>
      <w:r>
        <w:t>the</w:t>
      </w:r>
      <w:r>
        <w:rPr>
          <w:spacing w:val="-8"/>
        </w:rPr>
        <w:t xml:space="preserve"> </w:t>
      </w:r>
      <w:r>
        <w:t>PA</w:t>
      </w:r>
      <w:r>
        <w:rPr>
          <w:spacing w:val="-10"/>
        </w:rPr>
        <w:t xml:space="preserve"> </w:t>
      </w:r>
      <w:r>
        <w:t>requirements,</w:t>
      </w:r>
      <w:r>
        <w:rPr>
          <w:spacing w:val="-8"/>
        </w:rPr>
        <w:t xml:space="preserve"> </w:t>
      </w:r>
      <w:r>
        <w:t>not</w:t>
      </w:r>
      <w:r>
        <w:rPr>
          <w:spacing w:val="-8"/>
        </w:rPr>
        <w:t xml:space="preserve"> </w:t>
      </w:r>
      <w:r>
        <w:t xml:space="preserve">due to a lack of information provided by the MAO, but due to the number of MAOs they </w:t>
      </w:r>
      <w:r>
        <w:rPr>
          <w:spacing w:val="2"/>
        </w:rPr>
        <w:t xml:space="preserve">are </w:t>
      </w:r>
      <w:r>
        <w:t>contracted with and the different services that require PA by plan. This can be challenging for many offices to navigate while also taking into consideration the type of plan a beneficiary may have and the benefits associated with those plans (PPO, HMO, HM</w:t>
      </w:r>
      <w:r>
        <w:t>O-POS, MMP, SNP, etc.). These challenges are further complicated by those beneficiaries who have a Special Election Period (SEP) and can enroll in, change, or disenroll from coverage as frequently as monthly. Anthem appreciates the burden facing contracted</w:t>
      </w:r>
      <w:r>
        <w:t xml:space="preserve"> providers; however, current CMS guidance hinders our ability to fully review for appropriateness of services being requested and ensure services are covered and reimbursable under the Medicare program, essentially necessitating the</w:t>
      </w:r>
      <w:r>
        <w:rPr>
          <w:spacing w:val="-13"/>
        </w:rPr>
        <w:t xml:space="preserve"> </w:t>
      </w:r>
      <w:r>
        <w:t>application</w:t>
      </w:r>
      <w:r>
        <w:rPr>
          <w:spacing w:val="-13"/>
        </w:rPr>
        <w:t xml:space="preserve"> </w:t>
      </w:r>
      <w:r>
        <w:t>of</w:t>
      </w:r>
      <w:r>
        <w:rPr>
          <w:spacing w:val="-13"/>
        </w:rPr>
        <w:t xml:space="preserve"> </w:t>
      </w:r>
      <w:r>
        <w:t>a</w:t>
      </w:r>
      <w:r>
        <w:rPr>
          <w:spacing w:val="-13"/>
        </w:rPr>
        <w:t xml:space="preserve"> </w:t>
      </w:r>
      <w:r>
        <w:t>PA</w:t>
      </w:r>
      <w:r>
        <w:rPr>
          <w:spacing w:val="-13"/>
        </w:rPr>
        <w:t xml:space="preserve"> </w:t>
      </w:r>
      <w:r>
        <w:t>req</w:t>
      </w:r>
      <w:r>
        <w:t>uirement.</w:t>
      </w:r>
      <w:r>
        <w:rPr>
          <w:spacing w:val="-2"/>
        </w:rPr>
        <w:t xml:space="preserve"> </w:t>
      </w:r>
      <w:r>
        <w:t>Updates</w:t>
      </w:r>
      <w:r>
        <w:rPr>
          <w:spacing w:val="-12"/>
        </w:rPr>
        <w:t xml:space="preserve"> </w:t>
      </w:r>
      <w:r>
        <w:t>to</w:t>
      </w:r>
      <w:r>
        <w:rPr>
          <w:spacing w:val="-16"/>
        </w:rPr>
        <w:t xml:space="preserve"> </w:t>
      </w:r>
      <w:r>
        <w:t>MAO</w:t>
      </w:r>
      <w:r>
        <w:rPr>
          <w:spacing w:val="-15"/>
        </w:rPr>
        <w:t xml:space="preserve"> </w:t>
      </w:r>
      <w:r>
        <w:t>guidance</w:t>
      </w:r>
      <w:r>
        <w:rPr>
          <w:spacing w:val="-13"/>
        </w:rPr>
        <w:t xml:space="preserve"> </w:t>
      </w:r>
      <w:r>
        <w:t>in</w:t>
      </w:r>
      <w:r>
        <w:rPr>
          <w:spacing w:val="-13"/>
        </w:rPr>
        <w:t xml:space="preserve"> </w:t>
      </w:r>
      <w:r>
        <w:t>other</w:t>
      </w:r>
      <w:r>
        <w:rPr>
          <w:spacing w:val="-13"/>
        </w:rPr>
        <w:t xml:space="preserve"> </w:t>
      </w:r>
      <w:r>
        <w:t>areas</w:t>
      </w:r>
      <w:r>
        <w:rPr>
          <w:spacing w:val="-11"/>
        </w:rPr>
        <w:t xml:space="preserve"> </w:t>
      </w:r>
      <w:r>
        <w:t>would</w:t>
      </w:r>
      <w:r>
        <w:rPr>
          <w:spacing w:val="-13"/>
        </w:rPr>
        <w:t xml:space="preserve"> </w:t>
      </w:r>
      <w:r>
        <w:t>lead</w:t>
      </w:r>
      <w:r>
        <w:rPr>
          <w:spacing w:val="-15"/>
        </w:rPr>
        <w:t xml:space="preserve"> </w:t>
      </w:r>
      <w:r>
        <w:t>to</w:t>
      </w:r>
      <w:r>
        <w:rPr>
          <w:spacing w:val="-13"/>
        </w:rPr>
        <w:t xml:space="preserve"> </w:t>
      </w:r>
      <w:r>
        <w:t>better</w:t>
      </w:r>
      <w:r>
        <w:rPr>
          <w:spacing w:val="-12"/>
        </w:rPr>
        <w:t xml:space="preserve"> </w:t>
      </w:r>
      <w:r>
        <w:t>reception of PA</w:t>
      </w:r>
      <w:r>
        <w:rPr>
          <w:spacing w:val="-4"/>
        </w:rPr>
        <w:t xml:space="preserve"> </w:t>
      </w:r>
      <w:r>
        <w:t>requirements.</w:t>
      </w:r>
    </w:p>
    <w:p w:rsidR="00805174" w:rsidRDefault="00805174">
      <w:pPr>
        <w:pStyle w:val="BodyText"/>
      </w:pPr>
    </w:p>
    <w:p w:rsidR="00805174" w:rsidRDefault="000A64A3">
      <w:pPr>
        <w:pStyle w:val="BodyText"/>
        <w:spacing w:before="1"/>
        <w:ind w:left="100" w:right="114"/>
        <w:jc w:val="both"/>
      </w:pPr>
      <w:r>
        <w:t>Second, while CMS focuses on concerns associated with PA, Anthem urges CMS to consider why MAOs have found the need to require PA on certain services:</w:t>
      </w:r>
    </w:p>
    <w:p w:rsidR="00805174" w:rsidRDefault="00805174">
      <w:pPr>
        <w:pStyle w:val="BodyText"/>
        <w:spacing w:before="10"/>
        <w:rPr>
          <w:sz w:val="21"/>
        </w:rPr>
      </w:pPr>
    </w:p>
    <w:p w:rsidR="00805174" w:rsidRDefault="000A64A3">
      <w:pPr>
        <w:pStyle w:val="ListParagraph"/>
        <w:numPr>
          <w:ilvl w:val="1"/>
          <w:numId w:val="7"/>
        </w:numPr>
        <w:tabs>
          <w:tab w:val="left" w:pos="821"/>
        </w:tabs>
        <w:ind w:right="111"/>
      </w:pPr>
      <w:r>
        <w:rPr>
          <w:u w:val="single"/>
        </w:rPr>
        <w:t>Lac</w:t>
      </w:r>
      <w:r>
        <w:rPr>
          <w:u w:val="single"/>
        </w:rPr>
        <w:t>k</w:t>
      </w:r>
      <w:r>
        <w:rPr>
          <w:spacing w:val="-15"/>
          <w:u w:val="single"/>
        </w:rPr>
        <w:t xml:space="preserve"> </w:t>
      </w:r>
      <w:r>
        <w:rPr>
          <w:u w:val="single"/>
        </w:rPr>
        <w:t>of</w:t>
      </w:r>
      <w:r>
        <w:rPr>
          <w:spacing w:val="-12"/>
          <w:u w:val="single"/>
        </w:rPr>
        <w:t xml:space="preserve"> </w:t>
      </w:r>
      <w:r>
        <w:rPr>
          <w:u w:val="single"/>
        </w:rPr>
        <w:t>Requirements</w:t>
      </w:r>
      <w:r>
        <w:rPr>
          <w:spacing w:val="-13"/>
          <w:u w:val="single"/>
        </w:rPr>
        <w:t xml:space="preserve"> </w:t>
      </w:r>
      <w:r>
        <w:rPr>
          <w:u w:val="single"/>
        </w:rPr>
        <w:t>or</w:t>
      </w:r>
      <w:r>
        <w:rPr>
          <w:spacing w:val="-12"/>
          <w:u w:val="single"/>
        </w:rPr>
        <w:t xml:space="preserve"> </w:t>
      </w:r>
      <w:r>
        <w:rPr>
          <w:u w:val="single"/>
        </w:rPr>
        <w:t>Guidance</w:t>
      </w:r>
      <w:r>
        <w:rPr>
          <w:spacing w:val="-13"/>
          <w:u w:val="single"/>
        </w:rPr>
        <w:t xml:space="preserve"> </w:t>
      </w:r>
      <w:r>
        <w:rPr>
          <w:u w:val="single"/>
        </w:rPr>
        <w:t>for</w:t>
      </w:r>
      <w:r>
        <w:rPr>
          <w:spacing w:val="-13"/>
          <w:u w:val="single"/>
        </w:rPr>
        <w:t xml:space="preserve"> </w:t>
      </w:r>
      <w:r>
        <w:rPr>
          <w:u w:val="single"/>
        </w:rPr>
        <w:t>Non-Contracted</w:t>
      </w:r>
      <w:r>
        <w:rPr>
          <w:spacing w:val="-15"/>
          <w:u w:val="single"/>
        </w:rPr>
        <w:t xml:space="preserve"> </w:t>
      </w:r>
      <w:r>
        <w:rPr>
          <w:u w:val="single"/>
        </w:rPr>
        <w:t>Providers</w:t>
      </w:r>
      <w:r>
        <w:t>:</w:t>
      </w:r>
      <w:r>
        <w:rPr>
          <w:spacing w:val="-12"/>
        </w:rPr>
        <w:t xml:space="preserve"> </w:t>
      </w:r>
      <w:r>
        <w:t>Some</w:t>
      </w:r>
      <w:r>
        <w:rPr>
          <w:spacing w:val="-13"/>
        </w:rPr>
        <w:t xml:space="preserve"> </w:t>
      </w:r>
      <w:r>
        <w:t>plans</w:t>
      </w:r>
      <w:r>
        <w:rPr>
          <w:spacing w:val="-15"/>
        </w:rPr>
        <w:t xml:space="preserve"> </w:t>
      </w:r>
      <w:r>
        <w:t>have</w:t>
      </w:r>
      <w:r>
        <w:rPr>
          <w:spacing w:val="-13"/>
        </w:rPr>
        <w:t xml:space="preserve"> </w:t>
      </w:r>
      <w:r>
        <w:t>out-of-network benefits</w:t>
      </w:r>
      <w:r>
        <w:rPr>
          <w:spacing w:val="-3"/>
        </w:rPr>
        <w:t xml:space="preserve"> </w:t>
      </w:r>
      <w:r>
        <w:t>(PPO</w:t>
      </w:r>
      <w:r>
        <w:rPr>
          <w:spacing w:val="-5"/>
        </w:rPr>
        <w:t xml:space="preserve"> </w:t>
      </w:r>
      <w:r>
        <w:t>and HMO-POS)</w:t>
      </w:r>
      <w:r>
        <w:rPr>
          <w:spacing w:val="-1"/>
        </w:rPr>
        <w:t xml:space="preserve"> </w:t>
      </w:r>
      <w:r>
        <w:t>and</w:t>
      </w:r>
      <w:r>
        <w:rPr>
          <w:spacing w:val="-4"/>
        </w:rPr>
        <w:t xml:space="preserve"> </w:t>
      </w:r>
      <w:r>
        <w:t>while</w:t>
      </w:r>
      <w:r>
        <w:rPr>
          <w:spacing w:val="-3"/>
        </w:rPr>
        <w:t xml:space="preserve"> </w:t>
      </w:r>
      <w:r>
        <w:t>PA</w:t>
      </w:r>
      <w:r>
        <w:rPr>
          <w:spacing w:val="-5"/>
        </w:rPr>
        <w:t xml:space="preserve"> </w:t>
      </w:r>
      <w:r>
        <w:t>is</w:t>
      </w:r>
      <w:r>
        <w:rPr>
          <w:spacing w:val="-3"/>
        </w:rPr>
        <w:t xml:space="preserve"> </w:t>
      </w:r>
      <w:r>
        <w:t>not</w:t>
      </w:r>
      <w:r>
        <w:rPr>
          <w:spacing w:val="-3"/>
        </w:rPr>
        <w:t xml:space="preserve"> </w:t>
      </w:r>
      <w:r>
        <w:t>required,</w:t>
      </w:r>
      <w:r>
        <w:rPr>
          <w:spacing w:val="-1"/>
        </w:rPr>
        <w:t xml:space="preserve"> </w:t>
      </w:r>
      <w:r>
        <w:t>a</w:t>
      </w:r>
      <w:r>
        <w:rPr>
          <w:spacing w:val="-1"/>
        </w:rPr>
        <w:t xml:space="preserve"> </w:t>
      </w:r>
      <w:r>
        <w:t>PA</w:t>
      </w:r>
      <w:r>
        <w:rPr>
          <w:spacing w:val="-4"/>
        </w:rPr>
        <w:t xml:space="preserve"> </w:t>
      </w:r>
      <w:r>
        <w:t>can</w:t>
      </w:r>
      <w:r>
        <w:rPr>
          <w:spacing w:val="-4"/>
        </w:rPr>
        <w:t xml:space="preserve"> </w:t>
      </w:r>
      <w:r>
        <w:t>be</w:t>
      </w:r>
      <w:r>
        <w:rPr>
          <w:spacing w:val="-3"/>
        </w:rPr>
        <w:t xml:space="preserve"> </w:t>
      </w:r>
      <w:r>
        <w:t>requested</w:t>
      </w:r>
      <w:r>
        <w:rPr>
          <w:spacing w:val="-1"/>
        </w:rPr>
        <w:t xml:space="preserve"> </w:t>
      </w:r>
      <w:r>
        <w:t>(unless</w:t>
      </w:r>
      <w:r>
        <w:rPr>
          <w:spacing w:val="-3"/>
        </w:rPr>
        <w:t xml:space="preserve"> </w:t>
      </w:r>
      <w:r>
        <w:t>urgent or emergent). However, MAOs with these plans receive very limited PA requests as there are no requirements or guidelines for non-contracted providers (with the MAO) to provide any information to the MAO. The burden is on the member to ensure a PA or</w:t>
      </w:r>
      <w:r>
        <w:t xml:space="preserve"> claims review is completed.</w:t>
      </w:r>
    </w:p>
    <w:p w:rsidR="00805174" w:rsidRDefault="00805174">
      <w:pPr>
        <w:pStyle w:val="BodyText"/>
        <w:spacing w:before="7"/>
        <w:rPr>
          <w:sz w:val="21"/>
        </w:rPr>
      </w:pPr>
    </w:p>
    <w:p w:rsidR="00805174" w:rsidRDefault="000A64A3">
      <w:pPr>
        <w:pStyle w:val="ListParagraph"/>
        <w:numPr>
          <w:ilvl w:val="1"/>
          <w:numId w:val="7"/>
        </w:numPr>
        <w:tabs>
          <w:tab w:val="left" w:pos="821"/>
        </w:tabs>
        <w:ind w:right="115"/>
      </w:pPr>
      <w:r>
        <w:rPr>
          <w:u w:val="single"/>
        </w:rPr>
        <w:t>Disparity between MA and FFS</w:t>
      </w:r>
      <w:r>
        <w:t>: Under the FFS program, providers are held accountable for notifying members with an Advance Beneficiary Notice of Non-coverage (ABN) in situations where</w:t>
      </w:r>
      <w:r>
        <w:rPr>
          <w:spacing w:val="-10"/>
        </w:rPr>
        <w:t xml:space="preserve"> </w:t>
      </w:r>
      <w:r>
        <w:t>Medicare</w:t>
      </w:r>
      <w:r>
        <w:rPr>
          <w:spacing w:val="-10"/>
        </w:rPr>
        <w:t xml:space="preserve"> </w:t>
      </w:r>
      <w:r>
        <w:t>payment</w:t>
      </w:r>
      <w:r>
        <w:rPr>
          <w:spacing w:val="-9"/>
        </w:rPr>
        <w:t xml:space="preserve"> </w:t>
      </w:r>
      <w:r>
        <w:t>is</w:t>
      </w:r>
      <w:r>
        <w:rPr>
          <w:spacing w:val="-12"/>
        </w:rPr>
        <w:t xml:space="preserve"> </w:t>
      </w:r>
      <w:r>
        <w:t>expected</w:t>
      </w:r>
      <w:r>
        <w:rPr>
          <w:spacing w:val="-12"/>
        </w:rPr>
        <w:t xml:space="preserve"> </w:t>
      </w:r>
      <w:r>
        <w:t>to</w:t>
      </w:r>
      <w:r>
        <w:rPr>
          <w:spacing w:val="-10"/>
        </w:rPr>
        <w:t xml:space="preserve"> </w:t>
      </w:r>
      <w:r>
        <w:t>be</w:t>
      </w:r>
      <w:r>
        <w:rPr>
          <w:spacing w:val="-10"/>
        </w:rPr>
        <w:t xml:space="preserve"> </w:t>
      </w:r>
      <w:r>
        <w:t>denied.</w:t>
      </w:r>
      <w:r>
        <w:rPr>
          <w:spacing w:val="-12"/>
        </w:rPr>
        <w:t xml:space="preserve"> </w:t>
      </w:r>
      <w:r>
        <w:t>The</w:t>
      </w:r>
      <w:r>
        <w:rPr>
          <w:spacing w:val="-12"/>
        </w:rPr>
        <w:t xml:space="preserve"> </w:t>
      </w:r>
      <w:r>
        <w:t>ABN</w:t>
      </w:r>
      <w:r>
        <w:rPr>
          <w:spacing w:val="-11"/>
        </w:rPr>
        <w:t xml:space="preserve"> </w:t>
      </w:r>
      <w:r>
        <w:t>is</w:t>
      </w:r>
      <w:r>
        <w:rPr>
          <w:spacing w:val="-9"/>
        </w:rPr>
        <w:t xml:space="preserve"> </w:t>
      </w:r>
      <w:r>
        <w:t>not</w:t>
      </w:r>
      <w:r>
        <w:rPr>
          <w:spacing w:val="-9"/>
        </w:rPr>
        <w:t xml:space="preserve"> </w:t>
      </w:r>
      <w:r>
        <w:t>an</w:t>
      </w:r>
      <w:r>
        <w:rPr>
          <w:spacing w:val="-12"/>
        </w:rPr>
        <w:t xml:space="preserve"> </w:t>
      </w:r>
      <w:r>
        <w:t>MAO</w:t>
      </w:r>
      <w:r>
        <w:rPr>
          <w:spacing w:val="-11"/>
        </w:rPr>
        <w:t xml:space="preserve"> </w:t>
      </w:r>
      <w:r>
        <w:t>document.</w:t>
      </w:r>
      <w:r>
        <w:rPr>
          <w:spacing w:val="-12"/>
        </w:rPr>
        <w:t xml:space="preserve"> </w:t>
      </w:r>
      <w:r>
        <w:t>The</w:t>
      </w:r>
      <w:r>
        <w:rPr>
          <w:spacing w:val="-10"/>
        </w:rPr>
        <w:t xml:space="preserve"> </w:t>
      </w:r>
      <w:r>
        <w:t>burden of</w:t>
      </w:r>
      <w:r>
        <w:rPr>
          <w:spacing w:val="-4"/>
        </w:rPr>
        <w:t xml:space="preserve"> </w:t>
      </w:r>
      <w:r>
        <w:t>obtaining</w:t>
      </w:r>
      <w:r>
        <w:rPr>
          <w:spacing w:val="-7"/>
        </w:rPr>
        <w:t xml:space="preserve"> </w:t>
      </w:r>
      <w:r>
        <w:t>plan</w:t>
      </w:r>
      <w:r>
        <w:rPr>
          <w:spacing w:val="-6"/>
        </w:rPr>
        <w:t xml:space="preserve"> </w:t>
      </w:r>
      <w:r>
        <w:t>PA</w:t>
      </w:r>
      <w:r>
        <w:rPr>
          <w:spacing w:val="-6"/>
        </w:rPr>
        <w:t xml:space="preserve"> </w:t>
      </w:r>
      <w:r>
        <w:t>documents—particularly</w:t>
      </w:r>
      <w:r>
        <w:rPr>
          <w:spacing w:val="-7"/>
        </w:rPr>
        <w:t xml:space="preserve"> </w:t>
      </w:r>
      <w:r>
        <w:t>in</w:t>
      </w:r>
      <w:r>
        <w:rPr>
          <w:spacing w:val="-7"/>
        </w:rPr>
        <w:t xml:space="preserve"> </w:t>
      </w:r>
      <w:r>
        <w:t>light</w:t>
      </w:r>
      <w:r>
        <w:rPr>
          <w:spacing w:val="-6"/>
        </w:rPr>
        <w:t xml:space="preserve"> </w:t>
      </w:r>
      <w:r>
        <w:t>of</w:t>
      </w:r>
      <w:r>
        <w:rPr>
          <w:spacing w:val="-3"/>
        </w:rPr>
        <w:t xml:space="preserve"> </w:t>
      </w:r>
      <w:r>
        <w:t>Plan-Directed</w:t>
      </w:r>
      <w:r>
        <w:rPr>
          <w:spacing w:val="-7"/>
        </w:rPr>
        <w:t xml:space="preserve"> </w:t>
      </w:r>
      <w:r>
        <w:t>Care</w:t>
      </w:r>
      <w:r>
        <w:rPr>
          <w:spacing w:val="-4"/>
        </w:rPr>
        <w:t xml:space="preserve"> </w:t>
      </w:r>
      <w:r>
        <w:t>updates</w:t>
      </w:r>
      <w:r>
        <w:rPr>
          <w:spacing w:val="-6"/>
        </w:rPr>
        <w:t xml:space="preserve"> </w:t>
      </w:r>
      <w:r>
        <w:t>to</w:t>
      </w:r>
      <w:r>
        <w:rPr>
          <w:spacing w:val="-7"/>
        </w:rPr>
        <w:t xml:space="preserve"> </w:t>
      </w:r>
      <w:r>
        <w:t>Chapter</w:t>
      </w:r>
      <w:r>
        <w:rPr>
          <w:spacing w:val="-4"/>
        </w:rPr>
        <w:t xml:space="preserve"> </w:t>
      </w:r>
      <w:r>
        <w:t>4: Benefits and Beneficiary Protections of the Medicare Managed Care Manual—is significant, as providers cannot use standard CMS documents and must use individual MAO notification materials. Under FFS, if the provider failed to either bill with the modifie</w:t>
      </w:r>
      <w:r>
        <w:t>r showing the ABN was issued or produce the plan-specific document, the provider is held accountable. Under MA rules, the plan is responsible. Furthermore, when beneficiaries are referred outside of the plan network, the MAO is liable for all</w:t>
      </w:r>
      <w:r>
        <w:rPr>
          <w:spacing w:val="-12"/>
        </w:rPr>
        <w:t xml:space="preserve"> </w:t>
      </w:r>
      <w:r>
        <w:t>services.</w:t>
      </w:r>
    </w:p>
    <w:p w:rsidR="00805174" w:rsidRDefault="00805174">
      <w:pPr>
        <w:pStyle w:val="BodyText"/>
        <w:spacing w:before="9"/>
        <w:rPr>
          <w:sz w:val="21"/>
        </w:rPr>
      </w:pPr>
    </w:p>
    <w:p w:rsidR="00805174" w:rsidRDefault="000A64A3">
      <w:pPr>
        <w:pStyle w:val="BodyText"/>
        <w:ind w:left="100" w:right="114"/>
        <w:jc w:val="both"/>
      </w:pPr>
      <w:r>
        <w:t>Wh</w:t>
      </w:r>
      <w:r>
        <w:t>ile the MAO can educate its contracted providers, the lack of guidance for non-contracted providers, combined</w:t>
      </w:r>
      <w:r>
        <w:rPr>
          <w:spacing w:val="-4"/>
        </w:rPr>
        <w:t xml:space="preserve"> </w:t>
      </w:r>
      <w:r>
        <w:t>with</w:t>
      </w:r>
      <w:r>
        <w:rPr>
          <w:spacing w:val="-7"/>
        </w:rPr>
        <w:t xml:space="preserve"> </w:t>
      </w:r>
      <w:r>
        <w:t>the</w:t>
      </w:r>
      <w:r>
        <w:rPr>
          <w:spacing w:val="-4"/>
        </w:rPr>
        <w:t xml:space="preserve"> </w:t>
      </w:r>
      <w:r>
        <w:t>disparity</w:t>
      </w:r>
      <w:r>
        <w:rPr>
          <w:spacing w:val="-7"/>
        </w:rPr>
        <w:t xml:space="preserve"> </w:t>
      </w:r>
      <w:r>
        <w:t>between</w:t>
      </w:r>
      <w:r>
        <w:rPr>
          <w:spacing w:val="-7"/>
        </w:rPr>
        <w:t xml:space="preserve"> </w:t>
      </w:r>
      <w:r>
        <w:t>MA</w:t>
      </w:r>
      <w:r>
        <w:rPr>
          <w:spacing w:val="-5"/>
        </w:rPr>
        <w:t xml:space="preserve"> </w:t>
      </w:r>
      <w:r>
        <w:t>and</w:t>
      </w:r>
      <w:r>
        <w:rPr>
          <w:spacing w:val="-7"/>
        </w:rPr>
        <w:t xml:space="preserve"> </w:t>
      </w:r>
      <w:r>
        <w:t>FFS</w:t>
      </w:r>
      <w:r>
        <w:rPr>
          <w:spacing w:val="-5"/>
        </w:rPr>
        <w:t xml:space="preserve"> </w:t>
      </w:r>
      <w:r>
        <w:t>rules,</w:t>
      </w:r>
      <w:r>
        <w:rPr>
          <w:spacing w:val="-4"/>
        </w:rPr>
        <w:t xml:space="preserve"> </w:t>
      </w:r>
      <w:r>
        <w:t>complicates</w:t>
      </w:r>
      <w:r>
        <w:rPr>
          <w:spacing w:val="-4"/>
        </w:rPr>
        <w:t xml:space="preserve"> </w:t>
      </w:r>
      <w:r>
        <w:t>plans’</w:t>
      </w:r>
      <w:r>
        <w:rPr>
          <w:spacing w:val="-6"/>
        </w:rPr>
        <w:t xml:space="preserve"> </w:t>
      </w:r>
      <w:r>
        <w:t>and</w:t>
      </w:r>
      <w:r>
        <w:rPr>
          <w:spacing w:val="-5"/>
        </w:rPr>
        <w:t xml:space="preserve"> </w:t>
      </w:r>
      <w:r>
        <w:t>non-contracted</w:t>
      </w:r>
      <w:r>
        <w:rPr>
          <w:spacing w:val="-4"/>
        </w:rPr>
        <w:t xml:space="preserve"> </w:t>
      </w:r>
      <w:r>
        <w:t>providers’ ability to effectively coordinate care for a benefic</w:t>
      </w:r>
      <w:r>
        <w:t xml:space="preserve">iary. More importantly, these challenges often burden beneficiaries with administrative and financial liabilities and do not hold non-contracted providers accountable. Because there are no requirements or guidelines for non-contracted providers to provide </w:t>
      </w:r>
      <w:r>
        <w:t>information to the MAO, the burden is left to the member. Additionally, even if the beneficiary is referred only for a consultation or specific service, the MAO is liable for any service the non-contracted provider renders. Since</w:t>
      </w:r>
      <w:r>
        <w:rPr>
          <w:spacing w:val="-3"/>
        </w:rPr>
        <w:t xml:space="preserve"> </w:t>
      </w:r>
      <w:r>
        <w:t>the</w:t>
      </w:r>
      <w:r>
        <w:rPr>
          <w:spacing w:val="-3"/>
        </w:rPr>
        <w:t xml:space="preserve"> </w:t>
      </w:r>
      <w:r>
        <w:t>ABN</w:t>
      </w:r>
      <w:r>
        <w:rPr>
          <w:spacing w:val="-2"/>
        </w:rPr>
        <w:t xml:space="preserve"> </w:t>
      </w:r>
      <w:r>
        <w:t>cannot</w:t>
      </w:r>
      <w:r>
        <w:rPr>
          <w:spacing w:val="-3"/>
        </w:rPr>
        <w:t xml:space="preserve"> </w:t>
      </w:r>
      <w:r>
        <w:t>be</w:t>
      </w:r>
      <w:r>
        <w:rPr>
          <w:spacing w:val="-3"/>
        </w:rPr>
        <w:t xml:space="preserve"> </w:t>
      </w:r>
      <w:r>
        <w:t>used</w:t>
      </w:r>
      <w:r>
        <w:rPr>
          <w:spacing w:val="-4"/>
        </w:rPr>
        <w:t xml:space="preserve"> </w:t>
      </w:r>
      <w:r>
        <w:t>and</w:t>
      </w:r>
      <w:r>
        <w:rPr>
          <w:spacing w:val="-4"/>
        </w:rPr>
        <w:t xml:space="preserve"> </w:t>
      </w:r>
      <w:r>
        <w:t>the</w:t>
      </w:r>
      <w:r>
        <w:rPr>
          <w:spacing w:val="-3"/>
        </w:rPr>
        <w:t xml:space="preserve"> </w:t>
      </w:r>
      <w:r>
        <w:t>non-contracted</w:t>
      </w:r>
      <w:r>
        <w:rPr>
          <w:spacing w:val="-3"/>
        </w:rPr>
        <w:t xml:space="preserve"> </w:t>
      </w:r>
      <w:r>
        <w:t>provider</w:t>
      </w:r>
      <w:r>
        <w:rPr>
          <w:spacing w:val="-3"/>
        </w:rPr>
        <w:t xml:space="preserve"> </w:t>
      </w:r>
      <w:r>
        <w:t>has</w:t>
      </w:r>
      <w:r>
        <w:rPr>
          <w:spacing w:val="-3"/>
        </w:rPr>
        <w:t xml:space="preserve"> </w:t>
      </w:r>
      <w:r>
        <w:t>no</w:t>
      </w:r>
      <w:r>
        <w:rPr>
          <w:spacing w:val="-4"/>
        </w:rPr>
        <w:t xml:space="preserve"> </w:t>
      </w:r>
      <w:r>
        <w:t>consequences</w:t>
      </w:r>
      <w:r>
        <w:rPr>
          <w:spacing w:val="-3"/>
        </w:rPr>
        <w:t xml:space="preserve"> </w:t>
      </w:r>
      <w:r>
        <w:t>for</w:t>
      </w:r>
      <w:r>
        <w:rPr>
          <w:spacing w:val="-3"/>
        </w:rPr>
        <w:t xml:space="preserve"> </w:t>
      </w:r>
      <w:r>
        <w:t>failure</w:t>
      </w:r>
      <w:r>
        <w:rPr>
          <w:spacing w:val="-3"/>
        </w:rPr>
        <w:t xml:space="preserve"> </w:t>
      </w:r>
      <w:r>
        <w:t>to follow Medicare rules, the provider is able to bill the beneficiary if the MAO does not</w:t>
      </w:r>
      <w:r>
        <w:rPr>
          <w:spacing w:val="-29"/>
        </w:rPr>
        <w:t xml:space="preserve"> </w:t>
      </w:r>
      <w:r>
        <w:t>pay.</w:t>
      </w:r>
    </w:p>
    <w:p w:rsidR="00805174" w:rsidRDefault="00805174">
      <w:pPr>
        <w:pStyle w:val="BodyText"/>
        <w:spacing w:before="9"/>
        <w:rPr>
          <w:sz w:val="21"/>
        </w:rPr>
      </w:pPr>
    </w:p>
    <w:p w:rsidR="00805174" w:rsidRDefault="000A64A3">
      <w:pPr>
        <w:pStyle w:val="BodyText"/>
        <w:ind w:left="100" w:right="114"/>
        <w:jc w:val="both"/>
      </w:pPr>
      <w:r>
        <w:t>We note that MAO contracted providers do not always know what services a non-contracted provider is rendering,</w:t>
      </w:r>
      <w:r>
        <w:rPr>
          <w:spacing w:val="-14"/>
        </w:rPr>
        <w:t xml:space="preserve"> </w:t>
      </w:r>
      <w:r>
        <w:t>or</w:t>
      </w:r>
      <w:r>
        <w:rPr>
          <w:spacing w:val="-16"/>
        </w:rPr>
        <w:t xml:space="preserve"> </w:t>
      </w:r>
      <w:r>
        <w:t>that</w:t>
      </w:r>
      <w:r>
        <w:rPr>
          <w:spacing w:val="-16"/>
        </w:rPr>
        <w:t xml:space="preserve"> </w:t>
      </w:r>
      <w:r>
        <w:t>they</w:t>
      </w:r>
      <w:r>
        <w:rPr>
          <w:spacing w:val="-16"/>
        </w:rPr>
        <w:t xml:space="preserve"> </w:t>
      </w:r>
      <w:r>
        <w:t>are</w:t>
      </w:r>
      <w:r>
        <w:rPr>
          <w:spacing w:val="-14"/>
        </w:rPr>
        <w:t xml:space="preserve"> </w:t>
      </w:r>
      <w:r>
        <w:t>not</w:t>
      </w:r>
      <w:r>
        <w:rPr>
          <w:spacing w:val="-13"/>
        </w:rPr>
        <w:t xml:space="preserve"> </w:t>
      </w:r>
      <w:r>
        <w:t>communicating</w:t>
      </w:r>
      <w:r>
        <w:rPr>
          <w:spacing w:val="-17"/>
        </w:rPr>
        <w:t xml:space="preserve"> </w:t>
      </w:r>
      <w:r>
        <w:t>with</w:t>
      </w:r>
      <w:r>
        <w:rPr>
          <w:spacing w:val="-17"/>
        </w:rPr>
        <w:t xml:space="preserve"> </w:t>
      </w:r>
      <w:r>
        <w:t>the</w:t>
      </w:r>
      <w:r>
        <w:rPr>
          <w:spacing w:val="-19"/>
        </w:rPr>
        <w:t xml:space="preserve"> </w:t>
      </w:r>
      <w:r>
        <w:t>beneficiary’s</w:t>
      </w:r>
      <w:r>
        <w:rPr>
          <w:spacing w:val="-12"/>
        </w:rPr>
        <w:t xml:space="preserve"> </w:t>
      </w:r>
      <w:r>
        <w:t>MAO</w:t>
      </w:r>
      <w:r>
        <w:rPr>
          <w:spacing w:val="-18"/>
        </w:rPr>
        <w:t xml:space="preserve"> </w:t>
      </w:r>
      <w:r>
        <w:t>as</w:t>
      </w:r>
      <w:r>
        <w:rPr>
          <w:spacing w:val="-15"/>
        </w:rPr>
        <w:t xml:space="preserve"> </w:t>
      </w:r>
      <w:r>
        <w:t>contracted</w:t>
      </w:r>
      <w:r>
        <w:rPr>
          <w:spacing w:val="-14"/>
        </w:rPr>
        <w:t xml:space="preserve"> </w:t>
      </w:r>
      <w:r>
        <w:t>providers</w:t>
      </w:r>
      <w:r>
        <w:rPr>
          <w:spacing w:val="-14"/>
        </w:rPr>
        <w:t xml:space="preserve"> </w:t>
      </w:r>
      <w:r>
        <w:t>would.</w:t>
      </w:r>
      <w:r>
        <w:rPr>
          <w:spacing w:val="-2"/>
        </w:rPr>
        <w:t xml:space="preserve"> </w:t>
      </w:r>
      <w:r>
        <w:t>If the MAO determines that the service provided woul</w:t>
      </w:r>
      <w:r>
        <w:t>d not have been reimbursed under FFS—even in the case of care rendered outside of National Coverage Determination and Local Coverage Determination (NCD/LCD)</w:t>
      </w:r>
      <w:r>
        <w:rPr>
          <w:spacing w:val="-13"/>
        </w:rPr>
        <w:t xml:space="preserve"> </w:t>
      </w:r>
      <w:r>
        <w:t>guidelines—the</w:t>
      </w:r>
      <w:r>
        <w:rPr>
          <w:spacing w:val="-14"/>
        </w:rPr>
        <w:t xml:space="preserve"> </w:t>
      </w:r>
      <w:r>
        <w:t>only</w:t>
      </w:r>
      <w:r>
        <w:rPr>
          <w:spacing w:val="-17"/>
        </w:rPr>
        <w:t xml:space="preserve"> </w:t>
      </w:r>
      <w:r>
        <w:t>option</w:t>
      </w:r>
      <w:r>
        <w:rPr>
          <w:spacing w:val="-17"/>
        </w:rPr>
        <w:t xml:space="preserve"> </w:t>
      </w:r>
      <w:r>
        <w:t>is</w:t>
      </w:r>
      <w:r>
        <w:rPr>
          <w:spacing w:val="-16"/>
        </w:rPr>
        <w:t xml:space="preserve"> </w:t>
      </w:r>
      <w:r>
        <w:t>to</w:t>
      </w:r>
      <w:r>
        <w:rPr>
          <w:spacing w:val="-14"/>
        </w:rPr>
        <w:t xml:space="preserve"> </w:t>
      </w:r>
      <w:r>
        <w:t>deny</w:t>
      </w:r>
      <w:r>
        <w:rPr>
          <w:spacing w:val="-16"/>
        </w:rPr>
        <w:t xml:space="preserve"> </w:t>
      </w:r>
      <w:r>
        <w:t>the</w:t>
      </w:r>
      <w:r>
        <w:rPr>
          <w:spacing w:val="-16"/>
        </w:rPr>
        <w:t xml:space="preserve"> </w:t>
      </w:r>
      <w:r>
        <w:t>request</w:t>
      </w:r>
      <w:r>
        <w:rPr>
          <w:spacing w:val="-16"/>
        </w:rPr>
        <w:t xml:space="preserve"> </w:t>
      </w:r>
      <w:r>
        <w:t>and</w:t>
      </w:r>
      <w:r>
        <w:rPr>
          <w:spacing w:val="-16"/>
        </w:rPr>
        <w:t xml:space="preserve"> </w:t>
      </w:r>
      <w:r>
        <w:t>issue</w:t>
      </w:r>
      <w:r>
        <w:rPr>
          <w:spacing w:val="-16"/>
        </w:rPr>
        <w:t xml:space="preserve"> </w:t>
      </w:r>
      <w:r>
        <w:t>an</w:t>
      </w:r>
      <w:r>
        <w:rPr>
          <w:spacing w:val="-16"/>
        </w:rPr>
        <w:t xml:space="preserve"> </w:t>
      </w:r>
      <w:r>
        <w:t>Integrated</w:t>
      </w:r>
      <w:r>
        <w:rPr>
          <w:spacing w:val="-14"/>
        </w:rPr>
        <w:t xml:space="preserve"> </w:t>
      </w:r>
      <w:r>
        <w:t>Denial</w:t>
      </w:r>
      <w:r>
        <w:rPr>
          <w:spacing w:val="-13"/>
        </w:rPr>
        <w:t xml:space="preserve"> </w:t>
      </w:r>
      <w:r>
        <w:t>Notice</w:t>
      </w:r>
      <w:r>
        <w:rPr>
          <w:spacing w:val="-16"/>
        </w:rPr>
        <w:t xml:space="preserve"> </w:t>
      </w:r>
      <w:r>
        <w:t>(IDN),</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114"/>
        <w:jc w:val="both"/>
      </w:pPr>
      <w:r>
        <w:lastRenderedPageBreak/>
        <w:t>which places beneficiary liability on the service. While this decision can be appealed per the beneficiary appeals process under Chapter 13 of the Medicare Managed Care Manual, the non-contracted provider is not required to appeal and can bi</w:t>
      </w:r>
      <w:r>
        <w:t>ll the member directly due to the denial being issued to the member.</w:t>
      </w:r>
    </w:p>
    <w:p w:rsidR="00805174" w:rsidRDefault="00805174">
      <w:pPr>
        <w:pStyle w:val="BodyText"/>
      </w:pPr>
    </w:p>
    <w:p w:rsidR="00805174" w:rsidRDefault="000A64A3">
      <w:pPr>
        <w:pStyle w:val="BodyText"/>
        <w:ind w:left="100" w:right="111"/>
        <w:jc w:val="both"/>
      </w:pPr>
      <w:r>
        <w:t>If</w:t>
      </w:r>
      <w:r>
        <w:rPr>
          <w:spacing w:val="-3"/>
        </w:rPr>
        <w:t xml:space="preserve"> </w:t>
      </w:r>
      <w:r>
        <w:t>the</w:t>
      </w:r>
      <w:r>
        <w:rPr>
          <w:spacing w:val="-3"/>
        </w:rPr>
        <w:t xml:space="preserve"> </w:t>
      </w:r>
      <w:r>
        <w:t>MAO</w:t>
      </w:r>
      <w:r>
        <w:rPr>
          <w:spacing w:val="-5"/>
        </w:rPr>
        <w:t xml:space="preserve"> </w:t>
      </w:r>
      <w:r>
        <w:t>wants</w:t>
      </w:r>
      <w:r>
        <w:rPr>
          <w:spacing w:val="-5"/>
        </w:rPr>
        <w:t xml:space="preserve"> </w:t>
      </w:r>
      <w:r>
        <w:t>to</w:t>
      </w:r>
      <w:r>
        <w:rPr>
          <w:spacing w:val="-2"/>
        </w:rPr>
        <w:t xml:space="preserve"> </w:t>
      </w:r>
      <w:r>
        <w:t>shield</w:t>
      </w:r>
      <w:r>
        <w:rPr>
          <w:spacing w:val="-6"/>
        </w:rPr>
        <w:t xml:space="preserve"> </w:t>
      </w:r>
      <w:r>
        <w:t>the</w:t>
      </w:r>
      <w:r>
        <w:rPr>
          <w:spacing w:val="-3"/>
        </w:rPr>
        <w:t xml:space="preserve"> </w:t>
      </w:r>
      <w:r>
        <w:t>beneficiary</w:t>
      </w:r>
      <w:r>
        <w:rPr>
          <w:spacing w:val="-6"/>
        </w:rPr>
        <w:t xml:space="preserve"> </w:t>
      </w:r>
      <w:r>
        <w:t>from</w:t>
      </w:r>
      <w:r>
        <w:rPr>
          <w:spacing w:val="-7"/>
        </w:rPr>
        <w:t xml:space="preserve"> </w:t>
      </w:r>
      <w:r>
        <w:t>financial</w:t>
      </w:r>
      <w:r>
        <w:rPr>
          <w:spacing w:val="-3"/>
        </w:rPr>
        <w:t xml:space="preserve"> </w:t>
      </w:r>
      <w:r>
        <w:t>and</w:t>
      </w:r>
      <w:r>
        <w:rPr>
          <w:spacing w:val="-6"/>
        </w:rPr>
        <w:t xml:space="preserve"> </w:t>
      </w:r>
      <w:r>
        <w:t>administrative</w:t>
      </w:r>
      <w:r>
        <w:rPr>
          <w:spacing w:val="-3"/>
        </w:rPr>
        <w:t xml:space="preserve"> </w:t>
      </w:r>
      <w:r>
        <w:t>burdens,</w:t>
      </w:r>
      <w:r>
        <w:rPr>
          <w:spacing w:val="-4"/>
        </w:rPr>
        <w:t xml:space="preserve"> </w:t>
      </w:r>
      <w:r>
        <w:t>the</w:t>
      </w:r>
      <w:r>
        <w:rPr>
          <w:spacing w:val="-3"/>
        </w:rPr>
        <w:t xml:space="preserve"> </w:t>
      </w:r>
      <w:r>
        <w:t>only</w:t>
      </w:r>
      <w:r>
        <w:rPr>
          <w:spacing w:val="-6"/>
        </w:rPr>
        <w:t xml:space="preserve"> </w:t>
      </w:r>
      <w:r>
        <w:t>option</w:t>
      </w:r>
      <w:r>
        <w:rPr>
          <w:spacing w:val="-6"/>
        </w:rPr>
        <w:t xml:space="preserve"> </w:t>
      </w:r>
      <w:r>
        <w:t>is</w:t>
      </w:r>
      <w:r>
        <w:rPr>
          <w:spacing w:val="-5"/>
        </w:rPr>
        <w:t xml:space="preserve"> </w:t>
      </w:r>
      <w:r>
        <w:t>to pay</w:t>
      </w:r>
      <w:r>
        <w:rPr>
          <w:spacing w:val="-13"/>
        </w:rPr>
        <w:t xml:space="preserve"> </w:t>
      </w:r>
      <w:r>
        <w:t>the</w:t>
      </w:r>
      <w:r>
        <w:rPr>
          <w:spacing w:val="-13"/>
        </w:rPr>
        <w:t xml:space="preserve"> </w:t>
      </w:r>
      <w:r>
        <w:t>Medicare</w:t>
      </w:r>
      <w:r>
        <w:rPr>
          <w:spacing w:val="-13"/>
        </w:rPr>
        <w:t xml:space="preserve"> </w:t>
      </w:r>
      <w:r>
        <w:t>rate</w:t>
      </w:r>
      <w:r>
        <w:rPr>
          <w:spacing w:val="-11"/>
        </w:rPr>
        <w:t xml:space="preserve"> </w:t>
      </w:r>
      <w:r>
        <w:t>of</w:t>
      </w:r>
      <w:r>
        <w:rPr>
          <w:spacing w:val="-13"/>
        </w:rPr>
        <w:t xml:space="preserve"> </w:t>
      </w:r>
      <w:r>
        <w:t>reimbursement</w:t>
      </w:r>
      <w:r>
        <w:rPr>
          <w:spacing w:val="-10"/>
        </w:rPr>
        <w:t xml:space="preserve"> </w:t>
      </w:r>
      <w:r>
        <w:t>for</w:t>
      </w:r>
      <w:r>
        <w:rPr>
          <w:spacing w:val="-12"/>
        </w:rPr>
        <w:t xml:space="preserve"> </w:t>
      </w:r>
      <w:r>
        <w:t>the</w:t>
      </w:r>
      <w:r>
        <w:rPr>
          <w:spacing w:val="-11"/>
        </w:rPr>
        <w:t xml:space="preserve"> </w:t>
      </w:r>
      <w:r>
        <w:t>actual</w:t>
      </w:r>
      <w:r>
        <w:rPr>
          <w:spacing w:val="-12"/>
        </w:rPr>
        <w:t xml:space="preserve"> </w:t>
      </w:r>
      <w:r>
        <w:t>codes</w:t>
      </w:r>
      <w:r>
        <w:rPr>
          <w:spacing w:val="-13"/>
        </w:rPr>
        <w:t xml:space="preserve"> </w:t>
      </w:r>
      <w:r>
        <w:t>submitted</w:t>
      </w:r>
      <w:r>
        <w:rPr>
          <w:spacing w:val="-11"/>
        </w:rPr>
        <w:t xml:space="preserve"> </w:t>
      </w:r>
      <w:r>
        <w:t>by</w:t>
      </w:r>
      <w:r>
        <w:rPr>
          <w:spacing w:val="-16"/>
        </w:rPr>
        <w:t xml:space="preserve"> </w:t>
      </w:r>
      <w:r>
        <w:t>the</w:t>
      </w:r>
      <w:r>
        <w:rPr>
          <w:spacing w:val="-13"/>
        </w:rPr>
        <w:t xml:space="preserve"> </w:t>
      </w:r>
      <w:r>
        <w:t>non-contracted</w:t>
      </w:r>
      <w:r>
        <w:rPr>
          <w:spacing w:val="-13"/>
        </w:rPr>
        <w:t xml:space="preserve"> </w:t>
      </w:r>
      <w:r>
        <w:t>provider,</w:t>
      </w:r>
      <w:r>
        <w:rPr>
          <w:spacing w:val="-13"/>
        </w:rPr>
        <w:t xml:space="preserve"> </w:t>
      </w:r>
      <w:r>
        <w:t>even if FFS would not allow the member to have the burden of the appeals process. Even if upheld by the IRE, the</w:t>
      </w:r>
      <w:r>
        <w:rPr>
          <w:spacing w:val="-7"/>
        </w:rPr>
        <w:t xml:space="preserve"> </w:t>
      </w:r>
      <w:r>
        <w:t>member</w:t>
      </w:r>
      <w:r>
        <w:rPr>
          <w:spacing w:val="-6"/>
        </w:rPr>
        <w:t xml:space="preserve"> </w:t>
      </w:r>
      <w:r>
        <w:t>is</w:t>
      </w:r>
      <w:r>
        <w:rPr>
          <w:spacing w:val="-9"/>
        </w:rPr>
        <w:t xml:space="preserve"> </w:t>
      </w:r>
      <w:r>
        <w:t>still</w:t>
      </w:r>
      <w:r>
        <w:rPr>
          <w:spacing w:val="-9"/>
        </w:rPr>
        <w:t xml:space="preserve"> </w:t>
      </w:r>
      <w:r>
        <w:t>liable—a</w:t>
      </w:r>
      <w:r>
        <w:rPr>
          <w:spacing w:val="-7"/>
        </w:rPr>
        <w:t xml:space="preserve"> </w:t>
      </w:r>
      <w:r>
        <w:t>result</w:t>
      </w:r>
      <w:r>
        <w:rPr>
          <w:spacing w:val="-9"/>
        </w:rPr>
        <w:t xml:space="preserve"> </w:t>
      </w:r>
      <w:r>
        <w:t>that</w:t>
      </w:r>
      <w:r>
        <w:rPr>
          <w:spacing w:val="-6"/>
        </w:rPr>
        <w:t xml:space="preserve"> </w:t>
      </w:r>
      <w:r>
        <w:t>Anthem</w:t>
      </w:r>
      <w:r>
        <w:rPr>
          <w:spacing w:val="-10"/>
        </w:rPr>
        <w:t xml:space="preserve"> </w:t>
      </w:r>
      <w:r>
        <w:t>disagrees</w:t>
      </w:r>
      <w:r>
        <w:rPr>
          <w:spacing w:val="-6"/>
        </w:rPr>
        <w:t xml:space="preserve"> </w:t>
      </w:r>
      <w:r>
        <w:t>with.</w:t>
      </w:r>
      <w:r>
        <w:rPr>
          <w:spacing w:val="-3"/>
        </w:rPr>
        <w:t xml:space="preserve"> </w:t>
      </w:r>
      <w:r>
        <w:t>The</w:t>
      </w:r>
      <w:r>
        <w:rPr>
          <w:spacing w:val="-7"/>
        </w:rPr>
        <w:t xml:space="preserve"> </w:t>
      </w:r>
      <w:r>
        <w:t>beneficiary</w:t>
      </w:r>
      <w:r>
        <w:rPr>
          <w:spacing w:val="-10"/>
        </w:rPr>
        <w:t xml:space="preserve"> </w:t>
      </w:r>
      <w:r>
        <w:t>is</w:t>
      </w:r>
      <w:r>
        <w:rPr>
          <w:spacing w:val="-9"/>
        </w:rPr>
        <w:t xml:space="preserve"> </w:t>
      </w:r>
      <w:r>
        <w:t>following</w:t>
      </w:r>
      <w:r>
        <w:rPr>
          <w:spacing w:val="-10"/>
        </w:rPr>
        <w:t xml:space="preserve"> </w:t>
      </w:r>
      <w:r>
        <w:t>the</w:t>
      </w:r>
      <w:r>
        <w:rPr>
          <w:spacing w:val="-9"/>
        </w:rPr>
        <w:t xml:space="preserve"> </w:t>
      </w:r>
      <w:r>
        <w:t>advice</w:t>
      </w:r>
      <w:r>
        <w:rPr>
          <w:spacing w:val="-9"/>
        </w:rPr>
        <w:t xml:space="preserve"> </w:t>
      </w:r>
      <w:r>
        <w:t>and direction of a clinician. However, the current Non-Contracted Provider Dispute process does not allow for these types of decisions to be disputed and only looks at if the rate of payment is correct; we note that this does not cover site-of-service deci</w:t>
      </w:r>
      <w:r>
        <w:t>sions like non-contracted providers billing for inpatient Diagnosis- Related</w:t>
      </w:r>
      <w:r>
        <w:rPr>
          <w:spacing w:val="-11"/>
        </w:rPr>
        <w:t xml:space="preserve"> </w:t>
      </w:r>
      <w:r>
        <w:t>Group</w:t>
      </w:r>
      <w:r>
        <w:rPr>
          <w:spacing w:val="-12"/>
        </w:rPr>
        <w:t xml:space="preserve"> </w:t>
      </w:r>
      <w:r>
        <w:t>(DRG)</w:t>
      </w:r>
      <w:r>
        <w:rPr>
          <w:spacing w:val="-10"/>
        </w:rPr>
        <w:t xml:space="preserve"> </w:t>
      </w:r>
      <w:r>
        <w:t>admissions</w:t>
      </w:r>
      <w:r>
        <w:rPr>
          <w:spacing w:val="-11"/>
        </w:rPr>
        <w:t xml:space="preserve"> </w:t>
      </w:r>
      <w:r>
        <w:t>when</w:t>
      </w:r>
      <w:r>
        <w:rPr>
          <w:spacing w:val="-12"/>
        </w:rPr>
        <w:t xml:space="preserve"> </w:t>
      </w:r>
      <w:r>
        <w:t>observation</w:t>
      </w:r>
      <w:r>
        <w:rPr>
          <w:spacing w:val="-13"/>
        </w:rPr>
        <w:t xml:space="preserve"> </w:t>
      </w:r>
      <w:r>
        <w:t>level</w:t>
      </w:r>
      <w:r>
        <w:rPr>
          <w:spacing w:val="-11"/>
        </w:rPr>
        <w:t xml:space="preserve"> </w:t>
      </w:r>
      <w:r>
        <w:t>of</w:t>
      </w:r>
      <w:r>
        <w:rPr>
          <w:spacing w:val="-14"/>
        </w:rPr>
        <w:t xml:space="preserve"> </w:t>
      </w:r>
      <w:r>
        <w:t>care</w:t>
      </w:r>
      <w:r>
        <w:rPr>
          <w:spacing w:val="-12"/>
        </w:rPr>
        <w:t xml:space="preserve"> </w:t>
      </w:r>
      <w:r>
        <w:t>was</w:t>
      </w:r>
      <w:r>
        <w:rPr>
          <w:spacing w:val="-11"/>
        </w:rPr>
        <w:t xml:space="preserve"> </w:t>
      </w:r>
      <w:r>
        <w:t>appropriate.</w:t>
      </w:r>
      <w:r>
        <w:rPr>
          <w:spacing w:val="-12"/>
        </w:rPr>
        <w:t xml:space="preserve"> </w:t>
      </w:r>
      <w:r>
        <w:t>There</w:t>
      </w:r>
      <w:r>
        <w:rPr>
          <w:spacing w:val="-12"/>
        </w:rPr>
        <w:t xml:space="preserve"> </w:t>
      </w:r>
      <w:r>
        <w:t>are</w:t>
      </w:r>
      <w:r>
        <w:rPr>
          <w:spacing w:val="-12"/>
        </w:rPr>
        <w:t xml:space="preserve"> </w:t>
      </w:r>
      <w:r>
        <w:t>guidelines</w:t>
      </w:r>
      <w:r>
        <w:rPr>
          <w:spacing w:val="-14"/>
        </w:rPr>
        <w:t xml:space="preserve"> </w:t>
      </w:r>
      <w:r>
        <w:t>that protect</w:t>
      </w:r>
      <w:r>
        <w:rPr>
          <w:spacing w:val="-8"/>
        </w:rPr>
        <w:t xml:space="preserve"> </w:t>
      </w:r>
      <w:r>
        <w:t>the</w:t>
      </w:r>
      <w:r>
        <w:rPr>
          <w:spacing w:val="-7"/>
        </w:rPr>
        <w:t xml:space="preserve"> </w:t>
      </w:r>
      <w:r>
        <w:t>beneficiary</w:t>
      </w:r>
      <w:r>
        <w:rPr>
          <w:spacing w:val="-9"/>
        </w:rPr>
        <w:t xml:space="preserve"> </w:t>
      </w:r>
      <w:r>
        <w:t>from</w:t>
      </w:r>
      <w:r>
        <w:rPr>
          <w:spacing w:val="-10"/>
        </w:rPr>
        <w:t xml:space="preserve"> </w:t>
      </w:r>
      <w:r>
        <w:t>liability</w:t>
      </w:r>
      <w:r>
        <w:rPr>
          <w:spacing w:val="-7"/>
        </w:rPr>
        <w:t xml:space="preserve"> </w:t>
      </w:r>
      <w:r>
        <w:t>but</w:t>
      </w:r>
      <w:r>
        <w:rPr>
          <w:spacing w:val="-6"/>
        </w:rPr>
        <w:t xml:space="preserve"> </w:t>
      </w:r>
      <w:r>
        <w:t>do</w:t>
      </w:r>
      <w:r>
        <w:rPr>
          <w:spacing w:val="-7"/>
        </w:rPr>
        <w:t xml:space="preserve"> </w:t>
      </w:r>
      <w:r>
        <w:t>not</w:t>
      </w:r>
      <w:r>
        <w:rPr>
          <w:spacing w:val="-6"/>
        </w:rPr>
        <w:t xml:space="preserve"> </w:t>
      </w:r>
      <w:r>
        <w:t>hold</w:t>
      </w:r>
      <w:r>
        <w:rPr>
          <w:spacing w:val="-8"/>
        </w:rPr>
        <w:t xml:space="preserve"> </w:t>
      </w:r>
      <w:r>
        <w:t>the</w:t>
      </w:r>
      <w:r>
        <w:rPr>
          <w:spacing w:val="-8"/>
        </w:rPr>
        <w:t xml:space="preserve"> </w:t>
      </w:r>
      <w:r>
        <w:t>non-contracted</w:t>
      </w:r>
      <w:r>
        <w:rPr>
          <w:spacing w:val="-5"/>
        </w:rPr>
        <w:t xml:space="preserve"> </w:t>
      </w:r>
      <w:r>
        <w:t>provider</w:t>
      </w:r>
      <w:r>
        <w:rPr>
          <w:spacing w:val="-8"/>
        </w:rPr>
        <w:t xml:space="preserve"> </w:t>
      </w:r>
      <w:r>
        <w:t>accountable</w:t>
      </w:r>
      <w:r>
        <w:rPr>
          <w:spacing w:val="-7"/>
        </w:rPr>
        <w:t xml:space="preserve"> </w:t>
      </w:r>
      <w:r>
        <w:t>for</w:t>
      </w:r>
      <w:r>
        <w:rPr>
          <w:spacing w:val="-6"/>
        </w:rPr>
        <w:t xml:space="preserve"> </w:t>
      </w:r>
      <w:r>
        <w:t>following the FFS rules of rendering only Medicare covered services or providing advanced notification. Thus, the MAO pays for services that would not otherwise be covered by the Medicare</w:t>
      </w:r>
      <w:r>
        <w:rPr>
          <w:spacing w:val="-25"/>
        </w:rPr>
        <w:t xml:space="preserve"> </w:t>
      </w:r>
      <w:r>
        <w:t>program.</w:t>
      </w:r>
    </w:p>
    <w:p w:rsidR="00805174" w:rsidRDefault="00805174">
      <w:pPr>
        <w:pStyle w:val="BodyText"/>
        <w:spacing w:before="11"/>
        <w:rPr>
          <w:sz w:val="21"/>
        </w:rPr>
      </w:pPr>
    </w:p>
    <w:p w:rsidR="00805174" w:rsidRDefault="000A64A3">
      <w:pPr>
        <w:pStyle w:val="BodyText"/>
        <w:ind w:left="100" w:right="113"/>
        <w:jc w:val="both"/>
      </w:pPr>
      <w:r>
        <w:t>MAOs are ultimately responsible for adher</w:t>
      </w:r>
      <w:r>
        <w:t>ing to and otherwise fully complying with all terms and conditions of their contract with CMS and have the obligation to comply with Federal laws and regulations—but the guidance can be contradictory. While the burdensome process of PA is certainly a legit</w:t>
      </w:r>
      <w:r>
        <w:t>imate concern, the issues described above play a significant role in why MAOs attempt to even have PA. Anthem urges CMS to hold all Medicare participating providers to the same standards to eliminate confusion,</w:t>
      </w:r>
      <w:r>
        <w:rPr>
          <w:spacing w:val="-10"/>
        </w:rPr>
        <w:t xml:space="preserve"> </w:t>
      </w:r>
      <w:r>
        <w:t>prevent</w:t>
      </w:r>
      <w:r>
        <w:rPr>
          <w:spacing w:val="-11"/>
        </w:rPr>
        <w:t xml:space="preserve"> </w:t>
      </w:r>
      <w:r>
        <w:t>abuse,</w:t>
      </w:r>
      <w:r>
        <w:rPr>
          <w:spacing w:val="-9"/>
        </w:rPr>
        <w:t xml:space="preserve"> </w:t>
      </w:r>
      <w:r>
        <w:t>and—most</w:t>
      </w:r>
      <w:r>
        <w:rPr>
          <w:spacing w:val="-8"/>
        </w:rPr>
        <w:t xml:space="preserve"> </w:t>
      </w:r>
      <w:r>
        <w:t>importantly—protect</w:t>
      </w:r>
      <w:r>
        <w:rPr>
          <w:spacing w:val="-9"/>
        </w:rPr>
        <w:t xml:space="preserve"> </w:t>
      </w:r>
      <w:r>
        <w:t>t</w:t>
      </w:r>
      <w:r>
        <w:t>he</w:t>
      </w:r>
      <w:r>
        <w:rPr>
          <w:spacing w:val="-9"/>
        </w:rPr>
        <w:t xml:space="preserve"> </w:t>
      </w:r>
      <w:r>
        <w:t>beneficiary.</w:t>
      </w:r>
      <w:r>
        <w:rPr>
          <w:spacing w:val="-10"/>
        </w:rPr>
        <w:t xml:space="preserve"> </w:t>
      </w:r>
      <w:r>
        <w:t>These</w:t>
      </w:r>
      <w:r>
        <w:rPr>
          <w:spacing w:val="-11"/>
        </w:rPr>
        <w:t xml:space="preserve"> </w:t>
      </w:r>
      <w:r>
        <w:t>goals</w:t>
      </w:r>
      <w:r>
        <w:rPr>
          <w:spacing w:val="-9"/>
        </w:rPr>
        <w:t xml:space="preserve"> </w:t>
      </w:r>
      <w:r>
        <w:t>can</w:t>
      </w:r>
      <w:r>
        <w:rPr>
          <w:spacing w:val="-10"/>
        </w:rPr>
        <w:t xml:space="preserve"> </w:t>
      </w:r>
      <w:r>
        <w:t>be</w:t>
      </w:r>
      <w:r>
        <w:rPr>
          <w:spacing w:val="-9"/>
        </w:rPr>
        <w:t xml:space="preserve"> </w:t>
      </w:r>
      <w:r>
        <w:t>achieved</w:t>
      </w:r>
      <w:r>
        <w:rPr>
          <w:spacing w:val="-9"/>
        </w:rPr>
        <w:t xml:space="preserve"> </w:t>
      </w:r>
      <w:r>
        <w:t>by updating CMS guidance regarding Provider Payment Dispute Resolution for Non-Contracted Providers. Anthem stands ready to work closely with CMS to resolve these</w:t>
      </w:r>
      <w:r>
        <w:rPr>
          <w:spacing w:val="-24"/>
        </w:rPr>
        <w:t xml:space="preserve"> </w:t>
      </w:r>
      <w:r>
        <w:t>issues.</w:t>
      </w:r>
    </w:p>
    <w:p w:rsidR="00805174" w:rsidRDefault="00805174">
      <w:pPr>
        <w:pStyle w:val="BodyText"/>
        <w:spacing w:before="4"/>
      </w:pPr>
    </w:p>
    <w:p w:rsidR="00805174" w:rsidRDefault="000A64A3">
      <w:pPr>
        <w:pStyle w:val="Heading1"/>
        <w:spacing w:before="1"/>
      </w:pPr>
      <w:r>
        <w:t>III: Part D</w:t>
      </w:r>
    </w:p>
    <w:p w:rsidR="00805174" w:rsidRDefault="00805174">
      <w:pPr>
        <w:pStyle w:val="BodyText"/>
        <w:spacing w:before="7"/>
        <w:rPr>
          <w:b/>
          <w:sz w:val="21"/>
        </w:rPr>
      </w:pPr>
    </w:p>
    <w:p w:rsidR="00805174" w:rsidRDefault="000A64A3">
      <w:pPr>
        <w:ind w:left="100"/>
        <w:jc w:val="both"/>
        <w:rPr>
          <w:i/>
        </w:rPr>
      </w:pPr>
      <w:r>
        <w:rPr>
          <w:i/>
        </w:rPr>
        <w:t>Formulary Submissions</w:t>
      </w:r>
    </w:p>
    <w:p w:rsidR="00805174" w:rsidRDefault="00805174">
      <w:pPr>
        <w:pStyle w:val="BodyText"/>
        <w:spacing w:before="11"/>
        <w:rPr>
          <w:i/>
          <w:sz w:val="21"/>
        </w:rPr>
      </w:pPr>
    </w:p>
    <w:p w:rsidR="00805174" w:rsidRDefault="000A64A3">
      <w:pPr>
        <w:pStyle w:val="BodyText"/>
        <w:ind w:left="100"/>
        <w:jc w:val="both"/>
      </w:pPr>
      <w:r>
        <w:rPr>
          <w:u w:val="single"/>
        </w:rPr>
        <w:t>CY 2019 Formulary Reference File (FRF)</w:t>
      </w:r>
    </w:p>
    <w:p w:rsidR="00805174" w:rsidRDefault="00805174">
      <w:pPr>
        <w:pStyle w:val="BodyText"/>
        <w:rPr>
          <w:sz w:val="14"/>
        </w:rPr>
      </w:pPr>
    </w:p>
    <w:p w:rsidR="00805174" w:rsidRDefault="000A64A3">
      <w:pPr>
        <w:pStyle w:val="BodyText"/>
        <w:spacing w:before="92"/>
        <w:ind w:left="100" w:right="116"/>
        <w:jc w:val="both"/>
      </w:pPr>
      <w:r>
        <w:t>CMS</w:t>
      </w:r>
      <w:r>
        <w:rPr>
          <w:spacing w:val="-6"/>
        </w:rPr>
        <w:t xml:space="preserve"> </w:t>
      </w:r>
      <w:r>
        <w:t>indicates</w:t>
      </w:r>
      <w:r>
        <w:rPr>
          <w:spacing w:val="-5"/>
        </w:rPr>
        <w:t xml:space="preserve"> </w:t>
      </w:r>
      <w:r>
        <w:t>that</w:t>
      </w:r>
      <w:r>
        <w:rPr>
          <w:spacing w:val="-7"/>
        </w:rPr>
        <w:t xml:space="preserve"> </w:t>
      </w:r>
      <w:r>
        <w:t>it</w:t>
      </w:r>
      <w:r>
        <w:rPr>
          <w:spacing w:val="-5"/>
        </w:rPr>
        <w:t xml:space="preserve"> </w:t>
      </w:r>
      <w:r>
        <w:t>will</w:t>
      </w:r>
      <w:r>
        <w:rPr>
          <w:spacing w:val="-5"/>
        </w:rPr>
        <w:t xml:space="preserve"> </w:t>
      </w:r>
      <w:r>
        <w:t>update</w:t>
      </w:r>
      <w:r>
        <w:rPr>
          <w:spacing w:val="-8"/>
        </w:rPr>
        <w:t xml:space="preserve"> </w:t>
      </w:r>
      <w:r>
        <w:t>the</w:t>
      </w:r>
      <w:r>
        <w:rPr>
          <w:spacing w:val="-6"/>
        </w:rPr>
        <w:t xml:space="preserve"> </w:t>
      </w:r>
      <w:r>
        <w:t>2019</w:t>
      </w:r>
      <w:r>
        <w:rPr>
          <w:spacing w:val="-6"/>
        </w:rPr>
        <w:t xml:space="preserve"> </w:t>
      </w:r>
      <w:r>
        <w:t>FRF</w:t>
      </w:r>
      <w:r>
        <w:rPr>
          <w:spacing w:val="-6"/>
        </w:rPr>
        <w:t xml:space="preserve"> </w:t>
      </w:r>
      <w:r>
        <w:t>in</w:t>
      </w:r>
      <w:r>
        <w:rPr>
          <w:spacing w:val="-6"/>
        </w:rPr>
        <w:t xml:space="preserve"> </w:t>
      </w:r>
      <w:r>
        <w:t>mid-</w:t>
      </w:r>
      <w:r>
        <w:rPr>
          <w:spacing w:val="-8"/>
        </w:rPr>
        <w:t xml:space="preserve"> </w:t>
      </w:r>
      <w:r>
        <w:t>to</w:t>
      </w:r>
      <w:r>
        <w:rPr>
          <w:spacing w:val="-6"/>
        </w:rPr>
        <w:t xml:space="preserve"> </w:t>
      </w:r>
      <w:r>
        <w:t>late-May.</w:t>
      </w:r>
      <w:r>
        <w:rPr>
          <w:spacing w:val="-6"/>
        </w:rPr>
        <w:t xml:space="preserve"> </w:t>
      </w:r>
      <w:r>
        <w:t>Anthem</w:t>
      </w:r>
      <w:r>
        <w:rPr>
          <w:spacing w:val="-7"/>
        </w:rPr>
        <w:t xml:space="preserve"> </w:t>
      </w:r>
      <w:r>
        <w:t>requests</w:t>
      </w:r>
      <w:r>
        <w:rPr>
          <w:spacing w:val="-5"/>
        </w:rPr>
        <w:t xml:space="preserve"> </w:t>
      </w:r>
      <w:r>
        <w:t>that</w:t>
      </w:r>
      <w:r>
        <w:rPr>
          <w:spacing w:val="-5"/>
        </w:rPr>
        <w:t xml:space="preserve"> </w:t>
      </w:r>
      <w:r>
        <w:t>CMS</w:t>
      </w:r>
      <w:r>
        <w:rPr>
          <w:spacing w:val="-8"/>
        </w:rPr>
        <w:t xml:space="preserve"> </w:t>
      </w:r>
      <w:r>
        <w:t>release</w:t>
      </w:r>
      <w:r>
        <w:rPr>
          <w:spacing w:val="-6"/>
        </w:rPr>
        <w:t xml:space="preserve"> </w:t>
      </w:r>
      <w:r>
        <w:t>the final FRF at least two weeks before the formulary submission deadline of June 4. At this late date, plans shoul</w:t>
      </w:r>
      <w:r>
        <w:t>d</w:t>
      </w:r>
      <w:r>
        <w:rPr>
          <w:spacing w:val="-5"/>
        </w:rPr>
        <w:t xml:space="preserve"> </w:t>
      </w:r>
      <w:r>
        <w:t>be</w:t>
      </w:r>
      <w:r>
        <w:rPr>
          <w:spacing w:val="-7"/>
        </w:rPr>
        <w:t xml:space="preserve"> </w:t>
      </w:r>
      <w:r>
        <w:t>focused</w:t>
      </w:r>
      <w:r>
        <w:rPr>
          <w:spacing w:val="-5"/>
        </w:rPr>
        <w:t xml:space="preserve"> </w:t>
      </w:r>
      <w:r>
        <w:t>on</w:t>
      </w:r>
      <w:r>
        <w:rPr>
          <w:spacing w:val="-7"/>
        </w:rPr>
        <w:t xml:space="preserve"> </w:t>
      </w:r>
      <w:r>
        <w:t>formulary</w:t>
      </w:r>
      <w:r>
        <w:rPr>
          <w:spacing w:val="-7"/>
        </w:rPr>
        <w:t xml:space="preserve"> </w:t>
      </w:r>
      <w:r>
        <w:t>quality</w:t>
      </w:r>
      <w:r>
        <w:rPr>
          <w:spacing w:val="-7"/>
        </w:rPr>
        <w:t xml:space="preserve"> </w:t>
      </w:r>
      <w:r>
        <w:t>checks</w:t>
      </w:r>
      <w:r>
        <w:rPr>
          <w:spacing w:val="-4"/>
        </w:rPr>
        <w:t xml:space="preserve"> </w:t>
      </w:r>
      <w:r>
        <w:t>rather</w:t>
      </w:r>
      <w:r>
        <w:rPr>
          <w:spacing w:val="-6"/>
        </w:rPr>
        <w:t xml:space="preserve"> </w:t>
      </w:r>
      <w:r>
        <w:t>than</w:t>
      </w:r>
      <w:r>
        <w:rPr>
          <w:spacing w:val="-4"/>
        </w:rPr>
        <w:t xml:space="preserve"> </w:t>
      </w:r>
      <w:r>
        <w:t>more</w:t>
      </w:r>
      <w:r>
        <w:rPr>
          <w:spacing w:val="-4"/>
        </w:rPr>
        <w:t xml:space="preserve"> </w:t>
      </w:r>
      <w:r>
        <w:t>significant</w:t>
      </w:r>
      <w:r>
        <w:rPr>
          <w:spacing w:val="-6"/>
        </w:rPr>
        <w:t xml:space="preserve"> </w:t>
      </w:r>
      <w:r>
        <w:t>changes,</w:t>
      </w:r>
      <w:r>
        <w:rPr>
          <w:spacing w:val="-5"/>
        </w:rPr>
        <w:t xml:space="preserve"> </w:t>
      </w:r>
      <w:r>
        <w:t>but</w:t>
      </w:r>
      <w:r>
        <w:rPr>
          <w:spacing w:val="-6"/>
        </w:rPr>
        <w:t xml:space="preserve"> </w:t>
      </w:r>
      <w:r>
        <w:t>CMS’</w:t>
      </w:r>
      <w:r>
        <w:rPr>
          <w:spacing w:val="-6"/>
        </w:rPr>
        <w:t xml:space="preserve"> </w:t>
      </w:r>
      <w:r>
        <w:t>historically late release of the FRF update hinders our ability to direct resources in that</w:t>
      </w:r>
      <w:r>
        <w:rPr>
          <w:spacing w:val="-27"/>
        </w:rPr>
        <w:t xml:space="preserve"> </w:t>
      </w:r>
      <w:r>
        <w:t>manner.</w:t>
      </w:r>
    </w:p>
    <w:p w:rsidR="00805174" w:rsidRDefault="00805174">
      <w:pPr>
        <w:pStyle w:val="BodyText"/>
      </w:pPr>
    </w:p>
    <w:p w:rsidR="00805174" w:rsidRDefault="000A64A3">
      <w:pPr>
        <w:pStyle w:val="BodyText"/>
        <w:ind w:left="100" w:right="115"/>
        <w:jc w:val="both"/>
      </w:pPr>
      <w:r>
        <w:t>While we appreciate CMS’ intention to move the summer formulary update window later into the</w:t>
      </w:r>
      <w:r>
        <w:rPr>
          <w:spacing w:val="-32"/>
        </w:rPr>
        <w:t xml:space="preserve"> </w:t>
      </w:r>
      <w:r>
        <w:t>summer to allow for inclusion of newly approved brand and generics that occur in July and August, Anthem urges CMS</w:t>
      </w:r>
      <w:r>
        <w:rPr>
          <w:spacing w:val="-11"/>
        </w:rPr>
        <w:t xml:space="preserve"> </w:t>
      </w:r>
      <w:r>
        <w:t>to</w:t>
      </w:r>
      <w:r>
        <w:rPr>
          <w:spacing w:val="-11"/>
        </w:rPr>
        <w:t xml:space="preserve"> </w:t>
      </w:r>
      <w:r>
        <w:t>retain</w:t>
      </w:r>
      <w:r>
        <w:rPr>
          <w:spacing w:val="-11"/>
        </w:rPr>
        <w:t xml:space="preserve"> </w:t>
      </w:r>
      <w:r>
        <w:t>the</w:t>
      </w:r>
      <w:r>
        <w:rPr>
          <w:spacing w:val="-11"/>
        </w:rPr>
        <w:t xml:space="preserve"> </w:t>
      </w:r>
      <w:r>
        <w:t>current</w:t>
      </w:r>
      <w:r>
        <w:rPr>
          <w:spacing w:val="-10"/>
        </w:rPr>
        <w:t xml:space="preserve"> </w:t>
      </w:r>
      <w:r>
        <w:t>timeline</w:t>
      </w:r>
      <w:r>
        <w:rPr>
          <w:spacing w:val="-11"/>
        </w:rPr>
        <w:t xml:space="preserve"> </w:t>
      </w:r>
      <w:r>
        <w:t>and</w:t>
      </w:r>
      <w:r>
        <w:rPr>
          <w:spacing w:val="-11"/>
        </w:rPr>
        <w:t xml:space="preserve"> </w:t>
      </w:r>
      <w:r>
        <w:t>open</w:t>
      </w:r>
      <w:r>
        <w:rPr>
          <w:spacing w:val="-11"/>
        </w:rPr>
        <w:t xml:space="preserve"> </w:t>
      </w:r>
      <w:r>
        <w:t>the</w:t>
      </w:r>
      <w:r>
        <w:rPr>
          <w:spacing w:val="-11"/>
        </w:rPr>
        <w:t xml:space="preserve"> </w:t>
      </w:r>
      <w:r>
        <w:t>wind</w:t>
      </w:r>
      <w:r>
        <w:t>ow</w:t>
      </w:r>
      <w:r>
        <w:rPr>
          <w:spacing w:val="-12"/>
        </w:rPr>
        <w:t xml:space="preserve"> </w:t>
      </w:r>
      <w:r>
        <w:t>no</w:t>
      </w:r>
      <w:r>
        <w:rPr>
          <w:spacing w:val="-11"/>
        </w:rPr>
        <w:t xml:space="preserve"> </w:t>
      </w:r>
      <w:r>
        <w:t>later</w:t>
      </w:r>
      <w:r>
        <w:rPr>
          <w:spacing w:val="-12"/>
        </w:rPr>
        <w:t xml:space="preserve"> </w:t>
      </w:r>
      <w:r>
        <w:t>than</w:t>
      </w:r>
      <w:r>
        <w:rPr>
          <w:spacing w:val="-11"/>
        </w:rPr>
        <w:t xml:space="preserve"> </w:t>
      </w:r>
      <w:r>
        <w:t>late</w:t>
      </w:r>
      <w:r>
        <w:rPr>
          <w:spacing w:val="-13"/>
        </w:rPr>
        <w:t xml:space="preserve"> </w:t>
      </w:r>
      <w:r>
        <w:t>July.</w:t>
      </w:r>
      <w:r>
        <w:rPr>
          <w:spacing w:val="-11"/>
        </w:rPr>
        <w:t xml:space="preserve"> </w:t>
      </w:r>
      <w:r>
        <w:t>Any</w:t>
      </w:r>
      <w:r>
        <w:rPr>
          <w:spacing w:val="-13"/>
        </w:rPr>
        <w:t xml:space="preserve"> </w:t>
      </w:r>
      <w:r>
        <w:t>later</w:t>
      </w:r>
      <w:r>
        <w:rPr>
          <w:spacing w:val="-10"/>
        </w:rPr>
        <w:t xml:space="preserve"> </w:t>
      </w:r>
      <w:r>
        <w:t>compresses</w:t>
      </w:r>
      <w:r>
        <w:rPr>
          <w:spacing w:val="-10"/>
        </w:rPr>
        <w:t xml:space="preserve"> </w:t>
      </w:r>
      <w:r>
        <w:t>plans’ abilities to meet subsequent milestones as outlined in the Annual</w:t>
      </w:r>
      <w:r>
        <w:rPr>
          <w:spacing w:val="-19"/>
        </w:rPr>
        <w:t xml:space="preserve"> </w:t>
      </w:r>
      <w:r>
        <w:t>Calendar.</w:t>
      </w:r>
    </w:p>
    <w:p w:rsidR="00805174" w:rsidRDefault="00805174">
      <w:pPr>
        <w:pStyle w:val="BodyText"/>
      </w:pPr>
    </w:p>
    <w:p w:rsidR="00805174" w:rsidRDefault="000A64A3">
      <w:pPr>
        <w:pStyle w:val="BodyText"/>
        <w:ind w:left="100" w:right="116"/>
        <w:jc w:val="both"/>
      </w:pPr>
      <w:r>
        <w:t>With respect to the enhancement-only window that CMS intends to add in late fall, Anthem requests that this window open pri</w:t>
      </w:r>
      <w:r>
        <w:t>or to open enrollment in order for it to be truly beneficiary-friendly; if it occurs after open enrollment, beneficiaries will not have full and complete information when making enrollment decisions.</w:t>
      </w:r>
    </w:p>
    <w:p w:rsidR="00805174" w:rsidRDefault="00805174">
      <w:pPr>
        <w:pStyle w:val="BodyText"/>
        <w:spacing w:before="11"/>
        <w:rPr>
          <w:sz w:val="21"/>
        </w:rPr>
      </w:pPr>
    </w:p>
    <w:p w:rsidR="00805174" w:rsidRDefault="000A64A3">
      <w:pPr>
        <w:pStyle w:val="BodyText"/>
        <w:ind w:left="100"/>
        <w:jc w:val="both"/>
      </w:pPr>
      <w:r>
        <w:rPr>
          <w:u w:val="single"/>
        </w:rPr>
        <w:t>Changes for CY 2019 Formulary Submissions</w:t>
      </w:r>
    </w:p>
    <w:p w:rsidR="00805174" w:rsidRDefault="00805174">
      <w:pPr>
        <w:pStyle w:val="BodyText"/>
        <w:rPr>
          <w:sz w:val="14"/>
        </w:rPr>
      </w:pPr>
    </w:p>
    <w:p w:rsidR="00805174" w:rsidRDefault="000A64A3">
      <w:pPr>
        <w:pStyle w:val="BodyText"/>
        <w:spacing w:before="92"/>
        <w:ind w:left="100" w:right="5"/>
      </w:pPr>
      <w:r>
        <w:t>Anthem agree</w:t>
      </w:r>
      <w:r>
        <w:t>s with CMS’ proposals to 1) make the Additional Demonstration Drug (ADD) file available in advance of the ADD File submission deadline, 2) eliminate the Non-Extended Day Supply (NDS)  file,</w:t>
      </w:r>
    </w:p>
    <w:p w:rsidR="00805174" w:rsidRDefault="00805174">
      <w:pPr>
        <w:sectPr w:rsidR="00805174">
          <w:pgSz w:w="12240" w:h="15840"/>
          <w:pgMar w:top="1360" w:right="1320" w:bottom="1200" w:left="1340" w:header="0" w:footer="1015" w:gutter="0"/>
          <w:cols w:space="720"/>
        </w:sectPr>
      </w:pPr>
    </w:p>
    <w:p w:rsidR="00805174" w:rsidRDefault="000A64A3">
      <w:pPr>
        <w:pStyle w:val="BodyText"/>
        <w:spacing w:before="74"/>
        <w:ind w:left="100"/>
      </w:pPr>
      <w:r>
        <w:lastRenderedPageBreak/>
        <w:t xml:space="preserve">and 3) modify the Over-the-Counter (OTC) Validation </w:t>
      </w:r>
      <w:r>
        <w:t>File to reduce burden on sponsors and streamline CMS review.</w:t>
      </w:r>
    </w:p>
    <w:p w:rsidR="00805174" w:rsidRDefault="00805174">
      <w:pPr>
        <w:pStyle w:val="BodyText"/>
      </w:pPr>
    </w:p>
    <w:p w:rsidR="00805174" w:rsidRDefault="000A64A3">
      <w:pPr>
        <w:ind w:left="100"/>
        <w:rPr>
          <w:i/>
        </w:rPr>
      </w:pPr>
      <w:r>
        <w:rPr>
          <w:i/>
        </w:rPr>
        <w:t>Tier Composition</w:t>
      </w:r>
    </w:p>
    <w:p w:rsidR="00805174" w:rsidRDefault="00805174">
      <w:pPr>
        <w:pStyle w:val="BodyText"/>
        <w:spacing w:before="11"/>
        <w:rPr>
          <w:i/>
          <w:sz w:val="21"/>
        </w:rPr>
      </w:pPr>
    </w:p>
    <w:p w:rsidR="00805174" w:rsidRDefault="000A64A3">
      <w:pPr>
        <w:pStyle w:val="BodyText"/>
        <w:ind w:left="100"/>
      </w:pPr>
      <w:r>
        <w:t>Anthem appreciates CMS defining the maximum threshold of generic composition that provides for use of the non-preferred brand tier label.</w:t>
      </w:r>
    </w:p>
    <w:p w:rsidR="00805174" w:rsidRDefault="00805174">
      <w:pPr>
        <w:pStyle w:val="BodyText"/>
      </w:pPr>
    </w:p>
    <w:p w:rsidR="00805174" w:rsidRDefault="000A64A3">
      <w:pPr>
        <w:ind w:left="100"/>
        <w:rPr>
          <w:i/>
        </w:rPr>
      </w:pPr>
      <w:r>
        <w:rPr>
          <w:i/>
        </w:rPr>
        <w:t>Improving Drug Utilization Review Con</w:t>
      </w:r>
      <w:r>
        <w:rPr>
          <w:i/>
        </w:rPr>
        <w:t>trols in Medicare Part D: Retrospective DUR</w:t>
      </w:r>
    </w:p>
    <w:p w:rsidR="00805174" w:rsidRDefault="00805174">
      <w:pPr>
        <w:pStyle w:val="BodyText"/>
        <w:rPr>
          <w:i/>
        </w:rPr>
      </w:pPr>
    </w:p>
    <w:p w:rsidR="00805174" w:rsidRDefault="000A64A3">
      <w:pPr>
        <w:pStyle w:val="BodyText"/>
        <w:ind w:left="100"/>
      </w:pPr>
      <w:r>
        <w:rPr>
          <w:u w:val="single"/>
        </w:rPr>
        <w:t>Comprehensive Addiction and Recovery Act of 2016 (CARA)</w:t>
      </w:r>
    </w:p>
    <w:p w:rsidR="00805174" w:rsidRDefault="00805174">
      <w:pPr>
        <w:pStyle w:val="BodyText"/>
        <w:rPr>
          <w:sz w:val="14"/>
        </w:rPr>
      </w:pPr>
    </w:p>
    <w:p w:rsidR="00805174" w:rsidRDefault="000A64A3">
      <w:pPr>
        <w:pStyle w:val="BodyText"/>
        <w:spacing w:before="92"/>
        <w:ind w:left="100" w:right="111"/>
        <w:jc w:val="both"/>
      </w:pPr>
      <w:r>
        <w:t>Substance</w:t>
      </w:r>
      <w:r>
        <w:rPr>
          <w:spacing w:val="-11"/>
        </w:rPr>
        <w:t xml:space="preserve"> </w:t>
      </w:r>
      <w:r>
        <w:t>use</w:t>
      </w:r>
      <w:r>
        <w:rPr>
          <w:spacing w:val="-11"/>
        </w:rPr>
        <w:t xml:space="preserve"> </w:t>
      </w:r>
      <w:r>
        <w:t>disorders</w:t>
      </w:r>
      <w:r>
        <w:rPr>
          <w:spacing w:val="-10"/>
        </w:rPr>
        <w:t xml:space="preserve"> </w:t>
      </w:r>
      <w:r>
        <w:t>are</w:t>
      </w:r>
      <w:r>
        <w:rPr>
          <w:spacing w:val="-13"/>
        </w:rPr>
        <w:t xml:space="preserve"> </w:t>
      </w:r>
      <w:r>
        <w:t>chronic</w:t>
      </w:r>
      <w:r>
        <w:rPr>
          <w:spacing w:val="-11"/>
        </w:rPr>
        <w:t xml:space="preserve"> </w:t>
      </w:r>
      <w:r>
        <w:t>conditions</w:t>
      </w:r>
      <w:r>
        <w:rPr>
          <w:spacing w:val="-10"/>
        </w:rPr>
        <w:t xml:space="preserve"> </w:t>
      </w:r>
      <w:r>
        <w:t>which</w:t>
      </w:r>
      <w:r>
        <w:rPr>
          <w:spacing w:val="-11"/>
        </w:rPr>
        <w:t xml:space="preserve"> </w:t>
      </w:r>
      <w:r>
        <w:t>require</w:t>
      </w:r>
      <w:r>
        <w:rPr>
          <w:spacing w:val="-11"/>
        </w:rPr>
        <w:t xml:space="preserve"> </w:t>
      </w:r>
      <w:r>
        <w:t>an</w:t>
      </w:r>
      <w:r>
        <w:rPr>
          <w:spacing w:val="-11"/>
        </w:rPr>
        <w:t xml:space="preserve"> </w:t>
      </w:r>
      <w:r>
        <w:t>integrated</w:t>
      </w:r>
      <w:r>
        <w:rPr>
          <w:spacing w:val="-11"/>
        </w:rPr>
        <w:t xml:space="preserve"> </w:t>
      </w:r>
      <w:r>
        <w:t>and</w:t>
      </w:r>
      <w:r>
        <w:rPr>
          <w:spacing w:val="-11"/>
        </w:rPr>
        <w:t xml:space="preserve"> </w:t>
      </w:r>
      <w:r>
        <w:t>holistic</w:t>
      </w:r>
      <w:r>
        <w:rPr>
          <w:spacing w:val="-11"/>
        </w:rPr>
        <w:t xml:space="preserve"> </w:t>
      </w:r>
      <w:r>
        <w:t>plan</w:t>
      </w:r>
      <w:r>
        <w:rPr>
          <w:spacing w:val="-13"/>
        </w:rPr>
        <w:t xml:space="preserve"> </w:t>
      </w:r>
      <w:r>
        <w:t>to</w:t>
      </w:r>
      <w:r>
        <w:rPr>
          <w:spacing w:val="-11"/>
        </w:rPr>
        <w:t xml:space="preserve"> </w:t>
      </w:r>
      <w:r>
        <w:t>support</w:t>
      </w:r>
      <w:r>
        <w:rPr>
          <w:spacing w:val="-10"/>
        </w:rPr>
        <w:t xml:space="preserve"> </w:t>
      </w:r>
      <w:r>
        <w:t>each individual and that individual’s family. In recognizing the priority that should be placed on addressing the escalating opioid epidemic, and the important role of the health plan in the collective effort, Anthem has instituted a comprehensive suite of</w:t>
      </w:r>
      <w:r>
        <w:t xml:space="preserve"> services designed to meet the growing need. Such services range from Medication Assisted Treatment (MAT), to peer recovery supports, community treatment options, and chronic pain management. At the core of our strategy are the fundamental objectives of pr</w:t>
      </w:r>
      <w:r>
        <w:t>evention, treatment,</w:t>
      </w:r>
      <w:r>
        <w:rPr>
          <w:spacing w:val="-10"/>
        </w:rPr>
        <w:t xml:space="preserve"> </w:t>
      </w:r>
      <w:r>
        <w:t>recovery,</w:t>
      </w:r>
      <w:r>
        <w:rPr>
          <w:spacing w:val="-7"/>
        </w:rPr>
        <w:t xml:space="preserve"> </w:t>
      </w:r>
      <w:r>
        <w:t>and</w:t>
      </w:r>
      <w:r>
        <w:rPr>
          <w:spacing w:val="-9"/>
        </w:rPr>
        <w:t xml:space="preserve"> </w:t>
      </w:r>
      <w:r>
        <w:t>deterrence.</w:t>
      </w:r>
      <w:r>
        <w:rPr>
          <w:spacing w:val="-9"/>
        </w:rPr>
        <w:t xml:space="preserve"> </w:t>
      </w:r>
      <w:r>
        <w:t>As</w:t>
      </w:r>
      <w:r>
        <w:rPr>
          <w:spacing w:val="-9"/>
        </w:rPr>
        <w:t xml:space="preserve"> </w:t>
      </w:r>
      <w:r>
        <w:t>part</w:t>
      </w:r>
      <w:r>
        <w:rPr>
          <w:spacing w:val="-8"/>
        </w:rPr>
        <w:t xml:space="preserve"> </w:t>
      </w:r>
      <w:r>
        <w:t>of</w:t>
      </w:r>
      <w:r>
        <w:rPr>
          <w:spacing w:val="-9"/>
        </w:rPr>
        <w:t xml:space="preserve"> </w:t>
      </w:r>
      <w:r>
        <w:t>our</w:t>
      </w:r>
      <w:r>
        <w:rPr>
          <w:spacing w:val="-9"/>
        </w:rPr>
        <w:t xml:space="preserve"> </w:t>
      </w:r>
      <w:r>
        <w:t>strategy,</w:t>
      </w:r>
      <w:r>
        <w:rPr>
          <w:spacing w:val="-7"/>
        </w:rPr>
        <w:t xml:space="preserve"> </w:t>
      </w:r>
      <w:r>
        <w:t>Anthem</w:t>
      </w:r>
      <w:r>
        <w:rPr>
          <w:spacing w:val="-10"/>
        </w:rPr>
        <w:t xml:space="preserve"> </w:t>
      </w:r>
      <w:r>
        <w:t>reached</w:t>
      </w:r>
      <w:r>
        <w:rPr>
          <w:spacing w:val="-10"/>
        </w:rPr>
        <w:t xml:space="preserve"> </w:t>
      </w:r>
      <w:r>
        <w:t>the</w:t>
      </w:r>
      <w:r>
        <w:rPr>
          <w:spacing w:val="-9"/>
        </w:rPr>
        <w:t xml:space="preserve"> </w:t>
      </w:r>
      <w:r>
        <w:t>company’s</w:t>
      </w:r>
      <w:r>
        <w:rPr>
          <w:spacing w:val="-6"/>
        </w:rPr>
        <w:t xml:space="preserve"> </w:t>
      </w:r>
      <w:r>
        <w:t>collective</w:t>
      </w:r>
      <w:r>
        <w:rPr>
          <w:spacing w:val="-7"/>
        </w:rPr>
        <w:t xml:space="preserve"> </w:t>
      </w:r>
      <w:r>
        <w:t>goal of reducing prescribed opioids filled at pharmacies by 30 percent since 2012—two years earlier than the initial goal. Anthem has now update</w:t>
      </w:r>
      <w:r>
        <w:t>d its goal to achieve a 35 percent reduction by 2019. We commend CMS for its ongoing dedication to address the opioid epidemic, and thank the Agency for the efforts it has undertaken to propose a framework for the Part D drug management program established</w:t>
      </w:r>
      <w:r>
        <w:t xml:space="preserve"> under CARA. Anthem provided extensive comments on CMS’ November 2017 proposal to implement this framework. We now urge CMS to provide the template letters that sponsors should use to inform at-risk beneficiaries of</w:t>
      </w:r>
      <w:r>
        <w:rPr>
          <w:spacing w:val="-6"/>
        </w:rPr>
        <w:t xml:space="preserve"> </w:t>
      </w:r>
      <w:r>
        <w:t>their</w:t>
      </w:r>
      <w:r>
        <w:rPr>
          <w:spacing w:val="-6"/>
        </w:rPr>
        <w:t xml:space="preserve"> </w:t>
      </w:r>
      <w:r>
        <w:t>eligibility</w:t>
      </w:r>
      <w:r>
        <w:rPr>
          <w:spacing w:val="-10"/>
        </w:rPr>
        <w:t xml:space="preserve"> </w:t>
      </w:r>
      <w:r>
        <w:t>for</w:t>
      </w:r>
      <w:r>
        <w:rPr>
          <w:spacing w:val="-6"/>
        </w:rPr>
        <w:t xml:space="preserve"> </w:t>
      </w:r>
      <w:r>
        <w:t>the</w:t>
      </w:r>
      <w:r>
        <w:rPr>
          <w:spacing w:val="-7"/>
        </w:rPr>
        <w:t xml:space="preserve"> </w:t>
      </w:r>
      <w:r>
        <w:t>drug</w:t>
      </w:r>
      <w:r>
        <w:rPr>
          <w:spacing w:val="-7"/>
        </w:rPr>
        <w:t xml:space="preserve"> </w:t>
      </w:r>
      <w:r>
        <w:t>managemen</w:t>
      </w:r>
      <w:r>
        <w:t>t</w:t>
      </w:r>
      <w:r>
        <w:rPr>
          <w:spacing w:val="-6"/>
        </w:rPr>
        <w:t xml:space="preserve"> </w:t>
      </w:r>
      <w:r>
        <w:t>program.</w:t>
      </w:r>
      <w:r>
        <w:rPr>
          <w:spacing w:val="-3"/>
        </w:rPr>
        <w:t xml:space="preserve"> </w:t>
      </w:r>
      <w:r>
        <w:t>With</w:t>
      </w:r>
      <w:r>
        <w:rPr>
          <w:spacing w:val="-7"/>
        </w:rPr>
        <w:t xml:space="preserve"> </w:t>
      </w:r>
      <w:r>
        <w:t>implementation</w:t>
      </w:r>
      <w:r>
        <w:rPr>
          <w:spacing w:val="-7"/>
        </w:rPr>
        <w:t xml:space="preserve"> </w:t>
      </w:r>
      <w:r>
        <w:t>less</w:t>
      </w:r>
      <w:r>
        <w:rPr>
          <w:spacing w:val="-6"/>
        </w:rPr>
        <w:t xml:space="preserve"> </w:t>
      </w:r>
      <w:r>
        <w:t>than</w:t>
      </w:r>
      <w:r>
        <w:rPr>
          <w:spacing w:val="-7"/>
        </w:rPr>
        <w:t xml:space="preserve"> </w:t>
      </w:r>
      <w:r>
        <w:t>a</w:t>
      </w:r>
      <w:r>
        <w:rPr>
          <w:spacing w:val="-7"/>
        </w:rPr>
        <w:t xml:space="preserve"> </w:t>
      </w:r>
      <w:r>
        <w:t>year</w:t>
      </w:r>
      <w:r>
        <w:rPr>
          <w:spacing w:val="-6"/>
        </w:rPr>
        <w:t xml:space="preserve"> </w:t>
      </w:r>
      <w:r>
        <w:t>away,</w:t>
      </w:r>
      <w:r>
        <w:rPr>
          <w:spacing w:val="-7"/>
        </w:rPr>
        <w:t xml:space="preserve"> </w:t>
      </w:r>
      <w:r>
        <w:t>sponsors need guidelines on these templates as soon as</w:t>
      </w:r>
      <w:r>
        <w:rPr>
          <w:spacing w:val="-19"/>
        </w:rPr>
        <w:t xml:space="preserve"> </w:t>
      </w:r>
      <w:r>
        <w:t>possible.</w:t>
      </w:r>
    </w:p>
    <w:p w:rsidR="00805174" w:rsidRDefault="00805174">
      <w:pPr>
        <w:pStyle w:val="BodyText"/>
        <w:spacing w:before="9"/>
        <w:rPr>
          <w:sz w:val="21"/>
        </w:rPr>
      </w:pPr>
    </w:p>
    <w:p w:rsidR="00805174" w:rsidRDefault="000A64A3">
      <w:pPr>
        <w:pStyle w:val="BodyText"/>
        <w:spacing w:before="1"/>
        <w:ind w:left="100"/>
        <w:jc w:val="both"/>
      </w:pPr>
      <w:r>
        <w:rPr>
          <w:u w:val="single"/>
        </w:rPr>
        <w:t>Overutilization Monitoring System (OMS) Metrics</w:t>
      </w:r>
    </w:p>
    <w:p w:rsidR="00805174" w:rsidRDefault="00805174">
      <w:pPr>
        <w:pStyle w:val="BodyText"/>
        <w:spacing w:before="1"/>
        <w:rPr>
          <w:sz w:val="14"/>
        </w:rPr>
      </w:pPr>
    </w:p>
    <w:p w:rsidR="00805174" w:rsidRDefault="000A64A3">
      <w:pPr>
        <w:pStyle w:val="BodyText"/>
        <w:spacing w:before="91"/>
        <w:ind w:left="100" w:right="113"/>
        <w:jc w:val="both"/>
      </w:pPr>
      <w:r>
        <w:t>Anthem</w:t>
      </w:r>
      <w:r>
        <w:rPr>
          <w:spacing w:val="-7"/>
        </w:rPr>
        <w:t xml:space="preserve"> </w:t>
      </w:r>
      <w:r>
        <w:t>supports</w:t>
      </w:r>
      <w:r>
        <w:rPr>
          <w:spacing w:val="-3"/>
        </w:rPr>
        <w:t xml:space="preserve"> </w:t>
      </w:r>
      <w:r>
        <w:t>CMS’</w:t>
      </w:r>
      <w:r>
        <w:rPr>
          <w:spacing w:val="-3"/>
        </w:rPr>
        <w:t xml:space="preserve"> </w:t>
      </w:r>
      <w:r>
        <w:t>proposal</w:t>
      </w:r>
      <w:r>
        <w:rPr>
          <w:spacing w:val="-5"/>
        </w:rPr>
        <w:t xml:space="preserve"> </w:t>
      </w:r>
      <w:r>
        <w:t>to</w:t>
      </w:r>
      <w:r>
        <w:rPr>
          <w:spacing w:val="-4"/>
        </w:rPr>
        <w:t xml:space="preserve"> </w:t>
      </w:r>
      <w:r>
        <w:t>change</w:t>
      </w:r>
      <w:r>
        <w:rPr>
          <w:spacing w:val="-3"/>
        </w:rPr>
        <w:t xml:space="preserve"> </w:t>
      </w:r>
      <w:r>
        <w:t>the</w:t>
      </w:r>
      <w:r>
        <w:rPr>
          <w:spacing w:val="-3"/>
        </w:rPr>
        <w:t xml:space="preserve"> </w:t>
      </w:r>
      <w:r>
        <w:t>Opioid</w:t>
      </w:r>
      <w:r>
        <w:rPr>
          <w:spacing w:val="-6"/>
        </w:rPr>
        <w:t xml:space="preserve"> </w:t>
      </w:r>
      <w:r>
        <w:t>Daily</w:t>
      </w:r>
      <w:r>
        <w:rPr>
          <w:spacing w:val="-6"/>
        </w:rPr>
        <w:t xml:space="preserve"> </w:t>
      </w:r>
      <w:r>
        <w:t>Dose</w:t>
      </w:r>
      <w:r>
        <w:rPr>
          <w:spacing w:val="-3"/>
        </w:rPr>
        <w:t xml:space="preserve"> </w:t>
      </w:r>
      <w:r>
        <w:t>measurement</w:t>
      </w:r>
      <w:r>
        <w:rPr>
          <w:spacing w:val="-3"/>
        </w:rPr>
        <w:t xml:space="preserve"> </w:t>
      </w:r>
      <w:r>
        <w:t>period</w:t>
      </w:r>
      <w:r>
        <w:rPr>
          <w:spacing w:val="-4"/>
        </w:rPr>
        <w:t xml:space="preserve"> </w:t>
      </w:r>
      <w:r>
        <w:t>from</w:t>
      </w:r>
      <w:r>
        <w:rPr>
          <w:spacing w:val="-7"/>
        </w:rPr>
        <w:t xml:space="preserve"> </w:t>
      </w:r>
      <w:r>
        <w:t>12</w:t>
      </w:r>
      <w:r>
        <w:rPr>
          <w:spacing w:val="-1"/>
        </w:rPr>
        <w:t xml:space="preserve"> </w:t>
      </w:r>
      <w:r>
        <w:t>months</w:t>
      </w:r>
      <w:r>
        <w:rPr>
          <w:spacing w:val="-3"/>
        </w:rPr>
        <w:t xml:space="preserve"> </w:t>
      </w:r>
      <w:r>
        <w:t>to 6 months to align with the revised OMS criteria measurement period. We also agree that the OMS report should</w:t>
      </w:r>
      <w:r>
        <w:rPr>
          <w:spacing w:val="-16"/>
        </w:rPr>
        <w:t xml:space="preserve"> </w:t>
      </w:r>
      <w:r>
        <w:t>include</w:t>
      </w:r>
      <w:r>
        <w:rPr>
          <w:spacing w:val="-15"/>
        </w:rPr>
        <w:t xml:space="preserve"> </w:t>
      </w:r>
      <w:r>
        <w:t>a</w:t>
      </w:r>
      <w:r>
        <w:rPr>
          <w:spacing w:val="-15"/>
        </w:rPr>
        <w:t xml:space="preserve"> </w:t>
      </w:r>
      <w:r>
        <w:t>second</w:t>
      </w:r>
      <w:r>
        <w:rPr>
          <w:spacing w:val="-16"/>
        </w:rPr>
        <w:t xml:space="preserve"> </w:t>
      </w:r>
      <w:r>
        <w:t>Opioid</w:t>
      </w:r>
      <w:r>
        <w:rPr>
          <w:spacing w:val="-16"/>
        </w:rPr>
        <w:t xml:space="preserve"> </w:t>
      </w:r>
      <w:r>
        <w:t>Daily</w:t>
      </w:r>
      <w:r>
        <w:rPr>
          <w:spacing w:val="-18"/>
        </w:rPr>
        <w:t xml:space="preserve"> </w:t>
      </w:r>
      <w:r>
        <w:t>Dose</w:t>
      </w:r>
      <w:r>
        <w:rPr>
          <w:spacing w:val="-15"/>
        </w:rPr>
        <w:t xml:space="preserve"> </w:t>
      </w:r>
      <w:r>
        <w:t>rate</w:t>
      </w:r>
      <w:r>
        <w:rPr>
          <w:spacing w:val="-15"/>
        </w:rPr>
        <w:t xml:space="preserve"> </w:t>
      </w:r>
      <w:r>
        <w:t>with</w:t>
      </w:r>
      <w:r>
        <w:rPr>
          <w:spacing w:val="-16"/>
        </w:rPr>
        <w:t xml:space="preserve"> </w:t>
      </w:r>
      <w:r>
        <w:t>a</w:t>
      </w:r>
      <w:r>
        <w:rPr>
          <w:spacing w:val="-15"/>
        </w:rPr>
        <w:t xml:space="preserve"> </w:t>
      </w:r>
      <w:r>
        <w:t>90</w:t>
      </w:r>
      <w:r>
        <w:rPr>
          <w:spacing w:val="-13"/>
        </w:rPr>
        <w:t xml:space="preserve"> </w:t>
      </w:r>
      <w:r>
        <w:t>Morphine</w:t>
      </w:r>
      <w:r>
        <w:rPr>
          <w:spacing w:val="-15"/>
        </w:rPr>
        <w:t xml:space="preserve"> </w:t>
      </w:r>
      <w:r>
        <w:t>Milligram</w:t>
      </w:r>
      <w:r>
        <w:rPr>
          <w:spacing w:val="-19"/>
        </w:rPr>
        <w:t xml:space="preserve"> </w:t>
      </w:r>
      <w:r>
        <w:t>Equivalent</w:t>
      </w:r>
      <w:r>
        <w:rPr>
          <w:spacing w:val="-14"/>
        </w:rPr>
        <w:t xml:space="preserve"> </w:t>
      </w:r>
      <w:r>
        <w:t>(MME)</w:t>
      </w:r>
      <w:r>
        <w:rPr>
          <w:spacing w:val="-14"/>
        </w:rPr>
        <w:t xml:space="preserve"> </w:t>
      </w:r>
      <w:r>
        <w:t>threshold to further align with the revised 2018</w:t>
      </w:r>
      <w:r>
        <w:t xml:space="preserve"> OMS</w:t>
      </w:r>
      <w:r>
        <w:rPr>
          <w:spacing w:val="-20"/>
        </w:rPr>
        <w:t xml:space="preserve"> </w:t>
      </w:r>
      <w:r>
        <w:t>criteria.</w:t>
      </w:r>
    </w:p>
    <w:p w:rsidR="00805174" w:rsidRDefault="00805174">
      <w:pPr>
        <w:pStyle w:val="BodyText"/>
        <w:spacing w:before="11"/>
        <w:rPr>
          <w:sz w:val="21"/>
        </w:rPr>
      </w:pPr>
    </w:p>
    <w:p w:rsidR="00805174" w:rsidRDefault="000A64A3">
      <w:pPr>
        <w:pStyle w:val="BodyText"/>
        <w:ind w:left="100"/>
        <w:jc w:val="both"/>
      </w:pPr>
      <w:r>
        <w:rPr>
          <w:u w:val="single"/>
        </w:rPr>
        <w:t>Opioid Potentiator Drugs</w:t>
      </w:r>
    </w:p>
    <w:p w:rsidR="00805174" w:rsidRDefault="00805174">
      <w:pPr>
        <w:pStyle w:val="BodyText"/>
        <w:rPr>
          <w:sz w:val="14"/>
        </w:rPr>
      </w:pPr>
    </w:p>
    <w:p w:rsidR="00805174" w:rsidRDefault="000A64A3">
      <w:pPr>
        <w:pStyle w:val="BodyText"/>
        <w:spacing w:before="92"/>
        <w:ind w:left="100" w:right="113"/>
        <w:jc w:val="both"/>
      </w:pPr>
      <w:r>
        <w:t>Given the widespread impact of the opioid epidemic, Anthem supports CMS’ efforts to monitor use of drugs that are used to increase the effects of a substance (potentiator drugs), increasing both the substance and</w:t>
      </w:r>
      <w:r>
        <w:rPr>
          <w:spacing w:val="-9"/>
        </w:rPr>
        <w:t xml:space="preserve"> </w:t>
      </w:r>
      <w:r>
        <w:t>the</w:t>
      </w:r>
      <w:r>
        <w:rPr>
          <w:spacing w:val="-9"/>
        </w:rPr>
        <w:t xml:space="preserve"> </w:t>
      </w:r>
      <w:r>
        <w:t>potentiator’s</w:t>
      </w:r>
      <w:r>
        <w:rPr>
          <w:spacing w:val="-9"/>
        </w:rPr>
        <w:t xml:space="preserve"> </w:t>
      </w:r>
      <w:r>
        <w:t>abuse</w:t>
      </w:r>
      <w:r>
        <w:rPr>
          <w:spacing w:val="-10"/>
        </w:rPr>
        <w:t xml:space="preserve"> </w:t>
      </w:r>
      <w:r>
        <w:t>potential.</w:t>
      </w:r>
      <w:r>
        <w:rPr>
          <w:spacing w:val="-11"/>
        </w:rPr>
        <w:t xml:space="preserve"> </w:t>
      </w:r>
      <w:r>
        <w:t>While</w:t>
      </w:r>
      <w:r>
        <w:rPr>
          <w:spacing w:val="-7"/>
        </w:rPr>
        <w:t xml:space="preserve"> </w:t>
      </w:r>
      <w:r>
        <w:t>adding</w:t>
      </w:r>
      <w:r>
        <w:rPr>
          <w:spacing w:val="-11"/>
        </w:rPr>
        <w:t xml:space="preserve"> </w:t>
      </w:r>
      <w:r>
        <w:t>a</w:t>
      </w:r>
      <w:r>
        <w:rPr>
          <w:spacing w:val="-9"/>
        </w:rPr>
        <w:t xml:space="preserve"> </w:t>
      </w:r>
      <w:r>
        <w:t>concurrent</w:t>
      </w:r>
      <w:r>
        <w:rPr>
          <w:spacing w:val="-9"/>
        </w:rPr>
        <w:t xml:space="preserve"> </w:t>
      </w:r>
      <w:r>
        <w:t>opioid-gabapentin/pregabalin</w:t>
      </w:r>
      <w:r>
        <w:rPr>
          <w:spacing w:val="-10"/>
        </w:rPr>
        <w:t xml:space="preserve"> </w:t>
      </w:r>
      <w:r>
        <w:t>flag</w:t>
      </w:r>
      <w:r>
        <w:rPr>
          <w:spacing w:val="-11"/>
        </w:rPr>
        <w:t xml:space="preserve"> </w:t>
      </w:r>
      <w:r>
        <w:t>to</w:t>
      </w:r>
      <w:r>
        <w:rPr>
          <w:spacing w:val="-10"/>
        </w:rPr>
        <w:t xml:space="preserve"> </w:t>
      </w:r>
      <w:r>
        <w:t>OMS is an important step, we ask CMS to consider including a flag for carisoprodol, as combining opioids with benzodiazepines and skeletal muscle relaxants li</w:t>
      </w:r>
      <w:r>
        <w:t>ke carisoprodol has a known potentiating effect. In addition, we ask CMS to clarify whether it will allow sponsors to apply a restriction at the Point-of-Sale (POS)</w:t>
      </w:r>
      <w:r>
        <w:rPr>
          <w:spacing w:val="-6"/>
        </w:rPr>
        <w:t xml:space="preserve"> </w:t>
      </w:r>
      <w:r>
        <w:t>for</w:t>
      </w:r>
      <w:r>
        <w:rPr>
          <w:spacing w:val="-6"/>
        </w:rPr>
        <w:t xml:space="preserve"> </w:t>
      </w:r>
      <w:r>
        <w:t>potentiator</w:t>
      </w:r>
      <w:r>
        <w:rPr>
          <w:spacing w:val="-6"/>
        </w:rPr>
        <w:t xml:space="preserve"> </w:t>
      </w:r>
      <w:r>
        <w:t>drugs,</w:t>
      </w:r>
      <w:r>
        <w:rPr>
          <w:spacing w:val="-6"/>
        </w:rPr>
        <w:t xml:space="preserve"> </w:t>
      </w:r>
      <w:r>
        <w:t>including</w:t>
      </w:r>
      <w:r>
        <w:rPr>
          <w:spacing w:val="-10"/>
        </w:rPr>
        <w:t xml:space="preserve"> </w:t>
      </w:r>
      <w:r>
        <w:t>benzodiazepines.</w:t>
      </w:r>
      <w:r>
        <w:rPr>
          <w:spacing w:val="-4"/>
        </w:rPr>
        <w:t xml:space="preserve"> </w:t>
      </w:r>
      <w:r>
        <w:t>Regarding</w:t>
      </w:r>
      <w:r>
        <w:rPr>
          <w:spacing w:val="-10"/>
        </w:rPr>
        <w:t xml:space="preserve"> </w:t>
      </w:r>
      <w:r>
        <w:t>benzodiazepines,</w:t>
      </w:r>
      <w:r>
        <w:rPr>
          <w:spacing w:val="-6"/>
        </w:rPr>
        <w:t xml:space="preserve"> </w:t>
      </w:r>
      <w:r>
        <w:t>Anthem</w:t>
      </w:r>
      <w:r>
        <w:rPr>
          <w:spacing w:val="-10"/>
        </w:rPr>
        <w:t xml:space="preserve"> </w:t>
      </w:r>
      <w:r>
        <w:t>recomme</w:t>
      </w:r>
      <w:r>
        <w:t>nds that CMS refine its definition of this class to include zolpidem, zaleplon, and eszopiclone and to, in turn, apply OMS flags for these potentiator drugs. While not technically benzodiazepines, zolpidem, zaleplon, and eszopiclone are also known to poten</w:t>
      </w:r>
      <w:r>
        <w:t>tiate the effects of substances like opioids and thus should be flagged in</w:t>
      </w:r>
      <w:r>
        <w:rPr>
          <w:spacing w:val="-2"/>
        </w:rPr>
        <w:t xml:space="preserve"> </w:t>
      </w:r>
      <w:r>
        <w:t>OMS.</w:t>
      </w:r>
    </w:p>
    <w:p w:rsidR="00805174" w:rsidRDefault="00805174">
      <w:pPr>
        <w:jc w:val="both"/>
        <w:sectPr w:rsidR="00805174">
          <w:pgSz w:w="12240" w:h="15840"/>
          <w:pgMar w:top="1360" w:right="1320" w:bottom="1200" w:left="1340" w:header="0" w:footer="1015" w:gutter="0"/>
          <w:cols w:space="720"/>
        </w:sectPr>
      </w:pPr>
    </w:p>
    <w:p w:rsidR="00805174" w:rsidRDefault="000A64A3">
      <w:pPr>
        <w:spacing w:before="74"/>
        <w:ind w:left="100"/>
        <w:rPr>
          <w:i/>
        </w:rPr>
      </w:pPr>
      <w:r>
        <w:rPr>
          <w:i/>
        </w:rPr>
        <w:lastRenderedPageBreak/>
        <w:t>Improving Drug Utilization Review (DUR) Controls in Medicare Part D: Concurrent DUR</w:t>
      </w:r>
    </w:p>
    <w:p w:rsidR="00805174" w:rsidRDefault="00805174">
      <w:pPr>
        <w:pStyle w:val="BodyText"/>
        <w:spacing w:before="1"/>
        <w:rPr>
          <w:i/>
        </w:rPr>
      </w:pPr>
    </w:p>
    <w:p w:rsidR="00805174" w:rsidRDefault="000A64A3">
      <w:pPr>
        <w:pStyle w:val="BodyText"/>
        <w:ind w:left="100" w:right="5"/>
      </w:pPr>
      <w:r>
        <w:rPr>
          <w:u w:val="single"/>
        </w:rPr>
        <w:t>Cumulative Morphine Milligram Equivalent Daily Dose (MME) Safety Edits for Hi</w:t>
      </w:r>
      <w:r>
        <w:rPr>
          <w:u w:val="single"/>
        </w:rPr>
        <w:t>gh, Chronic Prescription Opioid User</w:t>
      </w:r>
    </w:p>
    <w:p w:rsidR="00805174" w:rsidRDefault="00805174">
      <w:pPr>
        <w:pStyle w:val="BodyText"/>
        <w:spacing w:before="1"/>
        <w:rPr>
          <w:sz w:val="14"/>
        </w:rPr>
      </w:pPr>
    </w:p>
    <w:p w:rsidR="00805174" w:rsidRDefault="000A64A3">
      <w:pPr>
        <w:pStyle w:val="BodyText"/>
        <w:spacing w:before="91"/>
        <w:ind w:left="100" w:right="113"/>
        <w:jc w:val="both"/>
      </w:pPr>
      <w:r>
        <w:t>More can and should be done to address chronic, high prescription opioid overuse. Therefore, Anthem supports CMS’ proposal for all sponsors to implement a hard edit in 2019 that is triggered when a beneficiary’s cumulative daily MME reaches or exceeds 90 m</w:t>
      </w:r>
      <w:r>
        <w:t>g (meaning the MME threshold should only be set at 90 MME). We agree that allowing beneficiaries to receive a 7-day supply of the prescription that triggered the hard edit as written would appropriately balance beneficiary access to medically necessary dru</w:t>
      </w:r>
      <w:r>
        <w:t xml:space="preserve">g regimens and reduce the potential for any unintended consequences. However, we ask that CMS clarify a number of items, including if the one-time 7-day supply would be per drug. If so, Anthem notes that this would be difficult to administer, particularly </w:t>
      </w:r>
      <w:r>
        <w:t>when factoring in overrides, emergency situations, etc. We also request that CMS make clear whether this edit would replace or be in addition to the current 200 MME edit. In addition, we would appreciate insight into whether this edit would apply for new s</w:t>
      </w:r>
      <w:r>
        <w:t>tarts only, or for all fills. Finally, as CMS has just reduced the MME threshold for IDURC case management program to 90 MME, we ask CMS to define how this new program will integrate with retrospective DUR. We urge CMS to consider how providers may be impa</w:t>
      </w:r>
      <w:r>
        <w:t>cted by a POS edit, as well as case management outreach.</w:t>
      </w:r>
    </w:p>
    <w:p w:rsidR="00805174" w:rsidRDefault="00805174">
      <w:pPr>
        <w:pStyle w:val="BodyText"/>
      </w:pPr>
    </w:p>
    <w:p w:rsidR="00805174" w:rsidRDefault="000A64A3">
      <w:pPr>
        <w:pStyle w:val="BodyText"/>
        <w:ind w:left="100" w:right="115"/>
        <w:jc w:val="both"/>
      </w:pPr>
      <w:r>
        <w:t>We appreciate CMS’ request for comment on when and how to best communicate to beneficiaries that the one-time 7 day supply would not be available for future prescriptions should the MME level remain</w:t>
      </w:r>
      <w:r>
        <w:t xml:space="preserve"> at 90 mg or higher. Anthem suggests that this information could be included in the ANOC, and that network pharmacists could be trained to counsel patients on this specific reject code. In addition, outreach to members following receipt of the edit would e</w:t>
      </w:r>
      <w:r>
        <w:t>nsure they understand both the limitations and the reasons for the limitations.</w:t>
      </w:r>
    </w:p>
    <w:p w:rsidR="00805174" w:rsidRDefault="00805174">
      <w:pPr>
        <w:pStyle w:val="BodyText"/>
      </w:pPr>
    </w:p>
    <w:p w:rsidR="00805174" w:rsidRDefault="000A64A3">
      <w:pPr>
        <w:spacing w:before="1"/>
        <w:ind w:left="100"/>
        <w:jc w:val="both"/>
        <w:rPr>
          <w:i/>
        </w:rPr>
      </w:pPr>
      <w:r>
        <w:rPr>
          <w:i/>
        </w:rPr>
        <w:t>Days Supply Limits for Opioid Naïve Patients</w:t>
      </w:r>
    </w:p>
    <w:p w:rsidR="00805174" w:rsidRDefault="00805174">
      <w:pPr>
        <w:pStyle w:val="BodyText"/>
        <w:rPr>
          <w:i/>
        </w:rPr>
      </w:pPr>
    </w:p>
    <w:p w:rsidR="00805174" w:rsidRDefault="000A64A3">
      <w:pPr>
        <w:pStyle w:val="BodyText"/>
        <w:ind w:left="100" w:right="114"/>
        <w:jc w:val="both"/>
      </w:pPr>
      <w:r>
        <w:t>In</w:t>
      </w:r>
      <w:r>
        <w:rPr>
          <w:spacing w:val="-3"/>
        </w:rPr>
        <w:t xml:space="preserve"> </w:t>
      </w:r>
      <w:r>
        <w:t>2019,</w:t>
      </w:r>
      <w:r>
        <w:rPr>
          <w:spacing w:val="-5"/>
        </w:rPr>
        <w:t xml:space="preserve"> </w:t>
      </w:r>
      <w:r>
        <w:t>CMS</w:t>
      </w:r>
      <w:r>
        <w:rPr>
          <w:spacing w:val="-5"/>
        </w:rPr>
        <w:t xml:space="preserve"> </w:t>
      </w:r>
      <w:r>
        <w:t>will</w:t>
      </w:r>
      <w:r>
        <w:rPr>
          <w:spacing w:val="-4"/>
        </w:rPr>
        <w:t xml:space="preserve"> </w:t>
      </w:r>
      <w:r>
        <w:t>expect</w:t>
      </w:r>
      <w:r>
        <w:rPr>
          <w:spacing w:val="-4"/>
        </w:rPr>
        <w:t xml:space="preserve"> </w:t>
      </w:r>
      <w:r>
        <w:t>all</w:t>
      </w:r>
      <w:r>
        <w:rPr>
          <w:spacing w:val="-4"/>
        </w:rPr>
        <w:t xml:space="preserve"> </w:t>
      </w:r>
      <w:r>
        <w:t>Part</w:t>
      </w:r>
      <w:r>
        <w:rPr>
          <w:spacing w:val="-4"/>
        </w:rPr>
        <w:t xml:space="preserve"> </w:t>
      </w:r>
      <w:r>
        <w:t>D</w:t>
      </w:r>
      <w:r>
        <w:rPr>
          <w:spacing w:val="-6"/>
        </w:rPr>
        <w:t xml:space="preserve"> </w:t>
      </w:r>
      <w:r>
        <w:t>sponsors</w:t>
      </w:r>
      <w:r>
        <w:rPr>
          <w:spacing w:val="-4"/>
        </w:rPr>
        <w:t xml:space="preserve"> </w:t>
      </w:r>
      <w:r>
        <w:t>to</w:t>
      </w:r>
      <w:r>
        <w:rPr>
          <w:spacing w:val="-7"/>
        </w:rPr>
        <w:t xml:space="preserve"> </w:t>
      </w:r>
      <w:r>
        <w:t>implement</w:t>
      </w:r>
      <w:r>
        <w:rPr>
          <w:spacing w:val="-4"/>
        </w:rPr>
        <w:t xml:space="preserve"> </w:t>
      </w:r>
      <w:r>
        <w:t>a</w:t>
      </w:r>
      <w:r>
        <w:rPr>
          <w:spacing w:val="-4"/>
        </w:rPr>
        <w:t xml:space="preserve"> </w:t>
      </w:r>
      <w:r>
        <w:t>hard</w:t>
      </w:r>
      <w:r>
        <w:rPr>
          <w:spacing w:val="-5"/>
        </w:rPr>
        <w:t xml:space="preserve"> </w:t>
      </w:r>
      <w:r>
        <w:t>safety</w:t>
      </w:r>
      <w:r>
        <w:rPr>
          <w:spacing w:val="-7"/>
        </w:rPr>
        <w:t xml:space="preserve"> </w:t>
      </w:r>
      <w:r>
        <w:t>edit</w:t>
      </w:r>
      <w:r>
        <w:rPr>
          <w:spacing w:val="-4"/>
        </w:rPr>
        <w:t xml:space="preserve"> </w:t>
      </w:r>
      <w:r>
        <w:t>for</w:t>
      </w:r>
      <w:r>
        <w:rPr>
          <w:spacing w:val="-4"/>
        </w:rPr>
        <w:t xml:space="preserve"> </w:t>
      </w:r>
      <w:r>
        <w:t>initial</w:t>
      </w:r>
      <w:r>
        <w:rPr>
          <w:spacing w:val="-4"/>
        </w:rPr>
        <w:t xml:space="preserve"> </w:t>
      </w:r>
      <w:r>
        <w:t>opioid</w:t>
      </w:r>
      <w:r>
        <w:rPr>
          <w:spacing w:val="-5"/>
        </w:rPr>
        <w:t xml:space="preserve"> </w:t>
      </w:r>
      <w:r>
        <w:t>prescription fills that exceed 7 days for the treatment of acute pain. Anthem is in strong support of this proposal given the</w:t>
      </w:r>
      <w:r>
        <w:rPr>
          <w:spacing w:val="-14"/>
        </w:rPr>
        <w:t xml:space="preserve"> </w:t>
      </w:r>
      <w:r>
        <w:t>magnitude</w:t>
      </w:r>
      <w:r>
        <w:rPr>
          <w:spacing w:val="-16"/>
        </w:rPr>
        <w:t xml:space="preserve"> </w:t>
      </w:r>
      <w:r>
        <w:t>of</w:t>
      </w:r>
      <w:r>
        <w:rPr>
          <w:spacing w:val="-16"/>
        </w:rPr>
        <w:t xml:space="preserve"> </w:t>
      </w:r>
      <w:r>
        <w:t>the</w:t>
      </w:r>
      <w:r>
        <w:rPr>
          <w:spacing w:val="-14"/>
        </w:rPr>
        <w:t xml:space="preserve"> </w:t>
      </w:r>
      <w:r>
        <w:t>opioid</w:t>
      </w:r>
      <w:r>
        <w:rPr>
          <w:spacing w:val="-16"/>
        </w:rPr>
        <w:t xml:space="preserve"> </w:t>
      </w:r>
      <w:r>
        <w:t>use</w:t>
      </w:r>
      <w:r>
        <w:rPr>
          <w:spacing w:val="-14"/>
        </w:rPr>
        <w:t xml:space="preserve"> </w:t>
      </w:r>
      <w:r>
        <w:t>crisis,</w:t>
      </w:r>
      <w:r>
        <w:rPr>
          <w:spacing w:val="-16"/>
        </w:rPr>
        <w:t xml:space="preserve"> </w:t>
      </w:r>
      <w:r>
        <w:t>its</w:t>
      </w:r>
      <w:r>
        <w:rPr>
          <w:spacing w:val="-16"/>
        </w:rPr>
        <w:t xml:space="preserve"> </w:t>
      </w:r>
      <w:r>
        <w:t>alignment</w:t>
      </w:r>
      <w:r>
        <w:rPr>
          <w:spacing w:val="-14"/>
        </w:rPr>
        <w:t xml:space="preserve"> </w:t>
      </w:r>
      <w:r>
        <w:t>with</w:t>
      </w:r>
      <w:r>
        <w:rPr>
          <w:spacing w:val="-14"/>
        </w:rPr>
        <w:t xml:space="preserve"> </w:t>
      </w:r>
      <w:r>
        <w:t>current</w:t>
      </w:r>
      <w:r>
        <w:rPr>
          <w:spacing w:val="-13"/>
        </w:rPr>
        <w:t xml:space="preserve"> </w:t>
      </w:r>
      <w:r>
        <w:t>Centers</w:t>
      </w:r>
      <w:r>
        <w:rPr>
          <w:spacing w:val="-16"/>
        </w:rPr>
        <w:t xml:space="preserve"> </w:t>
      </w:r>
      <w:r>
        <w:t>for</w:t>
      </w:r>
      <w:r>
        <w:rPr>
          <w:spacing w:val="-14"/>
        </w:rPr>
        <w:t xml:space="preserve"> </w:t>
      </w:r>
      <w:r>
        <w:t>Disease</w:t>
      </w:r>
      <w:r>
        <w:rPr>
          <w:spacing w:val="-14"/>
        </w:rPr>
        <w:t xml:space="preserve"> </w:t>
      </w:r>
      <w:r>
        <w:t>Control</w:t>
      </w:r>
      <w:r>
        <w:rPr>
          <w:spacing w:val="-14"/>
        </w:rPr>
        <w:t xml:space="preserve"> </w:t>
      </w:r>
      <w:r>
        <w:t>and</w:t>
      </w:r>
      <w:r>
        <w:rPr>
          <w:spacing w:val="-16"/>
        </w:rPr>
        <w:t xml:space="preserve"> </w:t>
      </w:r>
      <w:r>
        <w:t>Prevention (CDC) Guidelines for Pre</w:t>
      </w:r>
      <w:r>
        <w:t>scribing Opioids for Chronic Pain, and the impact to prescription claim volume that Anthem has demonstrated post-implementation of a similar policy in our Commercial and Medicaid lines of</w:t>
      </w:r>
      <w:r>
        <w:rPr>
          <w:spacing w:val="-4"/>
        </w:rPr>
        <w:t xml:space="preserve"> </w:t>
      </w:r>
      <w:r>
        <w:t>business.</w:t>
      </w:r>
    </w:p>
    <w:p w:rsidR="00805174" w:rsidRDefault="00805174">
      <w:pPr>
        <w:pStyle w:val="BodyText"/>
        <w:spacing w:before="11"/>
        <w:rPr>
          <w:sz w:val="21"/>
        </w:rPr>
      </w:pPr>
    </w:p>
    <w:p w:rsidR="00805174" w:rsidRDefault="000A64A3">
      <w:pPr>
        <w:pStyle w:val="BodyText"/>
        <w:ind w:left="100" w:right="113"/>
        <w:jc w:val="both"/>
      </w:pPr>
      <w:r>
        <w:t>In implementing this change, Anthem notes that current su</w:t>
      </w:r>
      <w:r>
        <w:t>bmission quantity limits are  based  on  30  days. HPMS submission must be updated to allow for 7- or 10-day limits on opioids. The HPMS factor needs to be updated to allow treatment similar to antibiotics, which normally allows a 7- to 14-day supply per</w:t>
      </w:r>
      <w:r>
        <w:rPr>
          <w:spacing w:val="-14"/>
        </w:rPr>
        <w:t xml:space="preserve"> </w:t>
      </w:r>
      <w:r>
        <w:t>f</w:t>
      </w:r>
      <w:r>
        <w:t>ill</w:t>
      </w:r>
      <w:r>
        <w:rPr>
          <w:spacing w:val="-15"/>
        </w:rPr>
        <w:t xml:space="preserve"> </w:t>
      </w:r>
      <w:r>
        <w:t>and</w:t>
      </w:r>
      <w:r>
        <w:rPr>
          <w:spacing w:val="-15"/>
        </w:rPr>
        <w:t xml:space="preserve"> </w:t>
      </w:r>
      <w:r>
        <w:t>may</w:t>
      </w:r>
      <w:r>
        <w:rPr>
          <w:spacing w:val="-15"/>
        </w:rPr>
        <w:t xml:space="preserve"> </w:t>
      </w:r>
      <w:r>
        <w:t>get</w:t>
      </w:r>
      <w:r>
        <w:rPr>
          <w:spacing w:val="-14"/>
        </w:rPr>
        <w:t xml:space="preserve"> </w:t>
      </w:r>
      <w:r>
        <w:t>more</w:t>
      </w:r>
      <w:r>
        <w:rPr>
          <w:spacing w:val="-15"/>
        </w:rPr>
        <w:t xml:space="preserve"> </w:t>
      </w:r>
      <w:r>
        <w:t>than</w:t>
      </w:r>
      <w:r>
        <w:rPr>
          <w:spacing w:val="-15"/>
        </w:rPr>
        <w:t xml:space="preserve"> </w:t>
      </w:r>
      <w:r>
        <w:t>1</w:t>
      </w:r>
      <w:r>
        <w:rPr>
          <w:spacing w:val="-16"/>
        </w:rPr>
        <w:t xml:space="preserve"> </w:t>
      </w:r>
      <w:r>
        <w:t>course</w:t>
      </w:r>
      <w:r>
        <w:rPr>
          <w:spacing w:val="-15"/>
        </w:rPr>
        <w:t xml:space="preserve"> </w:t>
      </w:r>
      <w:r>
        <w:t>of</w:t>
      </w:r>
      <w:r>
        <w:rPr>
          <w:spacing w:val="-17"/>
        </w:rPr>
        <w:t xml:space="preserve"> </w:t>
      </w:r>
      <w:r>
        <w:t>therapy.</w:t>
      </w:r>
      <w:r>
        <w:rPr>
          <w:spacing w:val="-13"/>
        </w:rPr>
        <w:t xml:space="preserve"> </w:t>
      </w:r>
      <w:r>
        <w:t>We</w:t>
      </w:r>
      <w:r>
        <w:rPr>
          <w:spacing w:val="-15"/>
        </w:rPr>
        <w:t xml:space="preserve"> </w:t>
      </w:r>
      <w:r>
        <w:t>also</w:t>
      </w:r>
      <w:r>
        <w:rPr>
          <w:spacing w:val="-15"/>
        </w:rPr>
        <w:t xml:space="preserve"> </w:t>
      </w:r>
      <w:r>
        <w:t>request</w:t>
      </w:r>
      <w:r>
        <w:rPr>
          <w:spacing w:val="-14"/>
        </w:rPr>
        <w:t xml:space="preserve"> </w:t>
      </w:r>
      <w:r>
        <w:t>CMS</w:t>
      </w:r>
      <w:r>
        <w:rPr>
          <w:spacing w:val="-18"/>
        </w:rPr>
        <w:t xml:space="preserve"> </w:t>
      </w:r>
      <w:r>
        <w:t>to</w:t>
      </w:r>
      <w:r>
        <w:rPr>
          <w:spacing w:val="-16"/>
        </w:rPr>
        <w:t xml:space="preserve"> </w:t>
      </w:r>
      <w:r>
        <w:t>allow</w:t>
      </w:r>
      <w:r>
        <w:rPr>
          <w:spacing w:val="-17"/>
        </w:rPr>
        <w:t xml:space="preserve"> </w:t>
      </w:r>
      <w:r>
        <w:t>overrides</w:t>
      </w:r>
      <w:r>
        <w:rPr>
          <w:spacing w:val="-15"/>
        </w:rPr>
        <w:t xml:space="preserve"> </w:t>
      </w:r>
      <w:r>
        <w:t>for</w:t>
      </w:r>
      <w:r>
        <w:rPr>
          <w:spacing w:val="-17"/>
        </w:rPr>
        <w:t xml:space="preserve"> </w:t>
      </w:r>
      <w:r>
        <w:t>the</w:t>
      </w:r>
      <w:r>
        <w:rPr>
          <w:spacing w:val="-18"/>
        </w:rPr>
        <w:t xml:space="preserve"> </w:t>
      </w:r>
      <w:r>
        <w:t>following circumstances:</w:t>
      </w:r>
    </w:p>
    <w:p w:rsidR="00805174" w:rsidRDefault="000A64A3">
      <w:pPr>
        <w:pStyle w:val="ListParagraph"/>
        <w:numPr>
          <w:ilvl w:val="1"/>
          <w:numId w:val="7"/>
        </w:numPr>
        <w:tabs>
          <w:tab w:val="left" w:pos="820"/>
          <w:tab w:val="left" w:pos="821"/>
        </w:tabs>
        <w:ind w:right="411"/>
        <w:jc w:val="left"/>
      </w:pPr>
      <w:r>
        <w:t>Chronic pain (for situations where the member is using short-acting opioids as-needed for pain but, the pain is deemed chronic and the look-back set up in the system does not recognize consistent as-needed</w:t>
      </w:r>
      <w:r>
        <w:rPr>
          <w:spacing w:val="-5"/>
        </w:rPr>
        <w:t xml:space="preserve"> </w:t>
      </w:r>
      <w:r>
        <w:t>use);</w:t>
      </w:r>
    </w:p>
    <w:p w:rsidR="00805174" w:rsidRDefault="000A64A3">
      <w:pPr>
        <w:pStyle w:val="ListParagraph"/>
        <w:numPr>
          <w:ilvl w:val="1"/>
          <w:numId w:val="7"/>
        </w:numPr>
        <w:tabs>
          <w:tab w:val="left" w:pos="820"/>
          <w:tab w:val="left" w:pos="821"/>
        </w:tabs>
        <w:spacing w:line="269" w:lineRule="exact"/>
        <w:jc w:val="left"/>
      </w:pPr>
      <w:r>
        <w:t>Cancer-related</w:t>
      </w:r>
      <w:r>
        <w:rPr>
          <w:spacing w:val="-2"/>
        </w:rPr>
        <w:t xml:space="preserve"> </w:t>
      </w:r>
      <w:r>
        <w:t>pain;</w:t>
      </w:r>
    </w:p>
    <w:p w:rsidR="00805174" w:rsidRDefault="000A64A3">
      <w:pPr>
        <w:pStyle w:val="ListParagraph"/>
        <w:numPr>
          <w:ilvl w:val="1"/>
          <w:numId w:val="7"/>
        </w:numPr>
        <w:tabs>
          <w:tab w:val="left" w:pos="820"/>
          <w:tab w:val="left" w:pos="821"/>
        </w:tabs>
        <w:spacing w:line="268" w:lineRule="exact"/>
        <w:jc w:val="left"/>
      </w:pPr>
      <w:r>
        <w:t>Pain related to palliat</w:t>
      </w:r>
      <w:r>
        <w:t>ive care or terminal illness;</w:t>
      </w:r>
      <w:r>
        <w:rPr>
          <w:spacing w:val="-16"/>
        </w:rPr>
        <w:t xml:space="preserve"> </w:t>
      </w:r>
      <w:r>
        <w:t>and</w:t>
      </w:r>
    </w:p>
    <w:p w:rsidR="00805174" w:rsidRDefault="000A64A3">
      <w:pPr>
        <w:pStyle w:val="ListParagraph"/>
        <w:numPr>
          <w:ilvl w:val="1"/>
          <w:numId w:val="7"/>
        </w:numPr>
        <w:tabs>
          <w:tab w:val="left" w:pos="820"/>
          <w:tab w:val="left" w:pos="821"/>
        </w:tabs>
        <w:spacing w:line="268" w:lineRule="exact"/>
        <w:jc w:val="left"/>
      </w:pPr>
      <w:r>
        <w:t>Pain related to sickle cell</w:t>
      </w:r>
      <w:r>
        <w:rPr>
          <w:spacing w:val="-9"/>
        </w:rPr>
        <w:t xml:space="preserve"> </w:t>
      </w:r>
      <w:r>
        <w:t>disease</w:t>
      </w:r>
    </w:p>
    <w:p w:rsidR="00805174" w:rsidRDefault="00805174">
      <w:pPr>
        <w:spacing w:line="268" w:lineRule="exact"/>
        <w:sectPr w:rsidR="00805174">
          <w:pgSz w:w="12240" w:h="15840"/>
          <w:pgMar w:top="1360" w:right="1320" w:bottom="1200" w:left="1340" w:header="0" w:footer="1015" w:gutter="0"/>
          <w:cols w:space="720"/>
        </w:sectPr>
      </w:pPr>
    </w:p>
    <w:p w:rsidR="00805174" w:rsidRDefault="000A64A3">
      <w:pPr>
        <w:spacing w:before="74"/>
        <w:ind w:left="100"/>
        <w:jc w:val="both"/>
        <w:rPr>
          <w:i/>
        </w:rPr>
      </w:pPr>
      <w:r>
        <w:rPr>
          <w:i/>
        </w:rPr>
        <w:lastRenderedPageBreak/>
        <w:t>Opioid Duplicative Therapy Safety Edits</w:t>
      </w:r>
    </w:p>
    <w:p w:rsidR="00805174" w:rsidRDefault="00805174">
      <w:pPr>
        <w:pStyle w:val="BodyText"/>
        <w:spacing w:before="1"/>
        <w:rPr>
          <w:i/>
        </w:rPr>
      </w:pPr>
    </w:p>
    <w:p w:rsidR="00805174" w:rsidRDefault="000A64A3">
      <w:pPr>
        <w:pStyle w:val="BodyText"/>
        <w:ind w:left="100" w:right="113"/>
        <w:jc w:val="both"/>
      </w:pPr>
      <w:r>
        <w:t>Following</w:t>
      </w:r>
      <w:r>
        <w:rPr>
          <w:spacing w:val="-17"/>
        </w:rPr>
        <w:t xml:space="preserve"> </w:t>
      </w:r>
      <w:r>
        <w:t>an</w:t>
      </w:r>
      <w:r>
        <w:rPr>
          <w:spacing w:val="-14"/>
        </w:rPr>
        <w:t xml:space="preserve"> </w:t>
      </w:r>
      <w:r>
        <w:t>analysis</w:t>
      </w:r>
      <w:r>
        <w:rPr>
          <w:spacing w:val="-14"/>
        </w:rPr>
        <w:t xml:space="preserve"> </w:t>
      </w:r>
      <w:r>
        <w:t>investigating</w:t>
      </w:r>
      <w:r>
        <w:rPr>
          <w:spacing w:val="-17"/>
        </w:rPr>
        <w:t xml:space="preserve"> </w:t>
      </w:r>
      <w:r>
        <w:t>duplicate</w:t>
      </w:r>
      <w:r>
        <w:rPr>
          <w:spacing w:val="-14"/>
        </w:rPr>
        <w:t xml:space="preserve"> </w:t>
      </w:r>
      <w:r>
        <w:t>opioid</w:t>
      </w:r>
      <w:r>
        <w:rPr>
          <w:spacing w:val="-17"/>
        </w:rPr>
        <w:t xml:space="preserve"> </w:t>
      </w:r>
      <w:r>
        <w:t>use</w:t>
      </w:r>
      <w:r>
        <w:rPr>
          <w:spacing w:val="-14"/>
        </w:rPr>
        <w:t xml:space="preserve"> </w:t>
      </w:r>
      <w:r>
        <w:t>in</w:t>
      </w:r>
      <w:r>
        <w:rPr>
          <w:spacing w:val="-14"/>
        </w:rPr>
        <w:t xml:space="preserve"> </w:t>
      </w:r>
      <w:r>
        <w:t>Part</w:t>
      </w:r>
      <w:r>
        <w:rPr>
          <w:spacing w:val="-13"/>
        </w:rPr>
        <w:t xml:space="preserve"> </w:t>
      </w:r>
      <w:r>
        <w:t>D,</w:t>
      </w:r>
      <w:r>
        <w:rPr>
          <w:spacing w:val="-14"/>
        </w:rPr>
        <w:t xml:space="preserve"> </w:t>
      </w:r>
      <w:r>
        <w:t>CMS</w:t>
      </w:r>
      <w:r>
        <w:rPr>
          <w:spacing w:val="-14"/>
        </w:rPr>
        <w:t xml:space="preserve"> </w:t>
      </w:r>
      <w:r>
        <w:t>will</w:t>
      </w:r>
      <w:r>
        <w:rPr>
          <w:spacing w:val="-11"/>
        </w:rPr>
        <w:t xml:space="preserve"> </w:t>
      </w:r>
      <w:r>
        <w:t>expect</w:t>
      </w:r>
      <w:r>
        <w:rPr>
          <w:spacing w:val="-13"/>
        </w:rPr>
        <w:t xml:space="preserve"> </w:t>
      </w:r>
      <w:r>
        <w:t>all</w:t>
      </w:r>
      <w:r>
        <w:rPr>
          <w:spacing w:val="-13"/>
        </w:rPr>
        <w:t xml:space="preserve"> </w:t>
      </w:r>
      <w:r>
        <w:t>Part</w:t>
      </w:r>
      <w:r>
        <w:rPr>
          <w:spacing w:val="-13"/>
        </w:rPr>
        <w:t xml:space="preserve"> </w:t>
      </w:r>
      <w:r>
        <w:t>D</w:t>
      </w:r>
      <w:r>
        <w:rPr>
          <w:spacing w:val="-15"/>
        </w:rPr>
        <w:t xml:space="preserve"> </w:t>
      </w:r>
      <w:r>
        <w:t>plan</w:t>
      </w:r>
      <w:r>
        <w:rPr>
          <w:spacing w:val="-14"/>
        </w:rPr>
        <w:t xml:space="preserve"> </w:t>
      </w:r>
      <w:r>
        <w:t>sponsors to</w:t>
      </w:r>
      <w:r>
        <w:rPr>
          <w:spacing w:val="-5"/>
        </w:rPr>
        <w:t xml:space="preserve"> </w:t>
      </w:r>
      <w:r>
        <w:t>implement</w:t>
      </w:r>
      <w:r>
        <w:rPr>
          <w:spacing w:val="-4"/>
        </w:rPr>
        <w:t xml:space="preserve"> </w:t>
      </w:r>
      <w:r>
        <w:t>a</w:t>
      </w:r>
      <w:r>
        <w:rPr>
          <w:spacing w:val="-7"/>
        </w:rPr>
        <w:t xml:space="preserve"> </w:t>
      </w:r>
      <w:r>
        <w:t>soft</w:t>
      </w:r>
      <w:r>
        <w:rPr>
          <w:spacing w:val="-4"/>
        </w:rPr>
        <w:t xml:space="preserve"> </w:t>
      </w:r>
      <w:r>
        <w:t>POS</w:t>
      </w:r>
      <w:r>
        <w:rPr>
          <w:spacing w:val="-7"/>
        </w:rPr>
        <w:t xml:space="preserve"> </w:t>
      </w:r>
      <w:r>
        <w:t>edit</w:t>
      </w:r>
      <w:r>
        <w:rPr>
          <w:spacing w:val="-6"/>
        </w:rPr>
        <w:t xml:space="preserve"> </w:t>
      </w:r>
      <w:r>
        <w:t>for</w:t>
      </w:r>
      <w:r>
        <w:rPr>
          <w:spacing w:val="-6"/>
        </w:rPr>
        <w:t xml:space="preserve"> </w:t>
      </w:r>
      <w:r>
        <w:t>duplicative</w:t>
      </w:r>
      <w:r>
        <w:rPr>
          <w:spacing w:val="-4"/>
        </w:rPr>
        <w:t xml:space="preserve"> </w:t>
      </w:r>
      <w:r>
        <w:t>long-acting</w:t>
      </w:r>
      <w:r>
        <w:rPr>
          <w:spacing w:val="-7"/>
        </w:rPr>
        <w:t xml:space="preserve"> </w:t>
      </w:r>
      <w:r>
        <w:t>opioid</w:t>
      </w:r>
      <w:r>
        <w:rPr>
          <w:spacing w:val="-7"/>
        </w:rPr>
        <w:t xml:space="preserve"> </w:t>
      </w:r>
      <w:r>
        <w:t>therapy</w:t>
      </w:r>
      <w:r>
        <w:rPr>
          <w:spacing w:val="-7"/>
        </w:rPr>
        <w:t xml:space="preserve"> </w:t>
      </w:r>
      <w:r>
        <w:t>beginning</w:t>
      </w:r>
      <w:r>
        <w:rPr>
          <w:spacing w:val="-7"/>
        </w:rPr>
        <w:t xml:space="preserve"> </w:t>
      </w:r>
      <w:r>
        <w:t>in</w:t>
      </w:r>
      <w:r>
        <w:rPr>
          <w:spacing w:val="-5"/>
        </w:rPr>
        <w:t xml:space="preserve"> </w:t>
      </w:r>
      <w:r>
        <w:t>2019,</w:t>
      </w:r>
      <w:r>
        <w:rPr>
          <w:spacing w:val="-5"/>
        </w:rPr>
        <w:t xml:space="preserve"> </w:t>
      </w:r>
      <w:r>
        <w:t>with</w:t>
      </w:r>
      <w:r>
        <w:rPr>
          <w:spacing w:val="-5"/>
        </w:rPr>
        <w:t xml:space="preserve"> </w:t>
      </w:r>
      <w:r>
        <w:t>or</w:t>
      </w:r>
      <w:r>
        <w:rPr>
          <w:spacing w:val="-4"/>
        </w:rPr>
        <w:t xml:space="preserve"> </w:t>
      </w:r>
      <w:r>
        <w:t xml:space="preserve">without a multiple prescriber criterion. When such an edit is triggered for concurrent use of opioids and buprenorphine, CMS notes that the soft edit should only reject the opioid prescription following the buprenorphine claim and should not impede access </w:t>
      </w:r>
      <w:r>
        <w:t>to buprenorphine for MAT. While Anthem</w:t>
      </w:r>
      <w:r>
        <w:rPr>
          <w:spacing w:val="-36"/>
        </w:rPr>
        <w:t xml:space="preserve"> </w:t>
      </w:r>
      <w:r>
        <w:t xml:space="preserve">appreciates CMS’ efforts to help reduce excess opioid supplies and reduce adverse events, soft edits only notify the dispensing pharmacist of duplicate or concurrent use and can be passed easily, dampening the effect </w:t>
      </w:r>
      <w:r>
        <w:t>CMS is aiming to achieve. We are concerned that an opioid duplicative safety edit like the one proposed here will</w:t>
      </w:r>
      <w:r>
        <w:rPr>
          <w:spacing w:val="-15"/>
        </w:rPr>
        <w:t xml:space="preserve"> </w:t>
      </w:r>
      <w:r>
        <w:t>lead</w:t>
      </w:r>
      <w:r>
        <w:rPr>
          <w:spacing w:val="-13"/>
        </w:rPr>
        <w:t xml:space="preserve"> </w:t>
      </w:r>
      <w:r>
        <w:t>to</w:t>
      </w:r>
      <w:r>
        <w:rPr>
          <w:spacing w:val="-16"/>
        </w:rPr>
        <w:t xml:space="preserve"> </w:t>
      </w:r>
      <w:r>
        <w:t>the</w:t>
      </w:r>
      <w:r>
        <w:rPr>
          <w:spacing w:val="-13"/>
        </w:rPr>
        <w:t xml:space="preserve"> </w:t>
      </w:r>
      <w:r>
        <w:t>continued</w:t>
      </w:r>
      <w:r>
        <w:rPr>
          <w:spacing w:val="-15"/>
        </w:rPr>
        <w:t xml:space="preserve"> </w:t>
      </w:r>
      <w:r>
        <w:t>overestimation</w:t>
      </w:r>
      <w:r>
        <w:rPr>
          <w:spacing w:val="-13"/>
        </w:rPr>
        <w:t xml:space="preserve"> </w:t>
      </w:r>
      <w:r>
        <w:t>of</w:t>
      </w:r>
      <w:r>
        <w:rPr>
          <w:spacing w:val="-15"/>
        </w:rPr>
        <w:t xml:space="preserve"> </w:t>
      </w:r>
      <w:r>
        <w:t>the</w:t>
      </w:r>
      <w:r>
        <w:rPr>
          <w:spacing w:val="-13"/>
        </w:rPr>
        <w:t xml:space="preserve"> </w:t>
      </w:r>
      <w:r>
        <w:t>benefits</w:t>
      </w:r>
      <w:r>
        <w:rPr>
          <w:spacing w:val="-15"/>
        </w:rPr>
        <w:t xml:space="preserve"> </w:t>
      </w:r>
      <w:r>
        <w:t>of</w:t>
      </w:r>
      <w:r>
        <w:rPr>
          <w:spacing w:val="-13"/>
        </w:rPr>
        <w:t xml:space="preserve"> </w:t>
      </w:r>
      <w:r>
        <w:t>opioids</w:t>
      </w:r>
      <w:r>
        <w:rPr>
          <w:spacing w:val="-13"/>
        </w:rPr>
        <w:t xml:space="preserve"> </w:t>
      </w:r>
      <w:r>
        <w:t>relative</w:t>
      </w:r>
      <w:r>
        <w:rPr>
          <w:spacing w:val="-13"/>
        </w:rPr>
        <w:t xml:space="preserve"> </w:t>
      </w:r>
      <w:r>
        <w:t>to</w:t>
      </w:r>
      <w:r>
        <w:rPr>
          <w:spacing w:val="-16"/>
        </w:rPr>
        <w:t xml:space="preserve"> </w:t>
      </w:r>
      <w:r>
        <w:t>the</w:t>
      </w:r>
      <w:r>
        <w:rPr>
          <w:spacing w:val="-13"/>
        </w:rPr>
        <w:t xml:space="preserve"> </w:t>
      </w:r>
      <w:r>
        <w:t>risks</w:t>
      </w:r>
      <w:r>
        <w:rPr>
          <w:spacing w:val="-13"/>
        </w:rPr>
        <w:t xml:space="preserve"> </w:t>
      </w:r>
      <w:r>
        <w:t>of</w:t>
      </w:r>
      <w:r>
        <w:rPr>
          <w:spacing w:val="-13"/>
        </w:rPr>
        <w:t xml:space="preserve"> </w:t>
      </w:r>
      <w:r>
        <w:t>opioid</w:t>
      </w:r>
      <w:r>
        <w:rPr>
          <w:spacing w:val="-13"/>
        </w:rPr>
        <w:t xml:space="preserve"> </w:t>
      </w:r>
      <w:r>
        <w:t>use</w:t>
      </w:r>
      <w:r>
        <w:rPr>
          <w:spacing w:val="-13"/>
        </w:rPr>
        <w:t xml:space="preserve"> </w:t>
      </w:r>
      <w:r>
        <w:t>disorder and diversion. As noted elsewhere</w:t>
      </w:r>
      <w:r>
        <w:t xml:space="preserve"> in this letter, Anthem is supportive of the more effective (in our experience) hard</w:t>
      </w:r>
      <w:r>
        <w:rPr>
          <w:spacing w:val="-4"/>
        </w:rPr>
        <w:t xml:space="preserve"> </w:t>
      </w:r>
      <w:r>
        <w:t>edit.</w:t>
      </w:r>
    </w:p>
    <w:p w:rsidR="00805174" w:rsidRDefault="00805174">
      <w:pPr>
        <w:pStyle w:val="BodyText"/>
        <w:spacing w:before="1"/>
      </w:pPr>
    </w:p>
    <w:p w:rsidR="00805174" w:rsidRDefault="000A64A3">
      <w:pPr>
        <w:ind w:left="100"/>
        <w:jc w:val="both"/>
        <w:rPr>
          <w:i/>
        </w:rPr>
      </w:pPr>
      <w:r>
        <w:rPr>
          <w:i/>
        </w:rPr>
        <w:t>Concurrent Use of Opioids and Benzodiazepines</w:t>
      </w:r>
    </w:p>
    <w:p w:rsidR="00805174" w:rsidRDefault="00805174">
      <w:pPr>
        <w:pStyle w:val="BodyText"/>
        <w:rPr>
          <w:i/>
        </w:rPr>
      </w:pPr>
    </w:p>
    <w:p w:rsidR="00805174" w:rsidRDefault="000A64A3">
      <w:pPr>
        <w:pStyle w:val="BodyText"/>
        <w:ind w:left="100" w:right="113"/>
        <w:jc w:val="both"/>
      </w:pPr>
      <w:r>
        <w:t>CMS proposes that Part D sponsors implement a concurrent opioid and benzodiazepine soft POS safety edit. As noted abo</w:t>
      </w:r>
      <w:r>
        <w:t>ve, Anthem struggles to see the value in soft edits. We are concerned that some pharmacies</w:t>
      </w:r>
      <w:r>
        <w:rPr>
          <w:spacing w:val="-3"/>
        </w:rPr>
        <w:t xml:space="preserve"> </w:t>
      </w:r>
      <w:r>
        <w:t>may</w:t>
      </w:r>
      <w:r>
        <w:rPr>
          <w:spacing w:val="-3"/>
        </w:rPr>
        <w:t xml:space="preserve"> </w:t>
      </w:r>
      <w:r>
        <w:t>get</w:t>
      </w:r>
      <w:r>
        <w:rPr>
          <w:spacing w:val="-3"/>
        </w:rPr>
        <w:t xml:space="preserve"> </w:t>
      </w:r>
      <w:r>
        <w:t>into</w:t>
      </w:r>
      <w:r>
        <w:rPr>
          <w:spacing w:val="-6"/>
        </w:rPr>
        <w:t xml:space="preserve"> </w:t>
      </w:r>
      <w:r>
        <w:t>the</w:t>
      </w:r>
      <w:r>
        <w:rPr>
          <w:spacing w:val="-3"/>
        </w:rPr>
        <w:t xml:space="preserve"> </w:t>
      </w:r>
      <w:r>
        <w:t>habit</w:t>
      </w:r>
      <w:r>
        <w:rPr>
          <w:spacing w:val="-3"/>
        </w:rPr>
        <w:t xml:space="preserve"> </w:t>
      </w:r>
      <w:r>
        <w:t>of</w:t>
      </w:r>
      <w:r>
        <w:rPr>
          <w:spacing w:val="-3"/>
        </w:rPr>
        <w:t xml:space="preserve"> </w:t>
      </w:r>
      <w:r>
        <w:t>overriding</w:t>
      </w:r>
      <w:r>
        <w:rPr>
          <w:spacing w:val="-6"/>
        </w:rPr>
        <w:t xml:space="preserve"> </w:t>
      </w:r>
      <w:r>
        <w:t>the</w:t>
      </w:r>
      <w:r>
        <w:rPr>
          <w:spacing w:val="-3"/>
        </w:rPr>
        <w:t xml:space="preserve"> </w:t>
      </w:r>
      <w:r>
        <w:t>edit</w:t>
      </w:r>
      <w:r>
        <w:rPr>
          <w:spacing w:val="-3"/>
        </w:rPr>
        <w:t xml:space="preserve"> </w:t>
      </w:r>
      <w:r>
        <w:t>instead</w:t>
      </w:r>
      <w:r>
        <w:rPr>
          <w:spacing w:val="-3"/>
        </w:rPr>
        <w:t xml:space="preserve"> </w:t>
      </w:r>
      <w:r>
        <w:t>of</w:t>
      </w:r>
      <w:r>
        <w:rPr>
          <w:spacing w:val="-3"/>
        </w:rPr>
        <w:t xml:space="preserve"> </w:t>
      </w:r>
      <w:r>
        <w:t>focusing</w:t>
      </w:r>
      <w:r>
        <w:rPr>
          <w:spacing w:val="-6"/>
        </w:rPr>
        <w:t xml:space="preserve"> </w:t>
      </w:r>
      <w:r>
        <w:t>on</w:t>
      </w:r>
      <w:r>
        <w:rPr>
          <w:spacing w:val="-4"/>
        </w:rPr>
        <w:t xml:space="preserve"> </w:t>
      </w:r>
      <w:r>
        <w:t>the</w:t>
      </w:r>
      <w:r>
        <w:rPr>
          <w:spacing w:val="-4"/>
        </w:rPr>
        <w:t xml:space="preserve"> </w:t>
      </w:r>
      <w:r>
        <w:t>true</w:t>
      </w:r>
      <w:r>
        <w:rPr>
          <w:spacing w:val="-6"/>
        </w:rPr>
        <w:t xml:space="preserve"> </w:t>
      </w:r>
      <w:r>
        <w:t>intention</w:t>
      </w:r>
      <w:r>
        <w:rPr>
          <w:spacing w:val="-4"/>
        </w:rPr>
        <w:t xml:space="preserve"> </w:t>
      </w:r>
      <w:r>
        <w:t>of</w:t>
      </w:r>
      <w:r>
        <w:rPr>
          <w:spacing w:val="-5"/>
        </w:rPr>
        <w:t xml:space="preserve"> </w:t>
      </w:r>
      <w:r>
        <w:t>the</w:t>
      </w:r>
      <w:r>
        <w:rPr>
          <w:spacing w:val="-6"/>
        </w:rPr>
        <w:t xml:space="preserve"> </w:t>
      </w:r>
      <w:r>
        <w:t>edit which, in this case, is the reduction of inappropriate concurrent use of prescription opioid analgesics, opioid-containing cough products, and benzodiazepines. Rather than implement a soft edit requirement, Anthem</w:t>
      </w:r>
      <w:r>
        <w:rPr>
          <w:spacing w:val="-17"/>
        </w:rPr>
        <w:t xml:space="preserve"> </w:t>
      </w:r>
      <w:r>
        <w:t>recommends</w:t>
      </w:r>
      <w:r>
        <w:rPr>
          <w:spacing w:val="-13"/>
        </w:rPr>
        <w:t xml:space="preserve"> </w:t>
      </w:r>
      <w:r>
        <w:t>that</w:t>
      </w:r>
      <w:r>
        <w:rPr>
          <w:spacing w:val="-13"/>
        </w:rPr>
        <w:t xml:space="preserve"> </w:t>
      </w:r>
      <w:r>
        <w:t>CMS</w:t>
      </w:r>
      <w:r>
        <w:rPr>
          <w:spacing w:val="-14"/>
        </w:rPr>
        <w:t xml:space="preserve"> </w:t>
      </w:r>
      <w:r>
        <w:t>expand</w:t>
      </w:r>
      <w:r>
        <w:rPr>
          <w:spacing w:val="-14"/>
        </w:rPr>
        <w:t xml:space="preserve"> </w:t>
      </w:r>
      <w:r>
        <w:t>retrospect</w:t>
      </w:r>
      <w:r>
        <w:t>ive</w:t>
      </w:r>
      <w:r>
        <w:rPr>
          <w:spacing w:val="-14"/>
        </w:rPr>
        <w:t xml:space="preserve"> </w:t>
      </w:r>
      <w:r>
        <w:t>DUR</w:t>
      </w:r>
      <w:r>
        <w:rPr>
          <w:spacing w:val="-13"/>
        </w:rPr>
        <w:t xml:space="preserve"> </w:t>
      </w:r>
      <w:r>
        <w:t>programs</w:t>
      </w:r>
      <w:r>
        <w:rPr>
          <w:spacing w:val="-13"/>
        </w:rPr>
        <w:t xml:space="preserve"> </w:t>
      </w:r>
      <w:r>
        <w:t>for</w:t>
      </w:r>
      <w:r>
        <w:rPr>
          <w:spacing w:val="-14"/>
        </w:rPr>
        <w:t xml:space="preserve"> </w:t>
      </w:r>
      <w:r>
        <w:t>potentiator</w:t>
      </w:r>
      <w:r>
        <w:rPr>
          <w:spacing w:val="-14"/>
        </w:rPr>
        <w:t xml:space="preserve"> </w:t>
      </w:r>
      <w:r>
        <w:t>drugs</w:t>
      </w:r>
      <w:r>
        <w:rPr>
          <w:spacing w:val="-14"/>
        </w:rPr>
        <w:t xml:space="preserve"> </w:t>
      </w:r>
      <w:r>
        <w:t>(as</w:t>
      </w:r>
      <w:r>
        <w:rPr>
          <w:spacing w:val="-14"/>
        </w:rPr>
        <w:t xml:space="preserve"> </w:t>
      </w:r>
      <w:r>
        <w:t>noted</w:t>
      </w:r>
      <w:r>
        <w:rPr>
          <w:spacing w:val="-14"/>
        </w:rPr>
        <w:t xml:space="preserve"> </w:t>
      </w:r>
      <w:r>
        <w:t>above). In addition, we note that provider education about the serious risks of concurrent use of opioids and benzodiazepines is an important tool in limiting inappropriate concurrent use of these</w:t>
      </w:r>
      <w:r>
        <w:rPr>
          <w:spacing w:val="-28"/>
        </w:rPr>
        <w:t xml:space="preserve"> </w:t>
      </w:r>
      <w:r>
        <w:t>prescripti</w:t>
      </w:r>
      <w:r>
        <w:t>ons.</w:t>
      </w:r>
    </w:p>
    <w:p w:rsidR="00805174" w:rsidRDefault="00805174">
      <w:pPr>
        <w:pStyle w:val="BodyText"/>
      </w:pPr>
    </w:p>
    <w:p w:rsidR="00805174" w:rsidRDefault="000A64A3">
      <w:pPr>
        <w:ind w:left="100" w:right="121"/>
        <w:jc w:val="both"/>
        <w:rPr>
          <w:i/>
        </w:rPr>
      </w:pPr>
      <w:r>
        <w:rPr>
          <w:i/>
        </w:rPr>
        <w:t>Using the Best Available Information when making B vs D Coverage Determinations for Immunosuppressants and Inhalation Durable Medical Equipment (DME) Supply Drugs</w:t>
      </w:r>
    </w:p>
    <w:p w:rsidR="00805174" w:rsidRDefault="00805174">
      <w:pPr>
        <w:pStyle w:val="BodyText"/>
        <w:spacing w:before="9"/>
        <w:rPr>
          <w:i/>
          <w:sz w:val="21"/>
        </w:rPr>
      </w:pPr>
    </w:p>
    <w:p w:rsidR="00805174" w:rsidRDefault="000A64A3">
      <w:pPr>
        <w:pStyle w:val="BodyText"/>
        <w:spacing w:before="1"/>
        <w:ind w:left="100" w:right="113"/>
        <w:jc w:val="both"/>
      </w:pPr>
      <w:r>
        <w:t>CMS</w:t>
      </w:r>
      <w:r>
        <w:rPr>
          <w:spacing w:val="-5"/>
        </w:rPr>
        <w:t xml:space="preserve"> </w:t>
      </w:r>
      <w:r>
        <w:t>proposes</w:t>
      </w:r>
      <w:r>
        <w:rPr>
          <w:spacing w:val="-5"/>
        </w:rPr>
        <w:t xml:space="preserve"> </w:t>
      </w:r>
      <w:r>
        <w:t>clarifications</w:t>
      </w:r>
      <w:r>
        <w:rPr>
          <w:spacing w:val="-5"/>
        </w:rPr>
        <w:t xml:space="preserve"> </w:t>
      </w:r>
      <w:r>
        <w:t>on</w:t>
      </w:r>
      <w:r>
        <w:rPr>
          <w:spacing w:val="-6"/>
        </w:rPr>
        <w:t xml:space="preserve"> </w:t>
      </w:r>
      <w:r>
        <w:t>how</w:t>
      </w:r>
      <w:r>
        <w:rPr>
          <w:spacing w:val="-7"/>
        </w:rPr>
        <w:t xml:space="preserve"> </w:t>
      </w:r>
      <w:r>
        <w:t>to</w:t>
      </w:r>
      <w:r>
        <w:rPr>
          <w:spacing w:val="-8"/>
        </w:rPr>
        <w:t xml:space="preserve"> </w:t>
      </w:r>
      <w:r>
        <w:t>determine</w:t>
      </w:r>
      <w:r>
        <w:rPr>
          <w:spacing w:val="-5"/>
        </w:rPr>
        <w:t xml:space="preserve"> </w:t>
      </w:r>
      <w:r>
        <w:t>the</w:t>
      </w:r>
      <w:r>
        <w:rPr>
          <w:spacing w:val="-5"/>
        </w:rPr>
        <w:t xml:space="preserve"> </w:t>
      </w:r>
      <w:r>
        <w:t>appropriate</w:t>
      </w:r>
      <w:r>
        <w:rPr>
          <w:spacing w:val="-8"/>
        </w:rPr>
        <w:t xml:space="preserve"> </w:t>
      </w:r>
      <w:r>
        <w:t>coverage</w:t>
      </w:r>
      <w:r>
        <w:rPr>
          <w:spacing w:val="-5"/>
        </w:rPr>
        <w:t xml:space="preserve"> </w:t>
      </w:r>
      <w:r>
        <w:t>benefit</w:t>
      </w:r>
      <w:r>
        <w:rPr>
          <w:spacing w:val="-7"/>
        </w:rPr>
        <w:t xml:space="preserve"> </w:t>
      </w:r>
      <w:r>
        <w:t>for</w:t>
      </w:r>
      <w:r>
        <w:rPr>
          <w:spacing w:val="-7"/>
        </w:rPr>
        <w:t xml:space="preserve"> </w:t>
      </w:r>
      <w:r>
        <w:t>i</w:t>
      </w:r>
      <w:r>
        <w:t>mmunosuppressant drugs and for certain inhalation drugs. Specifically, CMS is proposing new guidance on how Part D sponsors should determine whether immunosuppressant drugs are covered under Part D or Part B that are used</w:t>
      </w:r>
      <w:r>
        <w:rPr>
          <w:spacing w:val="-9"/>
        </w:rPr>
        <w:t xml:space="preserve"> </w:t>
      </w:r>
      <w:r>
        <w:t>to</w:t>
      </w:r>
      <w:r>
        <w:rPr>
          <w:spacing w:val="-9"/>
        </w:rPr>
        <w:t xml:space="preserve"> </w:t>
      </w:r>
      <w:r>
        <w:t>prevent</w:t>
      </w:r>
      <w:r>
        <w:rPr>
          <w:spacing w:val="-8"/>
        </w:rPr>
        <w:t xml:space="preserve"> </w:t>
      </w:r>
      <w:r>
        <w:t>transplant</w:t>
      </w:r>
      <w:r>
        <w:rPr>
          <w:spacing w:val="-10"/>
        </w:rPr>
        <w:t xml:space="preserve"> </w:t>
      </w:r>
      <w:r>
        <w:t>rejections.</w:t>
      </w:r>
      <w:r>
        <w:rPr>
          <w:spacing w:val="-9"/>
        </w:rPr>
        <w:t xml:space="preserve"> </w:t>
      </w:r>
      <w:r>
        <w:t>Going</w:t>
      </w:r>
      <w:r>
        <w:rPr>
          <w:spacing w:val="-11"/>
        </w:rPr>
        <w:t xml:space="preserve"> </w:t>
      </w:r>
      <w:r>
        <w:t>forward,</w:t>
      </w:r>
      <w:r>
        <w:rPr>
          <w:spacing w:val="-9"/>
        </w:rPr>
        <w:t xml:space="preserve"> </w:t>
      </w:r>
      <w:r>
        <w:t>Part</w:t>
      </w:r>
      <w:r>
        <w:rPr>
          <w:spacing w:val="-8"/>
        </w:rPr>
        <w:t xml:space="preserve"> </w:t>
      </w:r>
      <w:r>
        <w:t>D</w:t>
      </w:r>
      <w:r>
        <w:rPr>
          <w:spacing w:val="-10"/>
        </w:rPr>
        <w:t xml:space="preserve"> </w:t>
      </w:r>
      <w:r>
        <w:t>sponsors</w:t>
      </w:r>
      <w:r>
        <w:rPr>
          <w:spacing w:val="-8"/>
        </w:rPr>
        <w:t xml:space="preserve"> </w:t>
      </w:r>
      <w:r>
        <w:t>are</w:t>
      </w:r>
      <w:r>
        <w:rPr>
          <w:spacing w:val="-11"/>
        </w:rPr>
        <w:t xml:space="preserve"> </w:t>
      </w:r>
      <w:r>
        <w:t>to</w:t>
      </w:r>
      <w:r>
        <w:rPr>
          <w:spacing w:val="-9"/>
        </w:rPr>
        <w:t xml:space="preserve"> </w:t>
      </w:r>
      <w:r>
        <w:t>rely</w:t>
      </w:r>
      <w:r>
        <w:rPr>
          <w:spacing w:val="-11"/>
        </w:rPr>
        <w:t xml:space="preserve"> </w:t>
      </w:r>
      <w:r>
        <w:t>solely</w:t>
      </w:r>
      <w:r>
        <w:rPr>
          <w:spacing w:val="-11"/>
        </w:rPr>
        <w:t xml:space="preserve"> </w:t>
      </w:r>
      <w:r>
        <w:t>on</w:t>
      </w:r>
      <w:r>
        <w:rPr>
          <w:spacing w:val="-9"/>
        </w:rPr>
        <w:t xml:space="preserve"> </w:t>
      </w:r>
      <w:r>
        <w:t>information</w:t>
      </w:r>
      <w:r>
        <w:rPr>
          <w:spacing w:val="-9"/>
        </w:rPr>
        <w:t xml:space="preserve"> </w:t>
      </w:r>
      <w:r>
        <w:t>from CMS (the Medicare Advantage and Prescription Drug [MARx] system) which will indicate whether—in the cases of renal transplant—the transplant was or was not covered by Medicare. No change</w:t>
      </w:r>
      <w:r>
        <w:t>s need to be made to prior Part D</w:t>
      </w:r>
      <w:r>
        <w:rPr>
          <w:spacing w:val="-8"/>
        </w:rPr>
        <w:t xml:space="preserve"> </w:t>
      </w:r>
      <w:r>
        <w:t>claims.</w:t>
      </w:r>
    </w:p>
    <w:p w:rsidR="00805174" w:rsidRDefault="00805174">
      <w:pPr>
        <w:pStyle w:val="BodyText"/>
      </w:pPr>
    </w:p>
    <w:p w:rsidR="00805174" w:rsidRDefault="000A64A3">
      <w:pPr>
        <w:pStyle w:val="BodyText"/>
        <w:ind w:left="100" w:right="115"/>
        <w:jc w:val="both"/>
      </w:pPr>
      <w:r>
        <w:t>Anthem</w:t>
      </w:r>
      <w:r>
        <w:rPr>
          <w:spacing w:val="-10"/>
        </w:rPr>
        <w:t xml:space="preserve"> </w:t>
      </w:r>
      <w:r>
        <w:t>recommends</w:t>
      </w:r>
      <w:r>
        <w:rPr>
          <w:spacing w:val="-6"/>
        </w:rPr>
        <w:t xml:space="preserve"> </w:t>
      </w:r>
      <w:r>
        <w:t>that</w:t>
      </w:r>
      <w:r>
        <w:rPr>
          <w:spacing w:val="-6"/>
        </w:rPr>
        <w:t xml:space="preserve"> </w:t>
      </w:r>
      <w:r>
        <w:t>all</w:t>
      </w:r>
      <w:r>
        <w:rPr>
          <w:spacing w:val="-9"/>
        </w:rPr>
        <w:t xml:space="preserve"> </w:t>
      </w:r>
      <w:r>
        <w:t>immunosuppressants</w:t>
      </w:r>
      <w:r>
        <w:rPr>
          <w:spacing w:val="-9"/>
        </w:rPr>
        <w:t xml:space="preserve"> </w:t>
      </w:r>
      <w:r>
        <w:t>be</w:t>
      </w:r>
      <w:r>
        <w:rPr>
          <w:spacing w:val="-9"/>
        </w:rPr>
        <w:t xml:space="preserve"> </w:t>
      </w:r>
      <w:r>
        <w:t>covered</w:t>
      </w:r>
      <w:r>
        <w:rPr>
          <w:spacing w:val="-7"/>
        </w:rPr>
        <w:t xml:space="preserve"> </w:t>
      </w:r>
      <w:r>
        <w:t>under</w:t>
      </w:r>
      <w:r>
        <w:rPr>
          <w:spacing w:val="-8"/>
        </w:rPr>
        <w:t xml:space="preserve"> </w:t>
      </w:r>
      <w:r>
        <w:t>Medicare</w:t>
      </w:r>
      <w:r>
        <w:rPr>
          <w:spacing w:val="-7"/>
        </w:rPr>
        <w:t xml:space="preserve"> </w:t>
      </w:r>
      <w:r>
        <w:t>Part</w:t>
      </w:r>
      <w:r>
        <w:rPr>
          <w:spacing w:val="-8"/>
        </w:rPr>
        <w:t xml:space="preserve"> </w:t>
      </w:r>
      <w:r>
        <w:t>D.</w:t>
      </w:r>
      <w:r>
        <w:rPr>
          <w:spacing w:val="-10"/>
        </w:rPr>
        <w:t xml:space="preserve"> </w:t>
      </w:r>
      <w:r>
        <w:t>This</w:t>
      </w:r>
      <w:r>
        <w:rPr>
          <w:spacing w:val="-6"/>
        </w:rPr>
        <w:t xml:space="preserve"> </w:t>
      </w:r>
      <w:r>
        <w:t>will</w:t>
      </w:r>
      <w:r>
        <w:rPr>
          <w:spacing w:val="-6"/>
        </w:rPr>
        <w:t xml:space="preserve"> </w:t>
      </w:r>
      <w:r>
        <w:t>ensure</w:t>
      </w:r>
      <w:r>
        <w:rPr>
          <w:spacing w:val="-9"/>
        </w:rPr>
        <w:t xml:space="preserve"> </w:t>
      </w:r>
      <w:r>
        <w:t>that beneficiaries do not have access-to-care issues in obtaining needed medications. Such a policy would also minim</w:t>
      </w:r>
      <w:r>
        <w:t>ize administrative burdens around determining which Part of the Medicare program paid for a transplant, which would be substantial under CMS’ proposal, as we describe</w:t>
      </w:r>
      <w:r>
        <w:rPr>
          <w:spacing w:val="-20"/>
        </w:rPr>
        <w:t xml:space="preserve"> </w:t>
      </w:r>
      <w:r>
        <w:t>below.</w:t>
      </w:r>
    </w:p>
    <w:p w:rsidR="00805174" w:rsidRDefault="00805174">
      <w:pPr>
        <w:pStyle w:val="BodyText"/>
      </w:pPr>
    </w:p>
    <w:p w:rsidR="00805174" w:rsidRDefault="000A64A3">
      <w:pPr>
        <w:pStyle w:val="BodyText"/>
        <w:ind w:left="100" w:right="113"/>
        <w:jc w:val="both"/>
      </w:pPr>
      <w:r>
        <w:t>First, MARx does not currently state if Medicare paid for a transplant. MARx only</w:t>
      </w:r>
      <w:r>
        <w:t xml:space="preserve"> provides the Medicare Part A eligibility and the transplant date—and this information is only provided when the transplant is for a kidney. There is no indictor as to whether Medicare Part A paid for the transplant or not. Thus, if CMS moves forward with </w:t>
      </w:r>
      <w:r>
        <w:t>its contemplated change, Anthem asks CMS to clarify if it will start providing who covered the transplant for all types of transplants. We urge CMS to enhance the MARx system to flag if a transplant was covered by Medicare.</w:t>
      </w:r>
    </w:p>
    <w:p w:rsidR="00805174" w:rsidRDefault="00805174">
      <w:pPr>
        <w:pStyle w:val="BodyText"/>
        <w:spacing w:before="11"/>
        <w:rPr>
          <w:sz w:val="21"/>
        </w:rPr>
      </w:pPr>
    </w:p>
    <w:p w:rsidR="00805174" w:rsidRDefault="000A64A3">
      <w:pPr>
        <w:pStyle w:val="BodyText"/>
        <w:ind w:left="100" w:right="116"/>
        <w:jc w:val="both"/>
      </w:pPr>
      <w:r>
        <w:t xml:space="preserve">Second, when relying solely on </w:t>
      </w:r>
      <w:r>
        <w:t>Medicare Part A eligibility versus just the transplant date, Anthem has received conflicting information from beneficiaries who state Medicare Part A did not pay for their transplant</w:t>
      </w:r>
      <w:r>
        <w:rPr>
          <w:spacing w:val="-5"/>
        </w:rPr>
        <w:t xml:space="preserve"> </w:t>
      </w:r>
      <w:r>
        <w:t>and/or</w:t>
      </w:r>
      <w:r>
        <w:rPr>
          <w:spacing w:val="-5"/>
        </w:rPr>
        <w:t xml:space="preserve"> </w:t>
      </w:r>
      <w:r>
        <w:t>that</w:t>
      </w:r>
      <w:r>
        <w:rPr>
          <w:spacing w:val="-5"/>
        </w:rPr>
        <w:t xml:space="preserve"> </w:t>
      </w:r>
      <w:r>
        <w:t>the</w:t>
      </w:r>
      <w:r>
        <w:rPr>
          <w:spacing w:val="-6"/>
        </w:rPr>
        <w:t xml:space="preserve"> </w:t>
      </w:r>
      <w:r>
        <w:t>facility</w:t>
      </w:r>
      <w:r>
        <w:rPr>
          <w:spacing w:val="-6"/>
        </w:rPr>
        <w:t xml:space="preserve"> </w:t>
      </w:r>
      <w:r>
        <w:t>was</w:t>
      </w:r>
      <w:r>
        <w:rPr>
          <w:spacing w:val="-3"/>
        </w:rPr>
        <w:t xml:space="preserve"> </w:t>
      </w:r>
      <w:r>
        <w:t>not</w:t>
      </w:r>
      <w:r>
        <w:rPr>
          <w:spacing w:val="-3"/>
        </w:rPr>
        <w:t xml:space="preserve"> </w:t>
      </w:r>
      <w:r>
        <w:t>eligible</w:t>
      </w:r>
      <w:r>
        <w:rPr>
          <w:spacing w:val="-6"/>
        </w:rPr>
        <w:t xml:space="preserve"> </w:t>
      </w:r>
      <w:r>
        <w:t>for</w:t>
      </w:r>
      <w:r>
        <w:rPr>
          <w:spacing w:val="-5"/>
        </w:rPr>
        <w:t xml:space="preserve"> </w:t>
      </w:r>
      <w:r>
        <w:t>coverage</w:t>
      </w:r>
      <w:r>
        <w:rPr>
          <w:spacing w:val="-3"/>
        </w:rPr>
        <w:t xml:space="preserve"> </w:t>
      </w:r>
      <w:r>
        <w:t>under</w:t>
      </w:r>
      <w:r>
        <w:rPr>
          <w:spacing w:val="-3"/>
        </w:rPr>
        <w:t xml:space="preserve"> </w:t>
      </w:r>
      <w:r>
        <w:t>Part</w:t>
      </w:r>
      <w:r>
        <w:rPr>
          <w:spacing w:val="-3"/>
        </w:rPr>
        <w:t xml:space="preserve"> </w:t>
      </w:r>
      <w:r>
        <w:t>A.</w:t>
      </w:r>
      <w:r>
        <w:rPr>
          <w:spacing w:val="-4"/>
        </w:rPr>
        <w:t xml:space="preserve"> </w:t>
      </w:r>
      <w:r>
        <w:t>We</w:t>
      </w:r>
      <w:r>
        <w:rPr>
          <w:spacing w:val="-6"/>
        </w:rPr>
        <w:t xml:space="preserve"> </w:t>
      </w:r>
      <w:r>
        <w:t>ask</w:t>
      </w:r>
      <w:r>
        <w:rPr>
          <w:spacing w:val="-6"/>
        </w:rPr>
        <w:t xml:space="preserve"> </w:t>
      </w:r>
      <w:r>
        <w:t>CMS</w:t>
      </w:r>
      <w:r>
        <w:rPr>
          <w:spacing w:val="-3"/>
        </w:rPr>
        <w:t xml:space="preserve"> </w:t>
      </w:r>
      <w:r>
        <w:t>to</w:t>
      </w:r>
      <w:r>
        <w:rPr>
          <w:spacing w:val="-4"/>
        </w:rPr>
        <w:t xml:space="preserve"> </w:t>
      </w:r>
      <w:r>
        <w:t>provide</w:t>
      </w:r>
      <w:r>
        <w:rPr>
          <w:spacing w:val="-3"/>
        </w:rPr>
        <w:t xml:space="preserve"> </w:t>
      </w:r>
      <w:r>
        <w:t>more</w:t>
      </w:r>
    </w:p>
    <w:p w:rsidR="00805174" w:rsidRDefault="00805174">
      <w:pPr>
        <w:jc w:val="both"/>
        <w:sectPr w:rsidR="00805174">
          <w:pgSz w:w="12240" w:h="15840"/>
          <w:pgMar w:top="1360" w:right="1320" w:bottom="1200" w:left="1340" w:header="0" w:footer="1015" w:gutter="0"/>
          <w:cols w:space="720"/>
        </w:sectPr>
      </w:pPr>
    </w:p>
    <w:p w:rsidR="00805174" w:rsidRDefault="000A64A3">
      <w:pPr>
        <w:pStyle w:val="BodyText"/>
        <w:spacing w:before="74"/>
        <w:ind w:left="100" w:right="116"/>
        <w:jc w:val="both"/>
      </w:pPr>
      <w:r>
        <w:lastRenderedPageBreak/>
        <w:t>information</w:t>
      </w:r>
      <w:r>
        <w:rPr>
          <w:spacing w:val="-14"/>
        </w:rPr>
        <w:t xml:space="preserve"> </w:t>
      </w:r>
      <w:r>
        <w:t>about</w:t>
      </w:r>
      <w:r>
        <w:rPr>
          <w:spacing w:val="-11"/>
        </w:rPr>
        <w:t xml:space="preserve"> </w:t>
      </w:r>
      <w:r>
        <w:t>how</w:t>
      </w:r>
      <w:r>
        <w:rPr>
          <w:spacing w:val="-13"/>
        </w:rPr>
        <w:t xml:space="preserve"> </w:t>
      </w:r>
      <w:r>
        <w:t>it</w:t>
      </w:r>
      <w:r>
        <w:rPr>
          <w:spacing w:val="-9"/>
        </w:rPr>
        <w:t xml:space="preserve"> </w:t>
      </w:r>
      <w:r>
        <w:t>would</w:t>
      </w:r>
      <w:r>
        <w:rPr>
          <w:spacing w:val="-14"/>
        </w:rPr>
        <w:t xml:space="preserve"> </w:t>
      </w:r>
      <w:r>
        <w:t>intend</w:t>
      </w:r>
      <w:r>
        <w:rPr>
          <w:spacing w:val="-14"/>
        </w:rPr>
        <w:t xml:space="preserve"> </w:t>
      </w:r>
      <w:r>
        <w:t>to</w:t>
      </w:r>
      <w:r>
        <w:rPr>
          <w:spacing w:val="-14"/>
        </w:rPr>
        <w:t xml:space="preserve"> </w:t>
      </w:r>
      <w:r>
        <w:t>handle</w:t>
      </w:r>
      <w:r>
        <w:rPr>
          <w:spacing w:val="-14"/>
        </w:rPr>
        <w:t xml:space="preserve"> </w:t>
      </w:r>
      <w:r>
        <w:t>situations</w:t>
      </w:r>
      <w:r>
        <w:rPr>
          <w:spacing w:val="-14"/>
        </w:rPr>
        <w:t xml:space="preserve"> </w:t>
      </w:r>
      <w:r>
        <w:t>in</w:t>
      </w:r>
      <w:r>
        <w:rPr>
          <w:spacing w:val="-12"/>
        </w:rPr>
        <w:t xml:space="preserve"> </w:t>
      </w:r>
      <w:r>
        <w:t>which,</w:t>
      </w:r>
      <w:r>
        <w:rPr>
          <w:spacing w:val="-14"/>
        </w:rPr>
        <w:t xml:space="preserve"> </w:t>
      </w:r>
      <w:r>
        <w:t>based</w:t>
      </w:r>
      <w:r>
        <w:rPr>
          <w:spacing w:val="-12"/>
        </w:rPr>
        <w:t xml:space="preserve"> </w:t>
      </w:r>
      <w:r>
        <w:t>on</w:t>
      </w:r>
      <w:r>
        <w:rPr>
          <w:spacing w:val="-12"/>
        </w:rPr>
        <w:t xml:space="preserve"> </w:t>
      </w:r>
      <w:r>
        <w:t>the</w:t>
      </w:r>
      <w:r>
        <w:rPr>
          <w:spacing w:val="-14"/>
        </w:rPr>
        <w:t xml:space="preserve"> </w:t>
      </w:r>
      <w:r>
        <w:t>information</w:t>
      </w:r>
      <w:r>
        <w:rPr>
          <w:spacing w:val="-12"/>
        </w:rPr>
        <w:t xml:space="preserve"> </w:t>
      </w:r>
      <w:r>
        <w:t>and</w:t>
      </w:r>
      <w:r>
        <w:rPr>
          <w:spacing w:val="-12"/>
        </w:rPr>
        <w:t xml:space="preserve"> </w:t>
      </w:r>
      <w:r>
        <w:t>proposed new guidance, the immunosuppressant should be covered under Part B, but information from the member indicates the product should be covered under Part</w:t>
      </w:r>
      <w:r>
        <w:rPr>
          <w:spacing w:val="-15"/>
        </w:rPr>
        <w:t xml:space="preserve"> </w:t>
      </w:r>
      <w:r>
        <w:t>D.</w:t>
      </w:r>
    </w:p>
    <w:p w:rsidR="00805174" w:rsidRDefault="00805174">
      <w:pPr>
        <w:pStyle w:val="BodyText"/>
      </w:pPr>
    </w:p>
    <w:p w:rsidR="00805174" w:rsidRDefault="000A64A3">
      <w:pPr>
        <w:pStyle w:val="BodyText"/>
        <w:ind w:left="100" w:right="113"/>
        <w:jc w:val="both"/>
      </w:pPr>
      <w:r>
        <w:t xml:space="preserve">We also note that there is currently no reporting mechanism that would allow a plan sponsor </w:t>
      </w:r>
      <w:r>
        <w:t>to know whether Medicare Part A paid for the transplant. The only way a plan sponsor would know is if the plan sponsor</w:t>
      </w:r>
      <w:r>
        <w:rPr>
          <w:spacing w:val="-3"/>
        </w:rPr>
        <w:t xml:space="preserve"> </w:t>
      </w:r>
      <w:r>
        <w:t>paid</w:t>
      </w:r>
      <w:r>
        <w:rPr>
          <w:spacing w:val="-6"/>
        </w:rPr>
        <w:t xml:space="preserve"> </w:t>
      </w:r>
      <w:r>
        <w:t>for</w:t>
      </w:r>
      <w:r>
        <w:rPr>
          <w:spacing w:val="-3"/>
        </w:rPr>
        <w:t xml:space="preserve"> </w:t>
      </w:r>
      <w:r>
        <w:t>the</w:t>
      </w:r>
      <w:r>
        <w:rPr>
          <w:spacing w:val="-6"/>
        </w:rPr>
        <w:t xml:space="preserve"> </w:t>
      </w:r>
      <w:r>
        <w:t>transplant.</w:t>
      </w:r>
      <w:r>
        <w:rPr>
          <w:spacing w:val="-6"/>
        </w:rPr>
        <w:t xml:space="preserve"> </w:t>
      </w:r>
      <w:r>
        <w:t>We</w:t>
      </w:r>
      <w:r>
        <w:rPr>
          <w:spacing w:val="-6"/>
        </w:rPr>
        <w:t xml:space="preserve"> </w:t>
      </w:r>
      <w:r>
        <w:t>ask</w:t>
      </w:r>
      <w:r>
        <w:rPr>
          <w:spacing w:val="-6"/>
        </w:rPr>
        <w:t xml:space="preserve"> </w:t>
      </w:r>
      <w:r>
        <w:t>CMS</w:t>
      </w:r>
      <w:r>
        <w:rPr>
          <w:spacing w:val="-6"/>
        </w:rPr>
        <w:t xml:space="preserve"> </w:t>
      </w:r>
      <w:r>
        <w:t>to</w:t>
      </w:r>
      <w:r>
        <w:rPr>
          <w:spacing w:val="-4"/>
        </w:rPr>
        <w:t xml:space="preserve"> </w:t>
      </w:r>
      <w:r>
        <w:t>consider</w:t>
      </w:r>
      <w:r>
        <w:rPr>
          <w:spacing w:val="-3"/>
        </w:rPr>
        <w:t xml:space="preserve"> </w:t>
      </w:r>
      <w:r>
        <w:t>reporting</w:t>
      </w:r>
      <w:r>
        <w:rPr>
          <w:spacing w:val="-6"/>
        </w:rPr>
        <w:t xml:space="preserve"> </w:t>
      </w:r>
      <w:r>
        <w:t>to</w:t>
      </w:r>
      <w:r>
        <w:rPr>
          <w:spacing w:val="-4"/>
        </w:rPr>
        <w:t xml:space="preserve"> </w:t>
      </w:r>
      <w:r>
        <w:t>all</w:t>
      </w:r>
      <w:r>
        <w:rPr>
          <w:spacing w:val="2"/>
        </w:rPr>
        <w:t xml:space="preserve"> </w:t>
      </w:r>
      <w:r>
        <w:t>types</w:t>
      </w:r>
      <w:r>
        <w:rPr>
          <w:spacing w:val="-5"/>
        </w:rPr>
        <w:t xml:space="preserve"> </w:t>
      </w:r>
      <w:r>
        <w:t>of</w:t>
      </w:r>
      <w:r>
        <w:rPr>
          <w:spacing w:val="-5"/>
        </w:rPr>
        <w:t xml:space="preserve"> </w:t>
      </w:r>
      <w:r>
        <w:t>sponsors</w:t>
      </w:r>
      <w:r>
        <w:rPr>
          <w:spacing w:val="-3"/>
        </w:rPr>
        <w:t xml:space="preserve"> </w:t>
      </w:r>
      <w:r>
        <w:t>(e.g.,</w:t>
      </w:r>
      <w:r>
        <w:rPr>
          <w:spacing w:val="-4"/>
        </w:rPr>
        <w:t xml:space="preserve"> </w:t>
      </w:r>
      <w:r>
        <w:t>MA,</w:t>
      </w:r>
      <w:r>
        <w:rPr>
          <w:spacing w:val="-4"/>
        </w:rPr>
        <w:t xml:space="preserve"> </w:t>
      </w:r>
      <w:r>
        <w:t>PDP, etc.) on all types of transplants (e.g., heart, lung, etc.) and if they were covered under Medicare Part A or not.</w:t>
      </w:r>
    </w:p>
    <w:p w:rsidR="00805174" w:rsidRDefault="00805174">
      <w:pPr>
        <w:pStyle w:val="BodyText"/>
        <w:spacing w:before="11"/>
        <w:rPr>
          <w:sz w:val="21"/>
        </w:rPr>
      </w:pPr>
    </w:p>
    <w:p w:rsidR="00805174" w:rsidRDefault="000A64A3">
      <w:pPr>
        <w:pStyle w:val="BodyText"/>
        <w:ind w:left="100" w:right="113"/>
        <w:jc w:val="both"/>
      </w:pPr>
      <w:r>
        <w:t>Finally, CMS should clarify if, under its proposed clarifications, plans would be required to delete prescription</w:t>
      </w:r>
      <w:r>
        <w:rPr>
          <w:spacing w:val="-5"/>
        </w:rPr>
        <w:t xml:space="preserve"> </w:t>
      </w:r>
      <w:r>
        <w:t>drug</w:t>
      </w:r>
      <w:r>
        <w:rPr>
          <w:spacing w:val="-7"/>
        </w:rPr>
        <w:t xml:space="preserve"> </w:t>
      </w:r>
      <w:r>
        <w:t>event</w:t>
      </w:r>
      <w:r>
        <w:rPr>
          <w:spacing w:val="-4"/>
        </w:rPr>
        <w:t xml:space="preserve"> </w:t>
      </w:r>
      <w:r>
        <w:t>(PDE)</w:t>
      </w:r>
      <w:r>
        <w:rPr>
          <w:spacing w:val="-4"/>
        </w:rPr>
        <w:t xml:space="preserve"> </w:t>
      </w:r>
      <w:r>
        <w:t>reco</w:t>
      </w:r>
      <w:r>
        <w:t>rds</w:t>
      </w:r>
      <w:r>
        <w:rPr>
          <w:spacing w:val="-2"/>
        </w:rPr>
        <w:t xml:space="preserve"> </w:t>
      </w:r>
      <w:r>
        <w:t>and/or</w:t>
      </w:r>
      <w:r>
        <w:rPr>
          <w:spacing w:val="-4"/>
        </w:rPr>
        <w:t xml:space="preserve"> </w:t>
      </w:r>
      <w:r>
        <w:t>be</w:t>
      </w:r>
      <w:r>
        <w:rPr>
          <w:spacing w:val="-7"/>
        </w:rPr>
        <w:t xml:space="preserve"> </w:t>
      </w:r>
      <w:r>
        <w:t>penalized</w:t>
      </w:r>
      <w:r>
        <w:rPr>
          <w:spacing w:val="-4"/>
        </w:rPr>
        <w:t xml:space="preserve"> </w:t>
      </w:r>
      <w:r>
        <w:t>if</w:t>
      </w:r>
      <w:r>
        <w:rPr>
          <w:spacing w:val="-5"/>
        </w:rPr>
        <w:t xml:space="preserve"> </w:t>
      </w:r>
      <w:r>
        <w:t>it</w:t>
      </w:r>
      <w:r>
        <w:rPr>
          <w:spacing w:val="-4"/>
        </w:rPr>
        <w:t xml:space="preserve"> </w:t>
      </w:r>
      <w:r>
        <w:t>was</w:t>
      </w:r>
      <w:r>
        <w:rPr>
          <w:spacing w:val="-4"/>
        </w:rPr>
        <w:t xml:space="preserve"> </w:t>
      </w:r>
      <w:r>
        <w:t>determined</w:t>
      </w:r>
      <w:r>
        <w:rPr>
          <w:spacing w:val="-3"/>
        </w:rPr>
        <w:t xml:space="preserve"> </w:t>
      </w:r>
      <w:r>
        <w:t>that</w:t>
      </w:r>
      <w:r>
        <w:rPr>
          <w:spacing w:val="-4"/>
        </w:rPr>
        <w:t xml:space="preserve"> </w:t>
      </w:r>
      <w:r>
        <w:t>Part</w:t>
      </w:r>
      <w:r>
        <w:rPr>
          <w:spacing w:val="-4"/>
        </w:rPr>
        <w:t xml:space="preserve"> </w:t>
      </w:r>
      <w:r>
        <w:t>D</w:t>
      </w:r>
      <w:r>
        <w:rPr>
          <w:spacing w:val="-6"/>
        </w:rPr>
        <w:t xml:space="preserve"> </w:t>
      </w:r>
      <w:r>
        <w:t>should</w:t>
      </w:r>
      <w:r>
        <w:rPr>
          <w:spacing w:val="-5"/>
        </w:rPr>
        <w:t xml:space="preserve"> </w:t>
      </w:r>
      <w:r>
        <w:t>not</w:t>
      </w:r>
      <w:r>
        <w:rPr>
          <w:spacing w:val="-6"/>
        </w:rPr>
        <w:t xml:space="preserve"> </w:t>
      </w:r>
      <w:r>
        <w:t>have covered the transplant retrospectively. CMS has previously conducted select audits and required PDEs to be deleted and/or penalized the plan when claims were mistakenly paid under Par</w:t>
      </w:r>
      <w:r>
        <w:t>t D based on the default of Part D. We request clarity around whether CMS will penalize plan sponsors that default to coverage under Part D if it is later determined that the transplant should not have been covered under Part</w:t>
      </w:r>
      <w:r>
        <w:rPr>
          <w:spacing w:val="-20"/>
        </w:rPr>
        <w:t xml:space="preserve"> </w:t>
      </w:r>
      <w:r>
        <w:t>D.</w:t>
      </w:r>
    </w:p>
    <w:p w:rsidR="00805174" w:rsidRDefault="00805174">
      <w:pPr>
        <w:pStyle w:val="BodyText"/>
      </w:pPr>
    </w:p>
    <w:p w:rsidR="00805174" w:rsidRDefault="000A64A3">
      <w:pPr>
        <w:ind w:left="100"/>
        <w:jc w:val="both"/>
        <w:rPr>
          <w:i/>
        </w:rPr>
      </w:pPr>
      <w:r>
        <w:rPr>
          <w:i/>
        </w:rPr>
        <w:t>Part D Mail-Order Refill C</w:t>
      </w:r>
      <w:r>
        <w:rPr>
          <w:i/>
        </w:rPr>
        <w:t xml:space="preserve">onsents </w:t>
      </w:r>
      <w:r>
        <w:t>P</w:t>
      </w:r>
      <w:r>
        <w:rPr>
          <w:i/>
        </w:rPr>
        <w:t>olicy—Solicitation for Comments</w:t>
      </w:r>
    </w:p>
    <w:p w:rsidR="00805174" w:rsidRDefault="00805174">
      <w:pPr>
        <w:pStyle w:val="BodyText"/>
        <w:rPr>
          <w:i/>
        </w:rPr>
      </w:pPr>
    </w:p>
    <w:p w:rsidR="00805174" w:rsidRDefault="000A64A3">
      <w:pPr>
        <w:pStyle w:val="BodyText"/>
        <w:ind w:left="100" w:right="113"/>
        <w:jc w:val="both"/>
      </w:pPr>
      <w:r>
        <w:t>While Anthem agrees that taking steps to decrease waste and unnecessary costs associated with unneeded or</w:t>
      </w:r>
      <w:r>
        <w:rPr>
          <w:spacing w:val="-9"/>
        </w:rPr>
        <w:t xml:space="preserve"> </w:t>
      </w:r>
      <w:r>
        <w:t>unwanted</w:t>
      </w:r>
      <w:r>
        <w:rPr>
          <w:spacing w:val="-12"/>
        </w:rPr>
        <w:t xml:space="preserve"> </w:t>
      </w:r>
      <w:r>
        <w:t>prescriptions</w:t>
      </w:r>
      <w:r>
        <w:rPr>
          <w:spacing w:val="-11"/>
        </w:rPr>
        <w:t xml:space="preserve"> </w:t>
      </w:r>
      <w:r>
        <w:t>is</w:t>
      </w:r>
      <w:r>
        <w:rPr>
          <w:spacing w:val="-9"/>
        </w:rPr>
        <w:t xml:space="preserve"> </w:t>
      </w:r>
      <w:r>
        <w:t>important,</w:t>
      </w:r>
      <w:r>
        <w:rPr>
          <w:spacing w:val="-12"/>
        </w:rPr>
        <w:t xml:space="preserve"> </w:t>
      </w:r>
      <w:r>
        <w:t>requiring</w:t>
      </w:r>
      <w:r>
        <w:rPr>
          <w:spacing w:val="-12"/>
        </w:rPr>
        <w:t xml:space="preserve"> </w:t>
      </w:r>
      <w:r>
        <w:t>patient</w:t>
      </w:r>
      <w:r>
        <w:rPr>
          <w:spacing w:val="-9"/>
        </w:rPr>
        <w:t xml:space="preserve"> </w:t>
      </w:r>
      <w:r>
        <w:t>consent</w:t>
      </w:r>
      <w:r>
        <w:rPr>
          <w:spacing w:val="-9"/>
        </w:rPr>
        <w:t xml:space="preserve"> </w:t>
      </w:r>
      <w:r>
        <w:t>to</w:t>
      </w:r>
      <w:r>
        <w:rPr>
          <w:spacing w:val="-10"/>
        </w:rPr>
        <w:t xml:space="preserve"> </w:t>
      </w:r>
      <w:r>
        <w:t>deliver</w:t>
      </w:r>
      <w:r>
        <w:rPr>
          <w:spacing w:val="-11"/>
        </w:rPr>
        <w:t xml:space="preserve"> </w:t>
      </w:r>
      <w:r>
        <w:t>a</w:t>
      </w:r>
      <w:r>
        <w:rPr>
          <w:spacing w:val="-9"/>
        </w:rPr>
        <w:t xml:space="preserve"> </w:t>
      </w:r>
      <w:r>
        <w:t>new</w:t>
      </w:r>
      <w:r>
        <w:rPr>
          <w:spacing w:val="-12"/>
        </w:rPr>
        <w:t xml:space="preserve"> </w:t>
      </w:r>
      <w:r>
        <w:t>or</w:t>
      </w:r>
      <w:r>
        <w:rPr>
          <w:spacing w:val="-9"/>
        </w:rPr>
        <w:t xml:space="preserve"> </w:t>
      </w:r>
      <w:r>
        <w:t>refill</w:t>
      </w:r>
      <w:r>
        <w:rPr>
          <w:spacing w:val="-9"/>
        </w:rPr>
        <w:t xml:space="preserve"> </w:t>
      </w:r>
      <w:r>
        <w:t>prescription</w:t>
      </w:r>
      <w:r>
        <w:rPr>
          <w:spacing w:val="-10"/>
        </w:rPr>
        <w:t xml:space="preserve"> </w:t>
      </w:r>
      <w:r>
        <w:t>prior to each delivery hinders medication adherence and can negatively impact our enrollees’ health. Plans, in conjunction with their pharmacy benefit managers, should have the flexibility to implement systems that best meet the needs of their members. Ant</w:t>
      </w:r>
      <w:r>
        <w:t>hem supports the development of beneficiary protections that would apply to all mail-order refill programs, but that still allow plans to vary their approach to mail order in an effort to respond to beneficiary need and meet goals around cost</w:t>
      </w:r>
      <w:r>
        <w:rPr>
          <w:spacing w:val="-20"/>
        </w:rPr>
        <w:t xml:space="preserve"> </w:t>
      </w:r>
      <w:r>
        <w:t>effectiveness</w:t>
      </w:r>
      <w:r>
        <w:t>.</w:t>
      </w:r>
    </w:p>
    <w:p w:rsidR="00805174" w:rsidRDefault="00805174">
      <w:pPr>
        <w:pStyle w:val="BodyText"/>
      </w:pPr>
    </w:p>
    <w:p w:rsidR="00805174" w:rsidRDefault="000A64A3">
      <w:pPr>
        <w:pStyle w:val="BodyText"/>
        <w:spacing w:line="252" w:lineRule="exact"/>
        <w:ind w:left="4597" w:right="4612"/>
        <w:jc w:val="center"/>
      </w:pPr>
      <w:r>
        <w:t>***</w:t>
      </w:r>
    </w:p>
    <w:p w:rsidR="00805174" w:rsidRDefault="000A64A3">
      <w:pPr>
        <w:pStyle w:val="BodyText"/>
        <w:ind w:left="100" w:right="113"/>
        <w:jc w:val="both"/>
      </w:pPr>
      <w:r>
        <w:t>Anthem</w:t>
      </w:r>
      <w:r>
        <w:rPr>
          <w:spacing w:val="-17"/>
        </w:rPr>
        <w:t xml:space="preserve"> </w:t>
      </w:r>
      <w:r>
        <w:t>appreciates</w:t>
      </w:r>
      <w:r>
        <w:rPr>
          <w:spacing w:val="-16"/>
        </w:rPr>
        <w:t xml:space="preserve"> </w:t>
      </w:r>
      <w:r>
        <w:t>this</w:t>
      </w:r>
      <w:r>
        <w:rPr>
          <w:spacing w:val="-14"/>
        </w:rPr>
        <w:t xml:space="preserve"> </w:t>
      </w:r>
      <w:r>
        <w:t>opportunity</w:t>
      </w:r>
      <w:r>
        <w:rPr>
          <w:spacing w:val="-17"/>
        </w:rPr>
        <w:t xml:space="preserve"> </w:t>
      </w:r>
      <w:r>
        <w:t>to</w:t>
      </w:r>
      <w:r>
        <w:rPr>
          <w:spacing w:val="-14"/>
        </w:rPr>
        <w:t xml:space="preserve"> </w:t>
      </w:r>
      <w:r>
        <w:t>provide</w:t>
      </w:r>
      <w:r>
        <w:rPr>
          <w:spacing w:val="-14"/>
        </w:rPr>
        <w:t xml:space="preserve"> </w:t>
      </w:r>
      <w:r>
        <w:t>input</w:t>
      </w:r>
      <w:r>
        <w:rPr>
          <w:spacing w:val="-13"/>
        </w:rPr>
        <w:t xml:space="preserve"> </w:t>
      </w:r>
      <w:r>
        <w:t>on</w:t>
      </w:r>
      <w:r>
        <w:rPr>
          <w:spacing w:val="-13"/>
        </w:rPr>
        <w:t xml:space="preserve"> </w:t>
      </w:r>
      <w:r>
        <w:t>the</w:t>
      </w:r>
      <w:r>
        <w:rPr>
          <w:spacing w:val="-14"/>
        </w:rPr>
        <w:t xml:space="preserve"> </w:t>
      </w:r>
      <w:r>
        <w:t>CY</w:t>
      </w:r>
      <w:r>
        <w:rPr>
          <w:spacing w:val="-15"/>
        </w:rPr>
        <w:t xml:space="preserve"> </w:t>
      </w:r>
      <w:r>
        <w:t>2019</w:t>
      </w:r>
      <w:r>
        <w:rPr>
          <w:spacing w:val="-14"/>
        </w:rPr>
        <w:t xml:space="preserve"> </w:t>
      </w:r>
      <w:r>
        <w:t>Advance</w:t>
      </w:r>
      <w:r>
        <w:rPr>
          <w:spacing w:val="-14"/>
        </w:rPr>
        <w:t xml:space="preserve"> </w:t>
      </w:r>
      <w:r>
        <w:t>Notice</w:t>
      </w:r>
      <w:r>
        <w:rPr>
          <w:spacing w:val="-14"/>
        </w:rPr>
        <w:t xml:space="preserve"> </w:t>
      </w:r>
      <w:r>
        <w:t>and</w:t>
      </w:r>
      <w:r>
        <w:rPr>
          <w:spacing w:val="-13"/>
        </w:rPr>
        <w:t xml:space="preserve"> </w:t>
      </w:r>
      <w:r>
        <w:t>Draft</w:t>
      </w:r>
      <w:r>
        <w:rPr>
          <w:spacing w:val="-13"/>
        </w:rPr>
        <w:t xml:space="preserve"> </w:t>
      </w:r>
      <w:r>
        <w:t>Call</w:t>
      </w:r>
      <w:r>
        <w:rPr>
          <w:spacing w:val="-13"/>
        </w:rPr>
        <w:t xml:space="preserve"> </w:t>
      </w:r>
      <w:r>
        <w:t>Letter. We are eager to work with CMS to ensure the delivery of robust benefits and quality care via the MA and Part D programs. Should you have any qu</w:t>
      </w:r>
      <w:r>
        <w:t xml:space="preserve">estions or wish to discuss our comments further, please contact Danielle Horne at 818.298.7830 or </w:t>
      </w:r>
      <w:hyperlink r:id="rId20">
        <w:r>
          <w:rPr>
            <w:color w:val="0000FF"/>
            <w:u w:val="single" w:color="0000FF"/>
          </w:rPr>
          <w:t>Danielle.Horne@Anthem.com</w:t>
        </w:r>
      </w:hyperlink>
      <w:r>
        <w:rPr>
          <w:color w:val="0000FF"/>
          <w:u w:val="single" w:color="0000FF"/>
        </w:rPr>
        <w:t xml:space="preserve"> </w:t>
      </w:r>
      <w:r>
        <w:t xml:space="preserve">or Leah Hirsch at 202.508.7881 or </w:t>
      </w:r>
      <w:hyperlink r:id="rId21">
        <w:r>
          <w:rPr>
            <w:color w:val="0000FF"/>
            <w:u w:val="single" w:color="0000FF"/>
          </w:rPr>
          <w:t>Leah.Hirsch@Anthem.com</w:t>
        </w:r>
        <w:r>
          <w:t>.</w:t>
        </w:r>
      </w:hyperlink>
    </w:p>
    <w:p w:rsidR="00805174" w:rsidRDefault="00805174">
      <w:pPr>
        <w:pStyle w:val="BodyText"/>
        <w:spacing w:before="2"/>
        <w:rPr>
          <w:sz w:val="14"/>
        </w:rPr>
      </w:pPr>
    </w:p>
    <w:p w:rsidR="00805174" w:rsidRDefault="000A64A3">
      <w:pPr>
        <w:pStyle w:val="BodyText"/>
        <w:spacing w:before="91"/>
        <w:ind w:left="100"/>
      </w:pPr>
      <w:r>
        <w:t>Sincerely,</w:t>
      </w:r>
    </w:p>
    <w:p w:rsidR="00805174" w:rsidRDefault="000A64A3">
      <w:pPr>
        <w:pStyle w:val="BodyText"/>
        <w:rPr>
          <w:sz w:val="19"/>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163674</wp:posOffset>
            </wp:positionV>
            <wp:extent cx="1679086" cy="476250"/>
            <wp:effectExtent l="0" t="0" r="0" b="0"/>
            <wp:wrapTopAndBottom/>
            <wp:docPr id="3" name="image2.png" descr="cid:image001.jpg@01D0196D.2130A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679086" cy="476250"/>
                    </a:xfrm>
                    <a:prstGeom prst="rect">
                      <a:avLst/>
                    </a:prstGeom>
                  </pic:spPr>
                </pic:pic>
              </a:graphicData>
            </a:graphic>
          </wp:anchor>
        </w:drawing>
      </w:r>
    </w:p>
    <w:p w:rsidR="00805174" w:rsidRDefault="00805174">
      <w:pPr>
        <w:pStyle w:val="BodyText"/>
        <w:rPr>
          <w:sz w:val="19"/>
        </w:rPr>
      </w:pPr>
    </w:p>
    <w:p w:rsidR="00805174" w:rsidRDefault="000A64A3">
      <w:pPr>
        <w:pStyle w:val="BodyText"/>
        <w:spacing w:before="1" w:line="253" w:lineRule="exact"/>
        <w:ind w:left="100"/>
      </w:pPr>
      <w:r>
        <w:t>Anthony Mader</w:t>
      </w:r>
    </w:p>
    <w:p w:rsidR="00805174" w:rsidRDefault="000A64A3">
      <w:pPr>
        <w:pStyle w:val="BodyText"/>
        <w:ind w:left="100"/>
      </w:pPr>
      <w:r>
        <w:t>Vice President, Public Policy</w:t>
      </w:r>
    </w:p>
    <w:p w:rsidR="00805174" w:rsidRDefault="00805174">
      <w:pPr>
        <w:pStyle w:val="BodyText"/>
      </w:pPr>
    </w:p>
    <w:p w:rsidR="00805174" w:rsidRDefault="000A64A3">
      <w:pPr>
        <w:pStyle w:val="BodyText"/>
        <w:ind w:left="100"/>
      </w:pPr>
      <w:r>
        <w:t>Enclosure: Partial QI Harmless Example</w:t>
      </w:r>
    </w:p>
    <w:p w:rsidR="00805174" w:rsidRDefault="00805174">
      <w:pPr>
        <w:sectPr w:rsidR="00805174">
          <w:footerReference w:type="default" r:id="rId23"/>
          <w:pgSz w:w="12240" w:h="15840"/>
          <w:pgMar w:top="1360" w:right="1320" w:bottom="1200" w:left="1340" w:header="0" w:footer="1015" w:gutter="0"/>
          <w:cols w:space="720"/>
        </w:sectPr>
      </w:pPr>
    </w:p>
    <w:p w:rsidR="00805174" w:rsidRDefault="000A64A3">
      <w:pPr>
        <w:spacing w:before="49"/>
        <w:ind w:left="646"/>
        <w:rPr>
          <w:rFonts w:ascii="Calibri"/>
          <w:b/>
          <w:sz w:val="16"/>
        </w:rPr>
      </w:pPr>
      <w:bookmarkStart w:id="0" w:name="_GoBack"/>
      <w:r>
        <w:rPr>
          <w:rFonts w:ascii="Calibri"/>
          <w:b/>
          <w:sz w:val="16"/>
        </w:rPr>
        <w:lastRenderedPageBreak/>
        <w:t>Star Rating Final</w:t>
      </w:r>
    </w:p>
    <w:p w:rsidR="00805174" w:rsidRDefault="00805174">
      <w:pPr>
        <w:pStyle w:val="BodyText"/>
        <w:spacing w:before="7"/>
        <w:rPr>
          <w:rFonts w:ascii="Calibri"/>
          <w:b/>
          <w:sz w:val="12"/>
        </w:rPr>
      </w:pPr>
    </w:p>
    <w:tbl>
      <w:tblPr>
        <w:tblW w:w="0" w:type="auto"/>
        <w:tblInd w:w="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5"/>
        <w:gridCol w:w="698"/>
        <w:gridCol w:w="2981"/>
        <w:gridCol w:w="592"/>
        <w:gridCol w:w="603"/>
        <w:gridCol w:w="587"/>
        <w:gridCol w:w="589"/>
        <w:gridCol w:w="613"/>
      </w:tblGrid>
      <w:tr w:rsidR="00805174">
        <w:trPr>
          <w:trHeight w:hRule="exact" w:val="156"/>
        </w:trPr>
        <w:tc>
          <w:tcPr>
            <w:tcW w:w="5136" w:type="dxa"/>
            <w:gridSpan w:val="4"/>
            <w:tcBorders>
              <w:left w:val="nil"/>
            </w:tcBorders>
            <w:shd w:val="clear" w:color="auto" w:fill="0C2577"/>
          </w:tcPr>
          <w:p w:rsidR="00805174" w:rsidRDefault="00805174"/>
        </w:tc>
        <w:tc>
          <w:tcPr>
            <w:tcW w:w="2391" w:type="dxa"/>
            <w:gridSpan w:val="4"/>
            <w:tcBorders>
              <w:right w:val="single" w:sz="20" w:space="0" w:color="0C2577"/>
            </w:tcBorders>
            <w:shd w:val="clear" w:color="auto" w:fill="FEC246"/>
          </w:tcPr>
          <w:p w:rsidR="00805174" w:rsidRDefault="000A64A3">
            <w:pPr>
              <w:pStyle w:val="TableParagraph"/>
              <w:spacing w:before="0" w:line="138" w:lineRule="exact"/>
              <w:ind w:left="1017" w:right="982"/>
              <w:jc w:val="center"/>
              <w:rPr>
                <w:b/>
                <w:sz w:val="12"/>
              </w:rPr>
            </w:pPr>
            <w:r>
              <w:rPr>
                <w:b/>
                <w:sz w:val="12"/>
              </w:rPr>
              <w:t>Plan A</w:t>
            </w:r>
          </w:p>
        </w:tc>
      </w:tr>
      <w:tr w:rsidR="00805174">
        <w:trPr>
          <w:trHeight w:hRule="exact" w:val="156"/>
        </w:trPr>
        <w:tc>
          <w:tcPr>
            <w:tcW w:w="865" w:type="dxa"/>
            <w:vMerge w:val="restart"/>
            <w:tcBorders>
              <w:right w:val="single" w:sz="1" w:space="0" w:color="000000"/>
            </w:tcBorders>
            <w:shd w:val="clear" w:color="auto" w:fill="D5E2EE"/>
          </w:tcPr>
          <w:p w:rsidR="00805174" w:rsidRDefault="00805174">
            <w:pPr>
              <w:pStyle w:val="TableParagraph"/>
              <w:spacing w:before="0"/>
              <w:rPr>
                <w:b/>
                <w:sz w:val="12"/>
              </w:rPr>
            </w:pPr>
          </w:p>
          <w:p w:rsidR="00805174" w:rsidRDefault="00805174">
            <w:pPr>
              <w:pStyle w:val="TableParagraph"/>
              <w:spacing w:before="0"/>
              <w:rPr>
                <w:b/>
                <w:sz w:val="12"/>
              </w:rPr>
            </w:pPr>
          </w:p>
          <w:p w:rsidR="00805174" w:rsidRDefault="000A64A3">
            <w:pPr>
              <w:pStyle w:val="TableParagraph"/>
              <w:spacing w:before="87"/>
              <w:ind w:left="199"/>
              <w:rPr>
                <w:b/>
                <w:sz w:val="12"/>
              </w:rPr>
            </w:pPr>
            <w:r>
              <w:rPr>
                <w:b/>
                <w:sz w:val="12"/>
              </w:rPr>
              <w:t>Category</w:t>
            </w:r>
          </w:p>
        </w:tc>
        <w:tc>
          <w:tcPr>
            <w:tcW w:w="698" w:type="dxa"/>
            <w:vMerge w:val="restart"/>
            <w:tcBorders>
              <w:left w:val="single" w:sz="1" w:space="0" w:color="000000"/>
              <w:right w:val="single" w:sz="1" w:space="0" w:color="000000"/>
            </w:tcBorders>
            <w:shd w:val="clear" w:color="auto" w:fill="D5E2EE"/>
          </w:tcPr>
          <w:p w:rsidR="00805174" w:rsidRDefault="00805174">
            <w:pPr>
              <w:pStyle w:val="TableParagraph"/>
              <w:spacing w:before="0"/>
              <w:rPr>
                <w:b/>
                <w:sz w:val="12"/>
              </w:rPr>
            </w:pPr>
          </w:p>
          <w:p w:rsidR="00805174" w:rsidRDefault="00805174">
            <w:pPr>
              <w:pStyle w:val="TableParagraph"/>
              <w:spacing w:before="0"/>
              <w:rPr>
                <w:b/>
                <w:sz w:val="12"/>
              </w:rPr>
            </w:pPr>
          </w:p>
          <w:p w:rsidR="00805174" w:rsidRDefault="000A64A3">
            <w:pPr>
              <w:pStyle w:val="TableParagraph"/>
              <w:spacing w:before="87"/>
              <w:ind w:left="177"/>
              <w:rPr>
                <w:b/>
                <w:sz w:val="12"/>
              </w:rPr>
            </w:pPr>
            <w:r>
              <w:rPr>
                <w:b/>
                <w:sz w:val="12"/>
              </w:rPr>
              <w:t>Source</w:t>
            </w:r>
          </w:p>
        </w:tc>
        <w:tc>
          <w:tcPr>
            <w:tcW w:w="2981" w:type="dxa"/>
            <w:vMerge w:val="restart"/>
            <w:tcBorders>
              <w:left w:val="single" w:sz="1" w:space="0" w:color="000000"/>
              <w:right w:val="single" w:sz="1" w:space="0" w:color="000000"/>
            </w:tcBorders>
            <w:shd w:val="clear" w:color="auto" w:fill="D5E2EE"/>
          </w:tcPr>
          <w:p w:rsidR="00805174" w:rsidRDefault="00805174">
            <w:pPr>
              <w:pStyle w:val="TableParagraph"/>
              <w:spacing w:before="0"/>
              <w:rPr>
                <w:b/>
                <w:sz w:val="12"/>
              </w:rPr>
            </w:pPr>
          </w:p>
          <w:p w:rsidR="00805174" w:rsidRDefault="00805174">
            <w:pPr>
              <w:pStyle w:val="TableParagraph"/>
              <w:spacing w:before="10"/>
              <w:rPr>
                <w:b/>
                <w:sz w:val="12"/>
              </w:rPr>
            </w:pPr>
          </w:p>
          <w:p w:rsidR="00805174" w:rsidRDefault="000A64A3">
            <w:pPr>
              <w:pStyle w:val="TableParagraph"/>
              <w:spacing w:before="0"/>
              <w:ind w:left="1135" w:right="1135"/>
              <w:jc w:val="center"/>
              <w:rPr>
                <w:b/>
                <w:sz w:val="12"/>
              </w:rPr>
            </w:pPr>
            <w:r>
              <w:rPr>
                <w:b/>
                <w:sz w:val="12"/>
              </w:rPr>
              <w:t>Star Measure</w:t>
            </w:r>
          </w:p>
        </w:tc>
        <w:tc>
          <w:tcPr>
            <w:tcW w:w="592" w:type="dxa"/>
            <w:vMerge w:val="restart"/>
            <w:tcBorders>
              <w:left w:val="single" w:sz="1" w:space="0" w:color="000000"/>
              <w:right w:val="single" w:sz="18" w:space="0" w:color="0C2577"/>
            </w:tcBorders>
            <w:shd w:val="clear" w:color="auto" w:fill="D5E2EE"/>
          </w:tcPr>
          <w:p w:rsidR="00805174" w:rsidRDefault="00805174">
            <w:pPr>
              <w:pStyle w:val="TableParagraph"/>
              <w:spacing w:before="0"/>
              <w:rPr>
                <w:b/>
                <w:sz w:val="12"/>
              </w:rPr>
            </w:pPr>
          </w:p>
          <w:p w:rsidR="00805174" w:rsidRDefault="00805174">
            <w:pPr>
              <w:pStyle w:val="TableParagraph"/>
              <w:spacing w:before="10"/>
              <w:rPr>
                <w:b/>
                <w:sz w:val="12"/>
              </w:rPr>
            </w:pPr>
          </w:p>
          <w:p w:rsidR="00805174" w:rsidRDefault="000A64A3">
            <w:pPr>
              <w:pStyle w:val="TableParagraph"/>
              <w:spacing w:before="0"/>
              <w:ind w:left="163"/>
              <w:rPr>
                <w:b/>
                <w:sz w:val="12"/>
              </w:rPr>
            </w:pPr>
            <w:r>
              <w:rPr>
                <w:b/>
                <w:sz w:val="12"/>
              </w:rPr>
              <w:t>2016</w:t>
            </w:r>
          </w:p>
          <w:p w:rsidR="00805174" w:rsidRDefault="000A64A3">
            <w:pPr>
              <w:pStyle w:val="TableParagraph"/>
              <w:spacing w:before="9"/>
              <w:ind w:left="103"/>
              <w:rPr>
                <w:b/>
                <w:sz w:val="12"/>
              </w:rPr>
            </w:pPr>
            <w:r>
              <w:rPr>
                <w:b/>
                <w:sz w:val="12"/>
              </w:rPr>
              <w:t>Weight</w:t>
            </w:r>
          </w:p>
        </w:tc>
        <w:tc>
          <w:tcPr>
            <w:tcW w:w="1779" w:type="dxa"/>
            <w:gridSpan w:val="3"/>
            <w:tcBorders>
              <w:left w:val="single" w:sz="15" w:space="0" w:color="0C2577"/>
              <w:right w:val="nil"/>
            </w:tcBorders>
          </w:tcPr>
          <w:p w:rsidR="00805174" w:rsidRDefault="00805174"/>
        </w:tc>
        <w:tc>
          <w:tcPr>
            <w:tcW w:w="612" w:type="dxa"/>
            <w:tcBorders>
              <w:left w:val="nil"/>
              <w:right w:val="single" w:sz="20" w:space="0" w:color="0C2577"/>
            </w:tcBorders>
            <w:shd w:val="clear" w:color="auto" w:fill="F1F1F1"/>
          </w:tcPr>
          <w:p w:rsidR="00805174" w:rsidRDefault="00805174"/>
        </w:tc>
      </w:tr>
      <w:tr w:rsidR="00805174">
        <w:trPr>
          <w:trHeight w:hRule="exact" w:val="614"/>
        </w:trPr>
        <w:tc>
          <w:tcPr>
            <w:tcW w:w="865" w:type="dxa"/>
            <w:vMerge/>
            <w:tcBorders>
              <w:right w:val="single" w:sz="1" w:space="0" w:color="000000"/>
            </w:tcBorders>
            <w:shd w:val="clear" w:color="auto" w:fill="D5E2EE"/>
          </w:tcPr>
          <w:p w:rsidR="00805174" w:rsidRDefault="00805174"/>
        </w:tc>
        <w:tc>
          <w:tcPr>
            <w:tcW w:w="698" w:type="dxa"/>
            <w:vMerge/>
            <w:tcBorders>
              <w:left w:val="single" w:sz="1" w:space="0" w:color="000000"/>
              <w:right w:val="single" w:sz="1" w:space="0" w:color="000000"/>
            </w:tcBorders>
            <w:shd w:val="clear" w:color="auto" w:fill="D5E2EE"/>
          </w:tcPr>
          <w:p w:rsidR="00805174" w:rsidRDefault="00805174"/>
        </w:tc>
        <w:tc>
          <w:tcPr>
            <w:tcW w:w="2981" w:type="dxa"/>
            <w:vMerge/>
            <w:tcBorders>
              <w:left w:val="single" w:sz="1" w:space="0" w:color="000000"/>
              <w:right w:val="single" w:sz="1" w:space="0" w:color="000000"/>
            </w:tcBorders>
            <w:shd w:val="clear" w:color="auto" w:fill="D5E2EE"/>
          </w:tcPr>
          <w:p w:rsidR="00805174" w:rsidRDefault="00805174"/>
        </w:tc>
        <w:tc>
          <w:tcPr>
            <w:tcW w:w="592" w:type="dxa"/>
            <w:vMerge/>
            <w:tcBorders>
              <w:left w:val="single" w:sz="1" w:space="0" w:color="000000"/>
              <w:right w:val="single" w:sz="18" w:space="0" w:color="0C2577"/>
            </w:tcBorders>
            <w:shd w:val="clear" w:color="auto" w:fill="D5E2EE"/>
          </w:tcPr>
          <w:p w:rsidR="00805174" w:rsidRDefault="00805174"/>
        </w:tc>
        <w:tc>
          <w:tcPr>
            <w:tcW w:w="603" w:type="dxa"/>
            <w:tcBorders>
              <w:left w:val="single" w:sz="18" w:space="0" w:color="0C2577"/>
              <w:right w:val="single" w:sz="1" w:space="0" w:color="000000"/>
            </w:tcBorders>
          </w:tcPr>
          <w:p w:rsidR="00805174" w:rsidRDefault="00805174"/>
        </w:tc>
        <w:tc>
          <w:tcPr>
            <w:tcW w:w="587" w:type="dxa"/>
            <w:tcBorders>
              <w:left w:val="single" w:sz="1" w:space="0" w:color="000000"/>
            </w:tcBorders>
          </w:tcPr>
          <w:p w:rsidR="00805174" w:rsidRDefault="00805174"/>
        </w:tc>
        <w:tc>
          <w:tcPr>
            <w:tcW w:w="589" w:type="dxa"/>
            <w:tcBorders>
              <w:right w:val="single" w:sz="1" w:space="0" w:color="000000"/>
            </w:tcBorders>
            <w:shd w:val="clear" w:color="auto" w:fill="FFFF00"/>
          </w:tcPr>
          <w:p w:rsidR="00805174" w:rsidRDefault="00805174">
            <w:pPr>
              <w:pStyle w:val="TableParagraph"/>
              <w:spacing w:before="0"/>
              <w:rPr>
                <w:b/>
                <w:sz w:val="12"/>
              </w:rPr>
            </w:pPr>
          </w:p>
          <w:p w:rsidR="00805174" w:rsidRDefault="000A64A3">
            <w:pPr>
              <w:pStyle w:val="TableParagraph"/>
              <w:spacing w:before="77"/>
              <w:ind w:left="170"/>
              <w:rPr>
                <w:b/>
                <w:sz w:val="12"/>
              </w:rPr>
            </w:pPr>
            <w:r>
              <w:rPr>
                <w:b/>
                <w:sz w:val="12"/>
              </w:rPr>
              <w:t>Rate</w:t>
            </w:r>
          </w:p>
        </w:tc>
        <w:tc>
          <w:tcPr>
            <w:tcW w:w="612" w:type="dxa"/>
            <w:tcBorders>
              <w:left w:val="single" w:sz="1" w:space="0" w:color="000000"/>
              <w:right w:val="single" w:sz="20" w:space="0" w:color="0C2577"/>
            </w:tcBorders>
            <w:shd w:val="clear" w:color="auto" w:fill="FFFF00"/>
          </w:tcPr>
          <w:p w:rsidR="00805174" w:rsidRDefault="00805174">
            <w:pPr>
              <w:pStyle w:val="TableParagraph"/>
              <w:spacing w:before="0"/>
              <w:rPr>
                <w:b/>
                <w:sz w:val="12"/>
              </w:rPr>
            </w:pPr>
          </w:p>
          <w:p w:rsidR="00805174" w:rsidRDefault="000A64A3">
            <w:pPr>
              <w:pStyle w:val="TableParagraph"/>
              <w:spacing w:before="77"/>
              <w:ind w:left="192"/>
              <w:rPr>
                <w:b/>
                <w:sz w:val="12"/>
              </w:rPr>
            </w:pPr>
            <w:r>
              <w:rPr>
                <w:b/>
                <w:sz w:val="12"/>
              </w:rPr>
              <w:t>Star</w:t>
            </w:r>
          </w:p>
        </w:tc>
      </w:tr>
      <w:tr w:rsidR="00805174">
        <w:trPr>
          <w:trHeight w:hRule="exact" w:val="156"/>
        </w:trPr>
        <w:tc>
          <w:tcPr>
            <w:tcW w:w="5136" w:type="dxa"/>
            <w:gridSpan w:val="4"/>
            <w:tcBorders>
              <w:right w:val="single" w:sz="8" w:space="0" w:color="FFFFFF"/>
            </w:tcBorders>
            <w:shd w:val="clear" w:color="auto" w:fill="0C2577"/>
          </w:tcPr>
          <w:p w:rsidR="00805174" w:rsidRDefault="00805174"/>
        </w:tc>
        <w:tc>
          <w:tcPr>
            <w:tcW w:w="1190" w:type="dxa"/>
            <w:gridSpan w:val="2"/>
            <w:tcBorders>
              <w:left w:val="single" w:sz="8" w:space="0" w:color="FFFFFF"/>
              <w:bottom w:val="single" w:sz="8" w:space="0" w:color="FFFFFF"/>
              <w:right w:val="single" w:sz="8" w:space="0" w:color="FFFFFF"/>
            </w:tcBorders>
            <w:shd w:val="clear" w:color="auto" w:fill="0C2577"/>
          </w:tcPr>
          <w:p w:rsidR="00805174" w:rsidRDefault="00805174"/>
        </w:tc>
        <w:tc>
          <w:tcPr>
            <w:tcW w:w="1201" w:type="dxa"/>
            <w:gridSpan w:val="2"/>
            <w:tcBorders>
              <w:left w:val="single" w:sz="8" w:space="0" w:color="FFFFFF"/>
              <w:bottom w:val="single" w:sz="8" w:space="0" w:color="FFFFFF"/>
              <w:right w:val="nil"/>
            </w:tcBorders>
            <w:shd w:val="clear" w:color="auto" w:fill="0C2577"/>
          </w:tcPr>
          <w:p w:rsidR="00805174" w:rsidRDefault="00805174"/>
        </w:tc>
      </w:tr>
      <w:tr w:rsidR="00805174">
        <w:trPr>
          <w:trHeight w:hRule="exact" w:val="156"/>
        </w:trPr>
        <w:tc>
          <w:tcPr>
            <w:tcW w:w="6326" w:type="dxa"/>
            <w:gridSpan w:val="6"/>
            <w:tcBorders>
              <w:top w:val="single" w:sz="8" w:space="0" w:color="FFFFFF"/>
              <w:right w:val="single" w:sz="8" w:space="0" w:color="FFFFFF"/>
            </w:tcBorders>
            <w:shd w:val="clear" w:color="auto" w:fill="0C2577"/>
          </w:tcPr>
          <w:p w:rsidR="00805174" w:rsidRDefault="000A64A3">
            <w:pPr>
              <w:pStyle w:val="TableParagraph"/>
              <w:spacing w:before="0" w:line="133" w:lineRule="exact"/>
              <w:ind w:left="12"/>
              <w:rPr>
                <w:sz w:val="12"/>
              </w:rPr>
            </w:pPr>
            <w:r>
              <w:rPr>
                <w:color w:val="FFFFFF"/>
                <w:sz w:val="12"/>
              </w:rPr>
              <w:t>Part C:</w:t>
            </w:r>
          </w:p>
        </w:tc>
        <w:tc>
          <w:tcPr>
            <w:tcW w:w="1201" w:type="dxa"/>
            <w:gridSpan w:val="2"/>
            <w:tcBorders>
              <w:top w:val="single" w:sz="8" w:space="0" w:color="FFFFFF"/>
              <w:left w:val="single" w:sz="8" w:space="0" w:color="FFFFFF"/>
              <w:right w:val="single" w:sz="8" w:space="0" w:color="FFFFFF"/>
            </w:tcBorders>
            <w:shd w:val="clear" w:color="auto" w:fill="0C2577"/>
          </w:tcPr>
          <w:p w:rsidR="00805174" w:rsidRDefault="00805174"/>
        </w:tc>
      </w:tr>
      <w:tr w:rsidR="00805174">
        <w:trPr>
          <w:trHeight w:hRule="exact" w:val="157"/>
        </w:trPr>
        <w:tc>
          <w:tcPr>
            <w:tcW w:w="865" w:type="dxa"/>
            <w:vMerge w:val="restart"/>
            <w:tcBorders>
              <w:right w:val="single" w:sz="1" w:space="0" w:color="000000"/>
            </w:tcBorders>
            <w:shd w:val="clear" w:color="auto" w:fill="D5E2EE"/>
          </w:tcPr>
          <w:p w:rsidR="00805174" w:rsidRDefault="00805174">
            <w:pPr>
              <w:pStyle w:val="TableParagraph"/>
              <w:spacing w:before="0"/>
              <w:rPr>
                <w:b/>
                <w:sz w:val="12"/>
              </w:rPr>
            </w:pPr>
          </w:p>
          <w:p w:rsidR="00805174" w:rsidRDefault="00805174">
            <w:pPr>
              <w:pStyle w:val="TableParagraph"/>
              <w:spacing w:before="0"/>
              <w:rPr>
                <w:b/>
                <w:sz w:val="12"/>
              </w:rPr>
            </w:pPr>
          </w:p>
          <w:p w:rsidR="00805174" w:rsidRDefault="00805174">
            <w:pPr>
              <w:pStyle w:val="TableParagraph"/>
              <w:spacing w:before="0"/>
              <w:rPr>
                <w:b/>
                <w:sz w:val="12"/>
              </w:rPr>
            </w:pPr>
          </w:p>
          <w:p w:rsidR="00805174" w:rsidRDefault="00805174">
            <w:pPr>
              <w:pStyle w:val="TableParagraph"/>
              <w:spacing w:before="0"/>
              <w:rPr>
                <w:b/>
                <w:sz w:val="12"/>
              </w:rPr>
            </w:pPr>
          </w:p>
          <w:p w:rsidR="00805174" w:rsidRDefault="00805174">
            <w:pPr>
              <w:pStyle w:val="TableParagraph"/>
              <w:spacing w:before="0"/>
              <w:rPr>
                <w:b/>
                <w:sz w:val="12"/>
              </w:rPr>
            </w:pPr>
          </w:p>
          <w:p w:rsidR="00805174" w:rsidRDefault="00805174">
            <w:pPr>
              <w:pStyle w:val="TableParagraph"/>
              <w:spacing w:before="0"/>
              <w:rPr>
                <w:b/>
                <w:sz w:val="12"/>
              </w:rPr>
            </w:pPr>
          </w:p>
          <w:p w:rsidR="00805174" w:rsidRDefault="00805174">
            <w:pPr>
              <w:pStyle w:val="TableParagraph"/>
              <w:spacing w:before="9"/>
              <w:rPr>
                <w:b/>
                <w:sz w:val="16"/>
              </w:rPr>
            </w:pPr>
          </w:p>
          <w:p w:rsidR="00805174" w:rsidRDefault="000A64A3">
            <w:pPr>
              <w:pStyle w:val="TableParagraph"/>
              <w:spacing w:before="0"/>
              <w:ind w:left="273"/>
              <w:rPr>
                <w:b/>
                <w:sz w:val="12"/>
              </w:rPr>
            </w:pPr>
            <w:r>
              <w:rPr>
                <w:b/>
                <w:sz w:val="12"/>
              </w:rPr>
              <w:t>HEDIS</w:t>
            </w:r>
          </w:p>
        </w:tc>
        <w:tc>
          <w:tcPr>
            <w:tcW w:w="698" w:type="dxa"/>
            <w:tcBorders>
              <w:left w:val="single" w:sz="1" w:space="0" w:color="000000"/>
              <w:bottom w:val="single" w:sz="1" w:space="0" w:color="000000"/>
              <w:right w:val="single" w:sz="1" w:space="0" w:color="000000"/>
            </w:tcBorders>
            <w:shd w:val="clear" w:color="auto" w:fill="D5E2EE"/>
          </w:tcPr>
          <w:p w:rsidR="00805174" w:rsidRDefault="000A64A3">
            <w:pPr>
              <w:pStyle w:val="TableParagraph"/>
              <w:spacing w:before="0" w:line="143" w:lineRule="exact"/>
              <w:ind w:left="19"/>
              <w:rPr>
                <w:sz w:val="12"/>
              </w:rPr>
            </w:pPr>
            <w:r>
              <w:rPr>
                <w:sz w:val="12"/>
              </w:rPr>
              <w:t>HEDIS</w:t>
            </w:r>
          </w:p>
        </w:tc>
        <w:tc>
          <w:tcPr>
            <w:tcW w:w="2981" w:type="dxa"/>
            <w:tcBorders>
              <w:left w:val="single" w:sz="1" w:space="0" w:color="000000"/>
              <w:bottom w:val="single" w:sz="1" w:space="0" w:color="000000"/>
              <w:right w:val="single" w:sz="1" w:space="0" w:color="000000"/>
            </w:tcBorders>
            <w:shd w:val="clear" w:color="auto" w:fill="D5E2EE"/>
          </w:tcPr>
          <w:p w:rsidR="00805174" w:rsidRDefault="000A64A3">
            <w:pPr>
              <w:pStyle w:val="TableParagraph"/>
              <w:spacing w:before="0" w:line="143" w:lineRule="exact"/>
              <w:ind w:left="19"/>
              <w:rPr>
                <w:sz w:val="12"/>
              </w:rPr>
            </w:pPr>
            <w:r>
              <w:rPr>
                <w:sz w:val="12"/>
              </w:rPr>
              <w:t>C01: Breast Cancer Screening</w:t>
            </w:r>
          </w:p>
        </w:tc>
        <w:tc>
          <w:tcPr>
            <w:tcW w:w="592" w:type="dxa"/>
            <w:tcBorders>
              <w:left w:val="single" w:sz="1" w:space="0" w:color="000000"/>
              <w:bottom w:val="single" w:sz="1" w:space="0" w:color="000000"/>
              <w:right w:val="single" w:sz="18" w:space="0" w:color="0C2577"/>
            </w:tcBorders>
            <w:shd w:val="clear" w:color="auto" w:fill="D5E2EE"/>
          </w:tcPr>
          <w:p w:rsidR="00805174" w:rsidRDefault="000A64A3">
            <w:pPr>
              <w:pStyle w:val="TableParagraph"/>
              <w:spacing w:before="0" w:line="143" w:lineRule="exact"/>
              <w:ind w:right="202"/>
              <w:jc w:val="right"/>
              <w:rPr>
                <w:sz w:val="12"/>
              </w:rPr>
            </w:pPr>
            <w:r>
              <w:rPr>
                <w:sz w:val="12"/>
              </w:rPr>
              <w:t>1.0</w:t>
            </w:r>
          </w:p>
        </w:tc>
        <w:tc>
          <w:tcPr>
            <w:tcW w:w="603" w:type="dxa"/>
            <w:tcBorders>
              <w:left w:val="single" w:sz="18" w:space="0" w:color="0C2577"/>
              <w:bottom w:val="single" w:sz="1" w:space="0" w:color="000000"/>
              <w:right w:val="single" w:sz="1" w:space="0" w:color="000000"/>
            </w:tcBorders>
          </w:tcPr>
          <w:p w:rsidR="00805174" w:rsidRDefault="00805174"/>
        </w:tc>
        <w:tc>
          <w:tcPr>
            <w:tcW w:w="587" w:type="dxa"/>
            <w:tcBorders>
              <w:left w:val="single" w:sz="1" w:space="0" w:color="000000"/>
              <w:bottom w:val="single" w:sz="1" w:space="0" w:color="000000"/>
            </w:tcBorders>
            <w:shd w:val="clear" w:color="auto" w:fill="F1F1F1"/>
          </w:tcPr>
          <w:p w:rsidR="00805174" w:rsidRDefault="00805174"/>
        </w:tc>
        <w:tc>
          <w:tcPr>
            <w:tcW w:w="589" w:type="dxa"/>
            <w:tcBorders>
              <w:top w:val="single" w:sz="8" w:space="0" w:color="FFFFFF"/>
              <w:bottom w:val="single" w:sz="1" w:space="0" w:color="000000"/>
              <w:right w:val="single" w:sz="1" w:space="0" w:color="000000"/>
            </w:tcBorders>
            <w:shd w:val="clear" w:color="auto" w:fill="F1F1F1"/>
          </w:tcPr>
          <w:p w:rsidR="00805174" w:rsidRDefault="000A64A3">
            <w:pPr>
              <w:pStyle w:val="TableParagraph"/>
              <w:spacing w:before="0" w:line="143" w:lineRule="exact"/>
              <w:ind w:right="17"/>
              <w:jc w:val="right"/>
              <w:rPr>
                <w:sz w:val="12"/>
              </w:rPr>
            </w:pPr>
            <w:r>
              <w:rPr>
                <w:sz w:val="12"/>
              </w:rPr>
              <w:t>65.00%</w:t>
            </w:r>
          </w:p>
        </w:tc>
        <w:tc>
          <w:tcPr>
            <w:tcW w:w="612" w:type="dxa"/>
            <w:tcBorders>
              <w:left w:val="single" w:sz="1" w:space="0" w:color="000000"/>
              <w:bottom w:val="single" w:sz="1" w:space="0" w:color="000000"/>
              <w:right w:val="single" w:sz="20" w:space="0" w:color="0C2577"/>
            </w:tcBorders>
            <w:shd w:val="clear" w:color="auto" w:fill="EAAA00"/>
          </w:tcPr>
          <w:p w:rsidR="00805174" w:rsidRDefault="000A64A3">
            <w:pPr>
              <w:pStyle w:val="TableParagraph"/>
              <w:spacing w:before="0" w:line="143" w:lineRule="exact"/>
              <w:ind w:left="8"/>
              <w:jc w:val="center"/>
              <w:rPr>
                <w:sz w:val="12"/>
              </w:rPr>
            </w:pPr>
            <w:r>
              <w:rPr>
                <w:sz w:val="12"/>
              </w:rPr>
              <w:t>3</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w:t>
            </w:r>
            <w:r>
              <w:rPr>
                <w:sz w:val="12"/>
              </w:rPr>
              <w:t>02: Colorectal Cancer Screening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66.00%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C07: Adult BMI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tcPr>
          <w:p w:rsidR="00805174" w:rsidRDefault="000A64A3">
            <w:pPr>
              <w:pStyle w:val="TableParagraph"/>
              <w:ind w:right="17"/>
              <w:jc w:val="right"/>
              <w:rPr>
                <w:sz w:val="12"/>
              </w:rPr>
            </w:pPr>
            <w:r>
              <w:rPr>
                <w:sz w:val="12"/>
              </w:rPr>
              <w:t>92.00%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C09: Care for Older Adults ‐ Medication Review</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C10: Care for Older Adults ‐ Functional Status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C11: Care for Older Adults ‐ Pain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ight="-15"/>
              <w:rPr>
                <w:sz w:val="12"/>
              </w:rPr>
            </w:pPr>
            <w:r>
              <w:rPr>
                <w:sz w:val="12"/>
              </w:rPr>
              <w:t>C12: Osteoporosis Management in Women who had a</w:t>
            </w:r>
            <w:r>
              <w:rPr>
                <w:spacing w:val="-12"/>
                <w:sz w:val="12"/>
              </w:rPr>
              <w:t xml:space="preserve"> </w:t>
            </w:r>
            <w:r>
              <w:rPr>
                <w:sz w:val="12"/>
              </w:rPr>
              <w:t>Fractu</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30.00%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8"/>
              <w:jc w:val="center"/>
              <w:rPr>
                <w:sz w:val="12"/>
              </w:rPr>
            </w:pPr>
            <w:r>
              <w:rPr>
                <w:sz w:val="12"/>
              </w:rPr>
              <w:t>2</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C13: Diabetes Care ‐ Eye Exam</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60.00%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8"/>
              <w:jc w:val="center"/>
              <w:rPr>
                <w:sz w:val="12"/>
              </w:rPr>
            </w:pPr>
            <w:r>
              <w:rPr>
                <w:sz w:val="12"/>
              </w:rPr>
              <w:t>2</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C14: Diabetes Care ‐ Kidney Disease Monitoring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7"/>
              <w:jc w:val="center"/>
              <w:rPr>
                <w:sz w:val="12"/>
              </w:rPr>
            </w:pPr>
            <w:r>
              <w:rPr>
                <w:sz w:val="12"/>
              </w:rPr>
              <w:t>3</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C15: Diabetes Care ‐ Blood Sugar Controlled</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7"/>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C16: Controlling Blood Pressure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72.00%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C17: Rheumatoid Arthritis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77.00%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C21: Plan All‐Cause Readmissions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10.00%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7"/>
              <w:jc w:val="center"/>
              <w:rPr>
                <w:sz w:val="12"/>
              </w:rPr>
            </w:pPr>
            <w:r>
              <w:rPr>
                <w:sz w:val="12"/>
              </w:rPr>
              <w:t>3</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C20: Medication Reconciliation Post Discharge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ight="-14"/>
              <w:rPr>
                <w:sz w:val="12"/>
              </w:rPr>
            </w:pPr>
            <w:r>
              <w:rPr>
                <w:sz w:val="12"/>
              </w:rPr>
              <w:t>TBD: Hospitalizations for Potentially Preventable</w:t>
            </w:r>
            <w:r>
              <w:rPr>
                <w:spacing w:val="-16"/>
                <w:sz w:val="12"/>
              </w:rPr>
              <w:t xml:space="preserve"> </w:t>
            </w:r>
            <w:r>
              <w:rPr>
                <w:sz w:val="12"/>
              </w:rPr>
              <w:t>Complicatio</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38" w:right="44"/>
              <w:jc w:val="center"/>
              <w:rPr>
                <w:b/>
                <w:sz w:val="12"/>
              </w:rPr>
            </w:pPr>
            <w:r>
              <w:rPr>
                <w:b/>
                <w:sz w:val="12"/>
              </w:rPr>
              <w:t>SNP HRA</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Part C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C08: Special Needs Plan (SNP) Care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val="restart"/>
            <w:tcBorders>
              <w:top w:val="single" w:sz="1" w:space="0" w:color="000000"/>
              <w:right w:val="single" w:sz="1" w:space="0" w:color="000000"/>
            </w:tcBorders>
            <w:shd w:val="clear" w:color="auto" w:fill="D5E2EE"/>
          </w:tcPr>
          <w:p w:rsidR="00805174" w:rsidRDefault="00805174">
            <w:pPr>
              <w:pStyle w:val="TableParagraph"/>
              <w:spacing w:before="0"/>
              <w:rPr>
                <w:b/>
                <w:sz w:val="12"/>
              </w:rPr>
            </w:pPr>
          </w:p>
          <w:p w:rsidR="00805174" w:rsidRDefault="00805174">
            <w:pPr>
              <w:pStyle w:val="TableParagraph"/>
              <w:spacing w:before="5"/>
              <w:rPr>
                <w:b/>
                <w:sz w:val="13"/>
              </w:rPr>
            </w:pPr>
          </w:p>
          <w:p w:rsidR="00805174" w:rsidRDefault="000A64A3">
            <w:pPr>
              <w:pStyle w:val="TableParagraph"/>
              <w:spacing w:before="0"/>
              <w:ind w:left="35" w:right="44"/>
              <w:jc w:val="center"/>
              <w:rPr>
                <w:b/>
                <w:sz w:val="12"/>
              </w:rPr>
            </w:pPr>
            <w:r>
              <w:rPr>
                <w:b/>
                <w:sz w:val="12"/>
              </w:rPr>
              <w:t>HOS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C04: Improving or Maintaining Physical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71.00%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C05: Improving or Maintaining Mental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C19: Improving Bladder Control</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C06: Monitoring Physical Activity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49.00%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C18: Reducing the Risk of Falling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47.00%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7"/>
              <w:jc w:val="center"/>
              <w:rPr>
                <w:sz w:val="12"/>
              </w:rPr>
            </w:pPr>
            <w:r>
              <w:rPr>
                <w:sz w:val="12"/>
              </w:rPr>
              <w:t>1</w:t>
            </w:r>
          </w:p>
        </w:tc>
      </w:tr>
      <w:tr w:rsidR="00805174">
        <w:trPr>
          <w:trHeight w:hRule="exact" w:val="156"/>
        </w:trPr>
        <w:tc>
          <w:tcPr>
            <w:tcW w:w="865" w:type="dxa"/>
            <w:vMerge w:val="restart"/>
            <w:tcBorders>
              <w:top w:val="single" w:sz="1" w:space="0" w:color="000000"/>
              <w:right w:val="single" w:sz="1" w:space="0" w:color="000000"/>
            </w:tcBorders>
            <w:shd w:val="clear" w:color="auto" w:fill="D5E2EE"/>
          </w:tcPr>
          <w:p w:rsidR="00805174" w:rsidRDefault="00805174">
            <w:pPr>
              <w:pStyle w:val="TableParagraph"/>
              <w:spacing w:before="0"/>
              <w:rPr>
                <w:b/>
                <w:sz w:val="12"/>
              </w:rPr>
            </w:pPr>
          </w:p>
          <w:p w:rsidR="00805174" w:rsidRDefault="00805174">
            <w:pPr>
              <w:pStyle w:val="TableParagraph"/>
              <w:spacing w:before="0"/>
              <w:rPr>
                <w:b/>
                <w:sz w:val="12"/>
              </w:rPr>
            </w:pPr>
          </w:p>
          <w:p w:rsidR="00805174" w:rsidRDefault="00805174">
            <w:pPr>
              <w:pStyle w:val="TableParagraph"/>
              <w:spacing w:before="2"/>
              <w:rPr>
                <w:b/>
                <w:sz w:val="14"/>
              </w:rPr>
            </w:pPr>
          </w:p>
          <w:p w:rsidR="00805174" w:rsidRDefault="000A64A3">
            <w:pPr>
              <w:pStyle w:val="TableParagraph"/>
              <w:spacing w:before="0"/>
              <w:ind w:left="269"/>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C03: Annual Flu Vaccine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C22: Getting Needed Care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C23: Getting Appointments and Care Quickly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C24: Customer Service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8"/>
              <w:jc w:val="center"/>
              <w:rPr>
                <w:sz w:val="12"/>
              </w:rPr>
            </w:pPr>
            <w:r>
              <w:rPr>
                <w:sz w:val="12"/>
              </w:rPr>
              <w:t>1</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C25: Rating of Health Care Quality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86.00%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7"/>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C26: Rating of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8"/>
              <w:jc w:val="center"/>
              <w:rPr>
                <w:sz w:val="12"/>
              </w:rPr>
            </w:pPr>
            <w:r>
              <w:rPr>
                <w:sz w:val="12"/>
              </w:rPr>
              <w:t>2</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C27: Care Coordination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7"/>
              <w:jc w:val="center"/>
              <w:rPr>
                <w:sz w:val="12"/>
              </w:rPr>
            </w:pPr>
            <w:r>
              <w:rPr>
                <w:sz w:val="12"/>
              </w:rPr>
              <w:t>5</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C28: Complaints about the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vMerge w:val="restart"/>
            <w:tcBorders>
              <w:top w:val="single" w:sz="1" w:space="0" w:color="000000"/>
              <w:right w:val="single" w:sz="1" w:space="0" w:color="000000"/>
            </w:tcBorders>
            <w:shd w:val="clear" w:color="auto" w:fill="D5E2EE"/>
          </w:tcPr>
          <w:p w:rsidR="00805174" w:rsidRDefault="000A64A3">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C32: Plan Makes Timely Decisions about Appeals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C33: Reviewing Appeals Decisions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C29: Members Choosing to Leave the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C30: Beneficiary Access and Performance Problems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6"/>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C34: Call Center ‐ Foreign Language Interpreter and TTY Avai</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5"/>
        </w:trPr>
        <w:tc>
          <w:tcPr>
            <w:tcW w:w="865" w:type="dxa"/>
            <w:tcBorders>
              <w:top w:val="single" w:sz="1" w:space="0" w:color="000000"/>
              <w:right w:val="single" w:sz="1" w:space="0" w:color="000000"/>
            </w:tcBorders>
            <w:shd w:val="clear" w:color="auto" w:fill="D5E2EE"/>
          </w:tcPr>
          <w:p w:rsidR="00805174" w:rsidRDefault="000A64A3">
            <w:pPr>
              <w:pStyle w:val="TableParagraph"/>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rsidR="00805174" w:rsidRDefault="000A64A3">
            <w:pPr>
              <w:pStyle w:val="TableParagraph"/>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rsidR="00805174" w:rsidRDefault="000A64A3">
            <w:pPr>
              <w:pStyle w:val="TableParagraph"/>
              <w:ind w:left="19"/>
              <w:rPr>
                <w:sz w:val="12"/>
              </w:rPr>
            </w:pPr>
            <w:r>
              <w:rPr>
                <w:sz w:val="12"/>
              </w:rPr>
              <w:t>C31: Health Plan Quality Improvement</w:t>
            </w:r>
          </w:p>
        </w:tc>
        <w:tc>
          <w:tcPr>
            <w:tcW w:w="592" w:type="dxa"/>
            <w:tcBorders>
              <w:top w:val="single" w:sz="1" w:space="0" w:color="000000"/>
              <w:left w:val="single" w:sz="1" w:space="0" w:color="000000"/>
              <w:right w:val="single" w:sz="18" w:space="0" w:color="0C2577"/>
            </w:tcBorders>
            <w:shd w:val="clear" w:color="auto" w:fill="D5E2EE"/>
          </w:tcPr>
          <w:p w:rsidR="00805174" w:rsidRDefault="000A64A3">
            <w:pPr>
              <w:pStyle w:val="TableParagraph"/>
              <w:ind w:right="202"/>
              <w:jc w:val="right"/>
              <w:rPr>
                <w:sz w:val="12"/>
              </w:rPr>
            </w:pPr>
            <w:r>
              <w:rPr>
                <w:sz w:val="12"/>
              </w:rPr>
              <w:t>5.0</w:t>
            </w:r>
          </w:p>
        </w:tc>
        <w:tc>
          <w:tcPr>
            <w:tcW w:w="603" w:type="dxa"/>
            <w:tcBorders>
              <w:top w:val="single" w:sz="1" w:space="0" w:color="000000"/>
              <w:left w:val="single" w:sz="18" w:space="0" w:color="0C2577"/>
              <w:right w:val="single" w:sz="1" w:space="0" w:color="000000"/>
            </w:tcBorders>
          </w:tcPr>
          <w:p w:rsidR="00805174" w:rsidRDefault="00805174"/>
        </w:tc>
        <w:tc>
          <w:tcPr>
            <w:tcW w:w="587" w:type="dxa"/>
            <w:tcBorders>
              <w:top w:val="single" w:sz="1" w:space="0" w:color="000000"/>
              <w:left w:val="single" w:sz="1" w:space="0" w:color="000000"/>
            </w:tcBorders>
            <w:shd w:val="clear" w:color="auto" w:fill="F1F1F1"/>
          </w:tcPr>
          <w:p w:rsidR="00805174" w:rsidRDefault="00805174"/>
        </w:tc>
        <w:tc>
          <w:tcPr>
            <w:tcW w:w="589" w:type="dxa"/>
            <w:tcBorders>
              <w:top w:val="single" w:sz="1" w:space="0" w:color="000000"/>
              <w:right w:val="single" w:sz="1" w:space="0" w:color="000000"/>
            </w:tcBorders>
          </w:tcPr>
          <w:p w:rsidR="00805174" w:rsidRDefault="000A64A3">
            <w:pPr>
              <w:pStyle w:val="TableParagraph"/>
              <w:ind w:right="17"/>
              <w:jc w:val="right"/>
              <w:rPr>
                <w:sz w:val="12"/>
              </w:rPr>
            </w:pPr>
            <w:r>
              <w:rPr>
                <w:sz w:val="12"/>
              </w:rPr>
              <w:t>0.660</w:t>
            </w:r>
          </w:p>
        </w:tc>
        <w:tc>
          <w:tcPr>
            <w:tcW w:w="612" w:type="dxa"/>
            <w:tcBorders>
              <w:top w:val="single" w:sz="1" w:space="0" w:color="000000"/>
              <w:left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61"/>
        </w:trPr>
        <w:tc>
          <w:tcPr>
            <w:tcW w:w="6326" w:type="dxa"/>
            <w:gridSpan w:val="6"/>
            <w:tcBorders>
              <w:left w:val="nil"/>
            </w:tcBorders>
            <w:shd w:val="clear" w:color="auto" w:fill="0C2577"/>
          </w:tcPr>
          <w:p w:rsidR="00805174" w:rsidRDefault="00805174"/>
        </w:tc>
        <w:tc>
          <w:tcPr>
            <w:tcW w:w="1201" w:type="dxa"/>
            <w:gridSpan w:val="2"/>
            <w:tcBorders>
              <w:right w:val="nil"/>
            </w:tcBorders>
            <w:shd w:val="clear" w:color="auto" w:fill="0C2577"/>
          </w:tcPr>
          <w:p w:rsidR="00805174" w:rsidRDefault="00805174"/>
        </w:tc>
      </w:tr>
      <w:tr w:rsidR="00805174">
        <w:trPr>
          <w:trHeight w:hRule="exact" w:val="157"/>
        </w:trPr>
        <w:tc>
          <w:tcPr>
            <w:tcW w:w="5136" w:type="dxa"/>
            <w:gridSpan w:val="4"/>
            <w:tcBorders>
              <w:bottom w:val="single" w:sz="1" w:space="0" w:color="000000"/>
              <w:right w:val="single" w:sz="15" w:space="0" w:color="0C2577"/>
            </w:tcBorders>
            <w:shd w:val="clear" w:color="auto" w:fill="D5E2EE"/>
          </w:tcPr>
          <w:p w:rsidR="00805174" w:rsidRDefault="000A64A3">
            <w:pPr>
              <w:pStyle w:val="TableParagraph"/>
              <w:spacing w:before="0" w:line="143" w:lineRule="exact"/>
              <w:ind w:left="3103"/>
              <w:rPr>
                <w:b/>
                <w:sz w:val="12"/>
              </w:rPr>
            </w:pPr>
            <w:r>
              <w:rPr>
                <w:b/>
                <w:sz w:val="12"/>
              </w:rPr>
              <w:t>Part C Weighted Star Points:</w:t>
            </w:r>
          </w:p>
        </w:tc>
        <w:tc>
          <w:tcPr>
            <w:tcW w:w="603" w:type="dxa"/>
            <w:tcBorders>
              <w:left w:val="single" w:sz="15" w:space="0" w:color="0C2577"/>
              <w:bottom w:val="single" w:sz="1" w:space="0" w:color="000000"/>
              <w:right w:val="single" w:sz="1" w:space="0" w:color="000000"/>
            </w:tcBorders>
            <w:shd w:val="clear" w:color="auto" w:fill="BFBFBF"/>
          </w:tcPr>
          <w:p w:rsidR="00805174" w:rsidRDefault="00805174"/>
        </w:tc>
        <w:tc>
          <w:tcPr>
            <w:tcW w:w="587" w:type="dxa"/>
            <w:tcBorders>
              <w:left w:val="single" w:sz="1" w:space="0" w:color="000000"/>
              <w:bottom w:val="single" w:sz="1" w:space="0" w:color="000000"/>
            </w:tcBorders>
          </w:tcPr>
          <w:p w:rsidR="00805174" w:rsidRDefault="00805174"/>
        </w:tc>
        <w:tc>
          <w:tcPr>
            <w:tcW w:w="589" w:type="dxa"/>
            <w:tcBorders>
              <w:bottom w:val="single" w:sz="1" w:space="0" w:color="000000"/>
              <w:right w:val="single" w:sz="1" w:space="0" w:color="000000"/>
            </w:tcBorders>
            <w:shd w:val="clear" w:color="auto" w:fill="BFBFBF"/>
          </w:tcPr>
          <w:p w:rsidR="00805174" w:rsidRDefault="00805174"/>
        </w:tc>
        <w:tc>
          <w:tcPr>
            <w:tcW w:w="612" w:type="dxa"/>
            <w:tcBorders>
              <w:left w:val="single" w:sz="1" w:space="0" w:color="000000"/>
              <w:bottom w:val="single" w:sz="1" w:space="0" w:color="000000"/>
              <w:right w:val="single" w:sz="20" w:space="0" w:color="0C2577"/>
            </w:tcBorders>
          </w:tcPr>
          <w:p w:rsidR="00805174" w:rsidRDefault="000A64A3">
            <w:pPr>
              <w:pStyle w:val="TableParagraph"/>
              <w:spacing w:before="0" w:line="143" w:lineRule="exact"/>
              <w:ind w:right="16"/>
              <w:jc w:val="right"/>
              <w:rPr>
                <w:sz w:val="12"/>
              </w:rPr>
            </w:pPr>
            <w:r>
              <w:rPr>
                <w:sz w:val="12"/>
              </w:rPr>
              <w:t>163.00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right="591"/>
              <w:jc w:val="right"/>
              <w:rPr>
                <w:b/>
                <w:sz w:val="12"/>
              </w:rPr>
            </w:pPr>
            <w:r>
              <w:rPr>
                <w:b/>
                <w:sz w:val="12"/>
              </w:rPr>
              <w:t>Part C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7"/>
              <w:jc w:val="right"/>
              <w:rPr>
                <w:sz w:val="12"/>
              </w:rPr>
            </w:pPr>
            <w:r>
              <w:rPr>
                <w:sz w:val="12"/>
              </w:rPr>
              <w:t>44.50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654"/>
              <w:rPr>
                <w:b/>
                <w:sz w:val="12"/>
              </w:rPr>
            </w:pPr>
            <w:r>
              <w:rPr>
                <w:b/>
                <w:sz w:val="12"/>
              </w:rPr>
              <w:t>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7"/>
              <w:jc w:val="right"/>
              <w:rPr>
                <w:sz w:val="12"/>
              </w:rPr>
            </w:pPr>
            <w:r>
              <w:rPr>
                <w:sz w:val="12"/>
              </w:rPr>
              <w:t>3.663</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8"/>
              <w:jc w:val="right"/>
              <w:rPr>
                <w:sz w:val="12"/>
              </w:rPr>
            </w:pPr>
            <w:r>
              <w:rPr>
                <w:sz w:val="12"/>
              </w:rPr>
              <w:t>0.0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right="590"/>
              <w:jc w:val="right"/>
              <w:rPr>
                <w:b/>
                <w:sz w:val="12"/>
              </w:rPr>
            </w:pPr>
            <w:r>
              <w:rPr>
                <w:b/>
                <w:sz w:val="12"/>
              </w:rPr>
              <w:t>Part C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805174"/>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181"/>
              <w:rPr>
                <w:b/>
                <w:sz w:val="12"/>
              </w:rPr>
            </w:pPr>
            <w:r>
              <w:rPr>
                <w:b/>
                <w:sz w:val="12"/>
              </w:rPr>
              <w:t>Adjusted 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shd w:val="clear" w:color="auto" w:fill="DEF50A"/>
          </w:tcPr>
          <w:p w:rsidR="00805174" w:rsidRDefault="000A64A3">
            <w:pPr>
              <w:pStyle w:val="TableParagraph"/>
              <w:ind w:right="17"/>
              <w:jc w:val="right"/>
              <w:rPr>
                <w:sz w:val="12"/>
              </w:rPr>
            </w:pPr>
            <w:r>
              <w:rPr>
                <w:sz w:val="12"/>
              </w:rPr>
              <w:t>3.663</w:t>
            </w:r>
          </w:p>
        </w:tc>
      </w:tr>
      <w:tr w:rsidR="00805174">
        <w:trPr>
          <w:trHeight w:hRule="exact" w:val="160"/>
        </w:trPr>
        <w:tc>
          <w:tcPr>
            <w:tcW w:w="5136" w:type="dxa"/>
            <w:gridSpan w:val="4"/>
            <w:tcBorders>
              <w:top w:val="single" w:sz="1" w:space="0" w:color="000000"/>
              <w:right w:val="single" w:sz="15" w:space="0" w:color="0C2577"/>
            </w:tcBorders>
            <w:shd w:val="clear" w:color="auto" w:fill="D5E2EE"/>
          </w:tcPr>
          <w:p w:rsidR="00805174" w:rsidRDefault="000A64A3">
            <w:pPr>
              <w:pStyle w:val="TableParagraph"/>
              <w:spacing w:before="5"/>
              <w:ind w:left="2301"/>
              <w:rPr>
                <w:b/>
                <w:sz w:val="12"/>
              </w:rPr>
            </w:pPr>
            <w:r>
              <w:rPr>
                <w:b/>
                <w:sz w:val="12"/>
              </w:rPr>
              <w:t>Adjusted Part C Summary Rating (Rounded):</w:t>
            </w:r>
          </w:p>
        </w:tc>
        <w:tc>
          <w:tcPr>
            <w:tcW w:w="603" w:type="dxa"/>
            <w:tcBorders>
              <w:top w:val="single" w:sz="1" w:space="0" w:color="000000"/>
              <w:left w:val="single" w:sz="15" w:space="0" w:color="0C2577"/>
              <w:right w:val="single" w:sz="1" w:space="0" w:color="000000"/>
            </w:tcBorders>
            <w:shd w:val="clear" w:color="auto" w:fill="BFBFBF"/>
          </w:tcPr>
          <w:p w:rsidR="00805174" w:rsidRDefault="00805174"/>
        </w:tc>
        <w:tc>
          <w:tcPr>
            <w:tcW w:w="587" w:type="dxa"/>
            <w:tcBorders>
              <w:top w:val="single" w:sz="1" w:space="0" w:color="000000"/>
              <w:left w:val="single" w:sz="1" w:space="0" w:color="000000"/>
            </w:tcBorders>
          </w:tcPr>
          <w:p w:rsidR="00805174" w:rsidRDefault="00805174"/>
        </w:tc>
        <w:tc>
          <w:tcPr>
            <w:tcW w:w="589" w:type="dxa"/>
            <w:tcBorders>
              <w:top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right w:val="single" w:sz="20" w:space="0" w:color="0C2577"/>
            </w:tcBorders>
            <w:shd w:val="clear" w:color="auto" w:fill="FFFF00"/>
          </w:tcPr>
          <w:p w:rsidR="00805174" w:rsidRDefault="000A64A3">
            <w:pPr>
              <w:pStyle w:val="TableParagraph"/>
              <w:spacing w:before="5"/>
              <w:ind w:right="17"/>
              <w:jc w:val="right"/>
              <w:rPr>
                <w:sz w:val="12"/>
              </w:rPr>
            </w:pPr>
            <w:r>
              <w:rPr>
                <w:sz w:val="12"/>
              </w:rPr>
              <w:t>3.50</w:t>
            </w:r>
          </w:p>
        </w:tc>
      </w:tr>
      <w:tr w:rsidR="00805174">
        <w:trPr>
          <w:trHeight w:hRule="exact" w:val="161"/>
        </w:trPr>
        <w:tc>
          <w:tcPr>
            <w:tcW w:w="5136" w:type="dxa"/>
            <w:gridSpan w:val="4"/>
            <w:shd w:val="clear" w:color="auto" w:fill="0C2577"/>
          </w:tcPr>
          <w:p w:rsidR="00805174" w:rsidRDefault="000A64A3">
            <w:pPr>
              <w:pStyle w:val="TableParagraph"/>
              <w:spacing w:before="0" w:line="138" w:lineRule="exact"/>
              <w:ind w:left="12"/>
              <w:rPr>
                <w:b/>
                <w:sz w:val="12"/>
              </w:rPr>
            </w:pPr>
            <w:r>
              <w:rPr>
                <w:b/>
                <w:color w:val="FFFFFF"/>
                <w:sz w:val="12"/>
              </w:rPr>
              <w:t>Part D:</w:t>
            </w:r>
          </w:p>
        </w:tc>
        <w:tc>
          <w:tcPr>
            <w:tcW w:w="1190" w:type="dxa"/>
            <w:gridSpan w:val="2"/>
            <w:tcBorders>
              <w:bottom w:val="single" w:sz="1" w:space="0" w:color="000000"/>
            </w:tcBorders>
            <w:shd w:val="clear" w:color="auto" w:fill="0C2577"/>
          </w:tcPr>
          <w:p w:rsidR="00805174" w:rsidRDefault="00805174"/>
        </w:tc>
        <w:tc>
          <w:tcPr>
            <w:tcW w:w="1201" w:type="dxa"/>
            <w:gridSpan w:val="2"/>
            <w:tcBorders>
              <w:right w:val="nil"/>
            </w:tcBorders>
            <w:shd w:val="clear" w:color="auto" w:fill="0C2577"/>
          </w:tcPr>
          <w:p w:rsidR="00805174" w:rsidRDefault="00805174"/>
        </w:tc>
      </w:tr>
      <w:tr w:rsidR="00805174">
        <w:trPr>
          <w:trHeight w:hRule="exact" w:val="157"/>
        </w:trPr>
        <w:tc>
          <w:tcPr>
            <w:tcW w:w="865" w:type="dxa"/>
            <w:vMerge w:val="restart"/>
            <w:tcBorders>
              <w:right w:val="single" w:sz="1" w:space="0" w:color="000000"/>
            </w:tcBorders>
            <w:shd w:val="clear" w:color="auto" w:fill="D5E2EE"/>
          </w:tcPr>
          <w:p w:rsidR="00805174" w:rsidRDefault="00805174">
            <w:pPr>
              <w:pStyle w:val="TableParagraph"/>
              <w:spacing w:before="0"/>
              <w:rPr>
                <w:b/>
                <w:sz w:val="12"/>
              </w:rPr>
            </w:pPr>
          </w:p>
          <w:p w:rsidR="00805174" w:rsidRDefault="000A64A3">
            <w:pPr>
              <w:pStyle w:val="TableParagraph"/>
              <w:spacing w:before="77"/>
              <w:ind w:left="175"/>
              <w:rPr>
                <w:b/>
                <w:sz w:val="12"/>
              </w:rPr>
            </w:pPr>
            <w:r>
              <w:rPr>
                <w:b/>
                <w:sz w:val="12"/>
              </w:rPr>
              <w:t>Clinical Rx</w:t>
            </w:r>
          </w:p>
        </w:tc>
        <w:tc>
          <w:tcPr>
            <w:tcW w:w="698" w:type="dxa"/>
            <w:tcBorders>
              <w:left w:val="single" w:sz="1" w:space="0" w:color="000000"/>
              <w:bottom w:val="single" w:sz="1" w:space="0" w:color="000000"/>
              <w:right w:val="single" w:sz="1" w:space="0" w:color="000000"/>
            </w:tcBorders>
            <w:shd w:val="clear" w:color="auto" w:fill="D5E2EE"/>
          </w:tcPr>
          <w:p w:rsidR="00805174" w:rsidRDefault="000A64A3">
            <w:pPr>
              <w:pStyle w:val="TableParagraph"/>
              <w:spacing w:before="0" w:line="143" w:lineRule="exact"/>
              <w:ind w:left="19"/>
              <w:rPr>
                <w:sz w:val="12"/>
              </w:rPr>
            </w:pPr>
            <w:r>
              <w:rPr>
                <w:sz w:val="12"/>
              </w:rPr>
              <w:t>PDE</w:t>
            </w:r>
          </w:p>
        </w:tc>
        <w:tc>
          <w:tcPr>
            <w:tcW w:w="2981" w:type="dxa"/>
            <w:tcBorders>
              <w:left w:val="single" w:sz="1" w:space="0" w:color="000000"/>
              <w:bottom w:val="single" w:sz="1" w:space="0" w:color="000000"/>
              <w:right w:val="single" w:sz="1" w:space="0" w:color="000000"/>
            </w:tcBorders>
            <w:shd w:val="clear" w:color="auto" w:fill="D5E2EE"/>
          </w:tcPr>
          <w:p w:rsidR="00805174" w:rsidRDefault="000A64A3">
            <w:pPr>
              <w:pStyle w:val="TableParagraph"/>
              <w:spacing w:before="0" w:line="143" w:lineRule="exact"/>
              <w:ind w:left="19"/>
              <w:rPr>
                <w:sz w:val="12"/>
              </w:rPr>
            </w:pPr>
            <w:r>
              <w:rPr>
                <w:sz w:val="12"/>
              </w:rPr>
              <w:t>TBD: High Risk Medication</w:t>
            </w:r>
          </w:p>
        </w:tc>
        <w:tc>
          <w:tcPr>
            <w:tcW w:w="592" w:type="dxa"/>
            <w:tcBorders>
              <w:left w:val="single" w:sz="1" w:space="0" w:color="000000"/>
              <w:bottom w:val="single" w:sz="1" w:space="0" w:color="000000"/>
              <w:right w:val="single" w:sz="22" w:space="0" w:color="0C2577"/>
            </w:tcBorders>
            <w:shd w:val="clear" w:color="auto" w:fill="D5E2EE"/>
          </w:tcPr>
          <w:p w:rsidR="00805174" w:rsidRDefault="000A64A3">
            <w:pPr>
              <w:pStyle w:val="TableParagraph"/>
              <w:spacing w:before="0" w:line="143" w:lineRule="exact"/>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bottom w:val="single" w:sz="1" w:space="0" w:color="000000"/>
              <w:right w:val="single" w:sz="1" w:space="0" w:color="000000"/>
            </w:tcBorders>
            <w:shd w:val="clear" w:color="auto" w:fill="F1F1F1"/>
          </w:tcPr>
          <w:p w:rsidR="00805174" w:rsidRDefault="000A64A3">
            <w:pPr>
              <w:pStyle w:val="TableParagraph"/>
              <w:spacing w:before="0" w:line="143" w:lineRule="exact"/>
              <w:ind w:right="18"/>
              <w:jc w:val="right"/>
              <w:rPr>
                <w:sz w:val="12"/>
              </w:rPr>
            </w:pPr>
            <w:r>
              <w:rPr>
                <w:sz w:val="12"/>
              </w:rPr>
              <w:t>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spacing w:before="4"/>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D11: Medication Adherence for Diabetes Medications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vMerge/>
            <w:tcBorders>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ight="-18"/>
              <w:rPr>
                <w:sz w:val="12"/>
              </w:rPr>
            </w:pPr>
            <w:r>
              <w:rPr>
                <w:sz w:val="12"/>
              </w:rPr>
              <w:t>D12: Medication Adherence for Hypertension (RAS</w:t>
            </w:r>
            <w:r>
              <w:rPr>
                <w:spacing w:val="-10"/>
                <w:sz w:val="12"/>
              </w:rPr>
              <w:t xml:space="preserve"> </w:t>
            </w:r>
            <w:r>
              <w:rPr>
                <w:sz w:val="12"/>
              </w:rPr>
              <w:t>antagonis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D13: Medication Adherence for Cholesterol (Statins)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36" w:right="44"/>
              <w:jc w:val="center"/>
              <w:rPr>
                <w:b/>
                <w:sz w:val="12"/>
              </w:rPr>
            </w:pPr>
            <w:r>
              <w:rPr>
                <w:b/>
                <w:sz w:val="12"/>
              </w:rPr>
              <w:t>MTM CMR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Part D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D14: MTM Program Completion Rate for CMR</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25.1%</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8"/>
              <w:jc w:val="center"/>
              <w:rPr>
                <w:sz w:val="12"/>
              </w:rPr>
            </w:pPr>
            <w:r>
              <w:rPr>
                <w:sz w:val="12"/>
              </w:rPr>
              <w:t>2</w:t>
            </w:r>
          </w:p>
        </w:tc>
      </w:tr>
      <w:tr w:rsidR="00805174">
        <w:trPr>
          <w:trHeight w:hRule="exact" w:val="156"/>
        </w:trPr>
        <w:tc>
          <w:tcPr>
            <w:tcW w:w="865" w:type="dxa"/>
            <w:vMerge w:val="restart"/>
            <w:tcBorders>
              <w:top w:val="single" w:sz="1" w:space="0" w:color="000000"/>
              <w:right w:val="single" w:sz="1" w:space="0" w:color="000000"/>
            </w:tcBorders>
            <w:shd w:val="clear" w:color="auto" w:fill="D5E2EE"/>
          </w:tcPr>
          <w:p w:rsidR="00805174" w:rsidRDefault="000A64A3">
            <w:pPr>
              <w:pStyle w:val="TableParagraph"/>
              <w:spacing w:before="75"/>
              <w:ind w:left="256"/>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D08: Rating of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805174" w:rsidRDefault="000A64A3">
            <w:pPr>
              <w:pStyle w:val="TableParagraph"/>
              <w:ind w:left="8"/>
              <w:jc w:val="center"/>
              <w:rPr>
                <w:sz w:val="12"/>
              </w:rPr>
            </w:pPr>
            <w:r>
              <w:rPr>
                <w:sz w:val="12"/>
              </w:rPr>
              <w:t>1</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D09: Getting Needed Prescription Drugs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805174" w:rsidRDefault="000A64A3">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805174" w:rsidRDefault="000A64A3">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805174" w:rsidRDefault="000A64A3">
            <w:pPr>
              <w:pStyle w:val="TableParagraph"/>
              <w:ind w:left="19"/>
              <w:rPr>
                <w:sz w:val="12"/>
              </w:rPr>
            </w:pPr>
            <w:r>
              <w:rPr>
                <w:sz w:val="12"/>
              </w:rPr>
              <w:t>D04: Complaints about the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805174" w:rsidRDefault="000A64A3">
            <w:pPr>
              <w:pStyle w:val="TableParagraph"/>
              <w:ind w:left="8"/>
              <w:jc w:val="center"/>
              <w:rPr>
                <w:sz w:val="12"/>
              </w:rPr>
            </w:pPr>
            <w:r>
              <w:rPr>
                <w:sz w:val="12"/>
              </w:rPr>
              <w:t>3</w:t>
            </w:r>
          </w:p>
        </w:tc>
      </w:tr>
      <w:tr w:rsidR="00805174">
        <w:trPr>
          <w:trHeight w:hRule="exact" w:val="156"/>
        </w:trPr>
        <w:tc>
          <w:tcPr>
            <w:tcW w:w="865" w:type="dxa"/>
            <w:vMerge w:val="restart"/>
            <w:tcBorders>
              <w:top w:val="single" w:sz="1" w:space="0" w:color="000000"/>
              <w:right w:val="single" w:sz="1" w:space="0" w:color="000000"/>
            </w:tcBorders>
            <w:shd w:val="clear" w:color="auto" w:fill="D5E2EE"/>
          </w:tcPr>
          <w:p w:rsidR="00805174" w:rsidRDefault="000A64A3">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D02: Appeals Auto‐Forward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2.50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vMerge/>
            <w:tcBorders>
              <w:bottom w:val="single" w:sz="1" w:space="0" w:color="000000"/>
              <w:right w:val="single" w:sz="1" w:space="0" w:color="000000"/>
            </w:tcBorders>
            <w:shd w:val="clear" w:color="auto" w:fill="D5E2EE"/>
          </w:tcPr>
          <w:p w:rsidR="00805174" w:rsidRDefault="0080517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D03: Appeals Upheld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tcPr>
          <w:p w:rsidR="00805174" w:rsidRDefault="000A64A3">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805174" w:rsidRDefault="000A64A3">
            <w:pPr>
              <w:pStyle w:val="TableParagraph"/>
              <w:ind w:left="199"/>
              <w:rPr>
                <w:sz w:val="12"/>
              </w:rPr>
            </w:pPr>
            <w:r>
              <w:rPr>
                <w:sz w:val="12"/>
              </w:rPr>
              <w:t>N/A</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805174" w:rsidRDefault="000A64A3">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805174" w:rsidRDefault="000A64A3">
            <w:pPr>
              <w:pStyle w:val="TableParagraph"/>
              <w:ind w:left="19"/>
              <w:rPr>
                <w:sz w:val="12"/>
              </w:rPr>
            </w:pPr>
            <w:r>
              <w:rPr>
                <w:sz w:val="12"/>
              </w:rPr>
              <w:t>D05: Members Choosing to Leave the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805174" w:rsidRDefault="000A64A3">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805174" w:rsidRDefault="000A64A3">
            <w:pPr>
              <w:pStyle w:val="TableParagraph"/>
              <w:ind w:left="19"/>
              <w:rPr>
                <w:sz w:val="12"/>
              </w:rPr>
            </w:pPr>
            <w:r>
              <w:rPr>
                <w:sz w:val="12"/>
              </w:rPr>
              <w:t>D06: Beneficiary Access and Performance Problems</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805174" w:rsidRDefault="000A64A3">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D01: Call Center ‐ Foreign Language Interpreter and TTY Avai</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8"/>
              <w:jc w:val="right"/>
              <w:rPr>
                <w:sz w:val="12"/>
              </w:rPr>
            </w:pPr>
            <w:r>
              <w:rPr>
                <w:sz w:val="12"/>
              </w:rPr>
              <w:t>98.0%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805174" w:rsidRDefault="000A64A3">
            <w:pPr>
              <w:pStyle w:val="TableParagraph"/>
              <w:ind w:left="8"/>
              <w:jc w:val="center"/>
              <w:rPr>
                <w:sz w:val="12"/>
              </w:rPr>
            </w:pPr>
            <w:r>
              <w:rPr>
                <w:sz w:val="12"/>
              </w:rPr>
              <w:t>5</w:t>
            </w:r>
          </w:p>
        </w:tc>
      </w:tr>
      <w:tr w:rsidR="0080517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805174" w:rsidRDefault="000A64A3">
            <w:pPr>
              <w:pStyle w:val="TableParagraph"/>
              <w:ind w:left="35" w:right="44"/>
              <w:jc w:val="center"/>
              <w:rPr>
                <w:b/>
                <w:sz w:val="12"/>
              </w:rPr>
            </w:pPr>
            <w:r>
              <w:rPr>
                <w:b/>
                <w:sz w:val="12"/>
              </w:rPr>
              <w:t>MPF</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805174" w:rsidRDefault="000A64A3">
            <w:pPr>
              <w:pStyle w:val="TableParagraph"/>
              <w:ind w:left="19"/>
              <w:rPr>
                <w:sz w:val="12"/>
              </w:rPr>
            </w:pPr>
            <w:r>
              <w:rPr>
                <w:sz w:val="12"/>
              </w:rPr>
              <w:t>D10: MPF Price Accuracy</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805174" w:rsidRDefault="000A64A3">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805174" w:rsidRDefault="00805174"/>
        </w:tc>
        <w:tc>
          <w:tcPr>
            <w:tcW w:w="587" w:type="dxa"/>
            <w:tcBorders>
              <w:top w:val="single" w:sz="1" w:space="0" w:color="000000"/>
              <w:left w:val="single" w:sz="1" w:space="0" w:color="000000"/>
              <w:bottom w:val="single" w:sz="1" w:space="0" w:color="000000"/>
            </w:tcBorders>
            <w:shd w:val="clear" w:color="auto" w:fill="F1F1F1"/>
          </w:tcPr>
          <w:p w:rsidR="00805174" w:rsidRDefault="00805174"/>
        </w:tc>
        <w:tc>
          <w:tcPr>
            <w:tcW w:w="589" w:type="dxa"/>
            <w:tcBorders>
              <w:top w:val="single" w:sz="1" w:space="0" w:color="000000"/>
              <w:bottom w:val="single" w:sz="1" w:space="0" w:color="000000"/>
              <w:right w:val="single" w:sz="1" w:space="0" w:color="000000"/>
            </w:tcBorders>
            <w:shd w:val="clear" w:color="auto" w:fill="F1F1F1"/>
          </w:tcPr>
          <w:p w:rsidR="00805174" w:rsidRDefault="000A64A3">
            <w:pPr>
              <w:pStyle w:val="TableParagraph"/>
              <w:ind w:right="17"/>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805174" w:rsidRDefault="000A64A3">
            <w:pPr>
              <w:pStyle w:val="TableParagraph"/>
              <w:ind w:left="8"/>
              <w:jc w:val="center"/>
              <w:rPr>
                <w:sz w:val="12"/>
              </w:rPr>
            </w:pPr>
            <w:r>
              <w:rPr>
                <w:sz w:val="12"/>
              </w:rPr>
              <w:t>4</w:t>
            </w:r>
          </w:p>
        </w:tc>
      </w:tr>
      <w:tr w:rsidR="00805174">
        <w:trPr>
          <w:trHeight w:hRule="exact" w:val="160"/>
        </w:trPr>
        <w:tc>
          <w:tcPr>
            <w:tcW w:w="865" w:type="dxa"/>
            <w:tcBorders>
              <w:top w:val="single" w:sz="1" w:space="0" w:color="000000"/>
              <w:right w:val="single" w:sz="1" w:space="0" w:color="000000"/>
            </w:tcBorders>
            <w:shd w:val="clear" w:color="auto" w:fill="D5E2EE"/>
          </w:tcPr>
          <w:p w:rsidR="00805174" w:rsidRDefault="000A64A3">
            <w:pPr>
              <w:pStyle w:val="TableParagraph"/>
              <w:spacing w:before="5"/>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rsidR="00805174" w:rsidRDefault="000A64A3">
            <w:pPr>
              <w:pStyle w:val="TableParagraph"/>
              <w:spacing w:before="5"/>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rsidR="00805174" w:rsidRDefault="000A64A3">
            <w:pPr>
              <w:pStyle w:val="TableParagraph"/>
              <w:spacing w:before="5"/>
              <w:ind w:left="19"/>
              <w:rPr>
                <w:sz w:val="12"/>
              </w:rPr>
            </w:pPr>
            <w:r>
              <w:rPr>
                <w:sz w:val="12"/>
              </w:rPr>
              <w:t>D07: Drug Plan Quality Improvement</w:t>
            </w:r>
          </w:p>
        </w:tc>
        <w:tc>
          <w:tcPr>
            <w:tcW w:w="592" w:type="dxa"/>
            <w:tcBorders>
              <w:top w:val="single" w:sz="1" w:space="0" w:color="000000"/>
              <w:left w:val="single" w:sz="1" w:space="0" w:color="000000"/>
              <w:right w:val="single" w:sz="22" w:space="0" w:color="0C2577"/>
            </w:tcBorders>
            <w:shd w:val="clear" w:color="auto" w:fill="D5E2EE"/>
          </w:tcPr>
          <w:p w:rsidR="00805174" w:rsidRDefault="000A64A3">
            <w:pPr>
              <w:pStyle w:val="TableParagraph"/>
              <w:spacing w:before="5"/>
              <w:ind w:right="197"/>
              <w:jc w:val="right"/>
              <w:rPr>
                <w:sz w:val="12"/>
              </w:rPr>
            </w:pPr>
            <w:r>
              <w:rPr>
                <w:sz w:val="12"/>
              </w:rPr>
              <w:t>5.0</w:t>
            </w:r>
          </w:p>
        </w:tc>
        <w:tc>
          <w:tcPr>
            <w:tcW w:w="603" w:type="dxa"/>
            <w:tcBorders>
              <w:top w:val="single" w:sz="1" w:space="0" w:color="000000"/>
              <w:left w:val="single" w:sz="22" w:space="0" w:color="0C2577"/>
              <w:right w:val="single" w:sz="1" w:space="0" w:color="000000"/>
            </w:tcBorders>
          </w:tcPr>
          <w:p w:rsidR="00805174" w:rsidRDefault="00805174"/>
        </w:tc>
        <w:tc>
          <w:tcPr>
            <w:tcW w:w="587" w:type="dxa"/>
            <w:tcBorders>
              <w:top w:val="single" w:sz="1" w:space="0" w:color="000000"/>
              <w:left w:val="single" w:sz="1" w:space="0" w:color="000000"/>
            </w:tcBorders>
            <w:shd w:val="clear" w:color="auto" w:fill="F1F1F1"/>
          </w:tcPr>
          <w:p w:rsidR="00805174" w:rsidRDefault="00805174"/>
        </w:tc>
        <w:tc>
          <w:tcPr>
            <w:tcW w:w="589" w:type="dxa"/>
            <w:tcBorders>
              <w:top w:val="single" w:sz="1" w:space="0" w:color="000000"/>
              <w:right w:val="single" w:sz="1" w:space="0" w:color="000000"/>
            </w:tcBorders>
          </w:tcPr>
          <w:p w:rsidR="00805174" w:rsidRDefault="000A64A3">
            <w:pPr>
              <w:pStyle w:val="TableParagraph"/>
              <w:spacing w:before="5"/>
              <w:ind w:right="17"/>
              <w:jc w:val="right"/>
              <w:rPr>
                <w:sz w:val="12"/>
              </w:rPr>
            </w:pPr>
            <w:r>
              <w:rPr>
                <w:sz w:val="12"/>
              </w:rPr>
              <w:t>0.008</w:t>
            </w:r>
          </w:p>
        </w:tc>
        <w:tc>
          <w:tcPr>
            <w:tcW w:w="612" w:type="dxa"/>
            <w:tcBorders>
              <w:top w:val="single" w:sz="1" w:space="0" w:color="000000"/>
              <w:left w:val="single" w:sz="1" w:space="0" w:color="000000"/>
              <w:right w:val="single" w:sz="20" w:space="0" w:color="0C2577"/>
            </w:tcBorders>
            <w:shd w:val="clear" w:color="auto" w:fill="EAAA00"/>
          </w:tcPr>
          <w:p w:rsidR="00805174" w:rsidRDefault="000A64A3">
            <w:pPr>
              <w:pStyle w:val="TableParagraph"/>
              <w:spacing w:before="5"/>
              <w:ind w:left="8"/>
              <w:jc w:val="center"/>
              <w:rPr>
                <w:sz w:val="12"/>
              </w:rPr>
            </w:pPr>
            <w:r>
              <w:rPr>
                <w:sz w:val="12"/>
              </w:rPr>
              <w:t>3</w:t>
            </w:r>
          </w:p>
        </w:tc>
      </w:tr>
      <w:tr w:rsidR="00805174">
        <w:trPr>
          <w:trHeight w:hRule="exact" w:val="161"/>
        </w:trPr>
        <w:tc>
          <w:tcPr>
            <w:tcW w:w="6326" w:type="dxa"/>
            <w:gridSpan w:val="6"/>
            <w:tcBorders>
              <w:left w:val="nil"/>
            </w:tcBorders>
            <w:shd w:val="clear" w:color="auto" w:fill="0C2577"/>
          </w:tcPr>
          <w:p w:rsidR="00805174" w:rsidRDefault="00805174"/>
        </w:tc>
        <w:tc>
          <w:tcPr>
            <w:tcW w:w="1201" w:type="dxa"/>
            <w:gridSpan w:val="2"/>
            <w:tcBorders>
              <w:right w:val="nil"/>
            </w:tcBorders>
            <w:shd w:val="clear" w:color="auto" w:fill="0C2577"/>
          </w:tcPr>
          <w:p w:rsidR="00805174" w:rsidRDefault="00805174"/>
        </w:tc>
      </w:tr>
      <w:tr w:rsidR="00805174">
        <w:trPr>
          <w:trHeight w:hRule="exact" w:val="157"/>
        </w:trPr>
        <w:tc>
          <w:tcPr>
            <w:tcW w:w="5136" w:type="dxa"/>
            <w:gridSpan w:val="4"/>
            <w:tcBorders>
              <w:bottom w:val="single" w:sz="1" w:space="0" w:color="000000"/>
              <w:right w:val="single" w:sz="15" w:space="0" w:color="0C2577"/>
            </w:tcBorders>
            <w:shd w:val="clear" w:color="auto" w:fill="D5E2EE"/>
          </w:tcPr>
          <w:p w:rsidR="00805174" w:rsidRDefault="000A64A3">
            <w:pPr>
              <w:pStyle w:val="TableParagraph"/>
              <w:spacing w:before="0" w:line="143" w:lineRule="exact"/>
              <w:ind w:left="3088"/>
              <w:rPr>
                <w:b/>
                <w:sz w:val="12"/>
              </w:rPr>
            </w:pPr>
            <w:r>
              <w:rPr>
                <w:b/>
                <w:sz w:val="12"/>
              </w:rPr>
              <w:t>Part D Weighted Star Points:</w:t>
            </w:r>
          </w:p>
        </w:tc>
        <w:tc>
          <w:tcPr>
            <w:tcW w:w="603" w:type="dxa"/>
            <w:tcBorders>
              <w:left w:val="single" w:sz="15" w:space="0" w:color="0C2577"/>
              <w:bottom w:val="single" w:sz="1" w:space="0" w:color="000000"/>
              <w:right w:val="single" w:sz="1" w:space="0" w:color="000000"/>
            </w:tcBorders>
            <w:shd w:val="clear" w:color="auto" w:fill="BFBFBF"/>
          </w:tcPr>
          <w:p w:rsidR="00805174" w:rsidRDefault="00805174"/>
        </w:tc>
        <w:tc>
          <w:tcPr>
            <w:tcW w:w="587" w:type="dxa"/>
            <w:tcBorders>
              <w:left w:val="single" w:sz="1" w:space="0" w:color="000000"/>
              <w:bottom w:val="single" w:sz="1" w:space="0" w:color="000000"/>
            </w:tcBorders>
          </w:tcPr>
          <w:p w:rsidR="00805174" w:rsidRDefault="00805174"/>
        </w:tc>
        <w:tc>
          <w:tcPr>
            <w:tcW w:w="589" w:type="dxa"/>
            <w:tcBorders>
              <w:bottom w:val="single" w:sz="1" w:space="0" w:color="000000"/>
              <w:right w:val="single" w:sz="1" w:space="0" w:color="000000"/>
            </w:tcBorders>
            <w:shd w:val="clear" w:color="auto" w:fill="BFBFBF"/>
          </w:tcPr>
          <w:p w:rsidR="00805174" w:rsidRDefault="00805174"/>
        </w:tc>
        <w:tc>
          <w:tcPr>
            <w:tcW w:w="612" w:type="dxa"/>
            <w:tcBorders>
              <w:left w:val="single" w:sz="1" w:space="0" w:color="000000"/>
              <w:bottom w:val="single" w:sz="1" w:space="0" w:color="000000"/>
              <w:right w:val="single" w:sz="20" w:space="0" w:color="0C2577"/>
            </w:tcBorders>
          </w:tcPr>
          <w:p w:rsidR="00805174" w:rsidRDefault="000A64A3">
            <w:pPr>
              <w:pStyle w:val="TableParagraph"/>
              <w:spacing w:before="0" w:line="143" w:lineRule="exact"/>
              <w:ind w:right="16"/>
              <w:jc w:val="right"/>
              <w:rPr>
                <w:sz w:val="12"/>
              </w:rPr>
            </w:pPr>
            <w:r>
              <w:rPr>
                <w:sz w:val="12"/>
              </w:rPr>
              <w:t>111.50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right="593"/>
              <w:jc w:val="right"/>
              <w:rPr>
                <w:b/>
                <w:sz w:val="12"/>
              </w:rPr>
            </w:pPr>
            <w:r>
              <w:rPr>
                <w:b/>
                <w:sz w:val="12"/>
              </w:rPr>
              <w:t>Part D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7"/>
              <w:jc w:val="right"/>
              <w:rPr>
                <w:sz w:val="12"/>
              </w:rPr>
            </w:pPr>
            <w:r>
              <w:rPr>
                <w:sz w:val="12"/>
              </w:rPr>
              <w:t>29.00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640"/>
              <w:rPr>
                <w:b/>
                <w:sz w:val="12"/>
              </w:rPr>
            </w:pPr>
            <w:r>
              <w:rPr>
                <w:b/>
                <w:sz w:val="12"/>
              </w:rPr>
              <w:t>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7"/>
              <w:jc w:val="right"/>
              <w:rPr>
                <w:sz w:val="12"/>
              </w:rPr>
            </w:pPr>
            <w:r>
              <w:rPr>
                <w:sz w:val="12"/>
              </w:rPr>
              <w:t>3.845</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8"/>
              <w:jc w:val="right"/>
              <w:rPr>
                <w:sz w:val="12"/>
              </w:rPr>
            </w:pPr>
            <w:r>
              <w:rPr>
                <w:sz w:val="12"/>
              </w:rPr>
              <w:t>0.0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3280"/>
              <w:rPr>
                <w:b/>
                <w:sz w:val="12"/>
              </w:rPr>
            </w:pPr>
            <w:r>
              <w:rPr>
                <w:b/>
                <w:sz w:val="12"/>
              </w:rPr>
              <w:t>Part D MA‐PD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805174"/>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167"/>
              <w:rPr>
                <w:b/>
                <w:sz w:val="12"/>
              </w:rPr>
            </w:pPr>
            <w:r>
              <w:rPr>
                <w:b/>
                <w:sz w:val="12"/>
              </w:rPr>
              <w:t>Adjusted 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shd w:val="clear" w:color="auto" w:fill="B9EA16"/>
          </w:tcPr>
          <w:p w:rsidR="00805174" w:rsidRDefault="000A64A3">
            <w:pPr>
              <w:pStyle w:val="TableParagraph"/>
              <w:ind w:right="17"/>
              <w:jc w:val="right"/>
              <w:rPr>
                <w:sz w:val="12"/>
              </w:rPr>
            </w:pPr>
            <w:r>
              <w:rPr>
                <w:sz w:val="12"/>
              </w:rPr>
              <w:t>3.845</w:t>
            </w:r>
          </w:p>
        </w:tc>
      </w:tr>
      <w:tr w:rsidR="00805174">
        <w:trPr>
          <w:trHeight w:hRule="exact" w:val="160"/>
        </w:trPr>
        <w:tc>
          <w:tcPr>
            <w:tcW w:w="5136" w:type="dxa"/>
            <w:gridSpan w:val="4"/>
            <w:tcBorders>
              <w:top w:val="single" w:sz="1" w:space="0" w:color="000000"/>
              <w:right w:val="single" w:sz="15" w:space="0" w:color="0C2577"/>
            </w:tcBorders>
            <w:shd w:val="clear" w:color="auto" w:fill="D5E2EE"/>
          </w:tcPr>
          <w:p w:rsidR="00805174" w:rsidRDefault="000A64A3">
            <w:pPr>
              <w:pStyle w:val="TableParagraph"/>
              <w:spacing w:before="5"/>
              <w:ind w:left="2287"/>
              <w:rPr>
                <w:b/>
                <w:sz w:val="12"/>
              </w:rPr>
            </w:pPr>
            <w:r>
              <w:rPr>
                <w:b/>
                <w:sz w:val="12"/>
              </w:rPr>
              <w:t>Adjusted Part D Summary Rating (Rounded):</w:t>
            </w:r>
          </w:p>
        </w:tc>
        <w:tc>
          <w:tcPr>
            <w:tcW w:w="603" w:type="dxa"/>
            <w:tcBorders>
              <w:top w:val="single" w:sz="1" w:space="0" w:color="000000"/>
              <w:left w:val="single" w:sz="15" w:space="0" w:color="0C2577"/>
              <w:right w:val="single" w:sz="1" w:space="0" w:color="000000"/>
            </w:tcBorders>
            <w:shd w:val="clear" w:color="auto" w:fill="BFBFBF"/>
          </w:tcPr>
          <w:p w:rsidR="00805174" w:rsidRDefault="00805174"/>
        </w:tc>
        <w:tc>
          <w:tcPr>
            <w:tcW w:w="587" w:type="dxa"/>
            <w:tcBorders>
              <w:top w:val="single" w:sz="1" w:space="0" w:color="000000"/>
              <w:left w:val="single" w:sz="1" w:space="0" w:color="000000"/>
            </w:tcBorders>
          </w:tcPr>
          <w:p w:rsidR="00805174" w:rsidRDefault="00805174"/>
        </w:tc>
        <w:tc>
          <w:tcPr>
            <w:tcW w:w="589" w:type="dxa"/>
            <w:tcBorders>
              <w:top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right w:val="single" w:sz="20" w:space="0" w:color="0C2577"/>
            </w:tcBorders>
            <w:shd w:val="clear" w:color="auto" w:fill="9AE01F"/>
          </w:tcPr>
          <w:p w:rsidR="00805174" w:rsidRDefault="000A64A3">
            <w:pPr>
              <w:pStyle w:val="TableParagraph"/>
              <w:spacing w:before="5"/>
              <w:ind w:right="17"/>
              <w:jc w:val="right"/>
              <w:rPr>
                <w:sz w:val="12"/>
              </w:rPr>
            </w:pPr>
            <w:r>
              <w:rPr>
                <w:sz w:val="12"/>
              </w:rPr>
              <w:t>4.00</w:t>
            </w:r>
          </w:p>
        </w:tc>
      </w:tr>
      <w:tr w:rsidR="00805174">
        <w:trPr>
          <w:trHeight w:hRule="exact" w:val="161"/>
        </w:trPr>
        <w:tc>
          <w:tcPr>
            <w:tcW w:w="7528" w:type="dxa"/>
            <w:gridSpan w:val="8"/>
            <w:tcBorders>
              <w:right w:val="nil"/>
            </w:tcBorders>
            <w:shd w:val="clear" w:color="auto" w:fill="0C2577"/>
          </w:tcPr>
          <w:p w:rsidR="00805174" w:rsidRDefault="000A64A3">
            <w:pPr>
              <w:pStyle w:val="TableParagraph"/>
              <w:tabs>
                <w:tab w:val="left" w:pos="5332"/>
                <w:tab w:val="left" w:pos="6441"/>
              </w:tabs>
              <w:spacing w:before="0" w:line="145" w:lineRule="exact"/>
              <w:ind w:left="12"/>
              <w:rPr>
                <w:b/>
                <w:sz w:val="12"/>
              </w:rPr>
            </w:pPr>
            <w:r>
              <w:rPr>
                <w:b/>
                <w:color w:val="FFFFFF"/>
                <w:sz w:val="12"/>
              </w:rPr>
              <w:t>Overall:</w:t>
            </w:r>
            <w:r>
              <w:rPr>
                <w:b/>
                <w:color w:val="FFFFFF"/>
                <w:sz w:val="12"/>
              </w:rPr>
              <w:tab/>
            </w:r>
            <w:r>
              <w:rPr>
                <w:b/>
                <w:color w:val="FF0000"/>
                <w:sz w:val="12"/>
              </w:rPr>
              <w:t>w . C QI     w.</w:t>
            </w:r>
            <w:r>
              <w:rPr>
                <w:b/>
                <w:color w:val="FF0000"/>
                <w:spacing w:val="-3"/>
                <w:sz w:val="12"/>
              </w:rPr>
              <w:t xml:space="preserve"> </w:t>
            </w:r>
            <w:r>
              <w:rPr>
                <w:b/>
                <w:color w:val="FF0000"/>
                <w:sz w:val="12"/>
              </w:rPr>
              <w:t>D QI</w:t>
            </w:r>
            <w:r>
              <w:rPr>
                <w:b/>
                <w:color w:val="FF0000"/>
                <w:sz w:val="12"/>
              </w:rPr>
              <w:tab/>
              <w:t>w.o. 2 QI     w. 2</w:t>
            </w:r>
            <w:r>
              <w:rPr>
                <w:b/>
                <w:color w:val="FF0000"/>
                <w:spacing w:val="4"/>
                <w:sz w:val="12"/>
              </w:rPr>
              <w:t xml:space="preserve"> </w:t>
            </w:r>
            <w:r>
              <w:rPr>
                <w:b/>
                <w:color w:val="FF0000"/>
                <w:sz w:val="12"/>
              </w:rPr>
              <w:t>QI</w:t>
            </w:r>
          </w:p>
        </w:tc>
      </w:tr>
      <w:tr w:rsidR="00805174">
        <w:trPr>
          <w:trHeight w:hRule="exact" w:val="157"/>
        </w:trPr>
        <w:tc>
          <w:tcPr>
            <w:tcW w:w="5136" w:type="dxa"/>
            <w:gridSpan w:val="4"/>
            <w:tcBorders>
              <w:bottom w:val="single" w:sz="1" w:space="0" w:color="000000"/>
              <w:right w:val="single" w:sz="15" w:space="0" w:color="0C2577"/>
            </w:tcBorders>
            <w:shd w:val="clear" w:color="auto" w:fill="D5E2EE"/>
          </w:tcPr>
          <w:p w:rsidR="00805174" w:rsidRDefault="000A64A3">
            <w:pPr>
              <w:pStyle w:val="TableParagraph"/>
              <w:spacing w:before="0" w:line="143" w:lineRule="exact"/>
              <w:ind w:left="3040"/>
              <w:rPr>
                <w:b/>
                <w:sz w:val="12"/>
              </w:rPr>
            </w:pPr>
            <w:r>
              <w:rPr>
                <w:b/>
                <w:sz w:val="12"/>
              </w:rPr>
              <w:t>Overall Weighted Star Points:</w:t>
            </w:r>
          </w:p>
        </w:tc>
        <w:tc>
          <w:tcPr>
            <w:tcW w:w="603" w:type="dxa"/>
            <w:tcBorders>
              <w:left w:val="single" w:sz="15" w:space="0" w:color="0C2577"/>
              <w:bottom w:val="single" w:sz="1" w:space="0" w:color="000000"/>
              <w:right w:val="single" w:sz="1" w:space="0" w:color="000000"/>
            </w:tcBorders>
          </w:tcPr>
          <w:p w:rsidR="00805174" w:rsidRDefault="000A64A3">
            <w:pPr>
              <w:pStyle w:val="TableParagraph"/>
              <w:spacing w:before="0" w:line="143" w:lineRule="exact"/>
              <w:ind w:right="16"/>
              <w:jc w:val="right"/>
              <w:rPr>
                <w:sz w:val="12"/>
              </w:rPr>
            </w:pPr>
            <w:r>
              <w:rPr>
                <w:sz w:val="12"/>
              </w:rPr>
              <w:t>244.00</w:t>
            </w:r>
          </w:p>
        </w:tc>
        <w:tc>
          <w:tcPr>
            <w:tcW w:w="587" w:type="dxa"/>
            <w:tcBorders>
              <w:left w:val="single" w:sz="1" w:space="0" w:color="000000"/>
              <w:bottom w:val="single" w:sz="1" w:space="0" w:color="000000"/>
              <w:right w:val="single" w:sz="1" w:space="0" w:color="000000"/>
            </w:tcBorders>
          </w:tcPr>
          <w:p w:rsidR="00805174" w:rsidRDefault="000A64A3">
            <w:pPr>
              <w:pStyle w:val="TableParagraph"/>
              <w:spacing w:before="0" w:line="143" w:lineRule="exact"/>
              <w:ind w:right="14"/>
              <w:jc w:val="right"/>
              <w:rPr>
                <w:sz w:val="12"/>
              </w:rPr>
            </w:pPr>
            <w:r>
              <w:rPr>
                <w:sz w:val="12"/>
              </w:rPr>
              <w:t>234.00</w:t>
            </w:r>
          </w:p>
        </w:tc>
        <w:tc>
          <w:tcPr>
            <w:tcW w:w="589" w:type="dxa"/>
            <w:tcBorders>
              <w:left w:val="single" w:sz="1" w:space="0" w:color="000000"/>
              <w:bottom w:val="single" w:sz="1" w:space="0" w:color="000000"/>
              <w:right w:val="single" w:sz="1" w:space="0" w:color="000000"/>
            </w:tcBorders>
          </w:tcPr>
          <w:p w:rsidR="00805174" w:rsidRDefault="000A64A3">
            <w:pPr>
              <w:pStyle w:val="TableParagraph"/>
              <w:spacing w:before="0" w:line="143" w:lineRule="exact"/>
              <w:ind w:right="16"/>
              <w:jc w:val="right"/>
              <w:rPr>
                <w:sz w:val="12"/>
              </w:rPr>
            </w:pPr>
            <w:r>
              <w:rPr>
                <w:sz w:val="12"/>
              </w:rPr>
              <w:t>219.00</w:t>
            </w:r>
          </w:p>
        </w:tc>
        <w:tc>
          <w:tcPr>
            <w:tcW w:w="612" w:type="dxa"/>
            <w:tcBorders>
              <w:left w:val="single" w:sz="1" w:space="0" w:color="000000"/>
              <w:bottom w:val="single" w:sz="1" w:space="0" w:color="000000"/>
              <w:right w:val="single" w:sz="20" w:space="0" w:color="0C2577"/>
            </w:tcBorders>
          </w:tcPr>
          <w:p w:rsidR="00805174" w:rsidRDefault="000A64A3">
            <w:pPr>
              <w:pStyle w:val="TableParagraph"/>
              <w:spacing w:before="0" w:line="143" w:lineRule="exact"/>
              <w:ind w:right="15"/>
              <w:jc w:val="right"/>
              <w:rPr>
                <w:sz w:val="12"/>
              </w:rPr>
            </w:pPr>
            <w:r>
              <w:rPr>
                <w:sz w:val="12"/>
              </w:rPr>
              <w:t>259.00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right="592"/>
              <w:jc w:val="right"/>
              <w:rPr>
                <w:b/>
                <w:sz w:val="12"/>
              </w:rPr>
            </w:pPr>
            <w:r>
              <w:rPr>
                <w:b/>
                <w:sz w:val="12"/>
              </w:rPr>
              <w:t>Overall Weight:</w:t>
            </w:r>
          </w:p>
        </w:tc>
        <w:tc>
          <w:tcPr>
            <w:tcW w:w="603" w:type="dxa"/>
            <w:tcBorders>
              <w:top w:val="single" w:sz="1" w:space="0" w:color="000000"/>
              <w:left w:val="single" w:sz="15" w:space="0" w:color="0C2577"/>
              <w:bottom w:val="single" w:sz="1" w:space="0" w:color="000000"/>
              <w:right w:val="single" w:sz="1" w:space="0" w:color="000000"/>
            </w:tcBorders>
          </w:tcPr>
          <w:p w:rsidR="00805174" w:rsidRDefault="000A64A3">
            <w:pPr>
              <w:pStyle w:val="TableParagraph"/>
              <w:ind w:right="17"/>
              <w:jc w:val="right"/>
              <w:rPr>
                <w:sz w:val="12"/>
              </w:rPr>
            </w:pPr>
            <w:r>
              <w:rPr>
                <w:sz w:val="12"/>
              </w:rPr>
              <w:t>64.50</w:t>
            </w:r>
          </w:p>
        </w:tc>
        <w:tc>
          <w:tcPr>
            <w:tcW w:w="587" w:type="dxa"/>
            <w:tcBorders>
              <w:top w:val="single" w:sz="1" w:space="0" w:color="000000"/>
              <w:left w:val="single" w:sz="1" w:space="0" w:color="000000"/>
              <w:bottom w:val="single" w:sz="1" w:space="0" w:color="000000"/>
              <w:right w:val="single" w:sz="1" w:space="0" w:color="000000"/>
            </w:tcBorders>
          </w:tcPr>
          <w:p w:rsidR="00805174" w:rsidRDefault="000A64A3">
            <w:pPr>
              <w:pStyle w:val="TableParagraph"/>
              <w:ind w:right="15"/>
              <w:jc w:val="right"/>
              <w:rPr>
                <w:sz w:val="12"/>
              </w:rPr>
            </w:pPr>
            <w:r>
              <w:rPr>
                <w:sz w:val="12"/>
              </w:rPr>
              <w:t>64.50</w:t>
            </w:r>
          </w:p>
        </w:tc>
        <w:tc>
          <w:tcPr>
            <w:tcW w:w="589" w:type="dxa"/>
            <w:tcBorders>
              <w:top w:val="single" w:sz="1" w:space="0" w:color="000000"/>
              <w:left w:val="single" w:sz="1" w:space="0" w:color="000000"/>
              <w:bottom w:val="single" w:sz="1" w:space="0" w:color="000000"/>
              <w:right w:val="single" w:sz="1" w:space="0" w:color="000000"/>
            </w:tcBorders>
          </w:tcPr>
          <w:p w:rsidR="00805174" w:rsidRDefault="000A64A3">
            <w:pPr>
              <w:pStyle w:val="TableParagraph"/>
              <w:ind w:right="17"/>
              <w:jc w:val="right"/>
              <w:rPr>
                <w:sz w:val="12"/>
              </w:rPr>
            </w:pPr>
            <w:r>
              <w:rPr>
                <w:sz w:val="12"/>
              </w:rPr>
              <w:t>59.50</w:t>
            </w:r>
          </w:p>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7"/>
              <w:jc w:val="right"/>
              <w:rPr>
                <w:sz w:val="12"/>
              </w:rPr>
            </w:pPr>
            <w:r>
              <w:rPr>
                <w:sz w:val="12"/>
              </w:rPr>
              <w:t>69.50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654"/>
              <w:rPr>
                <w:b/>
                <w:sz w:val="12"/>
              </w:rPr>
            </w:pPr>
            <w:r>
              <w:rPr>
                <w:b/>
                <w:sz w:val="12"/>
              </w:rPr>
              <w:t>Baseline Overall Rating (Unrounded):</w:t>
            </w:r>
          </w:p>
        </w:tc>
        <w:tc>
          <w:tcPr>
            <w:tcW w:w="603" w:type="dxa"/>
            <w:tcBorders>
              <w:top w:val="single" w:sz="1" w:space="0" w:color="000000"/>
              <w:left w:val="single" w:sz="15" w:space="0" w:color="0C2577"/>
              <w:bottom w:val="single" w:sz="1" w:space="0" w:color="000000"/>
              <w:right w:val="single" w:sz="1" w:space="0" w:color="000000"/>
            </w:tcBorders>
          </w:tcPr>
          <w:p w:rsidR="00805174" w:rsidRDefault="000A64A3">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tcPr>
          <w:p w:rsidR="00805174" w:rsidRDefault="000A64A3">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tcPr>
          <w:p w:rsidR="00805174" w:rsidRDefault="000A64A3">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tcPr>
          <w:p w:rsidR="00805174" w:rsidRDefault="000A64A3">
            <w:pPr>
              <w:pStyle w:val="TableParagraph"/>
              <w:ind w:right="17"/>
              <w:jc w:val="right"/>
              <w:rPr>
                <w:sz w:val="12"/>
              </w:rPr>
            </w:pPr>
            <w:r>
              <w:rPr>
                <w:sz w:val="12"/>
              </w:rPr>
              <w:t>3.727</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right="594"/>
              <w:jc w:val="right"/>
              <w:rPr>
                <w:b/>
                <w:sz w:val="12"/>
              </w:rPr>
            </w:pPr>
            <w:r>
              <w:rPr>
                <w:b/>
                <w:sz w:val="12"/>
              </w:rPr>
              <w:t>Reward Factor:</w:t>
            </w:r>
          </w:p>
        </w:tc>
        <w:tc>
          <w:tcPr>
            <w:tcW w:w="603" w:type="dxa"/>
            <w:tcBorders>
              <w:top w:val="single" w:sz="1" w:space="0" w:color="000000"/>
              <w:left w:val="single" w:sz="15" w:space="0" w:color="0C2577"/>
              <w:bottom w:val="single" w:sz="1" w:space="0" w:color="000000"/>
              <w:right w:val="single" w:sz="1" w:space="0" w:color="000000"/>
            </w:tcBorders>
          </w:tcPr>
          <w:p w:rsidR="00805174" w:rsidRDefault="000A64A3">
            <w:pPr>
              <w:pStyle w:val="TableParagraph"/>
              <w:ind w:right="18"/>
              <w:jc w:val="right"/>
              <w:rPr>
                <w:sz w:val="12"/>
              </w:rPr>
            </w:pPr>
            <w:r>
              <w:rPr>
                <w:sz w:val="12"/>
              </w:rPr>
              <w:t>0.0</w:t>
            </w:r>
          </w:p>
        </w:tc>
        <w:tc>
          <w:tcPr>
            <w:tcW w:w="587" w:type="dxa"/>
            <w:tcBorders>
              <w:top w:val="single" w:sz="1" w:space="0" w:color="000000"/>
              <w:left w:val="single" w:sz="1" w:space="0" w:color="000000"/>
              <w:bottom w:val="single" w:sz="1" w:space="0" w:color="000000"/>
              <w:right w:val="single" w:sz="1" w:space="0" w:color="000000"/>
            </w:tcBorders>
          </w:tcPr>
          <w:p w:rsidR="00805174" w:rsidRDefault="000A64A3">
            <w:pPr>
              <w:pStyle w:val="TableParagraph"/>
              <w:ind w:right="17"/>
              <w:jc w:val="right"/>
              <w:rPr>
                <w:sz w:val="12"/>
              </w:rPr>
            </w:pPr>
            <w:r>
              <w:rPr>
                <w:sz w:val="12"/>
              </w:rPr>
              <w:t>0.0</w:t>
            </w:r>
          </w:p>
        </w:tc>
        <w:tc>
          <w:tcPr>
            <w:tcW w:w="589" w:type="dxa"/>
            <w:tcBorders>
              <w:top w:val="single" w:sz="1" w:space="0" w:color="000000"/>
              <w:left w:val="single" w:sz="1" w:space="0" w:color="000000"/>
              <w:bottom w:val="single" w:sz="1" w:space="0" w:color="000000"/>
              <w:right w:val="single" w:sz="1" w:space="0" w:color="000000"/>
            </w:tcBorders>
          </w:tcPr>
          <w:p w:rsidR="00805174" w:rsidRDefault="000A64A3">
            <w:pPr>
              <w:pStyle w:val="TableParagraph"/>
              <w:ind w:right="18"/>
              <w:jc w:val="right"/>
              <w:rPr>
                <w:sz w:val="12"/>
              </w:rPr>
            </w:pPr>
            <w:r>
              <w:rPr>
                <w:sz w:val="12"/>
              </w:rPr>
              <w:t>0.0</w:t>
            </w:r>
          </w:p>
        </w:tc>
        <w:tc>
          <w:tcPr>
            <w:tcW w:w="612" w:type="dxa"/>
            <w:tcBorders>
              <w:top w:val="single" w:sz="1" w:space="0" w:color="000000"/>
              <w:left w:val="single" w:sz="1" w:space="0" w:color="000000"/>
              <w:bottom w:val="single" w:sz="1" w:space="0" w:color="000000"/>
              <w:right w:val="single" w:sz="20" w:space="0" w:color="0C2577"/>
            </w:tcBorders>
            <w:shd w:val="clear" w:color="auto" w:fill="D7E1BF"/>
          </w:tcPr>
          <w:p w:rsidR="00805174" w:rsidRDefault="000A64A3">
            <w:pPr>
              <w:pStyle w:val="TableParagraph"/>
              <w:ind w:right="18"/>
              <w:jc w:val="right"/>
              <w:rPr>
                <w:sz w:val="12"/>
              </w:rPr>
            </w:pPr>
            <w:r>
              <w:rPr>
                <w:sz w:val="12"/>
              </w:rPr>
              <w:t>0.0</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3098"/>
              <w:rPr>
                <w:b/>
                <w:sz w:val="12"/>
              </w:rPr>
            </w:pPr>
            <w:r>
              <w:rPr>
                <w:b/>
                <w:sz w:val="12"/>
              </w:rPr>
              <w:t>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C6EE12"/>
          </w:tcPr>
          <w:p w:rsidR="00805174" w:rsidRDefault="000A64A3">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shd w:val="clear" w:color="auto" w:fill="E5F708"/>
          </w:tcPr>
          <w:p w:rsidR="00805174" w:rsidRDefault="000A64A3">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shd w:val="clear" w:color="auto" w:fill="DBF40B"/>
          </w:tcPr>
          <w:p w:rsidR="00805174" w:rsidRDefault="000A64A3">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shd w:val="clear" w:color="auto" w:fill="D1F10E"/>
          </w:tcPr>
          <w:p w:rsidR="00805174" w:rsidRDefault="000A64A3">
            <w:pPr>
              <w:pStyle w:val="TableParagraph"/>
              <w:ind w:right="17"/>
              <w:jc w:val="right"/>
              <w:rPr>
                <w:sz w:val="12"/>
              </w:rPr>
            </w:pPr>
            <w:r>
              <w:rPr>
                <w:sz w:val="12"/>
              </w:rPr>
              <w:t>3.727</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949"/>
              <w:rPr>
                <w:b/>
                <w:sz w:val="12"/>
              </w:rPr>
            </w:pPr>
            <w:r>
              <w:rPr>
                <w:b/>
                <w:sz w:val="12"/>
              </w:rPr>
              <w:t>Overall Rating (Held Harmless):</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shd w:val="clear" w:color="auto" w:fill="AAC6DD"/>
          </w:tcPr>
          <w:p w:rsidR="00805174" w:rsidRDefault="000A64A3">
            <w:pPr>
              <w:pStyle w:val="TableParagraph"/>
              <w:ind w:right="17"/>
              <w:jc w:val="right"/>
              <w:rPr>
                <w:sz w:val="12"/>
              </w:rPr>
            </w:pPr>
            <w:r>
              <w:rPr>
                <w:sz w:val="12"/>
              </w:rPr>
              <w:t>3.783</w:t>
            </w:r>
          </w:p>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right="591"/>
              <w:jc w:val="right"/>
              <w:rPr>
                <w:b/>
                <w:sz w:val="12"/>
              </w:rPr>
            </w:pPr>
            <w:r>
              <w:rPr>
                <w:b/>
                <w:sz w:val="12"/>
              </w:rPr>
              <w:t>Overall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tcPr>
          <w:p w:rsidR="00805174" w:rsidRDefault="00805174"/>
        </w:tc>
      </w:tr>
      <w:tr w:rsidR="0080517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805174" w:rsidRDefault="000A64A3">
            <w:pPr>
              <w:pStyle w:val="TableParagraph"/>
              <w:ind w:left="2834"/>
              <w:rPr>
                <w:b/>
                <w:sz w:val="12"/>
              </w:rPr>
            </w:pPr>
            <w:r>
              <w:rPr>
                <w:b/>
                <w:sz w:val="12"/>
              </w:rPr>
              <w:t>Final 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1" w:space="0" w:color="000000"/>
            </w:tcBorders>
          </w:tcPr>
          <w:p w:rsidR="00805174" w:rsidRDefault="00805174"/>
        </w:tc>
        <w:tc>
          <w:tcPr>
            <w:tcW w:w="589" w:type="dxa"/>
            <w:tcBorders>
              <w:top w:val="single" w:sz="1" w:space="0" w:color="000000"/>
              <w:bottom w:val="single" w:sz="1" w:space="0" w:color="000000"/>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1" w:space="0" w:color="000000"/>
              <w:right w:val="single" w:sz="20" w:space="0" w:color="0C2577"/>
            </w:tcBorders>
            <w:shd w:val="clear" w:color="auto" w:fill="C6EE12"/>
          </w:tcPr>
          <w:p w:rsidR="00805174" w:rsidRDefault="000A64A3">
            <w:pPr>
              <w:pStyle w:val="TableParagraph"/>
              <w:ind w:right="17"/>
              <w:jc w:val="right"/>
              <w:rPr>
                <w:sz w:val="12"/>
              </w:rPr>
            </w:pPr>
            <w:r>
              <w:rPr>
                <w:sz w:val="12"/>
              </w:rPr>
              <w:t>3.783</w:t>
            </w:r>
          </w:p>
        </w:tc>
      </w:tr>
      <w:tr w:rsidR="00805174">
        <w:trPr>
          <w:trHeight w:hRule="exact" w:val="181"/>
        </w:trPr>
        <w:tc>
          <w:tcPr>
            <w:tcW w:w="5136" w:type="dxa"/>
            <w:gridSpan w:val="4"/>
            <w:tcBorders>
              <w:top w:val="single" w:sz="1" w:space="0" w:color="000000"/>
              <w:bottom w:val="single" w:sz="21" w:space="0" w:color="0C2577"/>
              <w:right w:val="single" w:sz="15" w:space="0" w:color="0C2577"/>
            </w:tcBorders>
            <w:shd w:val="clear" w:color="auto" w:fill="D5E2EE"/>
          </w:tcPr>
          <w:p w:rsidR="00805174" w:rsidRDefault="000A64A3">
            <w:pPr>
              <w:pStyle w:val="TableParagraph"/>
              <w:spacing w:before="5"/>
              <w:ind w:left="2745"/>
              <w:rPr>
                <w:b/>
                <w:sz w:val="12"/>
              </w:rPr>
            </w:pPr>
            <w:r>
              <w:rPr>
                <w:b/>
                <w:sz w:val="12"/>
              </w:rPr>
              <w:t>Adjusted Overall Rating (Rounded):</w:t>
            </w:r>
          </w:p>
        </w:tc>
        <w:tc>
          <w:tcPr>
            <w:tcW w:w="603" w:type="dxa"/>
            <w:tcBorders>
              <w:top w:val="single" w:sz="1" w:space="0" w:color="000000"/>
              <w:left w:val="single" w:sz="15" w:space="0" w:color="0C2577"/>
              <w:bottom w:val="single" w:sz="21" w:space="0" w:color="0C2577"/>
              <w:right w:val="single" w:sz="1" w:space="0" w:color="000000"/>
            </w:tcBorders>
            <w:shd w:val="clear" w:color="auto" w:fill="BFBFBF"/>
          </w:tcPr>
          <w:p w:rsidR="00805174" w:rsidRDefault="00805174"/>
        </w:tc>
        <w:tc>
          <w:tcPr>
            <w:tcW w:w="587" w:type="dxa"/>
            <w:tcBorders>
              <w:top w:val="single" w:sz="1" w:space="0" w:color="000000"/>
              <w:left w:val="single" w:sz="1" w:space="0" w:color="000000"/>
              <w:bottom w:val="single" w:sz="21" w:space="0" w:color="0C2577"/>
            </w:tcBorders>
          </w:tcPr>
          <w:p w:rsidR="00805174" w:rsidRDefault="00805174"/>
        </w:tc>
        <w:tc>
          <w:tcPr>
            <w:tcW w:w="589" w:type="dxa"/>
            <w:tcBorders>
              <w:top w:val="single" w:sz="1" w:space="0" w:color="000000"/>
              <w:bottom w:val="single" w:sz="21" w:space="0" w:color="0C2577"/>
              <w:right w:val="single" w:sz="1" w:space="0" w:color="000000"/>
            </w:tcBorders>
            <w:shd w:val="clear" w:color="auto" w:fill="BFBFBF"/>
          </w:tcPr>
          <w:p w:rsidR="00805174" w:rsidRDefault="00805174"/>
        </w:tc>
        <w:tc>
          <w:tcPr>
            <w:tcW w:w="612" w:type="dxa"/>
            <w:tcBorders>
              <w:top w:val="single" w:sz="1" w:space="0" w:color="000000"/>
              <w:left w:val="single" w:sz="1" w:space="0" w:color="000000"/>
              <w:bottom w:val="single" w:sz="21" w:space="0" w:color="0C2577"/>
              <w:right w:val="single" w:sz="20" w:space="0" w:color="0C2577"/>
            </w:tcBorders>
            <w:shd w:val="clear" w:color="auto" w:fill="9AE01F"/>
          </w:tcPr>
          <w:p w:rsidR="00805174" w:rsidRDefault="000A64A3">
            <w:pPr>
              <w:pStyle w:val="TableParagraph"/>
              <w:spacing w:before="5"/>
              <w:ind w:right="17"/>
              <w:jc w:val="right"/>
              <w:rPr>
                <w:sz w:val="12"/>
              </w:rPr>
            </w:pPr>
            <w:r>
              <w:rPr>
                <w:sz w:val="12"/>
              </w:rPr>
              <w:t>4.00</w:t>
            </w:r>
          </w:p>
        </w:tc>
      </w:tr>
      <w:bookmarkEnd w:id="0"/>
    </w:tbl>
    <w:p w:rsidR="00000000" w:rsidRDefault="000A64A3"/>
    <w:sectPr w:rsidR="00000000">
      <w:footerReference w:type="default" r:id="rId24"/>
      <w:pgSz w:w="12240" w:h="15840"/>
      <w:pgMar w:top="1020" w:right="1720" w:bottom="28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64A3">
      <w:r>
        <w:separator/>
      </w:r>
    </w:p>
  </w:endnote>
  <w:endnote w:type="continuationSeparator" w:id="0">
    <w:p w:rsidR="00000000" w:rsidRDefault="000A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0A64A3">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301.3pt;margin-top:730.25pt;width:9.6pt;height:13.05pt;z-index:-60400;mso-position-horizontal-relative:page;mso-position-vertical-relative:page" filled="f" stroked="f">
          <v:textbox inset="0,0,0,0">
            <w:txbxContent>
              <w:p w:rsidR="00805174" w:rsidRDefault="000A64A3">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0A64A3">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99.45pt;margin-top:730.25pt;width:13.3pt;height:13.05pt;z-index:-60376;mso-position-horizontal-relative:page;mso-position-vertical-relative:page" filled="f" stroked="f">
          <v:textbox inset="0,0,0,0">
            <w:txbxContent>
              <w:p w:rsidR="00805174" w:rsidRDefault="000A64A3">
                <w:pPr>
                  <w:pStyle w:val="BodyText"/>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0A64A3">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98.45pt;margin-top:730.25pt;width:15.3pt;height:13.05pt;z-index:-60352;mso-position-horizontal-relative:page;mso-position-vertical-relative:page" filled="f" stroked="f">
          <v:textbox inset="0,0,0,0">
            <w:txbxContent>
              <w:p w:rsidR="00805174" w:rsidRDefault="000A64A3">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0A64A3">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9.45pt;margin-top:730.25pt;width:13.3pt;height:13.05pt;z-index:-60328;mso-position-horizontal-relative:page;mso-position-vertical-relative:page" filled="f" stroked="f">
          <v:textbox inset="0,0,0,0">
            <w:txbxContent>
              <w:p w:rsidR="00805174" w:rsidRDefault="000A64A3">
                <w:pPr>
                  <w:pStyle w:val="BodyText"/>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0A64A3">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45pt;margin-top:730.25pt;width:15.3pt;height:13.05pt;z-index:-60304;mso-position-horizontal-relative:page;mso-position-vertical-relative:page" filled="f" stroked="f">
          <v:textbox inset="0,0,0,0">
            <w:txbxContent>
              <w:p w:rsidR="00805174" w:rsidRDefault="000A64A3">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0A64A3">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9.45pt;margin-top:730.25pt;width:13.3pt;height:13.05pt;z-index:-60280;mso-position-horizontal-relative:page;mso-position-vertical-relative:page" filled="f" stroked="f">
          <v:textbox inset="0,0,0,0">
            <w:txbxContent>
              <w:p w:rsidR="00805174" w:rsidRDefault="000A64A3">
                <w:pPr>
                  <w:pStyle w:val="BodyText"/>
                  <w:spacing w:line="245" w:lineRule="exact"/>
                  <w:ind w:left="20"/>
                  <w:rPr>
                    <w:rFonts w:ascii="Calibri"/>
                  </w:rPr>
                </w:pPr>
                <w:r>
                  <w:rPr>
                    <w:rFonts w:ascii="Calibri"/>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74" w:rsidRDefault="0080517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64A3">
      <w:r>
        <w:separator/>
      </w:r>
    </w:p>
  </w:footnote>
  <w:footnote w:type="continuationSeparator" w:id="0">
    <w:p w:rsidR="00000000" w:rsidRDefault="000A6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461C"/>
    <w:multiLevelType w:val="hybridMultilevel"/>
    <w:tmpl w:val="D1C4CCC4"/>
    <w:lvl w:ilvl="0" w:tplc="1CFAFDB0">
      <w:numFmt w:val="bullet"/>
      <w:lvlText w:val=""/>
      <w:lvlJc w:val="left"/>
      <w:pPr>
        <w:ind w:left="458" w:hanging="360"/>
      </w:pPr>
      <w:rPr>
        <w:rFonts w:ascii="Symbol" w:eastAsia="Symbol" w:hAnsi="Symbol" w:cs="Symbol" w:hint="default"/>
        <w:w w:val="100"/>
        <w:sz w:val="22"/>
        <w:szCs w:val="22"/>
      </w:rPr>
    </w:lvl>
    <w:lvl w:ilvl="1" w:tplc="F198D72C">
      <w:numFmt w:val="bullet"/>
      <w:lvlText w:val="•"/>
      <w:lvlJc w:val="left"/>
      <w:pPr>
        <w:ind w:left="1105" w:hanging="360"/>
      </w:pPr>
      <w:rPr>
        <w:rFonts w:hint="default"/>
      </w:rPr>
    </w:lvl>
    <w:lvl w:ilvl="2" w:tplc="6E96F2D8">
      <w:numFmt w:val="bullet"/>
      <w:lvlText w:val="•"/>
      <w:lvlJc w:val="left"/>
      <w:pPr>
        <w:ind w:left="1750" w:hanging="360"/>
      </w:pPr>
      <w:rPr>
        <w:rFonts w:hint="default"/>
      </w:rPr>
    </w:lvl>
    <w:lvl w:ilvl="3" w:tplc="F888081C">
      <w:numFmt w:val="bullet"/>
      <w:lvlText w:val="•"/>
      <w:lvlJc w:val="left"/>
      <w:pPr>
        <w:ind w:left="2395" w:hanging="360"/>
      </w:pPr>
      <w:rPr>
        <w:rFonts w:hint="default"/>
      </w:rPr>
    </w:lvl>
    <w:lvl w:ilvl="4" w:tplc="887466C4">
      <w:numFmt w:val="bullet"/>
      <w:lvlText w:val="•"/>
      <w:lvlJc w:val="left"/>
      <w:pPr>
        <w:ind w:left="3040" w:hanging="360"/>
      </w:pPr>
      <w:rPr>
        <w:rFonts w:hint="default"/>
      </w:rPr>
    </w:lvl>
    <w:lvl w:ilvl="5" w:tplc="D704778E">
      <w:numFmt w:val="bullet"/>
      <w:lvlText w:val="•"/>
      <w:lvlJc w:val="left"/>
      <w:pPr>
        <w:ind w:left="3685" w:hanging="360"/>
      </w:pPr>
      <w:rPr>
        <w:rFonts w:hint="default"/>
      </w:rPr>
    </w:lvl>
    <w:lvl w:ilvl="6" w:tplc="F8325606">
      <w:numFmt w:val="bullet"/>
      <w:lvlText w:val="•"/>
      <w:lvlJc w:val="left"/>
      <w:pPr>
        <w:ind w:left="4330" w:hanging="360"/>
      </w:pPr>
      <w:rPr>
        <w:rFonts w:hint="default"/>
      </w:rPr>
    </w:lvl>
    <w:lvl w:ilvl="7" w:tplc="78D025DE">
      <w:numFmt w:val="bullet"/>
      <w:lvlText w:val="•"/>
      <w:lvlJc w:val="left"/>
      <w:pPr>
        <w:ind w:left="4975" w:hanging="360"/>
      </w:pPr>
      <w:rPr>
        <w:rFonts w:hint="default"/>
      </w:rPr>
    </w:lvl>
    <w:lvl w:ilvl="8" w:tplc="0CA46450">
      <w:numFmt w:val="bullet"/>
      <w:lvlText w:val="•"/>
      <w:lvlJc w:val="left"/>
      <w:pPr>
        <w:ind w:left="5620" w:hanging="360"/>
      </w:pPr>
      <w:rPr>
        <w:rFonts w:hint="default"/>
      </w:rPr>
    </w:lvl>
  </w:abstractNum>
  <w:abstractNum w:abstractNumId="1" w15:restartNumberingAfterBreak="0">
    <w:nsid w:val="31AE0D5C"/>
    <w:multiLevelType w:val="hybridMultilevel"/>
    <w:tmpl w:val="86E46E4A"/>
    <w:lvl w:ilvl="0" w:tplc="94DAEA22">
      <w:numFmt w:val="bullet"/>
      <w:lvlText w:val=""/>
      <w:lvlJc w:val="left"/>
      <w:pPr>
        <w:ind w:left="261" w:hanging="164"/>
      </w:pPr>
      <w:rPr>
        <w:rFonts w:ascii="Symbol" w:eastAsia="Symbol" w:hAnsi="Symbol" w:cs="Symbol" w:hint="default"/>
        <w:w w:val="100"/>
        <w:sz w:val="22"/>
        <w:szCs w:val="22"/>
      </w:rPr>
    </w:lvl>
    <w:lvl w:ilvl="1" w:tplc="A58ED49C">
      <w:numFmt w:val="bullet"/>
      <w:lvlText w:val="•"/>
      <w:lvlJc w:val="left"/>
      <w:pPr>
        <w:ind w:left="925" w:hanging="164"/>
      </w:pPr>
      <w:rPr>
        <w:rFonts w:hint="default"/>
      </w:rPr>
    </w:lvl>
    <w:lvl w:ilvl="2" w:tplc="11F0881C">
      <w:numFmt w:val="bullet"/>
      <w:lvlText w:val="•"/>
      <w:lvlJc w:val="left"/>
      <w:pPr>
        <w:ind w:left="1590" w:hanging="164"/>
      </w:pPr>
      <w:rPr>
        <w:rFonts w:hint="default"/>
      </w:rPr>
    </w:lvl>
    <w:lvl w:ilvl="3" w:tplc="FE56C7FC">
      <w:numFmt w:val="bullet"/>
      <w:lvlText w:val="•"/>
      <w:lvlJc w:val="left"/>
      <w:pPr>
        <w:ind w:left="2255" w:hanging="164"/>
      </w:pPr>
      <w:rPr>
        <w:rFonts w:hint="default"/>
      </w:rPr>
    </w:lvl>
    <w:lvl w:ilvl="4" w:tplc="9E0E0B28">
      <w:numFmt w:val="bullet"/>
      <w:lvlText w:val="•"/>
      <w:lvlJc w:val="left"/>
      <w:pPr>
        <w:ind w:left="2920" w:hanging="164"/>
      </w:pPr>
      <w:rPr>
        <w:rFonts w:hint="default"/>
      </w:rPr>
    </w:lvl>
    <w:lvl w:ilvl="5" w:tplc="5170A2A0">
      <w:numFmt w:val="bullet"/>
      <w:lvlText w:val="•"/>
      <w:lvlJc w:val="left"/>
      <w:pPr>
        <w:ind w:left="3585" w:hanging="164"/>
      </w:pPr>
      <w:rPr>
        <w:rFonts w:hint="default"/>
      </w:rPr>
    </w:lvl>
    <w:lvl w:ilvl="6" w:tplc="7A020B76">
      <w:numFmt w:val="bullet"/>
      <w:lvlText w:val="•"/>
      <w:lvlJc w:val="left"/>
      <w:pPr>
        <w:ind w:left="4250" w:hanging="164"/>
      </w:pPr>
      <w:rPr>
        <w:rFonts w:hint="default"/>
      </w:rPr>
    </w:lvl>
    <w:lvl w:ilvl="7" w:tplc="FE440D8A">
      <w:numFmt w:val="bullet"/>
      <w:lvlText w:val="•"/>
      <w:lvlJc w:val="left"/>
      <w:pPr>
        <w:ind w:left="4915" w:hanging="164"/>
      </w:pPr>
      <w:rPr>
        <w:rFonts w:hint="default"/>
      </w:rPr>
    </w:lvl>
    <w:lvl w:ilvl="8" w:tplc="E8E8B656">
      <w:numFmt w:val="bullet"/>
      <w:lvlText w:val="•"/>
      <w:lvlJc w:val="left"/>
      <w:pPr>
        <w:ind w:left="5580" w:hanging="164"/>
      </w:pPr>
      <w:rPr>
        <w:rFonts w:hint="default"/>
      </w:rPr>
    </w:lvl>
  </w:abstractNum>
  <w:abstractNum w:abstractNumId="2" w15:restartNumberingAfterBreak="0">
    <w:nsid w:val="3C426F17"/>
    <w:multiLevelType w:val="hybridMultilevel"/>
    <w:tmpl w:val="1FD474B6"/>
    <w:lvl w:ilvl="0" w:tplc="CCB4C6C2">
      <w:numFmt w:val="bullet"/>
      <w:lvlText w:val=""/>
      <w:lvlJc w:val="left"/>
      <w:pPr>
        <w:ind w:left="820" w:hanging="360"/>
      </w:pPr>
      <w:rPr>
        <w:rFonts w:ascii="Symbol" w:eastAsia="Symbol" w:hAnsi="Symbol" w:cs="Symbol" w:hint="default"/>
        <w:w w:val="100"/>
        <w:sz w:val="22"/>
        <w:szCs w:val="22"/>
      </w:rPr>
    </w:lvl>
    <w:lvl w:ilvl="1" w:tplc="7B6EC58C">
      <w:numFmt w:val="bullet"/>
      <w:lvlText w:val="•"/>
      <w:lvlJc w:val="left"/>
      <w:pPr>
        <w:ind w:left="1696" w:hanging="360"/>
      </w:pPr>
      <w:rPr>
        <w:rFonts w:hint="default"/>
      </w:rPr>
    </w:lvl>
    <w:lvl w:ilvl="2" w:tplc="FDD8DE88">
      <w:numFmt w:val="bullet"/>
      <w:lvlText w:val="•"/>
      <w:lvlJc w:val="left"/>
      <w:pPr>
        <w:ind w:left="2572" w:hanging="360"/>
      </w:pPr>
      <w:rPr>
        <w:rFonts w:hint="default"/>
      </w:rPr>
    </w:lvl>
    <w:lvl w:ilvl="3" w:tplc="8E40ADAE">
      <w:numFmt w:val="bullet"/>
      <w:lvlText w:val="•"/>
      <w:lvlJc w:val="left"/>
      <w:pPr>
        <w:ind w:left="3448" w:hanging="360"/>
      </w:pPr>
      <w:rPr>
        <w:rFonts w:hint="default"/>
      </w:rPr>
    </w:lvl>
    <w:lvl w:ilvl="4" w:tplc="5E1CC000">
      <w:numFmt w:val="bullet"/>
      <w:lvlText w:val="•"/>
      <w:lvlJc w:val="left"/>
      <w:pPr>
        <w:ind w:left="4324" w:hanging="360"/>
      </w:pPr>
      <w:rPr>
        <w:rFonts w:hint="default"/>
      </w:rPr>
    </w:lvl>
    <w:lvl w:ilvl="5" w:tplc="37644EB8">
      <w:numFmt w:val="bullet"/>
      <w:lvlText w:val="•"/>
      <w:lvlJc w:val="left"/>
      <w:pPr>
        <w:ind w:left="5200" w:hanging="360"/>
      </w:pPr>
      <w:rPr>
        <w:rFonts w:hint="default"/>
      </w:rPr>
    </w:lvl>
    <w:lvl w:ilvl="6" w:tplc="4CACEE5C">
      <w:numFmt w:val="bullet"/>
      <w:lvlText w:val="•"/>
      <w:lvlJc w:val="left"/>
      <w:pPr>
        <w:ind w:left="6076" w:hanging="360"/>
      </w:pPr>
      <w:rPr>
        <w:rFonts w:hint="default"/>
      </w:rPr>
    </w:lvl>
    <w:lvl w:ilvl="7" w:tplc="C6AADDE8">
      <w:numFmt w:val="bullet"/>
      <w:lvlText w:val="•"/>
      <w:lvlJc w:val="left"/>
      <w:pPr>
        <w:ind w:left="6952" w:hanging="360"/>
      </w:pPr>
      <w:rPr>
        <w:rFonts w:hint="default"/>
      </w:rPr>
    </w:lvl>
    <w:lvl w:ilvl="8" w:tplc="ABB0061E">
      <w:numFmt w:val="bullet"/>
      <w:lvlText w:val="•"/>
      <w:lvlJc w:val="left"/>
      <w:pPr>
        <w:ind w:left="7828" w:hanging="360"/>
      </w:pPr>
      <w:rPr>
        <w:rFonts w:hint="default"/>
      </w:rPr>
    </w:lvl>
  </w:abstractNum>
  <w:abstractNum w:abstractNumId="3" w15:restartNumberingAfterBreak="0">
    <w:nsid w:val="428E0D38"/>
    <w:multiLevelType w:val="hybridMultilevel"/>
    <w:tmpl w:val="8D2665A6"/>
    <w:lvl w:ilvl="0" w:tplc="108C3F14">
      <w:numFmt w:val="bullet"/>
      <w:lvlText w:val=""/>
      <w:lvlJc w:val="left"/>
      <w:pPr>
        <w:ind w:left="261" w:hanging="164"/>
      </w:pPr>
      <w:rPr>
        <w:rFonts w:ascii="Symbol" w:eastAsia="Symbol" w:hAnsi="Symbol" w:cs="Symbol" w:hint="default"/>
        <w:w w:val="100"/>
        <w:sz w:val="22"/>
        <w:szCs w:val="22"/>
      </w:rPr>
    </w:lvl>
    <w:lvl w:ilvl="1" w:tplc="3AAEADF2">
      <w:numFmt w:val="bullet"/>
      <w:lvlText w:val="o"/>
      <w:lvlJc w:val="left"/>
      <w:pPr>
        <w:ind w:left="621" w:hanging="180"/>
      </w:pPr>
      <w:rPr>
        <w:rFonts w:ascii="Courier New" w:eastAsia="Courier New" w:hAnsi="Courier New" w:cs="Courier New" w:hint="default"/>
        <w:w w:val="100"/>
        <w:sz w:val="22"/>
        <w:szCs w:val="22"/>
      </w:rPr>
    </w:lvl>
    <w:lvl w:ilvl="2" w:tplc="9A8C980A">
      <w:numFmt w:val="bullet"/>
      <w:lvlText w:val="•"/>
      <w:lvlJc w:val="left"/>
      <w:pPr>
        <w:ind w:left="1319" w:hanging="180"/>
      </w:pPr>
      <w:rPr>
        <w:rFonts w:hint="default"/>
      </w:rPr>
    </w:lvl>
    <w:lvl w:ilvl="3" w:tplc="4EDA73B2">
      <w:numFmt w:val="bullet"/>
      <w:lvlText w:val="•"/>
      <w:lvlJc w:val="left"/>
      <w:pPr>
        <w:ind w:left="2018" w:hanging="180"/>
      </w:pPr>
      <w:rPr>
        <w:rFonts w:hint="default"/>
      </w:rPr>
    </w:lvl>
    <w:lvl w:ilvl="4" w:tplc="DC1CD592">
      <w:numFmt w:val="bullet"/>
      <w:lvlText w:val="•"/>
      <w:lvlJc w:val="left"/>
      <w:pPr>
        <w:ind w:left="2717" w:hanging="180"/>
      </w:pPr>
      <w:rPr>
        <w:rFonts w:hint="default"/>
      </w:rPr>
    </w:lvl>
    <w:lvl w:ilvl="5" w:tplc="E2CC5E3A">
      <w:numFmt w:val="bullet"/>
      <w:lvlText w:val="•"/>
      <w:lvlJc w:val="left"/>
      <w:pPr>
        <w:ind w:left="3416" w:hanging="180"/>
      </w:pPr>
      <w:rPr>
        <w:rFonts w:hint="default"/>
      </w:rPr>
    </w:lvl>
    <w:lvl w:ilvl="6" w:tplc="5C98863A">
      <w:numFmt w:val="bullet"/>
      <w:lvlText w:val="•"/>
      <w:lvlJc w:val="left"/>
      <w:pPr>
        <w:ind w:left="4115" w:hanging="180"/>
      </w:pPr>
      <w:rPr>
        <w:rFonts w:hint="default"/>
      </w:rPr>
    </w:lvl>
    <w:lvl w:ilvl="7" w:tplc="E16EFC30">
      <w:numFmt w:val="bullet"/>
      <w:lvlText w:val="•"/>
      <w:lvlJc w:val="left"/>
      <w:pPr>
        <w:ind w:left="4814" w:hanging="180"/>
      </w:pPr>
      <w:rPr>
        <w:rFonts w:hint="default"/>
      </w:rPr>
    </w:lvl>
    <w:lvl w:ilvl="8" w:tplc="5344D710">
      <w:numFmt w:val="bullet"/>
      <w:lvlText w:val="•"/>
      <w:lvlJc w:val="left"/>
      <w:pPr>
        <w:ind w:left="5513" w:hanging="180"/>
      </w:pPr>
      <w:rPr>
        <w:rFonts w:hint="default"/>
      </w:rPr>
    </w:lvl>
  </w:abstractNum>
  <w:abstractNum w:abstractNumId="4" w15:restartNumberingAfterBreak="0">
    <w:nsid w:val="4C60506A"/>
    <w:multiLevelType w:val="hybridMultilevel"/>
    <w:tmpl w:val="8CC60C78"/>
    <w:lvl w:ilvl="0" w:tplc="92F2DA72">
      <w:numFmt w:val="bullet"/>
      <w:lvlText w:val=""/>
      <w:lvlJc w:val="left"/>
      <w:pPr>
        <w:ind w:left="261" w:hanging="164"/>
      </w:pPr>
      <w:rPr>
        <w:rFonts w:ascii="Symbol" w:eastAsia="Symbol" w:hAnsi="Symbol" w:cs="Symbol" w:hint="default"/>
        <w:w w:val="100"/>
        <w:sz w:val="22"/>
        <w:szCs w:val="22"/>
      </w:rPr>
    </w:lvl>
    <w:lvl w:ilvl="1" w:tplc="F4645348">
      <w:numFmt w:val="bullet"/>
      <w:lvlText w:val="•"/>
      <w:lvlJc w:val="left"/>
      <w:pPr>
        <w:ind w:left="925" w:hanging="164"/>
      </w:pPr>
      <w:rPr>
        <w:rFonts w:hint="default"/>
      </w:rPr>
    </w:lvl>
    <w:lvl w:ilvl="2" w:tplc="5234F290">
      <w:numFmt w:val="bullet"/>
      <w:lvlText w:val="•"/>
      <w:lvlJc w:val="left"/>
      <w:pPr>
        <w:ind w:left="1590" w:hanging="164"/>
      </w:pPr>
      <w:rPr>
        <w:rFonts w:hint="default"/>
      </w:rPr>
    </w:lvl>
    <w:lvl w:ilvl="3" w:tplc="21D69A00">
      <w:numFmt w:val="bullet"/>
      <w:lvlText w:val="•"/>
      <w:lvlJc w:val="left"/>
      <w:pPr>
        <w:ind w:left="2255" w:hanging="164"/>
      </w:pPr>
      <w:rPr>
        <w:rFonts w:hint="default"/>
      </w:rPr>
    </w:lvl>
    <w:lvl w:ilvl="4" w:tplc="5A82A6D4">
      <w:numFmt w:val="bullet"/>
      <w:lvlText w:val="•"/>
      <w:lvlJc w:val="left"/>
      <w:pPr>
        <w:ind w:left="2920" w:hanging="164"/>
      </w:pPr>
      <w:rPr>
        <w:rFonts w:hint="default"/>
      </w:rPr>
    </w:lvl>
    <w:lvl w:ilvl="5" w:tplc="B07E62FE">
      <w:numFmt w:val="bullet"/>
      <w:lvlText w:val="•"/>
      <w:lvlJc w:val="left"/>
      <w:pPr>
        <w:ind w:left="3585" w:hanging="164"/>
      </w:pPr>
      <w:rPr>
        <w:rFonts w:hint="default"/>
      </w:rPr>
    </w:lvl>
    <w:lvl w:ilvl="6" w:tplc="457E4042">
      <w:numFmt w:val="bullet"/>
      <w:lvlText w:val="•"/>
      <w:lvlJc w:val="left"/>
      <w:pPr>
        <w:ind w:left="4250" w:hanging="164"/>
      </w:pPr>
      <w:rPr>
        <w:rFonts w:hint="default"/>
      </w:rPr>
    </w:lvl>
    <w:lvl w:ilvl="7" w:tplc="791A5E1A">
      <w:numFmt w:val="bullet"/>
      <w:lvlText w:val="•"/>
      <w:lvlJc w:val="left"/>
      <w:pPr>
        <w:ind w:left="4915" w:hanging="164"/>
      </w:pPr>
      <w:rPr>
        <w:rFonts w:hint="default"/>
      </w:rPr>
    </w:lvl>
    <w:lvl w:ilvl="8" w:tplc="6CF423CC">
      <w:numFmt w:val="bullet"/>
      <w:lvlText w:val="•"/>
      <w:lvlJc w:val="left"/>
      <w:pPr>
        <w:ind w:left="5580" w:hanging="164"/>
      </w:pPr>
      <w:rPr>
        <w:rFonts w:hint="default"/>
      </w:rPr>
    </w:lvl>
  </w:abstractNum>
  <w:abstractNum w:abstractNumId="5" w15:restartNumberingAfterBreak="0">
    <w:nsid w:val="4C673FDA"/>
    <w:multiLevelType w:val="hybridMultilevel"/>
    <w:tmpl w:val="9544B54E"/>
    <w:lvl w:ilvl="0" w:tplc="FE4C3CB4">
      <w:numFmt w:val="bullet"/>
      <w:lvlText w:val=""/>
      <w:lvlJc w:val="left"/>
      <w:pPr>
        <w:ind w:left="820" w:hanging="360"/>
      </w:pPr>
      <w:rPr>
        <w:rFonts w:ascii="Symbol" w:eastAsia="Symbol" w:hAnsi="Symbol" w:cs="Symbol" w:hint="default"/>
        <w:w w:val="100"/>
        <w:sz w:val="22"/>
        <w:szCs w:val="22"/>
      </w:rPr>
    </w:lvl>
    <w:lvl w:ilvl="1" w:tplc="10FA852C">
      <w:numFmt w:val="bullet"/>
      <w:lvlText w:val="•"/>
      <w:lvlJc w:val="left"/>
      <w:pPr>
        <w:ind w:left="1696" w:hanging="360"/>
      </w:pPr>
      <w:rPr>
        <w:rFonts w:hint="default"/>
      </w:rPr>
    </w:lvl>
    <w:lvl w:ilvl="2" w:tplc="6734B5FA">
      <w:numFmt w:val="bullet"/>
      <w:lvlText w:val="•"/>
      <w:lvlJc w:val="left"/>
      <w:pPr>
        <w:ind w:left="2572" w:hanging="360"/>
      </w:pPr>
      <w:rPr>
        <w:rFonts w:hint="default"/>
      </w:rPr>
    </w:lvl>
    <w:lvl w:ilvl="3" w:tplc="BD609098">
      <w:numFmt w:val="bullet"/>
      <w:lvlText w:val="•"/>
      <w:lvlJc w:val="left"/>
      <w:pPr>
        <w:ind w:left="3448" w:hanging="360"/>
      </w:pPr>
      <w:rPr>
        <w:rFonts w:hint="default"/>
      </w:rPr>
    </w:lvl>
    <w:lvl w:ilvl="4" w:tplc="97E00B90">
      <w:numFmt w:val="bullet"/>
      <w:lvlText w:val="•"/>
      <w:lvlJc w:val="left"/>
      <w:pPr>
        <w:ind w:left="4324" w:hanging="360"/>
      </w:pPr>
      <w:rPr>
        <w:rFonts w:hint="default"/>
      </w:rPr>
    </w:lvl>
    <w:lvl w:ilvl="5" w:tplc="E262779E">
      <w:numFmt w:val="bullet"/>
      <w:lvlText w:val="•"/>
      <w:lvlJc w:val="left"/>
      <w:pPr>
        <w:ind w:left="5200" w:hanging="360"/>
      </w:pPr>
      <w:rPr>
        <w:rFonts w:hint="default"/>
      </w:rPr>
    </w:lvl>
    <w:lvl w:ilvl="6" w:tplc="4F282836">
      <w:numFmt w:val="bullet"/>
      <w:lvlText w:val="•"/>
      <w:lvlJc w:val="left"/>
      <w:pPr>
        <w:ind w:left="6076" w:hanging="360"/>
      </w:pPr>
      <w:rPr>
        <w:rFonts w:hint="default"/>
      </w:rPr>
    </w:lvl>
    <w:lvl w:ilvl="7" w:tplc="E2160624">
      <w:numFmt w:val="bullet"/>
      <w:lvlText w:val="•"/>
      <w:lvlJc w:val="left"/>
      <w:pPr>
        <w:ind w:left="6952" w:hanging="360"/>
      </w:pPr>
      <w:rPr>
        <w:rFonts w:hint="default"/>
      </w:rPr>
    </w:lvl>
    <w:lvl w:ilvl="8" w:tplc="DA906A9A">
      <w:numFmt w:val="bullet"/>
      <w:lvlText w:val="•"/>
      <w:lvlJc w:val="left"/>
      <w:pPr>
        <w:ind w:left="7828" w:hanging="360"/>
      </w:pPr>
      <w:rPr>
        <w:rFonts w:hint="default"/>
      </w:rPr>
    </w:lvl>
  </w:abstractNum>
  <w:abstractNum w:abstractNumId="6" w15:restartNumberingAfterBreak="0">
    <w:nsid w:val="572A35BB"/>
    <w:multiLevelType w:val="hybridMultilevel"/>
    <w:tmpl w:val="0922B5F4"/>
    <w:lvl w:ilvl="0" w:tplc="F8E8649A">
      <w:start w:val="1"/>
      <w:numFmt w:val="decimal"/>
      <w:lvlText w:val="%1)"/>
      <w:lvlJc w:val="left"/>
      <w:pPr>
        <w:ind w:left="100" w:hanging="250"/>
        <w:jc w:val="left"/>
      </w:pPr>
      <w:rPr>
        <w:rFonts w:ascii="Times New Roman" w:eastAsia="Times New Roman" w:hAnsi="Times New Roman" w:cs="Times New Roman" w:hint="default"/>
        <w:w w:val="100"/>
        <w:sz w:val="22"/>
        <w:szCs w:val="22"/>
      </w:rPr>
    </w:lvl>
    <w:lvl w:ilvl="1" w:tplc="05503736">
      <w:numFmt w:val="bullet"/>
      <w:lvlText w:val=""/>
      <w:lvlJc w:val="left"/>
      <w:pPr>
        <w:ind w:left="820" w:hanging="360"/>
      </w:pPr>
      <w:rPr>
        <w:rFonts w:ascii="Symbol" w:eastAsia="Symbol" w:hAnsi="Symbol" w:cs="Symbol" w:hint="default"/>
        <w:w w:val="100"/>
        <w:sz w:val="22"/>
        <w:szCs w:val="22"/>
      </w:rPr>
    </w:lvl>
    <w:lvl w:ilvl="2" w:tplc="6FB8655E">
      <w:numFmt w:val="bullet"/>
      <w:lvlText w:val="•"/>
      <w:lvlJc w:val="left"/>
      <w:pPr>
        <w:ind w:left="1793" w:hanging="360"/>
      </w:pPr>
      <w:rPr>
        <w:rFonts w:hint="default"/>
      </w:rPr>
    </w:lvl>
    <w:lvl w:ilvl="3" w:tplc="40F2DB76">
      <w:numFmt w:val="bullet"/>
      <w:lvlText w:val="•"/>
      <w:lvlJc w:val="left"/>
      <w:pPr>
        <w:ind w:left="2766" w:hanging="360"/>
      </w:pPr>
      <w:rPr>
        <w:rFonts w:hint="default"/>
      </w:rPr>
    </w:lvl>
    <w:lvl w:ilvl="4" w:tplc="BF9C40C2">
      <w:numFmt w:val="bullet"/>
      <w:lvlText w:val="•"/>
      <w:lvlJc w:val="left"/>
      <w:pPr>
        <w:ind w:left="3740" w:hanging="360"/>
      </w:pPr>
      <w:rPr>
        <w:rFonts w:hint="default"/>
      </w:rPr>
    </w:lvl>
    <w:lvl w:ilvl="5" w:tplc="B3262958">
      <w:numFmt w:val="bullet"/>
      <w:lvlText w:val="•"/>
      <w:lvlJc w:val="left"/>
      <w:pPr>
        <w:ind w:left="4713" w:hanging="360"/>
      </w:pPr>
      <w:rPr>
        <w:rFonts w:hint="default"/>
      </w:rPr>
    </w:lvl>
    <w:lvl w:ilvl="6" w:tplc="6F7E98CA">
      <w:numFmt w:val="bullet"/>
      <w:lvlText w:val="•"/>
      <w:lvlJc w:val="left"/>
      <w:pPr>
        <w:ind w:left="5686" w:hanging="360"/>
      </w:pPr>
      <w:rPr>
        <w:rFonts w:hint="default"/>
      </w:rPr>
    </w:lvl>
    <w:lvl w:ilvl="7" w:tplc="F5D21E54">
      <w:numFmt w:val="bullet"/>
      <w:lvlText w:val="•"/>
      <w:lvlJc w:val="left"/>
      <w:pPr>
        <w:ind w:left="6660" w:hanging="360"/>
      </w:pPr>
      <w:rPr>
        <w:rFonts w:hint="default"/>
      </w:rPr>
    </w:lvl>
    <w:lvl w:ilvl="8" w:tplc="CADAC484">
      <w:numFmt w:val="bullet"/>
      <w:lvlText w:val="•"/>
      <w:lvlJc w:val="left"/>
      <w:pPr>
        <w:ind w:left="7633" w:hanging="360"/>
      </w:pPr>
      <w:rPr>
        <w:rFonts w:hint="default"/>
      </w:rPr>
    </w:lvl>
  </w:abstractNum>
  <w:abstractNum w:abstractNumId="7" w15:restartNumberingAfterBreak="0">
    <w:nsid w:val="57481EC8"/>
    <w:multiLevelType w:val="hybridMultilevel"/>
    <w:tmpl w:val="1D104654"/>
    <w:lvl w:ilvl="0" w:tplc="7A4C3662">
      <w:numFmt w:val="bullet"/>
      <w:lvlText w:val=""/>
      <w:lvlJc w:val="left"/>
      <w:pPr>
        <w:ind w:left="261" w:hanging="164"/>
      </w:pPr>
      <w:rPr>
        <w:rFonts w:ascii="Symbol" w:eastAsia="Symbol" w:hAnsi="Symbol" w:cs="Symbol" w:hint="default"/>
        <w:w w:val="100"/>
        <w:sz w:val="22"/>
        <w:szCs w:val="22"/>
      </w:rPr>
    </w:lvl>
    <w:lvl w:ilvl="1" w:tplc="9E2EF9F0">
      <w:numFmt w:val="bullet"/>
      <w:lvlText w:val="•"/>
      <w:lvlJc w:val="left"/>
      <w:pPr>
        <w:ind w:left="925" w:hanging="164"/>
      </w:pPr>
      <w:rPr>
        <w:rFonts w:hint="default"/>
      </w:rPr>
    </w:lvl>
    <w:lvl w:ilvl="2" w:tplc="016A76E0">
      <w:numFmt w:val="bullet"/>
      <w:lvlText w:val="•"/>
      <w:lvlJc w:val="left"/>
      <w:pPr>
        <w:ind w:left="1590" w:hanging="164"/>
      </w:pPr>
      <w:rPr>
        <w:rFonts w:hint="default"/>
      </w:rPr>
    </w:lvl>
    <w:lvl w:ilvl="3" w:tplc="0E3EC816">
      <w:numFmt w:val="bullet"/>
      <w:lvlText w:val="•"/>
      <w:lvlJc w:val="left"/>
      <w:pPr>
        <w:ind w:left="2255" w:hanging="164"/>
      </w:pPr>
      <w:rPr>
        <w:rFonts w:hint="default"/>
      </w:rPr>
    </w:lvl>
    <w:lvl w:ilvl="4" w:tplc="A2BEE8D0">
      <w:numFmt w:val="bullet"/>
      <w:lvlText w:val="•"/>
      <w:lvlJc w:val="left"/>
      <w:pPr>
        <w:ind w:left="2920" w:hanging="164"/>
      </w:pPr>
      <w:rPr>
        <w:rFonts w:hint="default"/>
      </w:rPr>
    </w:lvl>
    <w:lvl w:ilvl="5" w:tplc="295C3ACC">
      <w:numFmt w:val="bullet"/>
      <w:lvlText w:val="•"/>
      <w:lvlJc w:val="left"/>
      <w:pPr>
        <w:ind w:left="3585" w:hanging="164"/>
      </w:pPr>
      <w:rPr>
        <w:rFonts w:hint="default"/>
      </w:rPr>
    </w:lvl>
    <w:lvl w:ilvl="6" w:tplc="15F8090A">
      <w:numFmt w:val="bullet"/>
      <w:lvlText w:val="•"/>
      <w:lvlJc w:val="left"/>
      <w:pPr>
        <w:ind w:left="4250" w:hanging="164"/>
      </w:pPr>
      <w:rPr>
        <w:rFonts w:hint="default"/>
      </w:rPr>
    </w:lvl>
    <w:lvl w:ilvl="7" w:tplc="418E5D74">
      <w:numFmt w:val="bullet"/>
      <w:lvlText w:val="•"/>
      <w:lvlJc w:val="left"/>
      <w:pPr>
        <w:ind w:left="4915" w:hanging="164"/>
      </w:pPr>
      <w:rPr>
        <w:rFonts w:hint="default"/>
      </w:rPr>
    </w:lvl>
    <w:lvl w:ilvl="8" w:tplc="C7E8B46A">
      <w:numFmt w:val="bullet"/>
      <w:lvlText w:val="•"/>
      <w:lvlJc w:val="left"/>
      <w:pPr>
        <w:ind w:left="5580" w:hanging="164"/>
      </w:pPr>
      <w:rPr>
        <w:rFonts w:hint="default"/>
      </w:rPr>
    </w:lvl>
  </w:abstractNum>
  <w:abstractNum w:abstractNumId="8" w15:restartNumberingAfterBreak="0">
    <w:nsid w:val="623142A8"/>
    <w:multiLevelType w:val="hybridMultilevel"/>
    <w:tmpl w:val="EB943056"/>
    <w:lvl w:ilvl="0" w:tplc="C4D0FF72">
      <w:numFmt w:val="bullet"/>
      <w:lvlText w:val=""/>
      <w:lvlJc w:val="left"/>
      <w:pPr>
        <w:ind w:left="261" w:hanging="164"/>
      </w:pPr>
      <w:rPr>
        <w:rFonts w:ascii="Symbol" w:eastAsia="Symbol" w:hAnsi="Symbol" w:cs="Symbol" w:hint="default"/>
        <w:w w:val="100"/>
        <w:sz w:val="22"/>
        <w:szCs w:val="22"/>
      </w:rPr>
    </w:lvl>
    <w:lvl w:ilvl="1" w:tplc="4B1A7B6A">
      <w:numFmt w:val="bullet"/>
      <w:lvlText w:val="o"/>
      <w:lvlJc w:val="left"/>
      <w:pPr>
        <w:ind w:left="621" w:hanging="180"/>
      </w:pPr>
      <w:rPr>
        <w:rFonts w:ascii="Courier New" w:eastAsia="Courier New" w:hAnsi="Courier New" w:cs="Courier New" w:hint="default"/>
        <w:w w:val="100"/>
        <w:sz w:val="22"/>
        <w:szCs w:val="22"/>
      </w:rPr>
    </w:lvl>
    <w:lvl w:ilvl="2" w:tplc="1C3EF53E">
      <w:numFmt w:val="bullet"/>
      <w:lvlText w:val="–"/>
      <w:lvlJc w:val="left"/>
      <w:pPr>
        <w:ind w:left="981" w:hanging="180"/>
      </w:pPr>
      <w:rPr>
        <w:rFonts w:ascii="Calibri" w:eastAsia="Calibri" w:hAnsi="Calibri" w:cs="Calibri" w:hint="default"/>
        <w:w w:val="100"/>
        <w:sz w:val="22"/>
        <w:szCs w:val="22"/>
      </w:rPr>
    </w:lvl>
    <w:lvl w:ilvl="3" w:tplc="ECCA9D2E">
      <w:numFmt w:val="bullet"/>
      <w:lvlText w:val="•"/>
      <w:lvlJc w:val="left"/>
      <w:pPr>
        <w:ind w:left="1721" w:hanging="180"/>
      </w:pPr>
      <w:rPr>
        <w:rFonts w:hint="default"/>
      </w:rPr>
    </w:lvl>
    <w:lvl w:ilvl="4" w:tplc="5B3A4972">
      <w:numFmt w:val="bullet"/>
      <w:lvlText w:val="•"/>
      <w:lvlJc w:val="left"/>
      <w:pPr>
        <w:ind w:left="2462" w:hanging="180"/>
      </w:pPr>
      <w:rPr>
        <w:rFonts w:hint="default"/>
      </w:rPr>
    </w:lvl>
    <w:lvl w:ilvl="5" w:tplc="0A6C0B42">
      <w:numFmt w:val="bullet"/>
      <w:lvlText w:val="•"/>
      <w:lvlJc w:val="left"/>
      <w:pPr>
        <w:ind w:left="3204" w:hanging="180"/>
      </w:pPr>
      <w:rPr>
        <w:rFonts w:hint="default"/>
      </w:rPr>
    </w:lvl>
    <w:lvl w:ilvl="6" w:tplc="4E92AD2E">
      <w:numFmt w:val="bullet"/>
      <w:lvlText w:val="•"/>
      <w:lvlJc w:val="left"/>
      <w:pPr>
        <w:ind w:left="3945" w:hanging="180"/>
      </w:pPr>
      <w:rPr>
        <w:rFonts w:hint="default"/>
      </w:rPr>
    </w:lvl>
    <w:lvl w:ilvl="7" w:tplc="562EA8B2">
      <w:numFmt w:val="bullet"/>
      <w:lvlText w:val="•"/>
      <w:lvlJc w:val="left"/>
      <w:pPr>
        <w:ind w:left="4686" w:hanging="180"/>
      </w:pPr>
      <w:rPr>
        <w:rFonts w:hint="default"/>
      </w:rPr>
    </w:lvl>
    <w:lvl w:ilvl="8" w:tplc="62584C76">
      <w:numFmt w:val="bullet"/>
      <w:lvlText w:val="•"/>
      <w:lvlJc w:val="left"/>
      <w:pPr>
        <w:ind w:left="5428" w:hanging="180"/>
      </w:pPr>
      <w:rPr>
        <w:rFonts w:hint="default"/>
      </w:rPr>
    </w:lvl>
  </w:abstractNum>
  <w:abstractNum w:abstractNumId="9" w15:restartNumberingAfterBreak="0">
    <w:nsid w:val="774B389C"/>
    <w:multiLevelType w:val="hybridMultilevel"/>
    <w:tmpl w:val="ED1A8EF4"/>
    <w:lvl w:ilvl="0" w:tplc="8B24651E">
      <w:start w:val="1"/>
      <w:numFmt w:val="upperRoman"/>
      <w:lvlText w:val="%1."/>
      <w:lvlJc w:val="left"/>
      <w:pPr>
        <w:ind w:left="296" w:hanging="197"/>
        <w:jc w:val="left"/>
      </w:pPr>
      <w:rPr>
        <w:rFonts w:ascii="Times New Roman" w:eastAsia="Times New Roman" w:hAnsi="Times New Roman" w:cs="Times New Roman" w:hint="default"/>
        <w:b/>
        <w:bCs/>
        <w:w w:val="100"/>
        <w:sz w:val="22"/>
        <w:szCs w:val="22"/>
      </w:rPr>
    </w:lvl>
    <w:lvl w:ilvl="1" w:tplc="9ED6E47A">
      <w:start w:val="1"/>
      <w:numFmt w:val="decimal"/>
      <w:lvlText w:val="%2)"/>
      <w:lvlJc w:val="left"/>
      <w:pPr>
        <w:ind w:left="820" w:hanging="360"/>
        <w:jc w:val="left"/>
      </w:pPr>
      <w:rPr>
        <w:rFonts w:ascii="Times New Roman" w:eastAsia="Times New Roman" w:hAnsi="Times New Roman" w:cs="Times New Roman" w:hint="default"/>
        <w:w w:val="100"/>
        <w:sz w:val="22"/>
        <w:szCs w:val="22"/>
      </w:rPr>
    </w:lvl>
    <w:lvl w:ilvl="2" w:tplc="A082123A">
      <w:numFmt w:val="bullet"/>
      <w:lvlText w:val="•"/>
      <w:lvlJc w:val="left"/>
      <w:pPr>
        <w:ind w:left="1793" w:hanging="360"/>
      </w:pPr>
      <w:rPr>
        <w:rFonts w:hint="default"/>
      </w:rPr>
    </w:lvl>
    <w:lvl w:ilvl="3" w:tplc="B0D8C4CE">
      <w:numFmt w:val="bullet"/>
      <w:lvlText w:val="•"/>
      <w:lvlJc w:val="left"/>
      <w:pPr>
        <w:ind w:left="2766" w:hanging="360"/>
      </w:pPr>
      <w:rPr>
        <w:rFonts w:hint="default"/>
      </w:rPr>
    </w:lvl>
    <w:lvl w:ilvl="4" w:tplc="B6B6FADE">
      <w:numFmt w:val="bullet"/>
      <w:lvlText w:val="•"/>
      <w:lvlJc w:val="left"/>
      <w:pPr>
        <w:ind w:left="3740" w:hanging="360"/>
      </w:pPr>
      <w:rPr>
        <w:rFonts w:hint="default"/>
      </w:rPr>
    </w:lvl>
    <w:lvl w:ilvl="5" w:tplc="B49413BE">
      <w:numFmt w:val="bullet"/>
      <w:lvlText w:val="•"/>
      <w:lvlJc w:val="left"/>
      <w:pPr>
        <w:ind w:left="4713" w:hanging="360"/>
      </w:pPr>
      <w:rPr>
        <w:rFonts w:hint="default"/>
      </w:rPr>
    </w:lvl>
    <w:lvl w:ilvl="6" w:tplc="E6F60F02">
      <w:numFmt w:val="bullet"/>
      <w:lvlText w:val="•"/>
      <w:lvlJc w:val="left"/>
      <w:pPr>
        <w:ind w:left="5686" w:hanging="360"/>
      </w:pPr>
      <w:rPr>
        <w:rFonts w:hint="default"/>
      </w:rPr>
    </w:lvl>
    <w:lvl w:ilvl="7" w:tplc="1486DAE6">
      <w:numFmt w:val="bullet"/>
      <w:lvlText w:val="•"/>
      <w:lvlJc w:val="left"/>
      <w:pPr>
        <w:ind w:left="6660" w:hanging="360"/>
      </w:pPr>
      <w:rPr>
        <w:rFonts w:hint="default"/>
      </w:rPr>
    </w:lvl>
    <w:lvl w:ilvl="8" w:tplc="3CDC21D2">
      <w:numFmt w:val="bullet"/>
      <w:lvlText w:val="•"/>
      <w:lvlJc w:val="left"/>
      <w:pPr>
        <w:ind w:left="7633" w:hanging="360"/>
      </w:pPr>
      <w:rPr>
        <w:rFonts w:hint="default"/>
      </w:rPr>
    </w:lvl>
  </w:abstractNum>
  <w:abstractNum w:abstractNumId="10" w15:restartNumberingAfterBreak="0">
    <w:nsid w:val="7FA531BB"/>
    <w:multiLevelType w:val="hybridMultilevel"/>
    <w:tmpl w:val="363856D6"/>
    <w:lvl w:ilvl="0" w:tplc="AAC28062">
      <w:start w:val="2"/>
      <w:numFmt w:val="upperRoman"/>
      <w:lvlText w:val="%1."/>
      <w:lvlJc w:val="left"/>
      <w:pPr>
        <w:ind w:left="383" w:hanging="284"/>
        <w:jc w:val="left"/>
      </w:pPr>
      <w:rPr>
        <w:rFonts w:ascii="Times New Roman" w:eastAsia="Times New Roman" w:hAnsi="Times New Roman" w:cs="Times New Roman" w:hint="default"/>
        <w:b/>
        <w:bCs/>
        <w:w w:val="100"/>
        <w:sz w:val="22"/>
        <w:szCs w:val="22"/>
      </w:rPr>
    </w:lvl>
    <w:lvl w:ilvl="1" w:tplc="96688BC4">
      <w:numFmt w:val="bullet"/>
      <w:lvlText w:val=""/>
      <w:lvlJc w:val="left"/>
      <w:pPr>
        <w:ind w:left="820" w:hanging="360"/>
      </w:pPr>
      <w:rPr>
        <w:rFonts w:ascii="Symbol" w:eastAsia="Symbol" w:hAnsi="Symbol" w:cs="Symbol" w:hint="default"/>
        <w:w w:val="100"/>
        <w:sz w:val="22"/>
        <w:szCs w:val="22"/>
      </w:rPr>
    </w:lvl>
    <w:lvl w:ilvl="2" w:tplc="6302BEC8">
      <w:numFmt w:val="bullet"/>
      <w:lvlText w:val="•"/>
      <w:lvlJc w:val="left"/>
      <w:pPr>
        <w:ind w:left="1793" w:hanging="360"/>
      </w:pPr>
      <w:rPr>
        <w:rFonts w:hint="default"/>
      </w:rPr>
    </w:lvl>
    <w:lvl w:ilvl="3" w:tplc="78A48DE0">
      <w:numFmt w:val="bullet"/>
      <w:lvlText w:val="•"/>
      <w:lvlJc w:val="left"/>
      <w:pPr>
        <w:ind w:left="2766" w:hanging="360"/>
      </w:pPr>
      <w:rPr>
        <w:rFonts w:hint="default"/>
      </w:rPr>
    </w:lvl>
    <w:lvl w:ilvl="4" w:tplc="35D208E2">
      <w:numFmt w:val="bullet"/>
      <w:lvlText w:val="•"/>
      <w:lvlJc w:val="left"/>
      <w:pPr>
        <w:ind w:left="3740" w:hanging="360"/>
      </w:pPr>
      <w:rPr>
        <w:rFonts w:hint="default"/>
      </w:rPr>
    </w:lvl>
    <w:lvl w:ilvl="5" w:tplc="4492FFDA">
      <w:numFmt w:val="bullet"/>
      <w:lvlText w:val="•"/>
      <w:lvlJc w:val="left"/>
      <w:pPr>
        <w:ind w:left="4713" w:hanging="360"/>
      </w:pPr>
      <w:rPr>
        <w:rFonts w:hint="default"/>
      </w:rPr>
    </w:lvl>
    <w:lvl w:ilvl="6" w:tplc="E6ACFC74">
      <w:numFmt w:val="bullet"/>
      <w:lvlText w:val="•"/>
      <w:lvlJc w:val="left"/>
      <w:pPr>
        <w:ind w:left="5686" w:hanging="360"/>
      </w:pPr>
      <w:rPr>
        <w:rFonts w:hint="default"/>
      </w:rPr>
    </w:lvl>
    <w:lvl w:ilvl="7" w:tplc="AFC0E2B4">
      <w:numFmt w:val="bullet"/>
      <w:lvlText w:val="•"/>
      <w:lvlJc w:val="left"/>
      <w:pPr>
        <w:ind w:left="6660" w:hanging="360"/>
      </w:pPr>
      <w:rPr>
        <w:rFonts w:hint="default"/>
      </w:rPr>
    </w:lvl>
    <w:lvl w:ilvl="8" w:tplc="A00EE6B0">
      <w:numFmt w:val="bullet"/>
      <w:lvlText w:val="•"/>
      <w:lvlJc w:val="left"/>
      <w:pPr>
        <w:ind w:left="7633" w:hanging="360"/>
      </w:pPr>
      <w:rPr>
        <w:rFonts w:hint="default"/>
      </w:rPr>
    </w:lvl>
  </w:abstractNum>
  <w:num w:numId="1">
    <w:abstractNumId w:val="1"/>
  </w:num>
  <w:num w:numId="2">
    <w:abstractNumId w:val="3"/>
  </w:num>
  <w:num w:numId="3">
    <w:abstractNumId w:val="0"/>
  </w:num>
  <w:num w:numId="4">
    <w:abstractNumId w:val="7"/>
  </w:num>
  <w:num w:numId="5">
    <w:abstractNumId w:val="8"/>
  </w:num>
  <w:num w:numId="6">
    <w:abstractNumId w:val="4"/>
  </w:num>
  <w:num w:numId="7">
    <w:abstractNumId w:val="6"/>
  </w:num>
  <w:num w:numId="8">
    <w:abstractNumId w:val="2"/>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05174"/>
    <w:rsid w:val="000A64A3"/>
    <w:rsid w:val="0080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BBCE12CE-C0DE-4BBA-B696-F3833384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3"/>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medicare.gov/" TargetMode="Externa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Leah.Hirsch@Anthem.com" TargetMode="External"/><Relationship Id="rId7" Type="http://schemas.openxmlformats.org/officeDocument/2006/relationships/image" Target="media/image1.png"/><Relationship Id="rId12" Type="http://schemas.openxmlformats.org/officeDocument/2006/relationships/hyperlink" Target="http://www.gao.gov/assets/690/682145.pdf" TargetMode="External"/><Relationship Id="rId17" Type="http://schemas.openxmlformats.org/officeDocument/2006/relationships/hyperlink" Target="http://www.phe.gov/emergency/news/healthactions/section1135/Pages/cawildfi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ema.gov/disaster/3396)" TargetMode="External"/><Relationship Id="rId20" Type="http://schemas.openxmlformats.org/officeDocument/2006/relationships/hyperlink" Target="mailto:Danielle.Horne@Anthe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o.gov/assets/670/665142.pdf" TargetMode="Externa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antheminc.com/companies" TargetMode="External"/><Relationship Id="rId14" Type="http://schemas.openxmlformats.org/officeDocument/2006/relationships/footer" Target="footer2.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17662</Words>
  <Characters>97723</Characters>
  <Application>Microsoft Office Word</Application>
  <DocSecurity>0</DocSecurity>
  <Lines>2123</Lines>
  <Paragraphs>681</Paragraphs>
  <ScaleCrop>false</ScaleCrop>
  <Company>CMS</Company>
  <LinksUpToDate>false</LinksUpToDate>
  <CharactersWithSpaces>114706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Creator">
    <vt:lpwstr>Aspose Ltd.</vt:lpwstr>
  </property>
  <property fmtid="{D5CDD505-2E9C-101B-9397-08002B2CF9AE}" pid="4" name="LastSaved">
    <vt:filetime>2018-06-13T00:00:00Z</vt:filetime>
  </property>
</Properties>
</file>