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230F" w:rsidRDefault="00B01A33">
      <w:pPr>
        <w:pStyle w:val="BodyText"/>
        <w:jc w:val="left"/>
        <w:rPr>
          <w:sz w:val="20"/>
        </w:rPr>
      </w:pPr>
      <w:r>
        <w:rPr>
          <w:noProof/>
          <w:sz w:val="20"/>
        </w:rPr>
        <w:drawing>
          <wp:inline distT="0" distB="0" distL="0" distR="0">
            <wp:extent cx="5907796" cy="97631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907796" cy="976312"/>
                    </a:xfrm>
                    <a:prstGeom prst="rect">
                      <a:avLst/>
                    </a:prstGeom>
                  </pic:spPr>
                </pic:pic>
              </a:graphicData>
            </a:graphic>
          </wp:inline>
        </w:drawing>
      </w:r>
    </w:p>
    <w:p w:rsidR="0040230F" w:rsidRDefault="0040230F">
      <w:pPr>
        <w:pStyle w:val="BodyText"/>
        <w:ind w:left="0"/>
        <w:jc w:val="left"/>
        <w:rPr>
          <w:sz w:val="8"/>
        </w:rPr>
      </w:pPr>
    </w:p>
    <w:p w:rsidR="0040230F" w:rsidRDefault="00B01A33">
      <w:pPr>
        <w:pStyle w:val="BodyText"/>
        <w:spacing w:before="90"/>
      </w:pPr>
      <w:r>
        <w:t>March 5, 2018</w:t>
      </w:r>
    </w:p>
    <w:p w:rsidR="0040230F" w:rsidRDefault="00B01A33">
      <w:pPr>
        <w:pStyle w:val="BodyText"/>
        <w:spacing w:before="158"/>
        <w:ind w:right="7680"/>
        <w:jc w:val="left"/>
      </w:pPr>
      <w:r>
        <w:t>Ms. Seema Verma Administrator</w:t>
      </w:r>
    </w:p>
    <w:p w:rsidR="0040230F" w:rsidRDefault="00B01A33">
      <w:pPr>
        <w:pStyle w:val="BodyText"/>
        <w:ind w:right="5175"/>
        <w:jc w:val="left"/>
      </w:pPr>
      <w:r>
        <w:t>Centers for Medicare and Medicaid Services Department of Health and Human Services Attention: CMS-5522-P</w:t>
      </w:r>
    </w:p>
    <w:p w:rsidR="0040230F" w:rsidRDefault="00B01A33">
      <w:pPr>
        <w:pStyle w:val="ListParagraph"/>
        <w:numPr>
          <w:ilvl w:val="1"/>
          <w:numId w:val="1"/>
        </w:numPr>
        <w:tabs>
          <w:tab w:val="left" w:pos="588"/>
        </w:tabs>
        <w:spacing w:before="0"/>
        <w:ind w:hanging="487"/>
        <w:jc w:val="both"/>
        <w:rPr>
          <w:sz w:val="24"/>
        </w:rPr>
      </w:pPr>
      <w:r>
        <w:rPr>
          <w:sz w:val="24"/>
        </w:rPr>
        <w:t>Box</w:t>
      </w:r>
      <w:r>
        <w:rPr>
          <w:spacing w:val="-1"/>
          <w:sz w:val="24"/>
        </w:rPr>
        <w:t xml:space="preserve"> </w:t>
      </w:r>
      <w:r>
        <w:rPr>
          <w:sz w:val="24"/>
        </w:rPr>
        <w:t>8013</w:t>
      </w:r>
    </w:p>
    <w:p w:rsidR="0040230F" w:rsidRDefault="00B01A33">
      <w:pPr>
        <w:pStyle w:val="BodyText"/>
      </w:pPr>
      <w:r>
        <w:t>Baltimore, MD 21244-8013</w:t>
      </w:r>
    </w:p>
    <w:p w:rsidR="0040230F" w:rsidRDefault="0040230F">
      <w:pPr>
        <w:pStyle w:val="BodyText"/>
        <w:spacing w:before="11"/>
        <w:ind w:left="0"/>
        <w:jc w:val="left"/>
        <w:rPr>
          <w:sz w:val="23"/>
        </w:rPr>
      </w:pPr>
    </w:p>
    <w:p w:rsidR="0040230F" w:rsidRDefault="00B01A33">
      <w:pPr>
        <w:ind w:left="100" w:right="121"/>
        <w:jc w:val="both"/>
        <w:rPr>
          <w:b/>
          <w:sz w:val="24"/>
        </w:rPr>
      </w:pPr>
      <w:r>
        <w:rPr>
          <w:b/>
          <w:sz w:val="24"/>
        </w:rPr>
        <w:t>RE:</w:t>
      </w:r>
      <w:r>
        <w:rPr>
          <w:b/>
          <w:spacing w:val="-12"/>
          <w:sz w:val="24"/>
        </w:rPr>
        <w:t xml:space="preserve"> </w:t>
      </w:r>
      <w:r>
        <w:rPr>
          <w:b/>
          <w:sz w:val="24"/>
        </w:rPr>
        <w:t>Advance</w:t>
      </w:r>
      <w:r>
        <w:rPr>
          <w:b/>
          <w:spacing w:val="-12"/>
          <w:sz w:val="24"/>
        </w:rPr>
        <w:t xml:space="preserve"> </w:t>
      </w:r>
      <w:r>
        <w:rPr>
          <w:b/>
          <w:sz w:val="24"/>
        </w:rPr>
        <w:t>Notices</w:t>
      </w:r>
      <w:r>
        <w:rPr>
          <w:b/>
          <w:spacing w:val="-12"/>
          <w:sz w:val="24"/>
        </w:rPr>
        <w:t xml:space="preserve"> </w:t>
      </w:r>
      <w:r>
        <w:rPr>
          <w:b/>
          <w:sz w:val="24"/>
        </w:rPr>
        <w:t>of</w:t>
      </w:r>
      <w:r>
        <w:rPr>
          <w:b/>
          <w:spacing w:val="-11"/>
          <w:sz w:val="24"/>
        </w:rPr>
        <w:t xml:space="preserve"> </w:t>
      </w:r>
      <w:r>
        <w:rPr>
          <w:b/>
          <w:sz w:val="24"/>
        </w:rPr>
        <w:t>Methodological</w:t>
      </w:r>
      <w:r>
        <w:rPr>
          <w:b/>
          <w:spacing w:val="-12"/>
          <w:sz w:val="24"/>
        </w:rPr>
        <w:t xml:space="preserve"> </w:t>
      </w:r>
      <w:r>
        <w:rPr>
          <w:b/>
          <w:sz w:val="24"/>
        </w:rPr>
        <w:t>Changes</w:t>
      </w:r>
      <w:r>
        <w:rPr>
          <w:b/>
          <w:spacing w:val="-12"/>
          <w:sz w:val="24"/>
        </w:rPr>
        <w:t xml:space="preserve"> </w:t>
      </w:r>
      <w:r>
        <w:rPr>
          <w:b/>
          <w:sz w:val="24"/>
        </w:rPr>
        <w:t>for</w:t>
      </w:r>
      <w:r>
        <w:rPr>
          <w:b/>
          <w:spacing w:val="-12"/>
          <w:sz w:val="24"/>
        </w:rPr>
        <w:t xml:space="preserve"> </w:t>
      </w:r>
      <w:r>
        <w:rPr>
          <w:b/>
          <w:sz w:val="24"/>
        </w:rPr>
        <w:t>Calendar</w:t>
      </w:r>
      <w:r>
        <w:rPr>
          <w:b/>
          <w:spacing w:val="-12"/>
          <w:sz w:val="24"/>
        </w:rPr>
        <w:t xml:space="preserve"> </w:t>
      </w:r>
      <w:r>
        <w:rPr>
          <w:b/>
          <w:sz w:val="24"/>
        </w:rPr>
        <w:t>Year</w:t>
      </w:r>
      <w:r>
        <w:rPr>
          <w:b/>
          <w:spacing w:val="-12"/>
          <w:sz w:val="24"/>
        </w:rPr>
        <w:t xml:space="preserve"> </w:t>
      </w:r>
      <w:r>
        <w:rPr>
          <w:b/>
          <w:sz w:val="24"/>
        </w:rPr>
        <w:t>(CY)</w:t>
      </w:r>
      <w:r>
        <w:rPr>
          <w:b/>
          <w:spacing w:val="-12"/>
          <w:sz w:val="24"/>
        </w:rPr>
        <w:t xml:space="preserve"> </w:t>
      </w:r>
      <w:r>
        <w:rPr>
          <w:b/>
          <w:sz w:val="24"/>
        </w:rPr>
        <w:t>2019</w:t>
      </w:r>
      <w:r>
        <w:rPr>
          <w:b/>
          <w:spacing w:val="-12"/>
          <w:sz w:val="24"/>
        </w:rPr>
        <w:t xml:space="preserve"> </w:t>
      </w:r>
      <w:r>
        <w:rPr>
          <w:b/>
          <w:sz w:val="24"/>
        </w:rPr>
        <w:t>for</w:t>
      </w:r>
      <w:r>
        <w:rPr>
          <w:b/>
          <w:spacing w:val="-12"/>
          <w:sz w:val="24"/>
        </w:rPr>
        <w:t xml:space="preserve"> </w:t>
      </w:r>
      <w:r>
        <w:rPr>
          <w:b/>
          <w:sz w:val="24"/>
        </w:rPr>
        <w:t>Medicare Advantage (MA) CMS-HCC Risk Adjustment Model, Capitation Rates, Part C, and Part D Payment Policies and 2019 draft Call</w:t>
      </w:r>
      <w:r>
        <w:rPr>
          <w:b/>
          <w:spacing w:val="-12"/>
          <w:sz w:val="24"/>
        </w:rPr>
        <w:t xml:space="preserve"> </w:t>
      </w:r>
      <w:r>
        <w:rPr>
          <w:b/>
          <w:sz w:val="24"/>
        </w:rPr>
        <w:t>Letter</w:t>
      </w:r>
    </w:p>
    <w:p w:rsidR="0040230F" w:rsidRDefault="00B01A33">
      <w:pPr>
        <w:pStyle w:val="BodyText"/>
        <w:spacing w:before="161"/>
      </w:pPr>
      <w:r>
        <w:t>Dear Administrator Verma:</w:t>
      </w:r>
    </w:p>
    <w:p w:rsidR="0040230F" w:rsidRDefault="00B01A33">
      <w:pPr>
        <w:pStyle w:val="BodyText"/>
        <w:spacing w:before="161"/>
        <w:ind w:right="120"/>
      </w:pPr>
      <w:r>
        <w:t xml:space="preserve">The American Academy of Home Care Medicine (Academy) appreciates the opportunity to </w:t>
      </w:r>
      <w:r>
        <w:t>provide comments on the Advance Notices of Methodological Changes for Calendar Year (CY) 2019 for Medicare Advantage (MA) CMS-HCC Risk Adjustment Model, Capitation Rates, Part C, and Part D Payment Policies and 2019 draft Call Letter (Advance Notices).</w:t>
      </w:r>
    </w:p>
    <w:p w:rsidR="0040230F" w:rsidRDefault="00B01A33">
      <w:pPr>
        <w:pStyle w:val="BodyText"/>
        <w:spacing w:before="158"/>
        <w:ind w:right="115"/>
      </w:pPr>
      <w:r>
        <w:t>The</w:t>
      </w:r>
      <w:r>
        <w:t xml:space="preserve"> Academy has been serving the needs of thousands of home care medicine professionals</w:t>
      </w:r>
      <w:r>
        <w:rPr>
          <w:spacing w:val="-38"/>
        </w:rPr>
        <w:t xml:space="preserve"> </w:t>
      </w:r>
      <w:r>
        <w:t>since 1984. Our members include home care physicians, nurse practitioners and physician assistants who make house calls, care for homebound patients, act as home health ag</w:t>
      </w:r>
      <w:r>
        <w:t>ency and hospice medical directors, and refer patients to home care agencies; home care organizations; medical directors of managed care plans; and administrators of medical groups interested in home care. Their specialties include internal medicine, famil</w:t>
      </w:r>
      <w:r>
        <w:t>y practice, pediatrics, geriatrics, psychiatry, and emergency</w:t>
      </w:r>
      <w:r>
        <w:rPr>
          <w:spacing w:val="-15"/>
        </w:rPr>
        <w:t xml:space="preserve"> </w:t>
      </w:r>
      <w:r>
        <w:t>medicine.</w:t>
      </w:r>
      <w:r>
        <w:rPr>
          <w:spacing w:val="-9"/>
        </w:rPr>
        <w:t xml:space="preserve"> </w:t>
      </w:r>
      <w:r>
        <w:t>The</w:t>
      </w:r>
      <w:r>
        <w:rPr>
          <w:spacing w:val="-11"/>
        </w:rPr>
        <w:t xml:space="preserve"> </w:t>
      </w:r>
      <w:r>
        <w:t>Academy</w:t>
      </w:r>
      <w:r>
        <w:rPr>
          <w:spacing w:val="-14"/>
        </w:rPr>
        <w:t xml:space="preserve"> </w:t>
      </w:r>
      <w:r>
        <w:t>delivers</w:t>
      </w:r>
      <w:r>
        <w:rPr>
          <w:spacing w:val="-11"/>
        </w:rPr>
        <w:t xml:space="preserve"> </w:t>
      </w:r>
      <w:r>
        <w:t>on</w:t>
      </w:r>
      <w:r>
        <w:rPr>
          <w:spacing w:val="-8"/>
        </w:rPr>
        <w:t xml:space="preserve"> </w:t>
      </w:r>
      <w:r>
        <w:t>the</w:t>
      </w:r>
      <w:r>
        <w:rPr>
          <w:spacing w:val="-11"/>
        </w:rPr>
        <w:t xml:space="preserve"> </w:t>
      </w:r>
      <w:r>
        <w:t>promise</w:t>
      </w:r>
      <w:r>
        <w:rPr>
          <w:spacing w:val="-10"/>
        </w:rPr>
        <w:t xml:space="preserve"> </w:t>
      </w:r>
      <w:r>
        <w:t>of</w:t>
      </w:r>
      <w:r>
        <w:rPr>
          <w:spacing w:val="-11"/>
        </w:rPr>
        <w:t xml:space="preserve"> </w:t>
      </w:r>
      <w:r>
        <w:t>interdisciplinary,</w:t>
      </w:r>
      <w:r>
        <w:rPr>
          <w:spacing w:val="-10"/>
        </w:rPr>
        <w:t xml:space="preserve"> </w:t>
      </w:r>
      <w:r>
        <w:t>high-value</w:t>
      </w:r>
      <w:r>
        <w:rPr>
          <w:spacing w:val="-11"/>
        </w:rPr>
        <w:t xml:space="preserve"> </w:t>
      </w:r>
      <w:r>
        <w:t>health care in the home for all people in need by promoting the art, science, and practice of home care medicine.</w:t>
      </w:r>
    </w:p>
    <w:p w:rsidR="0040230F" w:rsidRDefault="00B01A33">
      <w:pPr>
        <w:pStyle w:val="BodyText"/>
        <w:spacing w:before="161"/>
        <w:ind w:right="119"/>
      </w:pPr>
      <w:r>
        <w:t>In</w:t>
      </w:r>
      <w:r>
        <w:rPr>
          <w:spacing w:val="-9"/>
        </w:rPr>
        <w:t xml:space="preserve"> </w:t>
      </w:r>
      <w:r>
        <w:t>its</w:t>
      </w:r>
      <w:r>
        <w:rPr>
          <w:spacing w:val="-11"/>
        </w:rPr>
        <w:t xml:space="preserve"> </w:t>
      </w:r>
      <w:r>
        <w:t>Advance</w:t>
      </w:r>
      <w:r>
        <w:rPr>
          <w:spacing w:val="-10"/>
        </w:rPr>
        <w:t xml:space="preserve"> </w:t>
      </w:r>
      <w:r>
        <w:t>Notices,</w:t>
      </w:r>
      <w:r>
        <w:rPr>
          <w:spacing w:val="-9"/>
        </w:rPr>
        <w:t xml:space="preserve"> </w:t>
      </w:r>
      <w:r>
        <w:t>the</w:t>
      </w:r>
      <w:r>
        <w:rPr>
          <w:spacing w:val="-12"/>
        </w:rPr>
        <w:t xml:space="preserve"> </w:t>
      </w:r>
      <w:r>
        <w:t>agency</w:t>
      </w:r>
      <w:r>
        <w:rPr>
          <w:spacing w:val="-16"/>
        </w:rPr>
        <w:t xml:space="preserve"> </w:t>
      </w:r>
      <w:r>
        <w:t>is</w:t>
      </w:r>
      <w:r>
        <w:rPr>
          <w:spacing w:val="-8"/>
        </w:rPr>
        <w:t xml:space="preserve"> </w:t>
      </w:r>
      <w:r>
        <w:t>proposing</w:t>
      </w:r>
      <w:r>
        <w:rPr>
          <w:spacing w:val="-13"/>
        </w:rPr>
        <w:t xml:space="preserve"> </w:t>
      </w:r>
      <w:r>
        <w:t>several</w:t>
      </w:r>
      <w:r>
        <w:rPr>
          <w:spacing w:val="-8"/>
        </w:rPr>
        <w:t xml:space="preserve"> </w:t>
      </w:r>
      <w:r>
        <w:t>changes</w:t>
      </w:r>
      <w:r>
        <w:rPr>
          <w:spacing w:val="-11"/>
        </w:rPr>
        <w:t xml:space="preserve"> </w:t>
      </w:r>
      <w:r>
        <w:t>to</w:t>
      </w:r>
      <w:r>
        <w:rPr>
          <w:spacing w:val="-8"/>
        </w:rPr>
        <w:t xml:space="preserve"> </w:t>
      </w:r>
      <w:r>
        <w:t>the</w:t>
      </w:r>
      <w:r>
        <w:rPr>
          <w:spacing w:val="-9"/>
        </w:rPr>
        <w:t xml:space="preserve"> </w:t>
      </w:r>
      <w:r>
        <w:t>MA</w:t>
      </w:r>
      <w:r>
        <w:rPr>
          <w:spacing w:val="-9"/>
        </w:rPr>
        <w:t xml:space="preserve"> </w:t>
      </w:r>
      <w:r>
        <w:t>program</w:t>
      </w:r>
      <w:r>
        <w:rPr>
          <w:spacing w:val="-8"/>
        </w:rPr>
        <w:t xml:space="preserve"> </w:t>
      </w:r>
      <w:r>
        <w:t>and</w:t>
      </w:r>
      <w:r>
        <w:rPr>
          <w:spacing w:val="-11"/>
        </w:rPr>
        <w:t xml:space="preserve"> </w:t>
      </w:r>
      <w:r>
        <w:t>to</w:t>
      </w:r>
      <w:r>
        <w:rPr>
          <w:spacing w:val="-11"/>
        </w:rPr>
        <w:t xml:space="preserve"> </w:t>
      </w:r>
      <w:r>
        <w:t>the</w:t>
      </w:r>
      <w:r>
        <w:rPr>
          <w:spacing w:val="-12"/>
        </w:rPr>
        <w:t xml:space="preserve"> </w:t>
      </w:r>
      <w:r>
        <w:t>risk adjustment (RA) model. In this letter, the Academy provides comments in response to these proposed changes, outlined as</w:t>
      </w:r>
      <w:r>
        <w:rPr>
          <w:spacing w:val="-6"/>
        </w:rPr>
        <w:t xml:space="preserve"> </w:t>
      </w:r>
      <w:r>
        <w:t>follows:</w:t>
      </w:r>
    </w:p>
    <w:p w:rsidR="0040230F" w:rsidRDefault="00B01A33">
      <w:pPr>
        <w:pStyle w:val="ListParagraph"/>
        <w:numPr>
          <w:ilvl w:val="2"/>
          <w:numId w:val="1"/>
        </w:numPr>
        <w:tabs>
          <w:tab w:val="left" w:pos="820"/>
          <w:tab w:val="left" w:pos="821"/>
        </w:tabs>
        <w:spacing w:before="9"/>
        <w:ind w:right="125"/>
        <w:rPr>
          <w:sz w:val="24"/>
        </w:rPr>
      </w:pPr>
      <w:r>
        <w:rPr>
          <w:sz w:val="24"/>
        </w:rPr>
        <w:t>New Condition Counts RA Model</w:t>
      </w:r>
      <w:r>
        <w:rPr>
          <w:sz w:val="24"/>
        </w:rPr>
        <w:t xml:space="preserve"> and Adding Dementia HCCs 51 and 52 as Payment HCCs.</w:t>
      </w:r>
    </w:p>
    <w:p w:rsidR="0040230F" w:rsidRDefault="00B01A33">
      <w:pPr>
        <w:pStyle w:val="ListParagraph"/>
        <w:numPr>
          <w:ilvl w:val="2"/>
          <w:numId w:val="1"/>
        </w:numPr>
        <w:tabs>
          <w:tab w:val="left" w:pos="820"/>
          <w:tab w:val="left" w:pos="821"/>
        </w:tabs>
        <w:rPr>
          <w:sz w:val="24"/>
        </w:rPr>
      </w:pPr>
      <w:r>
        <w:rPr>
          <w:sz w:val="24"/>
        </w:rPr>
        <w:t>ESRD RA Model for CY</w:t>
      </w:r>
      <w:r>
        <w:rPr>
          <w:spacing w:val="-3"/>
          <w:sz w:val="24"/>
        </w:rPr>
        <w:t xml:space="preserve"> </w:t>
      </w:r>
      <w:r>
        <w:rPr>
          <w:sz w:val="24"/>
        </w:rPr>
        <w:t>2019.</w:t>
      </w:r>
    </w:p>
    <w:p w:rsidR="0040230F" w:rsidRDefault="00B01A33">
      <w:pPr>
        <w:pStyle w:val="ListParagraph"/>
        <w:numPr>
          <w:ilvl w:val="2"/>
          <w:numId w:val="1"/>
        </w:numPr>
        <w:tabs>
          <w:tab w:val="left" w:pos="820"/>
          <w:tab w:val="left" w:pos="821"/>
        </w:tabs>
        <w:rPr>
          <w:sz w:val="24"/>
        </w:rPr>
      </w:pPr>
      <w:r>
        <w:rPr>
          <w:sz w:val="24"/>
        </w:rPr>
        <w:t>Frailty Adjustment for PACE Organizations and FIDE</w:t>
      </w:r>
      <w:r>
        <w:rPr>
          <w:spacing w:val="-11"/>
          <w:sz w:val="24"/>
        </w:rPr>
        <w:t xml:space="preserve"> </w:t>
      </w:r>
      <w:r>
        <w:rPr>
          <w:sz w:val="24"/>
        </w:rPr>
        <w:t>SNPs.</w:t>
      </w:r>
    </w:p>
    <w:p w:rsidR="0040230F" w:rsidRDefault="00B01A33">
      <w:pPr>
        <w:pStyle w:val="ListParagraph"/>
        <w:numPr>
          <w:ilvl w:val="2"/>
          <w:numId w:val="1"/>
        </w:numPr>
        <w:tabs>
          <w:tab w:val="left" w:pos="820"/>
          <w:tab w:val="left" w:pos="821"/>
        </w:tabs>
        <w:rPr>
          <w:sz w:val="24"/>
        </w:rPr>
      </w:pPr>
      <w:r>
        <w:rPr>
          <w:sz w:val="24"/>
        </w:rPr>
        <w:t>Updating the PACE RA</w:t>
      </w:r>
      <w:r>
        <w:rPr>
          <w:spacing w:val="-5"/>
          <w:sz w:val="24"/>
        </w:rPr>
        <w:t xml:space="preserve"> </w:t>
      </w:r>
      <w:r>
        <w:rPr>
          <w:sz w:val="24"/>
        </w:rPr>
        <w:t>Model.</w:t>
      </w:r>
    </w:p>
    <w:p w:rsidR="0040230F" w:rsidRDefault="00B01A33">
      <w:pPr>
        <w:pStyle w:val="ListParagraph"/>
        <w:numPr>
          <w:ilvl w:val="2"/>
          <w:numId w:val="1"/>
        </w:numPr>
        <w:tabs>
          <w:tab w:val="left" w:pos="820"/>
          <w:tab w:val="left" w:pos="821"/>
        </w:tabs>
        <w:spacing w:before="8"/>
        <w:rPr>
          <w:sz w:val="24"/>
        </w:rPr>
      </w:pPr>
      <w:r>
        <w:rPr>
          <w:sz w:val="24"/>
        </w:rPr>
        <w:t>Health Related Supplemental</w:t>
      </w:r>
      <w:r>
        <w:rPr>
          <w:spacing w:val="-5"/>
          <w:sz w:val="24"/>
        </w:rPr>
        <w:t xml:space="preserve"> </w:t>
      </w:r>
      <w:r>
        <w:rPr>
          <w:sz w:val="24"/>
        </w:rPr>
        <w:t>Benefits.</w:t>
      </w:r>
    </w:p>
    <w:p w:rsidR="0040230F" w:rsidRDefault="00B01A33">
      <w:pPr>
        <w:pStyle w:val="ListParagraph"/>
        <w:numPr>
          <w:ilvl w:val="2"/>
          <w:numId w:val="1"/>
        </w:numPr>
        <w:tabs>
          <w:tab w:val="left" w:pos="820"/>
          <w:tab w:val="left" w:pos="821"/>
        </w:tabs>
        <w:spacing w:before="10"/>
        <w:rPr>
          <w:sz w:val="24"/>
        </w:rPr>
      </w:pPr>
      <w:r>
        <w:rPr>
          <w:sz w:val="24"/>
        </w:rPr>
        <w:t>Rewards and Incentives for Completion of a Health Risk Assessment</w:t>
      </w:r>
      <w:r>
        <w:rPr>
          <w:spacing w:val="-9"/>
          <w:sz w:val="24"/>
        </w:rPr>
        <w:t xml:space="preserve"> </w:t>
      </w:r>
      <w:r>
        <w:rPr>
          <w:sz w:val="24"/>
        </w:rPr>
        <w:t>(HRA).</w:t>
      </w:r>
    </w:p>
    <w:p w:rsidR="0040230F" w:rsidRDefault="00B01A33">
      <w:pPr>
        <w:pStyle w:val="ListParagraph"/>
        <w:numPr>
          <w:ilvl w:val="2"/>
          <w:numId w:val="1"/>
        </w:numPr>
        <w:tabs>
          <w:tab w:val="left" w:pos="820"/>
          <w:tab w:val="left" w:pos="821"/>
        </w:tabs>
        <w:spacing w:before="10"/>
        <w:rPr>
          <w:sz w:val="24"/>
        </w:rPr>
      </w:pPr>
      <w:r>
        <w:rPr>
          <w:sz w:val="24"/>
        </w:rPr>
        <w:t>2019 Star Ratings and Future Measurement</w:t>
      </w:r>
      <w:r>
        <w:rPr>
          <w:spacing w:val="-10"/>
          <w:sz w:val="24"/>
        </w:rPr>
        <w:t xml:space="preserve"> </w:t>
      </w:r>
      <w:r>
        <w:rPr>
          <w:sz w:val="24"/>
        </w:rPr>
        <w:t>Concepts.</w:t>
      </w:r>
    </w:p>
    <w:p w:rsidR="0040230F" w:rsidRDefault="0040230F">
      <w:pPr>
        <w:rPr>
          <w:sz w:val="24"/>
        </w:rPr>
        <w:sectPr w:rsidR="0040230F">
          <w:footerReference w:type="default" r:id="rId8"/>
          <w:type w:val="continuous"/>
          <w:pgSz w:w="12240" w:h="15840"/>
          <w:pgMar w:top="1440" w:right="1320" w:bottom="1200" w:left="1340" w:header="720" w:footer="1012" w:gutter="0"/>
          <w:pgNumType w:start="1"/>
          <w:cols w:space="720"/>
        </w:sectPr>
      </w:pPr>
    </w:p>
    <w:p w:rsidR="0040230F" w:rsidRDefault="00B01A33">
      <w:pPr>
        <w:pStyle w:val="Heading1"/>
        <w:spacing w:before="60" w:line="240" w:lineRule="auto"/>
        <w:ind w:left="120" w:right="121"/>
      </w:pPr>
      <w:r>
        <w:rPr>
          <w:color w:val="6C1D6A"/>
        </w:rPr>
        <w:lastRenderedPageBreak/>
        <w:t>New Condition Counts RA Model and Adding Dementia HCCs 51 and 52 as Payment HCCs</w:t>
      </w:r>
    </w:p>
    <w:p w:rsidR="0040230F" w:rsidRDefault="00B01A33">
      <w:pPr>
        <w:pStyle w:val="BodyText"/>
        <w:spacing w:before="1" w:line="276" w:lineRule="exact"/>
        <w:ind w:left="120" w:right="116"/>
      </w:pPr>
      <w:r>
        <w:t>In compliance with the 21</w:t>
      </w:r>
      <w:r>
        <w:rPr>
          <w:position w:val="9"/>
          <w:sz w:val="16"/>
        </w:rPr>
        <w:t xml:space="preserve">st </w:t>
      </w:r>
      <w:r>
        <w:t>Century Cures Act, the agency conducted an analysis of various approaches to take into account the total number of diseases or conditions of individuals enrolled in</w:t>
      </w:r>
      <w:r>
        <w:rPr>
          <w:spacing w:val="-3"/>
        </w:rPr>
        <w:t xml:space="preserve"> </w:t>
      </w:r>
      <w:r>
        <w:t>an</w:t>
      </w:r>
      <w:r>
        <w:rPr>
          <w:spacing w:val="-4"/>
        </w:rPr>
        <w:t xml:space="preserve"> </w:t>
      </w:r>
      <w:r>
        <w:t>MA</w:t>
      </w:r>
      <w:r>
        <w:rPr>
          <w:spacing w:val="-4"/>
        </w:rPr>
        <w:t xml:space="preserve"> </w:t>
      </w:r>
      <w:r>
        <w:t>plan</w:t>
      </w:r>
      <w:r>
        <w:rPr>
          <w:spacing w:val="-4"/>
        </w:rPr>
        <w:t xml:space="preserve"> </w:t>
      </w:r>
      <w:r>
        <w:t>as</w:t>
      </w:r>
      <w:r>
        <w:rPr>
          <w:spacing w:val="-4"/>
        </w:rPr>
        <w:t xml:space="preserve"> </w:t>
      </w:r>
      <w:r>
        <w:t>part</w:t>
      </w:r>
      <w:r>
        <w:rPr>
          <w:spacing w:val="-4"/>
        </w:rPr>
        <w:t xml:space="preserve"> </w:t>
      </w:r>
      <w:r>
        <w:t>of</w:t>
      </w:r>
      <w:r>
        <w:rPr>
          <w:spacing w:val="-5"/>
        </w:rPr>
        <w:t xml:space="preserve"> </w:t>
      </w:r>
      <w:r>
        <w:t>the</w:t>
      </w:r>
      <w:r>
        <w:rPr>
          <w:spacing w:val="-4"/>
        </w:rPr>
        <w:t xml:space="preserve"> </w:t>
      </w:r>
      <w:r>
        <w:t>RA</w:t>
      </w:r>
      <w:r>
        <w:rPr>
          <w:spacing w:val="-4"/>
        </w:rPr>
        <w:t xml:space="preserve"> </w:t>
      </w:r>
      <w:r>
        <w:t>model.</w:t>
      </w:r>
      <w:r>
        <w:rPr>
          <w:spacing w:val="-4"/>
        </w:rPr>
        <w:t xml:space="preserve"> </w:t>
      </w:r>
      <w:r>
        <w:t>CMS</w:t>
      </w:r>
      <w:r>
        <w:rPr>
          <w:spacing w:val="-3"/>
        </w:rPr>
        <w:t xml:space="preserve"> </w:t>
      </w:r>
      <w:r>
        <w:t>evaluated</w:t>
      </w:r>
      <w:r>
        <w:rPr>
          <w:spacing w:val="-4"/>
        </w:rPr>
        <w:t xml:space="preserve"> </w:t>
      </w:r>
      <w:r>
        <w:t>the</w:t>
      </w:r>
      <w:r>
        <w:rPr>
          <w:spacing w:val="-4"/>
        </w:rPr>
        <w:t xml:space="preserve"> </w:t>
      </w:r>
      <w:r>
        <w:t>impact</w:t>
      </w:r>
      <w:r>
        <w:rPr>
          <w:spacing w:val="-3"/>
        </w:rPr>
        <w:t xml:space="preserve"> </w:t>
      </w:r>
      <w:r>
        <w:t>of</w:t>
      </w:r>
      <w:r>
        <w:rPr>
          <w:spacing w:val="-5"/>
        </w:rPr>
        <w:t xml:space="preserve"> </w:t>
      </w:r>
      <w:r>
        <w:t>a</w:t>
      </w:r>
      <w:r>
        <w:rPr>
          <w:spacing w:val="-1"/>
        </w:rPr>
        <w:t xml:space="preserve"> </w:t>
      </w:r>
      <w:r>
        <w:t>“payment</w:t>
      </w:r>
      <w:r>
        <w:rPr>
          <w:spacing w:val="-3"/>
        </w:rPr>
        <w:t xml:space="preserve"> </w:t>
      </w:r>
      <w:r>
        <w:t>condition</w:t>
      </w:r>
      <w:r>
        <w:rPr>
          <w:spacing w:val="-3"/>
        </w:rPr>
        <w:t xml:space="preserve"> </w:t>
      </w:r>
      <w:r>
        <w:t xml:space="preserve">count </w:t>
      </w:r>
      <w:r>
        <w:t xml:space="preserve">model,” which only included those HCCs eligible for payment, as well as the impact of </w:t>
      </w:r>
      <w:r>
        <w:rPr>
          <w:spacing w:val="3"/>
        </w:rPr>
        <w:t xml:space="preserve">an </w:t>
      </w:r>
      <w:r>
        <w:t>“all condition count model,” which included non-payment HCCs. The agency found that the payment condition count decreases both over and under prediction in various dec</w:t>
      </w:r>
      <w:r>
        <w:t>iles but slightly increases the</w:t>
      </w:r>
      <w:r>
        <w:rPr>
          <w:spacing w:val="-4"/>
        </w:rPr>
        <w:t xml:space="preserve"> </w:t>
      </w:r>
      <w:r>
        <w:t>under</w:t>
      </w:r>
      <w:r>
        <w:rPr>
          <w:spacing w:val="-5"/>
        </w:rPr>
        <w:t xml:space="preserve"> </w:t>
      </w:r>
      <w:r>
        <w:t>prediction</w:t>
      </w:r>
      <w:r>
        <w:rPr>
          <w:spacing w:val="-3"/>
        </w:rPr>
        <w:t xml:space="preserve"> </w:t>
      </w:r>
      <w:r>
        <w:t>for</w:t>
      </w:r>
      <w:r>
        <w:rPr>
          <w:spacing w:val="-5"/>
        </w:rPr>
        <w:t xml:space="preserve"> </w:t>
      </w:r>
      <w:r>
        <w:t>beneficiaries</w:t>
      </w:r>
      <w:r>
        <w:rPr>
          <w:spacing w:val="-4"/>
        </w:rPr>
        <w:t xml:space="preserve"> </w:t>
      </w:r>
      <w:r>
        <w:t>with</w:t>
      </w:r>
      <w:r>
        <w:rPr>
          <w:spacing w:val="-3"/>
        </w:rPr>
        <w:t xml:space="preserve"> </w:t>
      </w:r>
      <w:r>
        <w:t>five</w:t>
      </w:r>
      <w:r>
        <w:rPr>
          <w:spacing w:val="-5"/>
        </w:rPr>
        <w:t xml:space="preserve"> </w:t>
      </w:r>
      <w:r>
        <w:t>or</w:t>
      </w:r>
      <w:r>
        <w:rPr>
          <w:spacing w:val="-5"/>
        </w:rPr>
        <w:t xml:space="preserve"> </w:t>
      </w:r>
      <w:r>
        <w:t>more</w:t>
      </w:r>
      <w:r>
        <w:rPr>
          <w:spacing w:val="-5"/>
        </w:rPr>
        <w:t xml:space="preserve"> </w:t>
      </w:r>
      <w:r>
        <w:t>chronic</w:t>
      </w:r>
      <w:r>
        <w:rPr>
          <w:spacing w:val="-5"/>
        </w:rPr>
        <w:t xml:space="preserve"> </w:t>
      </w:r>
      <w:r>
        <w:t>conditions,</w:t>
      </w:r>
      <w:r>
        <w:rPr>
          <w:spacing w:val="-3"/>
        </w:rPr>
        <w:t xml:space="preserve"> </w:t>
      </w:r>
      <w:r>
        <w:t>while</w:t>
      </w:r>
      <w:r>
        <w:rPr>
          <w:spacing w:val="-4"/>
        </w:rPr>
        <w:t xml:space="preserve"> </w:t>
      </w:r>
      <w:r>
        <w:t>the</w:t>
      </w:r>
      <w:r>
        <w:rPr>
          <w:spacing w:val="-4"/>
        </w:rPr>
        <w:t xml:space="preserve"> </w:t>
      </w:r>
      <w:r>
        <w:t>all</w:t>
      </w:r>
      <w:r>
        <w:rPr>
          <w:spacing w:val="-3"/>
        </w:rPr>
        <w:t xml:space="preserve"> </w:t>
      </w:r>
      <w:r>
        <w:t>condition count</w:t>
      </w:r>
      <w:r>
        <w:rPr>
          <w:spacing w:val="47"/>
        </w:rPr>
        <w:t xml:space="preserve"> </w:t>
      </w:r>
      <w:r>
        <w:t>improves</w:t>
      </w:r>
      <w:r>
        <w:rPr>
          <w:spacing w:val="47"/>
        </w:rPr>
        <w:t xml:space="preserve"> </w:t>
      </w:r>
      <w:r>
        <w:t>the</w:t>
      </w:r>
      <w:r>
        <w:rPr>
          <w:spacing w:val="46"/>
        </w:rPr>
        <w:t xml:space="preserve"> </w:t>
      </w:r>
      <w:r>
        <w:t>predictive</w:t>
      </w:r>
      <w:r>
        <w:rPr>
          <w:spacing w:val="46"/>
        </w:rPr>
        <w:t xml:space="preserve"> </w:t>
      </w:r>
      <w:r>
        <w:t>accuracy</w:t>
      </w:r>
      <w:r>
        <w:rPr>
          <w:spacing w:val="41"/>
        </w:rPr>
        <w:t xml:space="preserve"> </w:t>
      </w:r>
      <w:r>
        <w:t>for</w:t>
      </w:r>
      <w:r>
        <w:rPr>
          <w:spacing w:val="45"/>
        </w:rPr>
        <w:t xml:space="preserve"> </w:t>
      </w:r>
      <w:r>
        <w:t>those</w:t>
      </w:r>
      <w:r>
        <w:rPr>
          <w:spacing w:val="45"/>
        </w:rPr>
        <w:t xml:space="preserve"> </w:t>
      </w:r>
      <w:r>
        <w:t>beneficiaries</w:t>
      </w:r>
      <w:r>
        <w:rPr>
          <w:spacing w:val="47"/>
        </w:rPr>
        <w:t xml:space="preserve"> </w:t>
      </w:r>
      <w:r>
        <w:t>with</w:t>
      </w:r>
      <w:r>
        <w:rPr>
          <w:spacing w:val="47"/>
        </w:rPr>
        <w:t xml:space="preserve"> </w:t>
      </w:r>
      <w:r>
        <w:t>over</w:t>
      </w:r>
      <w:r>
        <w:rPr>
          <w:spacing w:val="46"/>
        </w:rPr>
        <w:t xml:space="preserve"> </w:t>
      </w:r>
      <w:r>
        <w:t>five</w:t>
      </w:r>
      <w:r>
        <w:rPr>
          <w:spacing w:val="45"/>
        </w:rPr>
        <w:t xml:space="preserve"> </w:t>
      </w:r>
      <w:r>
        <w:t>conditions</w:t>
      </w:r>
      <w:r>
        <w:rPr>
          <w:spacing w:val="47"/>
        </w:rPr>
        <w:t xml:space="preserve"> </w:t>
      </w:r>
      <w:r>
        <w:t>but</w:t>
      </w:r>
    </w:p>
    <w:p w:rsidR="0040230F" w:rsidRDefault="00B01A33">
      <w:pPr>
        <w:pStyle w:val="BodyText"/>
        <w:ind w:left="120" w:right="120"/>
      </w:pPr>
      <w:r>
        <w:t>reduces the predictive accuracy of the model across almost all deciles. The Academy supports CMS’</w:t>
      </w:r>
      <w:r>
        <w:rPr>
          <w:spacing w:val="-7"/>
        </w:rPr>
        <w:t xml:space="preserve"> </w:t>
      </w:r>
      <w:r>
        <w:t>proposal</w:t>
      </w:r>
      <w:r>
        <w:rPr>
          <w:spacing w:val="-6"/>
        </w:rPr>
        <w:t xml:space="preserve"> </w:t>
      </w:r>
      <w:r>
        <w:t>to</w:t>
      </w:r>
      <w:r>
        <w:rPr>
          <w:spacing w:val="-6"/>
        </w:rPr>
        <w:t xml:space="preserve"> </w:t>
      </w:r>
      <w:r>
        <w:t>move</w:t>
      </w:r>
      <w:r>
        <w:rPr>
          <w:spacing w:val="-5"/>
        </w:rPr>
        <w:t xml:space="preserve"> </w:t>
      </w:r>
      <w:r>
        <w:t>forward</w:t>
      </w:r>
      <w:r>
        <w:rPr>
          <w:spacing w:val="-5"/>
        </w:rPr>
        <w:t xml:space="preserve"> </w:t>
      </w:r>
      <w:r>
        <w:t>with</w:t>
      </w:r>
      <w:r>
        <w:rPr>
          <w:spacing w:val="-6"/>
        </w:rPr>
        <w:t xml:space="preserve"> </w:t>
      </w:r>
      <w:r>
        <w:t>payment</w:t>
      </w:r>
      <w:r>
        <w:rPr>
          <w:spacing w:val="-6"/>
        </w:rPr>
        <w:t xml:space="preserve"> </w:t>
      </w:r>
      <w:r>
        <w:t>condition</w:t>
      </w:r>
      <w:r>
        <w:rPr>
          <w:spacing w:val="-6"/>
        </w:rPr>
        <w:t xml:space="preserve"> </w:t>
      </w:r>
      <w:r>
        <w:t>count</w:t>
      </w:r>
      <w:r>
        <w:rPr>
          <w:spacing w:val="-6"/>
        </w:rPr>
        <w:t xml:space="preserve"> </w:t>
      </w:r>
      <w:r>
        <w:t>over</w:t>
      </w:r>
      <w:r>
        <w:rPr>
          <w:spacing w:val="-5"/>
        </w:rPr>
        <w:t xml:space="preserve"> </w:t>
      </w:r>
      <w:r>
        <w:t>the</w:t>
      </w:r>
      <w:r>
        <w:rPr>
          <w:spacing w:val="-4"/>
        </w:rPr>
        <w:t xml:space="preserve"> </w:t>
      </w:r>
      <w:r>
        <w:t>all</w:t>
      </w:r>
      <w:r>
        <w:rPr>
          <w:spacing w:val="-5"/>
        </w:rPr>
        <w:t xml:space="preserve"> </w:t>
      </w:r>
      <w:r>
        <w:t>condition</w:t>
      </w:r>
      <w:r>
        <w:rPr>
          <w:spacing w:val="-6"/>
        </w:rPr>
        <w:t xml:space="preserve"> </w:t>
      </w:r>
      <w:r>
        <w:t>count</w:t>
      </w:r>
      <w:r>
        <w:rPr>
          <w:spacing w:val="-6"/>
        </w:rPr>
        <w:t xml:space="preserve"> </w:t>
      </w:r>
      <w:r>
        <w:t>which it believes will reduce the accuracy of the RA model in</w:t>
      </w:r>
      <w:r>
        <w:rPr>
          <w:spacing w:val="-10"/>
        </w:rPr>
        <w:t xml:space="preserve"> </w:t>
      </w:r>
      <w:r>
        <w:t>full.</w:t>
      </w:r>
    </w:p>
    <w:p w:rsidR="0040230F" w:rsidRDefault="00B01A33">
      <w:pPr>
        <w:pStyle w:val="BodyText"/>
        <w:spacing w:before="166" w:line="237" w:lineRule="auto"/>
        <w:ind w:left="120" w:right="113"/>
      </w:pPr>
      <w:r>
        <w:t>The Aca</w:t>
      </w:r>
      <w:r>
        <w:t>demy supports the proposal for including condition counts into the RA model. Academy members provide home-based primary care (HBPC) to some of the sickest, frailest, and highest cost patients, for whom HBPC has been shown to improve care at the same or eve</w:t>
      </w:r>
      <w:r>
        <w:t>n reduced costs in</w:t>
      </w:r>
      <w:r>
        <w:rPr>
          <w:spacing w:val="-15"/>
        </w:rPr>
        <w:t xml:space="preserve"> </w:t>
      </w:r>
      <w:r>
        <w:t>Medicare</w:t>
      </w:r>
      <w:r>
        <w:rPr>
          <w:spacing w:val="-18"/>
        </w:rPr>
        <w:t xml:space="preserve"> </w:t>
      </w:r>
      <w:r>
        <w:t>(including</w:t>
      </w:r>
      <w:r>
        <w:rPr>
          <w:spacing w:val="-18"/>
        </w:rPr>
        <w:t xml:space="preserve"> </w:t>
      </w:r>
      <w:r>
        <w:t>MA)</w:t>
      </w:r>
      <w:r>
        <w:rPr>
          <w:position w:val="9"/>
          <w:sz w:val="16"/>
        </w:rPr>
        <w:t>1</w:t>
      </w:r>
      <w:r>
        <w:rPr>
          <w:spacing w:val="6"/>
          <w:position w:val="9"/>
          <w:sz w:val="16"/>
        </w:rPr>
        <w:t xml:space="preserve"> </w:t>
      </w:r>
      <w:r>
        <w:t>as</w:t>
      </w:r>
      <w:r>
        <w:rPr>
          <w:spacing w:val="-16"/>
        </w:rPr>
        <w:t xml:space="preserve"> </w:t>
      </w:r>
      <w:r>
        <w:t>well</w:t>
      </w:r>
      <w:r>
        <w:rPr>
          <w:spacing w:val="-15"/>
        </w:rPr>
        <w:t xml:space="preserve"> </w:t>
      </w:r>
      <w:r>
        <w:t>as</w:t>
      </w:r>
      <w:r>
        <w:rPr>
          <w:spacing w:val="-16"/>
        </w:rPr>
        <w:t xml:space="preserve"> </w:t>
      </w:r>
      <w:r>
        <w:t>the</w:t>
      </w:r>
      <w:r>
        <w:rPr>
          <w:spacing w:val="-16"/>
        </w:rPr>
        <w:t xml:space="preserve"> </w:t>
      </w:r>
      <w:r>
        <w:t>Programs</w:t>
      </w:r>
      <w:r>
        <w:rPr>
          <w:spacing w:val="-16"/>
        </w:rPr>
        <w:t xml:space="preserve"> </w:t>
      </w:r>
      <w:r>
        <w:t>of</w:t>
      </w:r>
      <w:r>
        <w:rPr>
          <w:spacing w:val="-17"/>
        </w:rPr>
        <w:t xml:space="preserve"> </w:t>
      </w:r>
      <w:r>
        <w:t>All-Inclusive</w:t>
      </w:r>
      <w:r>
        <w:rPr>
          <w:spacing w:val="-17"/>
        </w:rPr>
        <w:t xml:space="preserve"> </w:t>
      </w:r>
      <w:r>
        <w:t>Care</w:t>
      </w:r>
      <w:r>
        <w:rPr>
          <w:spacing w:val="-18"/>
        </w:rPr>
        <w:t xml:space="preserve"> </w:t>
      </w:r>
      <w:r>
        <w:t>for</w:t>
      </w:r>
      <w:r>
        <w:rPr>
          <w:spacing w:val="-17"/>
        </w:rPr>
        <w:t xml:space="preserve"> </w:t>
      </w:r>
      <w:r>
        <w:t>the</w:t>
      </w:r>
      <w:r>
        <w:rPr>
          <w:spacing w:val="-16"/>
        </w:rPr>
        <w:t xml:space="preserve"> </w:t>
      </w:r>
      <w:r>
        <w:t>Elderly</w:t>
      </w:r>
      <w:r>
        <w:rPr>
          <w:spacing w:val="-21"/>
        </w:rPr>
        <w:t xml:space="preserve"> </w:t>
      </w:r>
      <w:r>
        <w:t>(PACE). Accurate prediction of costs for this high-risk and high-cost population using the RA model has been</w:t>
      </w:r>
      <w:r>
        <w:rPr>
          <w:spacing w:val="-5"/>
        </w:rPr>
        <w:t xml:space="preserve"> </w:t>
      </w:r>
      <w:r>
        <w:t>an</w:t>
      </w:r>
      <w:r>
        <w:rPr>
          <w:spacing w:val="-5"/>
        </w:rPr>
        <w:t xml:space="preserve"> </w:t>
      </w:r>
      <w:r>
        <w:t>ongoing</w:t>
      </w:r>
      <w:r>
        <w:rPr>
          <w:spacing w:val="-8"/>
        </w:rPr>
        <w:t xml:space="preserve"> </w:t>
      </w:r>
      <w:r>
        <w:t>priority</w:t>
      </w:r>
      <w:r>
        <w:rPr>
          <w:spacing w:val="-8"/>
        </w:rPr>
        <w:t xml:space="preserve"> </w:t>
      </w:r>
      <w:r>
        <w:t>for</w:t>
      </w:r>
      <w:r>
        <w:rPr>
          <w:spacing w:val="-7"/>
        </w:rPr>
        <w:t xml:space="preserve"> </w:t>
      </w:r>
      <w:r>
        <w:t>the</w:t>
      </w:r>
      <w:r>
        <w:rPr>
          <w:spacing w:val="-6"/>
        </w:rPr>
        <w:t xml:space="preserve"> </w:t>
      </w:r>
      <w:r>
        <w:t>Academy.</w:t>
      </w:r>
      <w:r>
        <w:rPr>
          <w:spacing w:val="-5"/>
        </w:rPr>
        <w:t xml:space="preserve"> </w:t>
      </w:r>
      <w:r>
        <w:t>Given</w:t>
      </w:r>
      <w:r>
        <w:rPr>
          <w:spacing w:val="-5"/>
        </w:rPr>
        <w:t xml:space="preserve"> </w:t>
      </w:r>
      <w:r>
        <w:t>the</w:t>
      </w:r>
      <w:r>
        <w:rPr>
          <w:spacing w:val="-6"/>
        </w:rPr>
        <w:t xml:space="preserve"> </w:t>
      </w:r>
      <w:r>
        <w:t>complexity</w:t>
      </w:r>
      <w:r>
        <w:rPr>
          <w:spacing w:val="-12"/>
        </w:rPr>
        <w:t xml:space="preserve"> </w:t>
      </w:r>
      <w:r>
        <w:t>of</w:t>
      </w:r>
      <w:r>
        <w:rPr>
          <w:spacing w:val="-6"/>
        </w:rPr>
        <w:t xml:space="preserve"> </w:t>
      </w:r>
      <w:r>
        <w:t>the</w:t>
      </w:r>
      <w:r>
        <w:rPr>
          <w:spacing w:val="-6"/>
        </w:rPr>
        <w:t xml:space="preserve"> </w:t>
      </w:r>
      <w:r>
        <w:t>HBPC</w:t>
      </w:r>
      <w:r>
        <w:rPr>
          <w:spacing w:val="-5"/>
        </w:rPr>
        <w:t xml:space="preserve"> </w:t>
      </w:r>
      <w:r>
        <w:t>population,</w:t>
      </w:r>
      <w:r>
        <w:rPr>
          <w:spacing w:val="-5"/>
        </w:rPr>
        <w:t xml:space="preserve"> </w:t>
      </w:r>
      <w:r>
        <w:t>the</w:t>
      </w:r>
      <w:r>
        <w:rPr>
          <w:spacing w:val="-6"/>
        </w:rPr>
        <w:t xml:space="preserve"> </w:t>
      </w:r>
      <w:r>
        <w:t>RA model often under-predicts costs for these patients. Incorporating condition counts in the RA model will help improve the predictive accuracy for this population across all</w:t>
      </w:r>
      <w:r>
        <w:rPr>
          <w:spacing w:val="-14"/>
        </w:rPr>
        <w:t xml:space="preserve"> </w:t>
      </w:r>
      <w:r>
        <w:t>programs.</w:t>
      </w:r>
    </w:p>
    <w:p w:rsidR="0040230F" w:rsidRDefault="00B01A33">
      <w:pPr>
        <w:pStyle w:val="BodyText"/>
        <w:spacing w:before="159"/>
        <w:ind w:left="120" w:right="113"/>
      </w:pPr>
      <w:r>
        <w:t>While the Academy pre</w:t>
      </w:r>
      <w:r>
        <w:t>fers the payment condition count, the Academy stresses the additional importance of ensuring that HCC 51 (Dementia with complications) and HCC 52 (Dementia without complications) are included as payment HCCs in any new model. These conditions are currently</w:t>
      </w:r>
      <w:r>
        <w:t xml:space="preserve"> included in the end-stage renal disease (ESRD) RA model but excluded as payment conditions from the MA HCC RA model, even though they are clinically meaningful and costly conditions</w:t>
      </w:r>
      <w:r>
        <w:rPr>
          <w:spacing w:val="-8"/>
        </w:rPr>
        <w:t xml:space="preserve"> </w:t>
      </w:r>
      <w:r>
        <w:t>with</w:t>
      </w:r>
      <w:r>
        <w:rPr>
          <w:spacing w:val="-8"/>
        </w:rPr>
        <w:t xml:space="preserve"> </w:t>
      </w:r>
      <w:r>
        <w:t>a</w:t>
      </w:r>
      <w:r>
        <w:rPr>
          <w:spacing w:val="-10"/>
        </w:rPr>
        <w:t xml:space="preserve"> </w:t>
      </w:r>
      <w:r>
        <w:t>prevalence</w:t>
      </w:r>
      <w:r>
        <w:rPr>
          <w:spacing w:val="-10"/>
        </w:rPr>
        <w:t xml:space="preserve"> </w:t>
      </w:r>
      <w:r>
        <w:t>between</w:t>
      </w:r>
      <w:r>
        <w:rPr>
          <w:spacing w:val="-9"/>
        </w:rPr>
        <w:t xml:space="preserve"> </w:t>
      </w:r>
      <w:r>
        <w:t>30%</w:t>
      </w:r>
      <w:r>
        <w:rPr>
          <w:spacing w:val="-9"/>
        </w:rPr>
        <w:t xml:space="preserve"> </w:t>
      </w:r>
      <w:r>
        <w:t>to</w:t>
      </w:r>
      <w:r>
        <w:rPr>
          <w:spacing w:val="-8"/>
        </w:rPr>
        <w:t xml:space="preserve"> </w:t>
      </w:r>
      <w:r>
        <w:t>50%</w:t>
      </w:r>
      <w:r>
        <w:rPr>
          <w:spacing w:val="-7"/>
        </w:rPr>
        <w:t xml:space="preserve"> </w:t>
      </w:r>
      <w:r>
        <w:t>in</w:t>
      </w:r>
      <w:r>
        <w:rPr>
          <w:spacing w:val="-8"/>
        </w:rPr>
        <w:t xml:space="preserve"> </w:t>
      </w:r>
      <w:r>
        <w:t>the</w:t>
      </w:r>
      <w:r>
        <w:rPr>
          <w:spacing w:val="-9"/>
        </w:rPr>
        <w:t xml:space="preserve"> </w:t>
      </w:r>
      <w:r>
        <w:t>elderly,</w:t>
      </w:r>
      <w:r>
        <w:rPr>
          <w:spacing w:val="-6"/>
        </w:rPr>
        <w:t xml:space="preserve"> </w:t>
      </w:r>
      <w:r>
        <w:t>complex,</w:t>
      </w:r>
      <w:r>
        <w:rPr>
          <w:spacing w:val="-9"/>
        </w:rPr>
        <w:t xml:space="preserve"> </w:t>
      </w:r>
      <w:r>
        <w:t>and</w:t>
      </w:r>
      <w:r>
        <w:rPr>
          <w:spacing w:val="-6"/>
        </w:rPr>
        <w:t xml:space="preserve"> </w:t>
      </w:r>
      <w:r>
        <w:t>seriously</w:t>
      </w:r>
      <w:r>
        <w:rPr>
          <w:spacing w:val="-13"/>
        </w:rPr>
        <w:t xml:space="preserve"> </w:t>
      </w:r>
      <w:r>
        <w:t>ill</w:t>
      </w:r>
      <w:r>
        <w:rPr>
          <w:spacing w:val="-7"/>
        </w:rPr>
        <w:t xml:space="preserve"> </w:t>
      </w:r>
      <w:r>
        <w:t>HBPC patient population. We believe that the incorporation of these HCCs aligns with and supports CMS’ efforts to increase the predictive accuracy of the RA</w:t>
      </w:r>
      <w:r>
        <w:rPr>
          <w:spacing w:val="-11"/>
        </w:rPr>
        <w:t xml:space="preserve"> </w:t>
      </w:r>
      <w:r>
        <w:t>model.</w:t>
      </w:r>
    </w:p>
    <w:p w:rsidR="0040230F" w:rsidRDefault="00B01A33">
      <w:pPr>
        <w:pStyle w:val="BodyText"/>
        <w:spacing w:before="161"/>
        <w:ind w:left="120" w:right="120"/>
      </w:pPr>
      <w:r>
        <w:t>Furthermore, since the RA model is used not only in MA but also in other Medic</w:t>
      </w:r>
      <w:r>
        <w:t>are programs, including</w:t>
      </w:r>
      <w:r>
        <w:rPr>
          <w:spacing w:val="-16"/>
        </w:rPr>
        <w:t xml:space="preserve"> </w:t>
      </w:r>
      <w:r>
        <w:t>Accountable</w:t>
      </w:r>
      <w:r>
        <w:rPr>
          <w:spacing w:val="-15"/>
        </w:rPr>
        <w:t xml:space="preserve"> </w:t>
      </w:r>
      <w:r>
        <w:t>Care</w:t>
      </w:r>
      <w:r>
        <w:rPr>
          <w:spacing w:val="-16"/>
        </w:rPr>
        <w:t xml:space="preserve"> </w:t>
      </w:r>
      <w:r>
        <w:t>Organizations</w:t>
      </w:r>
      <w:r>
        <w:rPr>
          <w:spacing w:val="-14"/>
        </w:rPr>
        <w:t xml:space="preserve"> </w:t>
      </w:r>
      <w:r>
        <w:t>(ACOs)</w:t>
      </w:r>
      <w:r>
        <w:rPr>
          <w:spacing w:val="-15"/>
        </w:rPr>
        <w:t xml:space="preserve"> </w:t>
      </w:r>
      <w:r>
        <w:t>and</w:t>
      </w:r>
      <w:r>
        <w:rPr>
          <w:spacing w:val="-14"/>
        </w:rPr>
        <w:t xml:space="preserve"> </w:t>
      </w:r>
      <w:r>
        <w:t>other</w:t>
      </w:r>
      <w:r>
        <w:rPr>
          <w:spacing w:val="-16"/>
        </w:rPr>
        <w:t xml:space="preserve"> </w:t>
      </w:r>
      <w:r>
        <w:t>alternative</w:t>
      </w:r>
      <w:r>
        <w:rPr>
          <w:spacing w:val="-15"/>
        </w:rPr>
        <w:t xml:space="preserve"> </w:t>
      </w:r>
      <w:r>
        <w:t>payment</w:t>
      </w:r>
      <w:r>
        <w:rPr>
          <w:spacing w:val="-14"/>
        </w:rPr>
        <w:t xml:space="preserve"> </w:t>
      </w:r>
      <w:r>
        <w:t>models</w:t>
      </w:r>
      <w:r>
        <w:rPr>
          <w:spacing w:val="-14"/>
        </w:rPr>
        <w:t xml:space="preserve"> </w:t>
      </w:r>
      <w:r>
        <w:t>(APMs), the</w:t>
      </w:r>
      <w:r>
        <w:rPr>
          <w:spacing w:val="-9"/>
        </w:rPr>
        <w:t xml:space="preserve"> </w:t>
      </w:r>
      <w:r>
        <w:t>underprediction</w:t>
      </w:r>
      <w:r>
        <w:rPr>
          <w:spacing w:val="-8"/>
        </w:rPr>
        <w:t xml:space="preserve"> </w:t>
      </w:r>
      <w:r>
        <w:t>of</w:t>
      </w:r>
      <w:r>
        <w:rPr>
          <w:spacing w:val="-7"/>
        </w:rPr>
        <w:t xml:space="preserve"> </w:t>
      </w:r>
      <w:r>
        <w:t>this</w:t>
      </w:r>
      <w:r>
        <w:rPr>
          <w:spacing w:val="-8"/>
        </w:rPr>
        <w:t xml:space="preserve"> </w:t>
      </w:r>
      <w:r>
        <w:t>serious</w:t>
      </w:r>
      <w:r>
        <w:rPr>
          <w:spacing w:val="-9"/>
        </w:rPr>
        <w:t xml:space="preserve"> </w:t>
      </w:r>
      <w:r>
        <w:t>ill</w:t>
      </w:r>
      <w:r>
        <w:rPr>
          <w:spacing w:val="-8"/>
        </w:rPr>
        <w:t xml:space="preserve"> </w:t>
      </w:r>
      <w:r>
        <w:t>and</w:t>
      </w:r>
      <w:r>
        <w:rPr>
          <w:spacing w:val="-6"/>
        </w:rPr>
        <w:t xml:space="preserve"> </w:t>
      </w:r>
      <w:r>
        <w:t>complex</w:t>
      </w:r>
      <w:r>
        <w:rPr>
          <w:spacing w:val="-7"/>
        </w:rPr>
        <w:t xml:space="preserve"> </w:t>
      </w:r>
      <w:r>
        <w:t>patient</w:t>
      </w:r>
      <w:r>
        <w:rPr>
          <w:spacing w:val="-8"/>
        </w:rPr>
        <w:t xml:space="preserve"> </w:t>
      </w:r>
      <w:r>
        <w:t>population</w:t>
      </w:r>
      <w:r>
        <w:rPr>
          <w:spacing w:val="-8"/>
        </w:rPr>
        <w:t xml:space="preserve"> </w:t>
      </w:r>
      <w:r>
        <w:t>is</w:t>
      </w:r>
      <w:r>
        <w:rPr>
          <w:spacing w:val="-8"/>
        </w:rPr>
        <w:t xml:space="preserve"> </w:t>
      </w:r>
      <w:r>
        <w:t>a</w:t>
      </w:r>
      <w:r>
        <w:rPr>
          <w:spacing w:val="-10"/>
        </w:rPr>
        <w:t xml:space="preserve"> </w:t>
      </w:r>
      <w:r>
        <w:t>prevalent</w:t>
      </w:r>
      <w:r>
        <w:rPr>
          <w:spacing w:val="-9"/>
        </w:rPr>
        <w:t xml:space="preserve"> </w:t>
      </w:r>
      <w:r>
        <w:t>and</w:t>
      </w:r>
      <w:r>
        <w:rPr>
          <w:spacing w:val="-7"/>
        </w:rPr>
        <w:t xml:space="preserve"> </w:t>
      </w:r>
      <w:r>
        <w:t>significant issue</w:t>
      </w:r>
      <w:r>
        <w:rPr>
          <w:spacing w:val="-7"/>
        </w:rPr>
        <w:t xml:space="preserve"> </w:t>
      </w:r>
      <w:r>
        <w:t>in</w:t>
      </w:r>
      <w:r>
        <w:rPr>
          <w:spacing w:val="-6"/>
        </w:rPr>
        <w:t xml:space="preserve"> </w:t>
      </w:r>
      <w:r>
        <w:t>those</w:t>
      </w:r>
      <w:r>
        <w:rPr>
          <w:spacing w:val="-7"/>
        </w:rPr>
        <w:t xml:space="preserve"> </w:t>
      </w:r>
      <w:r>
        <w:t>programs</w:t>
      </w:r>
      <w:r>
        <w:rPr>
          <w:spacing w:val="-6"/>
        </w:rPr>
        <w:t xml:space="preserve"> </w:t>
      </w:r>
      <w:r>
        <w:t>as</w:t>
      </w:r>
      <w:r>
        <w:rPr>
          <w:spacing w:val="-6"/>
        </w:rPr>
        <w:t xml:space="preserve"> </w:t>
      </w:r>
      <w:r>
        <w:t>well.</w:t>
      </w:r>
      <w:r>
        <w:rPr>
          <w:spacing w:val="-6"/>
        </w:rPr>
        <w:t xml:space="preserve"> </w:t>
      </w:r>
      <w:r>
        <w:t>Updating</w:t>
      </w:r>
      <w:r>
        <w:rPr>
          <w:spacing w:val="-9"/>
        </w:rPr>
        <w:t xml:space="preserve"> </w:t>
      </w:r>
      <w:r>
        <w:t>the</w:t>
      </w:r>
      <w:r>
        <w:rPr>
          <w:spacing w:val="-7"/>
        </w:rPr>
        <w:t xml:space="preserve"> </w:t>
      </w:r>
      <w:r>
        <w:t>R</w:t>
      </w:r>
      <w:r>
        <w:t>A</w:t>
      </w:r>
      <w:r>
        <w:rPr>
          <w:spacing w:val="-4"/>
        </w:rPr>
        <w:t xml:space="preserve"> </w:t>
      </w:r>
      <w:r>
        <w:t>model</w:t>
      </w:r>
      <w:r>
        <w:rPr>
          <w:spacing w:val="-6"/>
        </w:rPr>
        <w:t xml:space="preserve"> </w:t>
      </w:r>
      <w:r>
        <w:t>to</w:t>
      </w:r>
      <w:r>
        <w:rPr>
          <w:spacing w:val="-6"/>
        </w:rPr>
        <w:t xml:space="preserve"> </w:t>
      </w:r>
      <w:r>
        <w:t>include</w:t>
      </w:r>
      <w:r>
        <w:rPr>
          <w:spacing w:val="-7"/>
        </w:rPr>
        <w:t xml:space="preserve"> </w:t>
      </w:r>
      <w:r>
        <w:t>condition</w:t>
      </w:r>
      <w:r>
        <w:rPr>
          <w:spacing w:val="-6"/>
        </w:rPr>
        <w:t xml:space="preserve"> </w:t>
      </w:r>
      <w:r>
        <w:t>counts</w:t>
      </w:r>
      <w:r>
        <w:rPr>
          <w:spacing w:val="-6"/>
        </w:rPr>
        <w:t xml:space="preserve"> </w:t>
      </w:r>
      <w:r>
        <w:t>and</w:t>
      </w:r>
      <w:r>
        <w:rPr>
          <w:spacing w:val="-6"/>
        </w:rPr>
        <w:t xml:space="preserve"> </w:t>
      </w:r>
      <w:r>
        <w:t>HCCs</w:t>
      </w:r>
      <w:r>
        <w:rPr>
          <w:spacing w:val="-6"/>
        </w:rPr>
        <w:t xml:space="preserve"> </w:t>
      </w:r>
      <w:r>
        <w:t>51 and 52 will ensure that HBPC and other clinicians are not penalized for specializing in providing high-quality</w:t>
      </w:r>
      <w:r>
        <w:rPr>
          <w:spacing w:val="-18"/>
        </w:rPr>
        <w:t xml:space="preserve"> </w:t>
      </w:r>
      <w:r>
        <w:t>care</w:t>
      </w:r>
      <w:r>
        <w:rPr>
          <w:spacing w:val="-17"/>
        </w:rPr>
        <w:t xml:space="preserve"> </w:t>
      </w:r>
      <w:r>
        <w:t>to</w:t>
      </w:r>
      <w:r>
        <w:rPr>
          <w:spacing w:val="-15"/>
        </w:rPr>
        <w:t xml:space="preserve"> </w:t>
      </w:r>
      <w:r>
        <w:t>complex</w:t>
      </w:r>
      <w:r>
        <w:rPr>
          <w:spacing w:val="-14"/>
        </w:rPr>
        <w:t xml:space="preserve"> </w:t>
      </w:r>
      <w:r>
        <w:t>Medicare</w:t>
      </w:r>
      <w:r>
        <w:rPr>
          <w:spacing w:val="-18"/>
        </w:rPr>
        <w:t xml:space="preserve"> </w:t>
      </w:r>
      <w:r>
        <w:t>beneficiaries,</w:t>
      </w:r>
      <w:r>
        <w:rPr>
          <w:spacing w:val="-16"/>
        </w:rPr>
        <w:t xml:space="preserve"> </w:t>
      </w:r>
      <w:r>
        <w:t>improving</w:t>
      </w:r>
      <w:r>
        <w:rPr>
          <w:spacing w:val="-19"/>
        </w:rPr>
        <w:t xml:space="preserve"> </w:t>
      </w:r>
      <w:r>
        <w:t>patients’</w:t>
      </w:r>
      <w:r>
        <w:rPr>
          <w:spacing w:val="-16"/>
        </w:rPr>
        <w:t xml:space="preserve"> </w:t>
      </w:r>
      <w:r>
        <w:t>outcomes</w:t>
      </w:r>
      <w:r>
        <w:rPr>
          <w:spacing w:val="-16"/>
        </w:rPr>
        <w:t xml:space="preserve"> </w:t>
      </w:r>
      <w:r>
        <w:t>while</w:t>
      </w:r>
      <w:r>
        <w:rPr>
          <w:spacing w:val="-14"/>
        </w:rPr>
        <w:t xml:space="preserve"> </w:t>
      </w:r>
      <w:r>
        <w:t>reducing their overall health care costs to the</w:t>
      </w:r>
      <w:r>
        <w:rPr>
          <w:spacing w:val="-12"/>
        </w:rPr>
        <w:t xml:space="preserve"> </w:t>
      </w:r>
      <w:r>
        <w:t>system.</w:t>
      </w:r>
    </w:p>
    <w:p w:rsidR="0040230F" w:rsidRDefault="00B01A33">
      <w:pPr>
        <w:pStyle w:val="Heading1"/>
        <w:ind w:left="120"/>
      </w:pPr>
      <w:r>
        <w:rPr>
          <w:color w:val="6C1D6A"/>
        </w:rPr>
        <w:t>ESRD RA Model for CY 2019</w:t>
      </w:r>
    </w:p>
    <w:p w:rsidR="0040230F" w:rsidRDefault="00B01A33">
      <w:pPr>
        <w:pStyle w:val="BodyText"/>
        <w:ind w:left="120" w:right="118"/>
      </w:pPr>
      <w:r>
        <w:t>Currently,</w:t>
      </w:r>
      <w:r>
        <w:rPr>
          <w:spacing w:val="-8"/>
        </w:rPr>
        <w:t xml:space="preserve"> </w:t>
      </w:r>
      <w:r>
        <w:t>CMS</w:t>
      </w:r>
      <w:r>
        <w:rPr>
          <w:spacing w:val="-10"/>
        </w:rPr>
        <w:t xml:space="preserve"> </w:t>
      </w:r>
      <w:r>
        <w:t>uses</w:t>
      </w:r>
      <w:r>
        <w:rPr>
          <w:spacing w:val="-11"/>
        </w:rPr>
        <w:t xml:space="preserve"> </w:t>
      </w:r>
      <w:r>
        <w:t>a</w:t>
      </w:r>
      <w:r>
        <w:rPr>
          <w:spacing w:val="-12"/>
        </w:rPr>
        <w:t xml:space="preserve"> </w:t>
      </w:r>
      <w:r>
        <w:t>separate</w:t>
      </w:r>
      <w:r>
        <w:rPr>
          <w:spacing w:val="-8"/>
        </w:rPr>
        <w:t xml:space="preserve"> </w:t>
      </w:r>
      <w:r>
        <w:t>RA</w:t>
      </w:r>
      <w:r>
        <w:rPr>
          <w:spacing w:val="-12"/>
        </w:rPr>
        <w:t xml:space="preserve"> </w:t>
      </w:r>
      <w:r>
        <w:t>model</w:t>
      </w:r>
      <w:r>
        <w:rPr>
          <w:spacing w:val="-11"/>
        </w:rPr>
        <w:t xml:space="preserve"> </w:t>
      </w:r>
      <w:r>
        <w:t>for</w:t>
      </w:r>
      <w:r>
        <w:rPr>
          <w:spacing w:val="-12"/>
        </w:rPr>
        <w:t xml:space="preserve"> </w:t>
      </w:r>
      <w:r>
        <w:t>ESRD</w:t>
      </w:r>
      <w:r>
        <w:rPr>
          <w:spacing w:val="-11"/>
        </w:rPr>
        <w:t xml:space="preserve"> </w:t>
      </w:r>
      <w:r>
        <w:t>beneficiaries</w:t>
      </w:r>
      <w:r>
        <w:rPr>
          <w:spacing w:val="-9"/>
        </w:rPr>
        <w:t xml:space="preserve"> </w:t>
      </w:r>
      <w:r>
        <w:t>which</w:t>
      </w:r>
      <w:r>
        <w:rPr>
          <w:spacing w:val="-11"/>
        </w:rPr>
        <w:t xml:space="preserve"> </w:t>
      </w:r>
      <w:r>
        <w:t>has</w:t>
      </w:r>
      <w:r>
        <w:rPr>
          <w:spacing w:val="-11"/>
        </w:rPr>
        <w:t xml:space="preserve"> </w:t>
      </w:r>
      <w:r>
        <w:t>not</w:t>
      </w:r>
      <w:r>
        <w:rPr>
          <w:spacing w:val="-11"/>
        </w:rPr>
        <w:t xml:space="preserve"> </w:t>
      </w:r>
      <w:r>
        <w:t>been</w:t>
      </w:r>
      <w:r>
        <w:rPr>
          <w:spacing w:val="-9"/>
        </w:rPr>
        <w:t xml:space="preserve"> </w:t>
      </w:r>
      <w:r>
        <w:t>recalibrated since</w:t>
      </w:r>
      <w:r>
        <w:rPr>
          <w:spacing w:val="14"/>
        </w:rPr>
        <w:t xml:space="preserve"> </w:t>
      </w:r>
      <w:r>
        <w:t>it</w:t>
      </w:r>
      <w:r>
        <w:rPr>
          <w:spacing w:val="16"/>
        </w:rPr>
        <w:t xml:space="preserve"> </w:t>
      </w:r>
      <w:r>
        <w:t>was</w:t>
      </w:r>
      <w:r>
        <w:rPr>
          <w:spacing w:val="15"/>
        </w:rPr>
        <w:t xml:space="preserve"> </w:t>
      </w:r>
      <w:r>
        <w:t>implemented</w:t>
      </w:r>
      <w:r>
        <w:rPr>
          <w:spacing w:val="15"/>
        </w:rPr>
        <w:t xml:space="preserve"> </w:t>
      </w:r>
      <w:r>
        <w:t>in</w:t>
      </w:r>
      <w:r>
        <w:rPr>
          <w:spacing w:val="16"/>
        </w:rPr>
        <w:t xml:space="preserve"> </w:t>
      </w:r>
      <w:r>
        <w:t>2012.</w:t>
      </w:r>
      <w:r>
        <w:rPr>
          <w:spacing w:val="15"/>
        </w:rPr>
        <w:t xml:space="preserve"> </w:t>
      </w:r>
      <w:r>
        <w:t>CMS</w:t>
      </w:r>
      <w:r>
        <w:rPr>
          <w:spacing w:val="16"/>
        </w:rPr>
        <w:t xml:space="preserve"> </w:t>
      </w:r>
      <w:r>
        <w:t>is</w:t>
      </w:r>
      <w:r>
        <w:rPr>
          <w:spacing w:val="16"/>
        </w:rPr>
        <w:t xml:space="preserve"> </w:t>
      </w:r>
      <w:r>
        <w:t>proposing</w:t>
      </w:r>
      <w:r>
        <w:rPr>
          <w:spacing w:val="13"/>
        </w:rPr>
        <w:t xml:space="preserve"> </w:t>
      </w:r>
      <w:r>
        <w:t>to</w:t>
      </w:r>
      <w:r>
        <w:rPr>
          <w:spacing w:val="16"/>
        </w:rPr>
        <w:t xml:space="preserve"> </w:t>
      </w:r>
      <w:r>
        <w:t>update</w:t>
      </w:r>
      <w:r>
        <w:rPr>
          <w:spacing w:val="17"/>
        </w:rPr>
        <w:t xml:space="preserve"> </w:t>
      </w:r>
      <w:r>
        <w:t>and</w:t>
      </w:r>
      <w:r>
        <w:rPr>
          <w:spacing w:val="15"/>
        </w:rPr>
        <w:t xml:space="preserve"> </w:t>
      </w:r>
      <w:r>
        <w:t>recalibrate</w:t>
      </w:r>
      <w:r>
        <w:rPr>
          <w:spacing w:val="15"/>
        </w:rPr>
        <w:t xml:space="preserve"> </w:t>
      </w:r>
      <w:r>
        <w:t>the</w:t>
      </w:r>
      <w:r>
        <w:rPr>
          <w:spacing w:val="15"/>
        </w:rPr>
        <w:t xml:space="preserve"> </w:t>
      </w:r>
      <w:r>
        <w:t>model</w:t>
      </w:r>
      <w:r>
        <w:rPr>
          <w:spacing w:val="15"/>
        </w:rPr>
        <w:t xml:space="preserve"> </w:t>
      </w:r>
      <w:r>
        <w:t>using</w:t>
      </w:r>
    </w:p>
    <w:p w:rsidR="0040230F" w:rsidRDefault="0040230F">
      <w:pPr>
        <w:pStyle w:val="BodyText"/>
        <w:ind w:left="0"/>
        <w:jc w:val="left"/>
        <w:rPr>
          <w:sz w:val="20"/>
        </w:rPr>
      </w:pPr>
    </w:p>
    <w:p w:rsidR="0040230F" w:rsidRDefault="00B01A33">
      <w:pPr>
        <w:pStyle w:val="BodyText"/>
        <w:spacing w:before="2"/>
        <w:ind w:left="0"/>
        <w:jc w:val="left"/>
        <w:rPr>
          <w:sz w:val="10"/>
        </w:rPr>
      </w:pPr>
      <w:r>
        <w:pict>
          <v:line id="_x0000_s2050" style="position:absolute;z-index:251657728;mso-wrap-distance-left:0;mso-wrap-distance-right:0;mso-position-horizontal-relative:page" from="1in,8.2pt" to="216.05pt,8.2pt" strokeweight=".72pt">
            <w10:wrap type="topAndBottom" anchorx="page"/>
          </v:line>
        </w:pict>
      </w:r>
    </w:p>
    <w:p w:rsidR="0040230F" w:rsidRDefault="00B01A33">
      <w:pPr>
        <w:spacing w:before="67"/>
        <w:ind w:left="120" w:right="66"/>
        <w:rPr>
          <w:sz w:val="20"/>
        </w:rPr>
      </w:pPr>
      <w:r>
        <w:rPr>
          <w:position w:val="7"/>
          <w:sz w:val="13"/>
        </w:rPr>
        <w:t xml:space="preserve">1 </w:t>
      </w:r>
      <w:r>
        <w:rPr>
          <w:sz w:val="20"/>
        </w:rPr>
        <w:t>This has been demonstrated through the application of HBPC concepts and approaches in different Medicare models, including the Independence at Home (IAH) Demonstration, Pioneer and Medicare Shared Savings Program (MSSP), Accountable Ca</w:t>
      </w:r>
      <w:r>
        <w:rPr>
          <w:sz w:val="20"/>
        </w:rPr>
        <w:t>re Organizations (ACOs), HBPC provided to Veterans under the Department of Veterans Affairs (VA), and HBPC in the Comprehensive Primary Care Plus (CPC+) model.</w:t>
      </w:r>
    </w:p>
    <w:p w:rsidR="0040230F" w:rsidRDefault="0040230F">
      <w:pPr>
        <w:rPr>
          <w:sz w:val="20"/>
        </w:rPr>
        <w:sectPr w:rsidR="0040230F">
          <w:pgSz w:w="12240" w:h="15840"/>
          <w:pgMar w:top="1380" w:right="1320" w:bottom="1200" w:left="1320" w:header="0" w:footer="1012" w:gutter="0"/>
          <w:cols w:space="720"/>
        </w:sectPr>
      </w:pPr>
    </w:p>
    <w:p w:rsidR="0040230F" w:rsidRDefault="00B01A33">
      <w:pPr>
        <w:pStyle w:val="BodyText"/>
        <w:spacing w:before="79"/>
        <w:ind w:right="116"/>
      </w:pPr>
      <w:r>
        <w:lastRenderedPageBreak/>
        <w:t xml:space="preserve">more recent data (2014 diagnoses predicting 2015 expenditures). Additionally, CMS </w:t>
      </w:r>
      <w:r>
        <w:t>intends to update the Medicaid factors used in the model to be concurrent with the payment year.</w:t>
      </w:r>
    </w:p>
    <w:p w:rsidR="0040230F" w:rsidRDefault="00B01A33">
      <w:pPr>
        <w:pStyle w:val="BodyText"/>
        <w:spacing w:before="160"/>
        <w:ind w:right="116"/>
      </w:pPr>
      <w:r>
        <w:t>The Academy supports this proposal to update the ESRD model. As mentioned previously, this model includes HCCs 51 and 52 and demonstrates the importance of inc</w:t>
      </w:r>
      <w:r>
        <w:t>orporating these conditions. We reiterate the importance of carrying over this policy and applying it to the RA model as well so that there is alignment between both. The Academy encourages the agency to streamline</w:t>
      </w:r>
      <w:r>
        <w:rPr>
          <w:spacing w:val="-4"/>
        </w:rPr>
        <w:t xml:space="preserve"> </w:t>
      </w:r>
      <w:r>
        <w:t>the</w:t>
      </w:r>
      <w:r>
        <w:rPr>
          <w:spacing w:val="-4"/>
        </w:rPr>
        <w:t xml:space="preserve"> </w:t>
      </w:r>
      <w:r>
        <w:t>RA</w:t>
      </w:r>
      <w:r>
        <w:rPr>
          <w:spacing w:val="-4"/>
        </w:rPr>
        <w:t xml:space="preserve"> </w:t>
      </w:r>
      <w:r>
        <w:t>model</w:t>
      </w:r>
      <w:r>
        <w:rPr>
          <w:spacing w:val="-6"/>
        </w:rPr>
        <w:t xml:space="preserve"> </w:t>
      </w:r>
      <w:r>
        <w:t>so</w:t>
      </w:r>
      <w:r>
        <w:rPr>
          <w:spacing w:val="-4"/>
        </w:rPr>
        <w:t xml:space="preserve"> </w:t>
      </w:r>
      <w:r>
        <w:t>there</w:t>
      </w:r>
      <w:r>
        <w:rPr>
          <w:spacing w:val="-5"/>
        </w:rPr>
        <w:t xml:space="preserve"> </w:t>
      </w:r>
      <w:r>
        <w:t>is</w:t>
      </w:r>
      <w:r>
        <w:rPr>
          <w:spacing w:val="-3"/>
        </w:rPr>
        <w:t xml:space="preserve"> </w:t>
      </w:r>
      <w:r>
        <w:t>only</w:t>
      </w:r>
      <w:r>
        <w:rPr>
          <w:spacing w:val="-11"/>
        </w:rPr>
        <w:t xml:space="preserve"> </w:t>
      </w:r>
      <w:r>
        <w:t>one</w:t>
      </w:r>
      <w:r>
        <w:rPr>
          <w:spacing w:val="-5"/>
        </w:rPr>
        <w:t xml:space="preserve"> </w:t>
      </w:r>
      <w:r>
        <w:t>version</w:t>
      </w:r>
      <w:r>
        <w:t>,</w:t>
      </w:r>
      <w:r>
        <w:rPr>
          <w:spacing w:val="-4"/>
        </w:rPr>
        <w:t xml:space="preserve"> </w:t>
      </w:r>
      <w:r>
        <w:t>the</w:t>
      </w:r>
      <w:r>
        <w:rPr>
          <w:spacing w:val="-4"/>
        </w:rPr>
        <w:t xml:space="preserve"> </w:t>
      </w:r>
      <w:r>
        <w:t>most</w:t>
      </w:r>
      <w:r>
        <w:rPr>
          <w:spacing w:val="-5"/>
        </w:rPr>
        <w:t xml:space="preserve"> </w:t>
      </w:r>
      <w:r>
        <w:t>recent</w:t>
      </w:r>
      <w:r>
        <w:rPr>
          <w:spacing w:val="-3"/>
        </w:rPr>
        <w:t xml:space="preserve"> </w:t>
      </w:r>
      <w:r>
        <w:t>and</w:t>
      </w:r>
      <w:r>
        <w:rPr>
          <w:spacing w:val="-4"/>
        </w:rPr>
        <w:t xml:space="preserve"> </w:t>
      </w:r>
      <w:r>
        <w:t>accurate</w:t>
      </w:r>
      <w:r>
        <w:rPr>
          <w:spacing w:val="-5"/>
        </w:rPr>
        <w:t xml:space="preserve"> </w:t>
      </w:r>
      <w:r>
        <w:t>version,</w:t>
      </w:r>
      <w:r>
        <w:rPr>
          <w:spacing w:val="-4"/>
        </w:rPr>
        <w:t xml:space="preserve"> </w:t>
      </w:r>
      <w:r>
        <w:t>that</w:t>
      </w:r>
      <w:r>
        <w:rPr>
          <w:spacing w:val="-4"/>
        </w:rPr>
        <w:t xml:space="preserve"> </w:t>
      </w:r>
      <w:r>
        <w:t>is utilized across all programs. This will provide consistency and increased accuracy across all programs,</w:t>
      </w:r>
      <w:r>
        <w:rPr>
          <w:spacing w:val="-5"/>
        </w:rPr>
        <w:t xml:space="preserve"> </w:t>
      </w:r>
      <w:r>
        <w:t>eliminating</w:t>
      </w:r>
      <w:r>
        <w:rPr>
          <w:spacing w:val="-8"/>
        </w:rPr>
        <w:t xml:space="preserve"> </w:t>
      </w:r>
      <w:r>
        <w:t>the</w:t>
      </w:r>
      <w:r>
        <w:rPr>
          <w:spacing w:val="-6"/>
        </w:rPr>
        <w:t xml:space="preserve"> </w:t>
      </w:r>
      <w:r>
        <w:t>current</w:t>
      </w:r>
      <w:r>
        <w:rPr>
          <w:spacing w:val="-5"/>
        </w:rPr>
        <w:t xml:space="preserve"> </w:t>
      </w:r>
      <w:r>
        <w:t>variation</w:t>
      </w:r>
      <w:r>
        <w:rPr>
          <w:spacing w:val="-3"/>
        </w:rPr>
        <w:t xml:space="preserve"> </w:t>
      </w:r>
      <w:r>
        <w:t>and</w:t>
      </w:r>
      <w:r>
        <w:rPr>
          <w:spacing w:val="-5"/>
        </w:rPr>
        <w:t xml:space="preserve"> </w:t>
      </w:r>
      <w:r>
        <w:t>inefficiency</w:t>
      </w:r>
      <w:r>
        <w:rPr>
          <w:spacing w:val="-10"/>
        </w:rPr>
        <w:t xml:space="preserve"> </w:t>
      </w:r>
      <w:r>
        <w:t>due</w:t>
      </w:r>
      <w:r>
        <w:rPr>
          <w:spacing w:val="-6"/>
        </w:rPr>
        <w:t xml:space="preserve"> </w:t>
      </w:r>
      <w:r>
        <w:t>to</w:t>
      </w:r>
      <w:r>
        <w:rPr>
          <w:spacing w:val="-5"/>
        </w:rPr>
        <w:t xml:space="preserve"> </w:t>
      </w:r>
      <w:r>
        <w:t>different</w:t>
      </w:r>
      <w:r>
        <w:rPr>
          <w:spacing w:val="-5"/>
        </w:rPr>
        <w:t xml:space="preserve"> </w:t>
      </w:r>
      <w:r>
        <w:t>versions</w:t>
      </w:r>
      <w:r>
        <w:rPr>
          <w:spacing w:val="-5"/>
        </w:rPr>
        <w:t xml:space="preserve"> </w:t>
      </w:r>
      <w:r>
        <w:t>of</w:t>
      </w:r>
      <w:r>
        <w:rPr>
          <w:spacing w:val="-4"/>
        </w:rPr>
        <w:t xml:space="preserve"> </w:t>
      </w:r>
      <w:r>
        <w:t>the</w:t>
      </w:r>
      <w:r>
        <w:rPr>
          <w:spacing w:val="-6"/>
        </w:rPr>
        <w:t xml:space="preserve"> </w:t>
      </w:r>
      <w:r>
        <w:t>model being utilized in different programs. Additionally, we encourage the agency to consider further tailoring the risk adjustment model for specific higher-risk patient populations (e.g., the Independence</w:t>
      </w:r>
      <w:r>
        <w:rPr>
          <w:spacing w:val="-10"/>
        </w:rPr>
        <w:t xml:space="preserve"> </w:t>
      </w:r>
      <w:r>
        <w:t>at</w:t>
      </w:r>
      <w:r>
        <w:rPr>
          <w:spacing w:val="-11"/>
        </w:rPr>
        <w:t xml:space="preserve"> </w:t>
      </w:r>
      <w:r>
        <w:t>Home</w:t>
      </w:r>
      <w:r>
        <w:rPr>
          <w:spacing w:val="-12"/>
        </w:rPr>
        <w:t xml:space="preserve"> </w:t>
      </w:r>
      <w:r>
        <w:t>(IAH)</w:t>
      </w:r>
      <w:r>
        <w:rPr>
          <w:spacing w:val="-12"/>
        </w:rPr>
        <w:t xml:space="preserve"> </w:t>
      </w:r>
      <w:r>
        <w:t>demonstration</w:t>
      </w:r>
      <w:r>
        <w:rPr>
          <w:spacing w:val="-11"/>
        </w:rPr>
        <w:t xml:space="preserve"> </w:t>
      </w:r>
      <w:r>
        <w:t>population),</w:t>
      </w:r>
      <w:r>
        <w:rPr>
          <w:spacing w:val="-12"/>
        </w:rPr>
        <w:t xml:space="preserve"> </w:t>
      </w:r>
      <w:r>
        <w:t>with</w:t>
      </w:r>
      <w:r>
        <w:rPr>
          <w:spacing w:val="-11"/>
        </w:rPr>
        <w:t xml:space="preserve"> </w:t>
      </w:r>
      <w:r>
        <w:t>an</w:t>
      </w:r>
      <w:r>
        <w:rPr>
          <w:spacing w:val="-11"/>
        </w:rPr>
        <w:t xml:space="preserve"> </w:t>
      </w:r>
      <w:r>
        <w:t>additional</w:t>
      </w:r>
      <w:r>
        <w:rPr>
          <w:spacing w:val="-9"/>
        </w:rPr>
        <w:t xml:space="preserve"> </w:t>
      </w:r>
      <w:r>
        <w:t>adjustment</w:t>
      </w:r>
      <w:r>
        <w:rPr>
          <w:spacing w:val="-11"/>
        </w:rPr>
        <w:t xml:space="preserve"> </w:t>
      </w:r>
      <w:r>
        <w:t>factor</w:t>
      </w:r>
      <w:r>
        <w:rPr>
          <w:spacing w:val="-11"/>
        </w:rPr>
        <w:t xml:space="preserve"> </w:t>
      </w:r>
      <w:r>
        <w:t>that would take into account the model residuals for those specific patient</w:t>
      </w:r>
      <w:r>
        <w:rPr>
          <w:spacing w:val="-11"/>
        </w:rPr>
        <w:t xml:space="preserve"> </w:t>
      </w:r>
      <w:r>
        <w:t>populations.</w:t>
      </w:r>
    </w:p>
    <w:p w:rsidR="0040230F" w:rsidRDefault="00B01A33">
      <w:pPr>
        <w:pStyle w:val="Heading1"/>
        <w:spacing w:before="159"/>
      </w:pPr>
      <w:r>
        <w:rPr>
          <w:color w:val="6C1D6A"/>
        </w:rPr>
        <w:t>Frailty Adjustment for PACE Organizations and FIDE SNPs</w:t>
      </w:r>
    </w:p>
    <w:p w:rsidR="0040230F" w:rsidRDefault="00B01A33">
      <w:pPr>
        <w:pStyle w:val="BodyText"/>
        <w:ind w:right="113"/>
      </w:pPr>
      <w:r>
        <w:t>Complementary to its proposal to implement the payment condition count model, CMS is also proposing</w:t>
      </w:r>
      <w:r>
        <w:rPr>
          <w:spacing w:val="-10"/>
        </w:rPr>
        <w:t xml:space="preserve"> </w:t>
      </w:r>
      <w:r>
        <w:t>updated</w:t>
      </w:r>
      <w:r>
        <w:rPr>
          <w:spacing w:val="-9"/>
        </w:rPr>
        <w:t xml:space="preserve"> </w:t>
      </w:r>
      <w:r>
        <w:t>frailty</w:t>
      </w:r>
      <w:r>
        <w:rPr>
          <w:spacing w:val="-11"/>
        </w:rPr>
        <w:t xml:space="preserve"> </w:t>
      </w:r>
      <w:r>
        <w:t>factors</w:t>
      </w:r>
      <w:r>
        <w:rPr>
          <w:spacing w:val="-9"/>
        </w:rPr>
        <w:t xml:space="preserve"> </w:t>
      </w:r>
      <w:r>
        <w:t>based</w:t>
      </w:r>
      <w:r>
        <w:rPr>
          <w:spacing w:val="-9"/>
        </w:rPr>
        <w:t xml:space="preserve"> </w:t>
      </w:r>
      <w:r>
        <w:t>on</w:t>
      </w:r>
      <w:r>
        <w:rPr>
          <w:spacing w:val="-9"/>
        </w:rPr>
        <w:t xml:space="preserve"> </w:t>
      </w:r>
      <w:r>
        <w:t>this</w:t>
      </w:r>
      <w:r>
        <w:rPr>
          <w:spacing w:val="-8"/>
        </w:rPr>
        <w:t xml:space="preserve"> </w:t>
      </w:r>
      <w:r>
        <w:t>new</w:t>
      </w:r>
      <w:r>
        <w:rPr>
          <w:spacing w:val="-7"/>
        </w:rPr>
        <w:t xml:space="preserve"> </w:t>
      </w:r>
      <w:r>
        <w:t>model.</w:t>
      </w:r>
      <w:r>
        <w:rPr>
          <w:spacing w:val="-9"/>
        </w:rPr>
        <w:t xml:space="preserve"> </w:t>
      </w:r>
      <w:r>
        <w:t>These</w:t>
      </w:r>
      <w:r>
        <w:rPr>
          <w:spacing w:val="-9"/>
        </w:rPr>
        <w:t xml:space="preserve"> </w:t>
      </w:r>
      <w:r>
        <w:t>frailty</w:t>
      </w:r>
      <w:r>
        <w:rPr>
          <w:spacing w:val="-11"/>
        </w:rPr>
        <w:t xml:space="preserve"> </w:t>
      </w:r>
      <w:r>
        <w:t>factors</w:t>
      </w:r>
      <w:r>
        <w:rPr>
          <w:spacing w:val="-9"/>
        </w:rPr>
        <w:t xml:space="preserve"> </w:t>
      </w:r>
      <w:r>
        <w:t>are</w:t>
      </w:r>
      <w:r>
        <w:rPr>
          <w:spacing w:val="-8"/>
        </w:rPr>
        <w:t xml:space="preserve"> </w:t>
      </w:r>
      <w:r>
        <w:t>included</w:t>
      </w:r>
      <w:r>
        <w:rPr>
          <w:spacing w:val="-9"/>
        </w:rPr>
        <w:t xml:space="preserve"> </w:t>
      </w:r>
      <w:r>
        <w:t>in</w:t>
      </w:r>
      <w:r>
        <w:rPr>
          <w:spacing w:val="-8"/>
        </w:rPr>
        <w:t xml:space="preserve"> </w:t>
      </w:r>
      <w:r>
        <w:t>the calculation that determines frailty scores for Fully Integrated D</w:t>
      </w:r>
      <w:r>
        <w:t>ual Eligible Special Needs Plans (FIDE</w:t>
      </w:r>
      <w:r>
        <w:rPr>
          <w:spacing w:val="-11"/>
        </w:rPr>
        <w:t xml:space="preserve"> </w:t>
      </w:r>
      <w:r>
        <w:t>SNPs).</w:t>
      </w:r>
      <w:r>
        <w:rPr>
          <w:spacing w:val="-11"/>
        </w:rPr>
        <w:t xml:space="preserve"> </w:t>
      </w:r>
      <w:r>
        <w:t>The</w:t>
      </w:r>
      <w:r>
        <w:rPr>
          <w:spacing w:val="-12"/>
        </w:rPr>
        <w:t xml:space="preserve"> </w:t>
      </w:r>
      <w:r>
        <w:t>Academy</w:t>
      </w:r>
      <w:r>
        <w:rPr>
          <w:spacing w:val="-16"/>
        </w:rPr>
        <w:t xml:space="preserve"> </w:t>
      </w:r>
      <w:r>
        <w:t>supports</w:t>
      </w:r>
      <w:r>
        <w:rPr>
          <w:spacing w:val="-9"/>
        </w:rPr>
        <w:t xml:space="preserve"> </w:t>
      </w:r>
      <w:r>
        <w:t>this</w:t>
      </w:r>
      <w:r>
        <w:rPr>
          <w:spacing w:val="-11"/>
        </w:rPr>
        <w:t xml:space="preserve"> </w:t>
      </w:r>
      <w:r>
        <w:t>proposal</w:t>
      </w:r>
      <w:r>
        <w:rPr>
          <w:spacing w:val="-8"/>
        </w:rPr>
        <w:t xml:space="preserve"> </w:t>
      </w:r>
      <w:r>
        <w:t>and,</w:t>
      </w:r>
      <w:r>
        <w:rPr>
          <w:spacing w:val="-11"/>
        </w:rPr>
        <w:t xml:space="preserve"> </w:t>
      </w:r>
      <w:r>
        <w:t>to</w:t>
      </w:r>
      <w:r>
        <w:rPr>
          <w:spacing w:val="-10"/>
        </w:rPr>
        <w:t xml:space="preserve"> </w:t>
      </w:r>
      <w:r>
        <w:t>further</w:t>
      </w:r>
      <w:r>
        <w:rPr>
          <w:spacing w:val="-12"/>
        </w:rPr>
        <w:t xml:space="preserve"> </w:t>
      </w:r>
      <w:r>
        <w:t>increase</w:t>
      </w:r>
      <w:r>
        <w:rPr>
          <w:spacing w:val="-12"/>
        </w:rPr>
        <w:t xml:space="preserve"> </w:t>
      </w:r>
      <w:r>
        <w:t>the</w:t>
      </w:r>
      <w:r>
        <w:rPr>
          <w:spacing w:val="-12"/>
        </w:rPr>
        <w:t xml:space="preserve"> </w:t>
      </w:r>
      <w:r>
        <w:t>predictive</w:t>
      </w:r>
      <w:r>
        <w:rPr>
          <w:spacing w:val="-9"/>
        </w:rPr>
        <w:t xml:space="preserve"> </w:t>
      </w:r>
      <w:r>
        <w:t>accuracy of the RA model in its application across programs, recommends that the agency explore calibrating the frailty factors at the county (or groups of counties) level. There is precedence for this as the agency did this with the PACE Physical Disabili</w:t>
      </w:r>
      <w:r>
        <w:t>ty Pilot to account for the variations</w:t>
      </w:r>
      <w:r>
        <w:rPr>
          <w:spacing w:val="-26"/>
        </w:rPr>
        <w:t xml:space="preserve"> </w:t>
      </w:r>
      <w:r>
        <w:t>at the county level for a more accurate</w:t>
      </w:r>
      <w:r>
        <w:rPr>
          <w:spacing w:val="-7"/>
        </w:rPr>
        <w:t xml:space="preserve"> </w:t>
      </w:r>
      <w:r>
        <w:t>model.</w:t>
      </w:r>
    </w:p>
    <w:p w:rsidR="0040230F" w:rsidRDefault="00B01A33">
      <w:pPr>
        <w:pStyle w:val="Heading1"/>
        <w:spacing w:before="162"/>
      </w:pPr>
      <w:r>
        <w:rPr>
          <w:color w:val="6C1D6A"/>
        </w:rPr>
        <w:t>Updating the PACE RA Model</w:t>
      </w:r>
    </w:p>
    <w:p w:rsidR="0040230F" w:rsidRDefault="00B01A33">
      <w:pPr>
        <w:pStyle w:val="BodyText"/>
        <w:ind w:right="117"/>
      </w:pPr>
      <w:r>
        <w:t>The agency is not proposing any changes to the PACE model at this time. The Academy encourages</w:t>
      </w:r>
      <w:r>
        <w:rPr>
          <w:spacing w:val="-11"/>
        </w:rPr>
        <w:t xml:space="preserve"> </w:t>
      </w:r>
      <w:r>
        <w:t>the</w:t>
      </w:r>
      <w:r>
        <w:rPr>
          <w:spacing w:val="-12"/>
        </w:rPr>
        <w:t xml:space="preserve"> </w:t>
      </w:r>
      <w:r>
        <w:t>agency</w:t>
      </w:r>
      <w:r>
        <w:rPr>
          <w:spacing w:val="-18"/>
        </w:rPr>
        <w:t xml:space="preserve"> </w:t>
      </w:r>
      <w:r>
        <w:t>to</w:t>
      </w:r>
      <w:r>
        <w:rPr>
          <w:spacing w:val="-8"/>
        </w:rPr>
        <w:t xml:space="preserve"> </w:t>
      </w:r>
      <w:r>
        <w:t>update</w:t>
      </w:r>
      <w:r>
        <w:rPr>
          <w:spacing w:val="-12"/>
        </w:rPr>
        <w:t xml:space="preserve"> </w:t>
      </w:r>
      <w:r>
        <w:t>the</w:t>
      </w:r>
      <w:r>
        <w:rPr>
          <w:spacing w:val="-12"/>
        </w:rPr>
        <w:t xml:space="preserve"> </w:t>
      </w:r>
      <w:r>
        <w:t>PACE</w:t>
      </w:r>
      <w:r>
        <w:rPr>
          <w:spacing w:val="-11"/>
        </w:rPr>
        <w:t xml:space="preserve"> </w:t>
      </w:r>
      <w:r>
        <w:t>RA</w:t>
      </w:r>
      <w:r>
        <w:rPr>
          <w:spacing w:val="-10"/>
        </w:rPr>
        <w:t xml:space="preserve"> </w:t>
      </w:r>
      <w:r>
        <w:t>model,</w:t>
      </w:r>
      <w:r>
        <w:rPr>
          <w:spacing w:val="-11"/>
        </w:rPr>
        <w:t xml:space="preserve"> </w:t>
      </w:r>
      <w:r>
        <w:t>so</w:t>
      </w:r>
      <w:r>
        <w:rPr>
          <w:spacing w:val="-11"/>
        </w:rPr>
        <w:t xml:space="preserve"> </w:t>
      </w:r>
      <w:r>
        <w:t>it</w:t>
      </w:r>
      <w:r>
        <w:rPr>
          <w:spacing w:val="-10"/>
        </w:rPr>
        <w:t xml:space="preserve"> </w:t>
      </w:r>
      <w:r>
        <w:t>al</w:t>
      </w:r>
      <w:r>
        <w:t>igns</w:t>
      </w:r>
      <w:r>
        <w:rPr>
          <w:spacing w:val="-11"/>
        </w:rPr>
        <w:t xml:space="preserve"> </w:t>
      </w:r>
      <w:r>
        <w:t>with</w:t>
      </w:r>
      <w:r>
        <w:rPr>
          <w:spacing w:val="-11"/>
        </w:rPr>
        <w:t xml:space="preserve"> </w:t>
      </w:r>
      <w:r>
        <w:t>the</w:t>
      </w:r>
      <w:r>
        <w:rPr>
          <w:spacing w:val="-12"/>
        </w:rPr>
        <w:t xml:space="preserve"> </w:t>
      </w:r>
      <w:r>
        <w:t>updates</w:t>
      </w:r>
      <w:r>
        <w:rPr>
          <w:spacing w:val="-11"/>
        </w:rPr>
        <w:t xml:space="preserve"> </w:t>
      </w:r>
      <w:r>
        <w:t>being</w:t>
      </w:r>
      <w:r>
        <w:rPr>
          <w:spacing w:val="-13"/>
        </w:rPr>
        <w:t xml:space="preserve"> </w:t>
      </w:r>
      <w:r>
        <w:t>proposed with the new payment condition count model and the ESRD MA model. PACE currently utilizes an</w:t>
      </w:r>
      <w:r>
        <w:rPr>
          <w:spacing w:val="-12"/>
        </w:rPr>
        <w:t xml:space="preserve"> </w:t>
      </w:r>
      <w:r>
        <w:t>outdated</w:t>
      </w:r>
      <w:r>
        <w:rPr>
          <w:spacing w:val="-10"/>
        </w:rPr>
        <w:t xml:space="preserve"> </w:t>
      </w:r>
      <w:r>
        <w:t>version</w:t>
      </w:r>
      <w:r>
        <w:rPr>
          <w:spacing w:val="-12"/>
        </w:rPr>
        <w:t xml:space="preserve"> </w:t>
      </w:r>
      <w:r>
        <w:t>of</w:t>
      </w:r>
      <w:r>
        <w:rPr>
          <w:spacing w:val="-13"/>
        </w:rPr>
        <w:t xml:space="preserve"> </w:t>
      </w:r>
      <w:r>
        <w:t>the</w:t>
      </w:r>
      <w:r>
        <w:rPr>
          <w:spacing w:val="-11"/>
        </w:rPr>
        <w:t xml:space="preserve"> </w:t>
      </w:r>
      <w:r>
        <w:t>RA</w:t>
      </w:r>
      <w:r>
        <w:rPr>
          <w:spacing w:val="-13"/>
        </w:rPr>
        <w:t xml:space="preserve"> </w:t>
      </w:r>
      <w:r>
        <w:t>model</w:t>
      </w:r>
      <w:r>
        <w:rPr>
          <w:spacing w:val="-13"/>
        </w:rPr>
        <w:t xml:space="preserve"> </w:t>
      </w:r>
      <w:r>
        <w:t>that</w:t>
      </w:r>
      <w:r>
        <w:rPr>
          <w:spacing w:val="-10"/>
        </w:rPr>
        <w:t xml:space="preserve"> </w:t>
      </w:r>
      <w:r>
        <w:t>is</w:t>
      </w:r>
      <w:r>
        <w:rPr>
          <w:spacing w:val="-12"/>
        </w:rPr>
        <w:t xml:space="preserve"> </w:t>
      </w:r>
      <w:r>
        <w:t>much</w:t>
      </w:r>
      <w:r>
        <w:rPr>
          <w:spacing w:val="-13"/>
        </w:rPr>
        <w:t xml:space="preserve"> </w:t>
      </w:r>
      <w:r>
        <w:t>older</w:t>
      </w:r>
      <w:r>
        <w:rPr>
          <w:spacing w:val="-14"/>
        </w:rPr>
        <w:t xml:space="preserve"> </w:t>
      </w:r>
      <w:r>
        <w:t>than</w:t>
      </w:r>
      <w:r>
        <w:rPr>
          <w:spacing w:val="-11"/>
        </w:rPr>
        <w:t xml:space="preserve"> </w:t>
      </w:r>
      <w:r>
        <w:t>current</w:t>
      </w:r>
      <w:r>
        <w:rPr>
          <w:spacing w:val="-12"/>
        </w:rPr>
        <w:t xml:space="preserve"> </w:t>
      </w:r>
      <w:r>
        <w:t>versions</w:t>
      </w:r>
      <w:r>
        <w:rPr>
          <w:spacing w:val="-12"/>
        </w:rPr>
        <w:t xml:space="preserve"> </w:t>
      </w:r>
      <w:r>
        <w:t>of</w:t>
      </w:r>
      <w:r>
        <w:rPr>
          <w:spacing w:val="-13"/>
        </w:rPr>
        <w:t xml:space="preserve"> </w:t>
      </w:r>
      <w:r>
        <w:t>both</w:t>
      </w:r>
      <w:r>
        <w:rPr>
          <w:spacing w:val="-12"/>
        </w:rPr>
        <w:t xml:space="preserve"> </w:t>
      </w:r>
      <w:r>
        <w:t>the</w:t>
      </w:r>
      <w:r>
        <w:rPr>
          <w:spacing w:val="-13"/>
        </w:rPr>
        <w:t xml:space="preserve"> </w:t>
      </w:r>
      <w:r>
        <w:t>RA</w:t>
      </w:r>
      <w:r>
        <w:rPr>
          <w:spacing w:val="-13"/>
        </w:rPr>
        <w:t xml:space="preserve"> </w:t>
      </w:r>
      <w:r>
        <w:t xml:space="preserve">model and the current ESRD RA model. </w:t>
      </w:r>
      <w:r>
        <w:t xml:space="preserve">This is demonstrated by the proposed   </w:t>
      </w:r>
      <w:r>
        <w:rPr>
          <w:spacing w:val="7"/>
        </w:rPr>
        <w:t xml:space="preserve"> </w:t>
      </w:r>
      <w:r>
        <w:t>normalization factor of</w:t>
      </w:r>
    </w:p>
    <w:p w:rsidR="0040230F" w:rsidRDefault="00B01A33">
      <w:pPr>
        <w:pStyle w:val="BodyText"/>
        <w:spacing w:before="1"/>
        <w:ind w:right="118"/>
      </w:pPr>
      <w:r>
        <w:t>1.159 for the PACE program. The Academy stresses the need for updating the PACE RA model and recalibrating it with updated data.</w:t>
      </w:r>
    </w:p>
    <w:p w:rsidR="0040230F" w:rsidRDefault="00B01A33">
      <w:pPr>
        <w:pStyle w:val="BodyText"/>
        <w:spacing w:before="160"/>
        <w:ind w:right="117"/>
      </w:pPr>
      <w:r>
        <w:t>Again,</w:t>
      </w:r>
      <w:r>
        <w:rPr>
          <w:spacing w:val="-6"/>
        </w:rPr>
        <w:t xml:space="preserve"> </w:t>
      </w:r>
      <w:r>
        <w:t>we</w:t>
      </w:r>
      <w:r>
        <w:rPr>
          <w:spacing w:val="-5"/>
        </w:rPr>
        <w:t xml:space="preserve"> </w:t>
      </w:r>
      <w:r>
        <w:t>encourage</w:t>
      </w:r>
      <w:r>
        <w:rPr>
          <w:spacing w:val="-7"/>
        </w:rPr>
        <w:t xml:space="preserve"> </w:t>
      </w:r>
      <w:r>
        <w:t>the</w:t>
      </w:r>
      <w:r>
        <w:rPr>
          <w:spacing w:val="-5"/>
        </w:rPr>
        <w:t xml:space="preserve"> </w:t>
      </w:r>
      <w:r>
        <w:t>agency</w:t>
      </w:r>
      <w:r>
        <w:rPr>
          <w:spacing w:val="-11"/>
        </w:rPr>
        <w:t xml:space="preserve"> </w:t>
      </w:r>
      <w:r>
        <w:t>to</w:t>
      </w:r>
      <w:r>
        <w:rPr>
          <w:spacing w:val="-6"/>
        </w:rPr>
        <w:t xml:space="preserve"> </w:t>
      </w:r>
      <w:r>
        <w:t>streamline</w:t>
      </w:r>
      <w:r>
        <w:rPr>
          <w:spacing w:val="-7"/>
        </w:rPr>
        <w:t xml:space="preserve"> </w:t>
      </w:r>
      <w:r>
        <w:t>the</w:t>
      </w:r>
      <w:r>
        <w:rPr>
          <w:spacing w:val="-4"/>
        </w:rPr>
        <w:t xml:space="preserve"> </w:t>
      </w:r>
      <w:r>
        <w:t>RA</w:t>
      </w:r>
      <w:r>
        <w:rPr>
          <w:spacing w:val="-7"/>
        </w:rPr>
        <w:t xml:space="preserve"> </w:t>
      </w:r>
      <w:r>
        <w:t>model</w:t>
      </w:r>
      <w:r>
        <w:rPr>
          <w:spacing w:val="-6"/>
        </w:rPr>
        <w:t xml:space="preserve"> </w:t>
      </w:r>
      <w:r>
        <w:t>that</w:t>
      </w:r>
      <w:r>
        <w:rPr>
          <w:spacing w:val="-6"/>
        </w:rPr>
        <w:t xml:space="preserve"> </w:t>
      </w:r>
      <w:r>
        <w:t>is</w:t>
      </w:r>
      <w:r>
        <w:rPr>
          <w:spacing w:val="-6"/>
        </w:rPr>
        <w:t xml:space="preserve"> </w:t>
      </w:r>
      <w:r>
        <w:t>utilized</w:t>
      </w:r>
      <w:r>
        <w:rPr>
          <w:spacing w:val="-9"/>
        </w:rPr>
        <w:t xml:space="preserve"> </w:t>
      </w:r>
      <w:r>
        <w:t>across</w:t>
      </w:r>
      <w:r>
        <w:rPr>
          <w:spacing w:val="-7"/>
        </w:rPr>
        <w:t xml:space="preserve"> </w:t>
      </w:r>
      <w:r>
        <w:t>all</w:t>
      </w:r>
      <w:r>
        <w:rPr>
          <w:spacing w:val="-5"/>
        </w:rPr>
        <w:t xml:space="preserve"> </w:t>
      </w:r>
      <w:r>
        <w:t>programs</w:t>
      </w:r>
      <w:r>
        <w:rPr>
          <w:spacing w:val="-1"/>
        </w:rPr>
        <w:t xml:space="preserve"> </w:t>
      </w:r>
      <w:r>
        <w:t>to the greatest extent possible—MA, Medicare programs, PACE, and ESRD—and update these models</w:t>
      </w:r>
      <w:r>
        <w:rPr>
          <w:spacing w:val="-13"/>
        </w:rPr>
        <w:t xml:space="preserve"> </w:t>
      </w:r>
      <w:r>
        <w:t>concurrently;</w:t>
      </w:r>
      <w:r>
        <w:rPr>
          <w:spacing w:val="-13"/>
        </w:rPr>
        <w:t xml:space="preserve"> </w:t>
      </w:r>
      <w:r>
        <w:t>rather,</w:t>
      </w:r>
      <w:r>
        <w:rPr>
          <w:spacing w:val="-13"/>
        </w:rPr>
        <w:t xml:space="preserve"> </w:t>
      </w:r>
      <w:r>
        <w:t>than</w:t>
      </w:r>
      <w:r>
        <w:rPr>
          <w:spacing w:val="-14"/>
        </w:rPr>
        <w:t xml:space="preserve"> </w:t>
      </w:r>
      <w:r>
        <w:t>updating</w:t>
      </w:r>
      <w:r>
        <w:rPr>
          <w:spacing w:val="-16"/>
        </w:rPr>
        <w:t xml:space="preserve"> </w:t>
      </w:r>
      <w:r>
        <w:t>each</w:t>
      </w:r>
      <w:r>
        <w:rPr>
          <w:spacing w:val="-13"/>
        </w:rPr>
        <w:t xml:space="preserve"> </w:t>
      </w:r>
      <w:r>
        <w:t>RA</w:t>
      </w:r>
      <w:r>
        <w:rPr>
          <w:spacing w:val="-14"/>
        </w:rPr>
        <w:t xml:space="preserve"> </w:t>
      </w:r>
      <w:r>
        <w:t>model</w:t>
      </w:r>
      <w:r>
        <w:rPr>
          <w:spacing w:val="-14"/>
        </w:rPr>
        <w:t xml:space="preserve"> </w:t>
      </w:r>
      <w:r>
        <w:t>at</w:t>
      </w:r>
      <w:r>
        <w:rPr>
          <w:spacing w:val="-13"/>
        </w:rPr>
        <w:t xml:space="preserve"> </w:t>
      </w:r>
      <w:r>
        <w:t>varying</w:t>
      </w:r>
      <w:r>
        <w:rPr>
          <w:spacing w:val="-16"/>
        </w:rPr>
        <w:t xml:space="preserve"> </w:t>
      </w:r>
      <w:r>
        <w:t>and</w:t>
      </w:r>
      <w:r>
        <w:rPr>
          <w:spacing w:val="-13"/>
        </w:rPr>
        <w:t xml:space="preserve"> </w:t>
      </w:r>
      <w:r>
        <w:t>arbitrary</w:t>
      </w:r>
      <w:r>
        <w:rPr>
          <w:spacing w:val="-15"/>
        </w:rPr>
        <w:t xml:space="preserve"> </w:t>
      </w:r>
      <w:r>
        <w:t>periods</w:t>
      </w:r>
      <w:r>
        <w:rPr>
          <w:spacing w:val="-13"/>
        </w:rPr>
        <w:t xml:space="preserve"> </w:t>
      </w:r>
      <w:r>
        <w:t>of</w:t>
      </w:r>
      <w:r>
        <w:rPr>
          <w:spacing w:val="-14"/>
        </w:rPr>
        <w:t xml:space="preserve"> </w:t>
      </w:r>
      <w:r>
        <w:t>time.</w:t>
      </w:r>
    </w:p>
    <w:p w:rsidR="0040230F" w:rsidRDefault="00B01A33">
      <w:pPr>
        <w:pStyle w:val="Heading1"/>
        <w:spacing w:before="159"/>
      </w:pPr>
      <w:r>
        <w:rPr>
          <w:color w:val="6C1D6A"/>
        </w:rPr>
        <w:t>Health Related Supplemental Benefits</w:t>
      </w:r>
    </w:p>
    <w:p w:rsidR="0040230F" w:rsidRDefault="00B01A33">
      <w:pPr>
        <w:ind w:left="100" w:right="116"/>
        <w:jc w:val="both"/>
        <w:rPr>
          <w:sz w:val="24"/>
        </w:rPr>
      </w:pPr>
      <w:r>
        <w:rPr>
          <w:sz w:val="24"/>
        </w:rPr>
        <w:t>C</w:t>
      </w:r>
      <w:r>
        <w:rPr>
          <w:sz w:val="24"/>
        </w:rPr>
        <w:t>urrently, CMS does not allow an item or service to be eligible as a supplemental benefit if the primary</w:t>
      </w:r>
      <w:r>
        <w:rPr>
          <w:spacing w:val="-17"/>
          <w:sz w:val="24"/>
        </w:rPr>
        <w:t xml:space="preserve"> </w:t>
      </w:r>
      <w:r>
        <w:rPr>
          <w:sz w:val="24"/>
        </w:rPr>
        <w:t>purpose</w:t>
      </w:r>
      <w:r>
        <w:rPr>
          <w:spacing w:val="-13"/>
          <w:sz w:val="24"/>
        </w:rPr>
        <w:t xml:space="preserve"> </w:t>
      </w:r>
      <w:r>
        <w:rPr>
          <w:sz w:val="24"/>
        </w:rPr>
        <w:t>is</w:t>
      </w:r>
      <w:r>
        <w:rPr>
          <w:spacing w:val="-12"/>
          <w:sz w:val="24"/>
        </w:rPr>
        <w:t xml:space="preserve"> </w:t>
      </w:r>
      <w:r>
        <w:rPr>
          <w:sz w:val="24"/>
        </w:rPr>
        <w:t>daily</w:t>
      </w:r>
      <w:r>
        <w:rPr>
          <w:spacing w:val="-15"/>
          <w:sz w:val="24"/>
        </w:rPr>
        <w:t xml:space="preserve"> </w:t>
      </w:r>
      <w:r>
        <w:rPr>
          <w:sz w:val="24"/>
        </w:rPr>
        <w:t>maintenance.</w:t>
      </w:r>
      <w:r>
        <w:rPr>
          <w:spacing w:val="-9"/>
          <w:sz w:val="24"/>
        </w:rPr>
        <w:t xml:space="preserve"> </w:t>
      </w:r>
      <w:r>
        <w:rPr>
          <w:sz w:val="24"/>
        </w:rPr>
        <w:t>However,</w:t>
      </w:r>
      <w:r>
        <w:rPr>
          <w:spacing w:val="-11"/>
          <w:sz w:val="24"/>
        </w:rPr>
        <w:t xml:space="preserve"> </w:t>
      </w:r>
      <w:r>
        <w:rPr>
          <w:sz w:val="24"/>
        </w:rPr>
        <w:t>CMS</w:t>
      </w:r>
      <w:r>
        <w:rPr>
          <w:spacing w:val="-12"/>
          <w:sz w:val="24"/>
        </w:rPr>
        <w:t xml:space="preserve"> </w:t>
      </w:r>
      <w:r>
        <w:rPr>
          <w:sz w:val="24"/>
        </w:rPr>
        <w:t>intends</w:t>
      </w:r>
      <w:r>
        <w:rPr>
          <w:spacing w:val="-12"/>
          <w:sz w:val="24"/>
        </w:rPr>
        <w:t xml:space="preserve"> </w:t>
      </w:r>
      <w:r>
        <w:rPr>
          <w:sz w:val="24"/>
        </w:rPr>
        <w:t>to</w:t>
      </w:r>
      <w:r>
        <w:rPr>
          <w:spacing w:val="-12"/>
          <w:sz w:val="24"/>
        </w:rPr>
        <w:t xml:space="preserve"> </w:t>
      </w:r>
      <w:r>
        <w:rPr>
          <w:sz w:val="24"/>
        </w:rPr>
        <w:t>expand</w:t>
      </w:r>
      <w:r>
        <w:rPr>
          <w:spacing w:val="-12"/>
          <w:sz w:val="24"/>
        </w:rPr>
        <w:t xml:space="preserve"> </w:t>
      </w:r>
      <w:r>
        <w:rPr>
          <w:sz w:val="24"/>
        </w:rPr>
        <w:t>the</w:t>
      </w:r>
      <w:r>
        <w:rPr>
          <w:spacing w:val="-13"/>
          <w:sz w:val="24"/>
        </w:rPr>
        <w:t xml:space="preserve"> </w:t>
      </w:r>
      <w:r>
        <w:rPr>
          <w:sz w:val="24"/>
        </w:rPr>
        <w:t>scope</w:t>
      </w:r>
      <w:r>
        <w:rPr>
          <w:spacing w:val="-11"/>
          <w:sz w:val="24"/>
        </w:rPr>
        <w:t xml:space="preserve"> </w:t>
      </w:r>
      <w:r>
        <w:rPr>
          <w:sz w:val="24"/>
        </w:rPr>
        <w:t>of</w:t>
      </w:r>
      <w:r>
        <w:rPr>
          <w:spacing w:val="-13"/>
          <w:sz w:val="24"/>
        </w:rPr>
        <w:t xml:space="preserve"> </w:t>
      </w:r>
      <w:r>
        <w:rPr>
          <w:sz w:val="24"/>
        </w:rPr>
        <w:t>the</w:t>
      </w:r>
      <w:r>
        <w:rPr>
          <w:spacing w:val="-13"/>
          <w:sz w:val="24"/>
        </w:rPr>
        <w:t xml:space="preserve"> </w:t>
      </w:r>
      <w:r>
        <w:rPr>
          <w:sz w:val="24"/>
        </w:rPr>
        <w:t>primarily health</w:t>
      </w:r>
      <w:r>
        <w:rPr>
          <w:spacing w:val="-10"/>
          <w:sz w:val="24"/>
        </w:rPr>
        <w:t xml:space="preserve"> </w:t>
      </w:r>
      <w:r>
        <w:rPr>
          <w:sz w:val="24"/>
        </w:rPr>
        <w:t>related</w:t>
      </w:r>
      <w:r>
        <w:rPr>
          <w:spacing w:val="-10"/>
          <w:sz w:val="24"/>
        </w:rPr>
        <w:t xml:space="preserve"> </w:t>
      </w:r>
      <w:r>
        <w:rPr>
          <w:sz w:val="24"/>
        </w:rPr>
        <w:t>supplemental</w:t>
      </w:r>
      <w:r>
        <w:rPr>
          <w:spacing w:val="-9"/>
          <w:sz w:val="24"/>
        </w:rPr>
        <w:t xml:space="preserve"> </w:t>
      </w:r>
      <w:r>
        <w:rPr>
          <w:sz w:val="24"/>
        </w:rPr>
        <w:t>benefit</w:t>
      </w:r>
      <w:r>
        <w:rPr>
          <w:spacing w:val="-9"/>
          <w:sz w:val="24"/>
        </w:rPr>
        <w:t xml:space="preserve"> </w:t>
      </w:r>
      <w:r>
        <w:rPr>
          <w:sz w:val="24"/>
        </w:rPr>
        <w:t>standard</w:t>
      </w:r>
      <w:r>
        <w:rPr>
          <w:spacing w:val="-9"/>
          <w:sz w:val="24"/>
        </w:rPr>
        <w:t xml:space="preserve"> </w:t>
      </w:r>
      <w:r>
        <w:rPr>
          <w:sz w:val="24"/>
        </w:rPr>
        <w:t>and</w:t>
      </w:r>
      <w:r>
        <w:rPr>
          <w:spacing w:val="-10"/>
          <w:sz w:val="24"/>
        </w:rPr>
        <w:t xml:space="preserve"> </w:t>
      </w:r>
      <w:r>
        <w:rPr>
          <w:sz w:val="24"/>
        </w:rPr>
        <w:t>under</w:t>
      </w:r>
      <w:r>
        <w:rPr>
          <w:spacing w:val="-10"/>
          <w:sz w:val="24"/>
        </w:rPr>
        <w:t xml:space="preserve"> </w:t>
      </w:r>
      <w:r>
        <w:rPr>
          <w:sz w:val="24"/>
        </w:rPr>
        <w:t>its</w:t>
      </w:r>
      <w:r>
        <w:rPr>
          <w:spacing w:val="-9"/>
          <w:sz w:val="24"/>
        </w:rPr>
        <w:t xml:space="preserve"> </w:t>
      </w:r>
      <w:r>
        <w:rPr>
          <w:sz w:val="24"/>
        </w:rPr>
        <w:t>new</w:t>
      </w:r>
      <w:r>
        <w:rPr>
          <w:spacing w:val="-10"/>
          <w:sz w:val="24"/>
        </w:rPr>
        <w:t xml:space="preserve"> </w:t>
      </w:r>
      <w:r>
        <w:rPr>
          <w:sz w:val="24"/>
        </w:rPr>
        <w:t>interpretation,</w:t>
      </w:r>
      <w:r>
        <w:rPr>
          <w:spacing w:val="-7"/>
          <w:sz w:val="24"/>
        </w:rPr>
        <w:t xml:space="preserve"> </w:t>
      </w:r>
      <w:r>
        <w:rPr>
          <w:sz w:val="24"/>
        </w:rPr>
        <w:t>in</w:t>
      </w:r>
      <w:r>
        <w:rPr>
          <w:spacing w:val="-9"/>
          <w:sz w:val="24"/>
        </w:rPr>
        <w:t xml:space="preserve"> </w:t>
      </w:r>
      <w:r>
        <w:rPr>
          <w:sz w:val="24"/>
        </w:rPr>
        <w:t>order</w:t>
      </w:r>
      <w:r>
        <w:rPr>
          <w:spacing w:val="-10"/>
          <w:sz w:val="24"/>
        </w:rPr>
        <w:t xml:space="preserve"> </w:t>
      </w:r>
      <w:r>
        <w:rPr>
          <w:sz w:val="24"/>
        </w:rPr>
        <w:t>for</w:t>
      </w:r>
      <w:r>
        <w:rPr>
          <w:spacing w:val="-11"/>
          <w:sz w:val="24"/>
        </w:rPr>
        <w:t xml:space="preserve"> </w:t>
      </w:r>
      <w:r>
        <w:rPr>
          <w:sz w:val="24"/>
        </w:rPr>
        <w:t>a</w:t>
      </w:r>
      <w:r>
        <w:rPr>
          <w:spacing w:val="-11"/>
          <w:sz w:val="24"/>
        </w:rPr>
        <w:t xml:space="preserve"> </w:t>
      </w:r>
      <w:r>
        <w:rPr>
          <w:sz w:val="24"/>
        </w:rPr>
        <w:t xml:space="preserve">service or item to be primarily health related, </w:t>
      </w:r>
      <w:r>
        <w:rPr>
          <w:i/>
          <w:sz w:val="24"/>
        </w:rPr>
        <w:t>“it must diagnose, prevent, or treat an illness or injury, compensate for physical impairments, act to ameliorate the functional/psychological impact of injuries or health condi</w:t>
      </w:r>
      <w:r>
        <w:rPr>
          <w:i/>
          <w:sz w:val="24"/>
        </w:rPr>
        <w:t xml:space="preserve">tions, or reduce avoidable emergency and healthcare utilization.” </w:t>
      </w:r>
      <w:r>
        <w:rPr>
          <w:sz w:val="24"/>
        </w:rPr>
        <w:t>Supplemental</w:t>
      </w:r>
      <w:r>
        <w:rPr>
          <w:spacing w:val="-11"/>
          <w:sz w:val="24"/>
        </w:rPr>
        <w:t xml:space="preserve"> </w:t>
      </w:r>
      <w:r>
        <w:rPr>
          <w:sz w:val="24"/>
        </w:rPr>
        <w:t>benefits</w:t>
      </w:r>
      <w:r>
        <w:rPr>
          <w:spacing w:val="-11"/>
          <w:sz w:val="24"/>
        </w:rPr>
        <w:t xml:space="preserve"> </w:t>
      </w:r>
      <w:r>
        <w:rPr>
          <w:sz w:val="24"/>
        </w:rPr>
        <w:t>under</w:t>
      </w:r>
      <w:r>
        <w:rPr>
          <w:spacing w:val="-12"/>
          <w:sz w:val="24"/>
        </w:rPr>
        <w:t xml:space="preserve"> </w:t>
      </w:r>
      <w:r>
        <w:rPr>
          <w:sz w:val="24"/>
        </w:rPr>
        <w:t>this</w:t>
      </w:r>
      <w:r>
        <w:rPr>
          <w:spacing w:val="-11"/>
          <w:sz w:val="24"/>
        </w:rPr>
        <w:t xml:space="preserve"> </w:t>
      </w:r>
      <w:r>
        <w:rPr>
          <w:sz w:val="24"/>
        </w:rPr>
        <w:t>broader</w:t>
      </w:r>
      <w:r>
        <w:rPr>
          <w:spacing w:val="-12"/>
          <w:sz w:val="24"/>
        </w:rPr>
        <w:t xml:space="preserve"> </w:t>
      </w:r>
      <w:r>
        <w:rPr>
          <w:sz w:val="24"/>
        </w:rPr>
        <w:t>interpretation</w:t>
      </w:r>
      <w:r>
        <w:rPr>
          <w:spacing w:val="-9"/>
          <w:sz w:val="24"/>
        </w:rPr>
        <w:t xml:space="preserve"> </w:t>
      </w:r>
      <w:r>
        <w:rPr>
          <w:sz w:val="24"/>
        </w:rPr>
        <w:t>must</w:t>
      </w:r>
      <w:r>
        <w:rPr>
          <w:spacing w:val="-10"/>
          <w:sz w:val="24"/>
        </w:rPr>
        <w:t xml:space="preserve"> </w:t>
      </w:r>
      <w:r>
        <w:rPr>
          <w:sz w:val="24"/>
        </w:rPr>
        <w:t>be</w:t>
      </w:r>
      <w:r>
        <w:rPr>
          <w:spacing w:val="-11"/>
          <w:sz w:val="24"/>
        </w:rPr>
        <w:t xml:space="preserve"> </w:t>
      </w:r>
      <w:r>
        <w:rPr>
          <w:sz w:val="24"/>
        </w:rPr>
        <w:t>medically</w:t>
      </w:r>
      <w:r>
        <w:rPr>
          <w:spacing w:val="-18"/>
          <w:sz w:val="24"/>
        </w:rPr>
        <w:t xml:space="preserve"> </w:t>
      </w:r>
      <w:r>
        <w:rPr>
          <w:sz w:val="24"/>
        </w:rPr>
        <w:t>appropriate</w:t>
      </w:r>
      <w:r>
        <w:rPr>
          <w:spacing w:val="-12"/>
          <w:sz w:val="24"/>
        </w:rPr>
        <w:t xml:space="preserve"> </w:t>
      </w:r>
      <w:r>
        <w:rPr>
          <w:sz w:val="24"/>
        </w:rPr>
        <w:t>and</w:t>
      </w:r>
      <w:r>
        <w:rPr>
          <w:spacing w:val="-11"/>
          <w:sz w:val="24"/>
        </w:rPr>
        <w:t xml:space="preserve"> </w:t>
      </w:r>
      <w:r>
        <w:rPr>
          <w:sz w:val="24"/>
        </w:rPr>
        <w:t>ordered by</w:t>
      </w:r>
      <w:r>
        <w:rPr>
          <w:spacing w:val="-5"/>
          <w:sz w:val="24"/>
        </w:rPr>
        <w:t xml:space="preserve"> </w:t>
      </w:r>
      <w:r>
        <w:rPr>
          <w:sz w:val="24"/>
        </w:rPr>
        <w:t>a</w:t>
      </w:r>
      <w:r>
        <w:rPr>
          <w:spacing w:val="-4"/>
          <w:sz w:val="24"/>
        </w:rPr>
        <w:t xml:space="preserve"> </w:t>
      </w:r>
      <w:r>
        <w:rPr>
          <w:sz w:val="24"/>
        </w:rPr>
        <w:t>licensed</w:t>
      </w:r>
      <w:r>
        <w:rPr>
          <w:spacing w:val="-3"/>
          <w:sz w:val="24"/>
        </w:rPr>
        <w:t xml:space="preserve"> </w:t>
      </w:r>
      <w:r>
        <w:rPr>
          <w:sz w:val="24"/>
        </w:rPr>
        <w:t>provider</w:t>
      </w:r>
      <w:r>
        <w:rPr>
          <w:spacing w:val="-4"/>
          <w:sz w:val="24"/>
        </w:rPr>
        <w:t xml:space="preserve"> </w:t>
      </w:r>
      <w:r>
        <w:rPr>
          <w:sz w:val="24"/>
        </w:rPr>
        <w:t>as part</w:t>
      </w:r>
      <w:r>
        <w:rPr>
          <w:spacing w:val="-3"/>
          <w:sz w:val="24"/>
        </w:rPr>
        <w:t xml:space="preserve"> </w:t>
      </w:r>
      <w:r>
        <w:rPr>
          <w:sz w:val="24"/>
        </w:rPr>
        <w:t>of a</w:t>
      </w:r>
      <w:r>
        <w:rPr>
          <w:spacing w:val="-5"/>
          <w:sz w:val="24"/>
        </w:rPr>
        <w:t xml:space="preserve"> </w:t>
      </w:r>
      <w:r>
        <w:rPr>
          <w:sz w:val="24"/>
        </w:rPr>
        <w:t>care</w:t>
      </w:r>
      <w:r>
        <w:rPr>
          <w:spacing w:val="-2"/>
          <w:sz w:val="24"/>
        </w:rPr>
        <w:t xml:space="preserve"> </w:t>
      </w:r>
      <w:r>
        <w:rPr>
          <w:sz w:val="24"/>
        </w:rPr>
        <w:t>plan</w:t>
      </w:r>
      <w:r>
        <w:rPr>
          <w:spacing w:val="-3"/>
          <w:sz w:val="24"/>
        </w:rPr>
        <w:t xml:space="preserve"> </w:t>
      </w:r>
      <w:r>
        <w:rPr>
          <w:sz w:val="24"/>
        </w:rPr>
        <w:t>if not directly</w:t>
      </w:r>
      <w:r>
        <w:rPr>
          <w:spacing w:val="-5"/>
          <w:sz w:val="24"/>
        </w:rPr>
        <w:t xml:space="preserve"> </w:t>
      </w:r>
      <w:r>
        <w:rPr>
          <w:sz w:val="24"/>
        </w:rPr>
        <w:t>provided</w:t>
      </w:r>
      <w:r>
        <w:rPr>
          <w:spacing w:val="-3"/>
          <w:sz w:val="24"/>
        </w:rPr>
        <w:t xml:space="preserve"> </w:t>
      </w:r>
      <w:r>
        <w:rPr>
          <w:sz w:val="24"/>
        </w:rPr>
        <w:t>by</w:t>
      </w:r>
      <w:r>
        <w:rPr>
          <w:spacing w:val="-5"/>
          <w:sz w:val="24"/>
        </w:rPr>
        <w:t xml:space="preserve"> </w:t>
      </w:r>
      <w:r>
        <w:rPr>
          <w:sz w:val="24"/>
        </w:rPr>
        <w:t>one; supplemental</w:t>
      </w:r>
      <w:r>
        <w:rPr>
          <w:spacing w:val="-2"/>
          <w:sz w:val="24"/>
        </w:rPr>
        <w:t xml:space="preserve"> </w:t>
      </w:r>
      <w:r>
        <w:rPr>
          <w:sz w:val="24"/>
        </w:rPr>
        <w:t>benefits could not include items or services solely to induce enrollment by MA</w:t>
      </w:r>
      <w:r>
        <w:rPr>
          <w:spacing w:val="-9"/>
          <w:sz w:val="24"/>
        </w:rPr>
        <w:t xml:space="preserve"> </w:t>
      </w:r>
      <w:r>
        <w:rPr>
          <w:sz w:val="24"/>
        </w:rPr>
        <w:t>plans.</w:t>
      </w:r>
    </w:p>
    <w:p w:rsidR="0040230F" w:rsidRDefault="0040230F">
      <w:pPr>
        <w:jc w:val="both"/>
        <w:rPr>
          <w:sz w:val="24"/>
        </w:rPr>
        <w:sectPr w:rsidR="0040230F">
          <w:pgSz w:w="12240" w:h="15840"/>
          <w:pgMar w:top="1360" w:right="1320" w:bottom="1200" w:left="1340" w:header="0" w:footer="1012" w:gutter="0"/>
          <w:cols w:space="720"/>
        </w:sectPr>
      </w:pPr>
    </w:p>
    <w:p w:rsidR="0040230F" w:rsidRDefault="00B01A33">
      <w:pPr>
        <w:pStyle w:val="BodyText"/>
        <w:spacing w:before="79"/>
        <w:ind w:right="119"/>
      </w:pPr>
      <w:bookmarkStart w:id="0" w:name="_GoBack"/>
      <w:r>
        <w:lastRenderedPageBreak/>
        <w:t>The Academy supports the new interpretation and expansion of supplemental benefits that can be provided to patients. This will be a valuable modification to</w:t>
      </w:r>
      <w:r>
        <w:t xml:space="preserve"> the program for seriously ill and complex patients who will benefit tremendously from receiving additional supplemental benefits that contributes to daily management of their conditions. The Academy encourages the agency to expand the application and impl</w:t>
      </w:r>
      <w:r>
        <w:t>ementation of the agency’s new interpretation to other programs and models, including ACOs, IAH, etc.</w:t>
      </w:r>
    </w:p>
    <w:p w:rsidR="0040230F" w:rsidRDefault="00B01A33">
      <w:pPr>
        <w:pStyle w:val="Heading1"/>
      </w:pPr>
      <w:r>
        <w:rPr>
          <w:color w:val="6C1D6A"/>
        </w:rPr>
        <w:t>Rewards and Incentives for Completion of a Health Risk Assessment (HRA)</w:t>
      </w:r>
    </w:p>
    <w:p w:rsidR="0040230F" w:rsidRDefault="00B01A33">
      <w:pPr>
        <w:pStyle w:val="BodyText"/>
        <w:ind w:right="115"/>
      </w:pPr>
      <w:r>
        <w:t>CMS recognizes that HRA tools must be designed to objectively assess and analyze t</w:t>
      </w:r>
      <w:r>
        <w:t>he medical, functional, cognitive, psychosocial and mental health needs of each beneficiary, and therefore do not consist of material that is susceptible to bias like other enrollee satisfaction and outcome surveys. Therefore, beginning CY 2019, CMS is pro</w:t>
      </w:r>
      <w:r>
        <w:t>posing to permit MA plans to include the completion of an HRA as a permitted health-related activity in an RI (Rewards and Incentives) Program.</w:t>
      </w:r>
    </w:p>
    <w:p w:rsidR="0040230F" w:rsidRDefault="00B01A33">
      <w:pPr>
        <w:pStyle w:val="BodyText"/>
        <w:spacing w:before="159"/>
        <w:ind w:right="117"/>
      </w:pPr>
      <w:r>
        <w:t>The Academy, on behalf of its members and their patients, commends CMS for permitting completion</w:t>
      </w:r>
      <w:r>
        <w:rPr>
          <w:spacing w:val="-13"/>
        </w:rPr>
        <w:t xml:space="preserve"> </w:t>
      </w:r>
      <w:r>
        <w:t>of</w:t>
      </w:r>
      <w:r>
        <w:rPr>
          <w:spacing w:val="-14"/>
        </w:rPr>
        <w:t xml:space="preserve"> </w:t>
      </w:r>
      <w:r>
        <w:t>an</w:t>
      </w:r>
      <w:r>
        <w:rPr>
          <w:spacing w:val="-11"/>
        </w:rPr>
        <w:t xml:space="preserve"> </w:t>
      </w:r>
      <w:r>
        <w:t>HRA</w:t>
      </w:r>
      <w:r>
        <w:rPr>
          <w:spacing w:val="-14"/>
        </w:rPr>
        <w:t xml:space="preserve"> </w:t>
      </w:r>
      <w:r>
        <w:t>as</w:t>
      </w:r>
      <w:r>
        <w:rPr>
          <w:spacing w:val="-11"/>
        </w:rPr>
        <w:t xml:space="preserve"> </w:t>
      </w:r>
      <w:r>
        <w:t>an</w:t>
      </w:r>
      <w:r>
        <w:rPr>
          <w:spacing w:val="-13"/>
        </w:rPr>
        <w:t xml:space="preserve"> </w:t>
      </w:r>
      <w:r>
        <w:t>activity</w:t>
      </w:r>
      <w:r>
        <w:rPr>
          <w:spacing w:val="-18"/>
        </w:rPr>
        <w:t xml:space="preserve"> </w:t>
      </w:r>
      <w:r>
        <w:t>in</w:t>
      </w:r>
      <w:r>
        <w:rPr>
          <w:spacing w:val="-13"/>
        </w:rPr>
        <w:t xml:space="preserve"> </w:t>
      </w:r>
      <w:r>
        <w:t>the</w:t>
      </w:r>
      <w:r>
        <w:rPr>
          <w:spacing w:val="-14"/>
        </w:rPr>
        <w:t xml:space="preserve"> </w:t>
      </w:r>
      <w:r>
        <w:t>RI</w:t>
      </w:r>
      <w:r>
        <w:rPr>
          <w:spacing w:val="-17"/>
        </w:rPr>
        <w:t xml:space="preserve"> </w:t>
      </w:r>
      <w:r>
        <w:t>Program.</w:t>
      </w:r>
      <w:r>
        <w:rPr>
          <w:spacing w:val="-13"/>
        </w:rPr>
        <w:t xml:space="preserve"> </w:t>
      </w:r>
      <w:r>
        <w:t>We</w:t>
      </w:r>
      <w:r>
        <w:rPr>
          <w:spacing w:val="-14"/>
        </w:rPr>
        <w:t xml:space="preserve"> </w:t>
      </w:r>
      <w:r>
        <w:t>believe</w:t>
      </w:r>
      <w:r>
        <w:rPr>
          <w:spacing w:val="-9"/>
        </w:rPr>
        <w:t xml:space="preserve"> </w:t>
      </w:r>
      <w:r>
        <w:t>that</w:t>
      </w:r>
      <w:r>
        <w:rPr>
          <w:spacing w:val="-13"/>
        </w:rPr>
        <w:t xml:space="preserve"> </w:t>
      </w:r>
      <w:r>
        <w:t>it</w:t>
      </w:r>
      <w:r>
        <w:rPr>
          <w:spacing w:val="-13"/>
        </w:rPr>
        <w:t xml:space="preserve"> </w:t>
      </w:r>
      <w:r>
        <w:t>is</w:t>
      </w:r>
      <w:r>
        <w:rPr>
          <w:spacing w:val="-13"/>
        </w:rPr>
        <w:t xml:space="preserve"> </w:t>
      </w:r>
      <w:r>
        <w:t>important</w:t>
      </w:r>
      <w:r>
        <w:rPr>
          <w:spacing w:val="-13"/>
        </w:rPr>
        <w:t xml:space="preserve"> </w:t>
      </w:r>
      <w:r>
        <w:t>that</w:t>
      </w:r>
      <w:r>
        <w:rPr>
          <w:spacing w:val="-12"/>
        </w:rPr>
        <w:t xml:space="preserve"> </w:t>
      </w:r>
      <w:r>
        <w:t>patients receive at minimum the same range of services regardless of the model under which they receive their Medicare benefits. By including the HRA assessment in the RI program will encour</w:t>
      </w:r>
      <w:r>
        <w:t>age patients to complete these assessments and contribute towards ensuring that their specific needs are being</w:t>
      </w:r>
      <w:r>
        <w:rPr>
          <w:spacing w:val="-5"/>
        </w:rPr>
        <w:t xml:space="preserve"> </w:t>
      </w:r>
      <w:r>
        <w:t>met.</w:t>
      </w:r>
    </w:p>
    <w:p w:rsidR="0040230F" w:rsidRDefault="00B01A33">
      <w:pPr>
        <w:pStyle w:val="Heading1"/>
      </w:pPr>
      <w:r>
        <w:rPr>
          <w:color w:val="6C1D6A"/>
        </w:rPr>
        <w:t>2019 Star Ratings and Future Measurement Concepts</w:t>
      </w:r>
    </w:p>
    <w:p w:rsidR="0040230F" w:rsidRDefault="00B01A33">
      <w:pPr>
        <w:pStyle w:val="BodyText"/>
        <w:ind w:right="114"/>
      </w:pPr>
      <w:r>
        <w:t>The agency is proposing to make several changes to the measures used for 2019 Star Ratings</w:t>
      </w:r>
      <w:r>
        <w:t>, including</w:t>
      </w:r>
      <w:r>
        <w:rPr>
          <w:spacing w:val="-6"/>
        </w:rPr>
        <w:t xml:space="preserve"> </w:t>
      </w:r>
      <w:r>
        <w:t>adding</w:t>
      </w:r>
      <w:r>
        <w:rPr>
          <w:spacing w:val="-6"/>
        </w:rPr>
        <w:t xml:space="preserve"> </w:t>
      </w:r>
      <w:r>
        <w:t>new</w:t>
      </w:r>
      <w:r>
        <w:rPr>
          <w:spacing w:val="-4"/>
        </w:rPr>
        <w:t xml:space="preserve"> </w:t>
      </w:r>
      <w:r>
        <w:t>measures and</w:t>
      </w:r>
      <w:r>
        <w:rPr>
          <w:spacing w:val="-4"/>
        </w:rPr>
        <w:t xml:space="preserve"> </w:t>
      </w:r>
      <w:r>
        <w:t>revising</w:t>
      </w:r>
      <w:r>
        <w:rPr>
          <w:spacing w:val="-4"/>
        </w:rPr>
        <w:t xml:space="preserve"> </w:t>
      </w:r>
      <w:r>
        <w:t>and</w:t>
      </w:r>
      <w:r>
        <w:rPr>
          <w:spacing w:val="-4"/>
        </w:rPr>
        <w:t xml:space="preserve"> </w:t>
      </w:r>
      <w:r>
        <w:t>removing</w:t>
      </w:r>
      <w:r>
        <w:rPr>
          <w:spacing w:val="-4"/>
        </w:rPr>
        <w:t xml:space="preserve"> </w:t>
      </w:r>
      <w:r>
        <w:t>existing</w:t>
      </w:r>
      <w:r>
        <w:rPr>
          <w:spacing w:val="-6"/>
        </w:rPr>
        <w:t xml:space="preserve"> </w:t>
      </w:r>
      <w:r>
        <w:t>measures,</w:t>
      </w:r>
      <w:r>
        <w:rPr>
          <w:spacing w:val="-4"/>
        </w:rPr>
        <w:t xml:space="preserve"> </w:t>
      </w:r>
      <w:r>
        <w:t>as</w:t>
      </w:r>
      <w:r>
        <w:rPr>
          <w:spacing w:val="-4"/>
        </w:rPr>
        <w:t xml:space="preserve"> </w:t>
      </w:r>
      <w:r>
        <w:t>well</w:t>
      </w:r>
      <w:r>
        <w:rPr>
          <w:spacing w:val="-3"/>
        </w:rPr>
        <w:t xml:space="preserve"> </w:t>
      </w:r>
      <w:r>
        <w:t>as</w:t>
      </w:r>
      <w:r>
        <w:rPr>
          <w:spacing w:val="-4"/>
        </w:rPr>
        <w:t xml:space="preserve"> </w:t>
      </w:r>
      <w:r>
        <w:t>updating the Display Measures. The Academy encourages the agency to work with measure stewards so that</w:t>
      </w:r>
      <w:r>
        <w:rPr>
          <w:spacing w:val="-6"/>
        </w:rPr>
        <w:t xml:space="preserve"> </w:t>
      </w:r>
      <w:r>
        <w:t>the</w:t>
      </w:r>
      <w:r>
        <w:rPr>
          <w:spacing w:val="-7"/>
        </w:rPr>
        <w:t xml:space="preserve"> </w:t>
      </w:r>
      <w:r>
        <w:t>numerators</w:t>
      </w:r>
      <w:r>
        <w:rPr>
          <w:spacing w:val="-6"/>
        </w:rPr>
        <w:t xml:space="preserve"> </w:t>
      </w:r>
      <w:r>
        <w:t>and</w:t>
      </w:r>
      <w:r>
        <w:rPr>
          <w:spacing w:val="-6"/>
        </w:rPr>
        <w:t xml:space="preserve"> </w:t>
      </w:r>
      <w:r>
        <w:t>denominators</w:t>
      </w:r>
      <w:r>
        <w:rPr>
          <w:spacing w:val="-6"/>
        </w:rPr>
        <w:t xml:space="preserve"> </w:t>
      </w:r>
      <w:r>
        <w:t>take</w:t>
      </w:r>
      <w:r>
        <w:rPr>
          <w:spacing w:val="-8"/>
        </w:rPr>
        <w:t xml:space="preserve"> </w:t>
      </w:r>
      <w:r>
        <w:t>into</w:t>
      </w:r>
      <w:r>
        <w:rPr>
          <w:spacing w:val="-6"/>
        </w:rPr>
        <w:t xml:space="preserve"> </w:t>
      </w:r>
      <w:r>
        <w:t>account</w:t>
      </w:r>
      <w:r>
        <w:rPr>
          <w:spacing w:val="-6"/>
        </w:rPr>
        <w:t xml:space="preserve"> </w:t>
      </w:r>
      <w:r>
        <w:t>the</w:t>
      </w:r>
      <w:r>
        <w:rPr>
          <w:spacing w:val="-7"/>
        </w:rPr>
        <w:t xml:space="preserve"> </w:t>
      </w:r>
      <w:r>
        <w:t>home-limited</w:t>
      </w:r>
      <w:r>
        <w:rPr>
          <w:spacing w:val="-7"/>
        </w:rPr>
        <w:t xml:space="preserve"> </w:t>
      </w:r>
      <w:r>
        <w:t>and</w:t>
      </w:r>
      <w:r>
        <w:rPr>
          <w:spacing w:val="-6"/>
        </w:rPr>
        <w:t xml:space="preserve"> </w:t>
      </w:r>
      <w:r>
        <w:t>home-bound</w:t>
      </w:r>
      <w:r>
        <w:rPr>
          <w:spacing w:val="-6"/>
        </w:rPr>
        <w:t xml:space="preserve"> </w:t>
      </w:r>
      <w:r>
        <w:t>patient populations,</w:t>
      </w:r>
      <w:r>
        <w:rPr>
          <w:spacing w:val="-15"/>
        </w:rPr>
        <w:t xml:space="preserve"> </w:t>
      </w:r>
      <w:r>
        <w:t>so</w:t>
      </w:r>
      <w:r>
        <w:rPr>
          <w:spacing w:val="-16"/>
        </w:rPr>
        <w:t xml:space="preserve"> </w:t>
      </w:r>
      <w:r>
        <w:t>that</w:t>
      </w:r>
      <w:r>
        <w:rPr>
          <w:spacing w:val="-16"/>
        </w:rPr>
        <w:t xml:space="preserve"> </w:t>
      </w:r>
      <w:r>
        <w:t>the</w:t>
      </w:r>
      <w:r>
        <w:rPr>
          <w:spacing w:val="-16"/>
        </w:rPr>
        <w:t xml:space="preserve"> </w:t>
      </w:r>
      <w:r>
        <w:t>measures</w:t>
      </w:r>
      <w:r>
        <w:rPr>
          <w:spacing w:val="-16"/>
        </w:rPr>
        <w:t xml:space="preserve"> </w:t>
      </w:r>
      <w:r>
        <w:t>do</w:t>
      </w:r>
      <w:r>
        <w:rPr>
          <w:spacing w:val="-16"/>
        </w:rPr>
        <w:t xml:space="preserve"> </w:t>
      </w:r>
      <w:r>
        <w:t>not</w:t>
      </w:r>
      <w:r>
        <w:rPr>
          <w:spacing w:val="-15"/>
        </w:rPr>
        <w:t xml:space="preserve"> </w:t>
      </w:r>
      <w:r>
        <w:t>result</w:t>
      </w:r>
      <w:r>
        <w:rPr>
          <w:spacing w:val="-15"/>
        </w:rPr>
        <w:t xml:space="preserve"> </w:t>
      </w:r>
      <w:r>
        <w:t>in</w:t>
      </w:r>
      <w:r>
        <w:rPr>
          <w:spacing w:val="-15"/>
        </w:rPr>
        <w:t xml:space="preserve"> </w:t>
      </w:r>
      <w:r>
        <w:t>any</w:t>
      </w:r>
      <w:r>
        <w:rPr>
          <w:spacing w:val="-18"/>
        </w:rPr>
        <w:t xml:space="preserve"> </w:t>
      </w:r>
      <w:r>
        <w:t>unintended</w:t>
      </w:r>
      <w:r>
        <w:rPr>
          <w:spacing w:val="-13"/>
        </w:rPr>
        <w:t xml:space="preserve"> </w:t>
      </w:r>
      <w:r>
        <w:t>consequences</w:t>
      </w:r>
      <w:r>
        <w:rPr>
          <w:spacing w:val="-16"/>
        </w:rPr>
        <w:t xml:space="preserve"> </w:t>
      </w:r>
      <w:r>
        <w:t>or</w:t>
      </w:r>
      <w:r>
        <w:rPr>
          <w:spacing w:val="-17"/>
        </w:rPr>
        <w:t xml:space="preserve"> </w:t>
      </w:r>
      <w:r>
        <w:t>adverse</w:t>
      </w:r>
      <w:r>
        <w:rPr>
          <w:spacing w:val="-17"/>
        </w:rPr>
        <w:t xml:space="preserve"> </w:t>
      </w:r>
      <w:r>
        <w:t>selection results</w:t>
      </w:r>
      <w:r>
        <w:rPr>
          <w:spacing w:val="-6"/>
        </w:rPr>
        <w:t xml:space="preserve"> </w:t>
      </w:r>
      <w:r>
        <w:t>from</w:t>
      </w:r>
      <w:r>
        <w:rPr>
          <w:spacing w:val="-6"/>
        </w:rPr>
        <w:t xml:space="preserve"> </w:t>
      </w:r>
      <w:r>
        <w:t>not</w:t>
      </w:r>
      <w:r>
        <w:rPr>
          <w:spacing w:val="-4"/>
        </w:rPr>
        <w:t xml:space="preserve"> </w:t>
      </w:r>
      <w:r>
        <w:t>taking</w:t>
      </w:r>
      <w:r>
        <w:rPr>
          <w:spacing w:val="-9"/>
        </w:rPr>
        <w:t xml:space="preserve"> </w:t>
      </w:r>
      <w:r>
        <w:t>these</w:t>
      </w:r>
      <w:r>
        <w:rPr>
          <w:spacing w:val="-7"/>
        </w:rPr>
        <w:t xml:space="preserve"> </w:t>
      </w:r>
      <w:r>
        <w:t>patient</w:t>
      </w:r>
      <w:r>
        <w:rPr>
          <w:spacing w:val="-5"/>
        </w:rPr>
        <w:t xml:space="preserve"> </w:t>
      </w:r>
      <w:r>
        <w:t>populations</w:t>
      </w:r>
      <w:r>
        <w:rPr>
          <w:spacing w:val="-5"/>
        </w:rPr>
        <w:t xml:space="preserve"> </w:t>
      </w:r>
      <w:r>
        <w:t>into</w:t>
      </w:r>
      <w:r>
        <w:rPr>
          <w:spacing w:val="-6"/>
        </w:rPr>
        <w:t xml:space="preserve"> </w:t>
      </w:r>
      <w:r>
        <w:t>consideration</w:t>
      </w:r>
      <w:r>
        <w:rPr>
          <w:spacing w:val="-4"/>
        </w:rPr>
        <w:t xml:space="preserve"> </w:t>
      </w:r>
      <w:r>
        <w:t>for</w:t>
      </w:r>
      <w:r>
        <w:rPr>
          <w:spacing w:val="-6"/>
        </w:rPr>
        <w:t xml:space="preserve"> </w:t>
      </w:r>
      <w:r>
        <w:t>the</w:t>
      </w:r>
      <w:r>
        <w:rPr>
          <w:spacing w:val="-4"/>
        </w:rPr>
        <w:t xml:space="preserve"> </w:t>
      </w:r>
      <w:r>
        <w:t>measure</w:t>
      </w:r>
      <w:r>
        <w:rPr>
          <w:spacing w:val="-6"/>
        </w:rPr>
        <w:t xml:space="preserve"> </w:t>
      </w:r>
      <w:r>
        <w:t>specifications.</w:t>
      </w:r>
    </w:p>
    <w:p w:rsidR="0040230F" w:rsidRDefault="0040230F">
      <w:pPr>
        <w:pStyle w:val="BodyText"/>
        <w:spacing w:before="8"/>
        <w:ind w:left="0"/>
        <w:jc w:val="left"/>
        <w:rPr>
          <w:sz w:val="27"/>
        </w:rPr>
      </w:pPr>
    </w:p>
    <w:p w:rsidR="0040230F" w:rsidRDefault="00B01A33">
      <w:pPr>
        <w:pStyle w:val="Heading1"/>
        <w:spacing w:before="1"/>
      </w:pPr>
      <w:r>
        <w:rPr>
          <w:color w:val="6C1D6A"/>
        </w:rPr>
        <w:t>Conclusion</w:t>
      </w:r>
    </w:p>
    <w:p w:rsidR="0040230F" w:rsidRDefault="00B01A33">
      <w:pPr>
        <w:pStyle w:val="BodyText"/>
        <w:ind w:right="114"/>
      </w:pPr>
      <w:r>
        <w:t xml:space="preserve">Overall, the Academy supports CMS’ efforts to update the MA program and the RA models to improve predictive accuracy and for increasing access to necessary and valuable supplemental benefits. These are important factors and elements that contribute to the </w:t>
      </w:r>
      <w:r>
        <w:t>delivery of high-quality care and improved patient outcomes.</w:t>
      </w:r>
    </w:p>
    <w:p w:rsidR="0040230F" w:rsidRDefault="00B01A33">
      <w:pPr>
        <w:pStyle w:val="BodyText"/>
        <w:spacing w:before="161" w:after="8" w:line="376" w:lineRule="auto"/>
        <w:ind w:right="955"/>
        <w:jc w:val="left"/>
      </w:pPr>
      <w:r>
        <w:t xml:space="preserve">If you have any questions, please contact Ray Quintero at </w:t>
      </w:r>
      <w:hyperlink r:id="rId9">
        <w:r>
          <w:rPr>
            <w:color w:val="0462C1"/>
            <w:u w:val="single" w:color="0462C1"/>
          </w:rPr>
          <w:t>rquintero@healthsperien.com</w:t>
        </w:r>
      </w:hyperlink>
      <w:r>
        <w:t>. Sincerely,</w:t>
      </w:r>
    </w:p>
    <w:p w:rsidR="0040230F" w:rsidRDefault="00B01A33">
      <w:pPr>
        <w:pStyle w:val="BodyText"/>
        <w:jc w:val="left"/>
        <w:rPr>
          <w:sz w:val="20"/>
        </w:rPr>
      </w:pPr>
      <w:r>
        <w:rPr>
          <w:noProof/>
          <w:sz w:val="20"/>
        </w:rPr>
        <w:drawing>
          <wp:inline distT="0" distB="0" distL="0" distR="0">
            <wp:extent cx="1258035" cy="43434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1258035" cy="434340"/>
                    </a:xfrm>
                    <a:prstGeom prst="rect">
                      <a:avLst/>
                    </a:prstGeom>
                  </pic:spPr>
                </pic:pic>
              </a:graphicData>
            </a:graphic>
          </wp:inline>
        </w:drawing>
      </w:r>
    </w:p>
    <w:p w:rsidR="0040230F" w:rsidRDefault="00B01A33">
      <w:pPr>
        <w:pStyle w:val="BodyText"/>
        <w:spacing w:before="167"/>
      </w:pPr>
      <w:r>
        <w:t>Robert Sowislo</w:t>
      </w:r>
    </w:p>
    <w:p w:rsidR="0040230F" w:rsidRDefault="00B01A33">
      <w:pPr>
        <w:pStyle w:val="BodyText"/>
        <w:ind w:right="5148"/>
        <w:jc w:val="left"/>
      </w:pPr>
      <w:r>
        <w:t>American Academy of Home Care Medicine Public Policy Chair</w:t>
      </w:r>
      <w:bookmarkEnd w:id="0"/>
    </w:p>
    <w:sectPr w:rsidR="0040230F">
      <w:pgSz w:w="12240" w:h="15840"/>
      <w:pgMar w:top="1360" w:right="1320" w:bottom="1200" w:left="1340" w:header="0" w:footer="101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B01A33">
      <w:r>
        <w:separator/>
      </w:r>
    </w:p>
  </w:endnote>
  <w:endnote w:type="continuationSeparator" w:id="0">
    <w:p w:rsidR="00000000" w:rsidRDefault="00B01A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30F" w:rsidRDefault="00B01A33">
    <w:pPr>
      <w:pStyle w:val="BodyText"/>
      <w:spacing w:line="14" w:lineRule="auto"/>
      <w:ind w:left="0"/>
      <w:jc w:val="left"/>
      <w:rPr>
        <w:sz w:val="20"/>
      </w:rPr>
    </w:pPr>
    <w:r>
      <w:pict>
        <v:shapetype id="_x0000_t202" coordsize="21600,21600" o:spt="202" path="m,l,21600r21600,l21600,xe">
          <v:stroke joinstyle="miter"/>
          <v:path gradientshapeok="t" o:connecttype="rect"/>
        </v:shapetype>
        <v:shape id="_x0000_s1025" type="#_x0000_t202" style="position:absolute;margin-left:301.3pt;margin-top:730.4pt;width:9.6pt;height:13.05pt;z-index:-251658752;mso-position-horizontal-relative:page;mso-position-vertical-relative:page" filled="f" stroked="f">
          <v:textbox inset="0,0,0,0">
            <w:txbxContent>
              <w:p w:rsidR="0040230F" w:rsidRDefault="00B01A33">
                <w:pPr>
                  <w:spacing w:line="245" w:lineRule="exact"/>
                  <w:ind w:left="40"/>
                  <w:rPr>
                    <w:rFonts w:ascii="Calibri"/>
                  </w:rPr>
                </w:pPr>
                <w:r>
                  <w:fldChar w:fldCharType="begin"/>
                </w:r>
                <w:r>
                  <w:rPr>
                    <w:rFonts w:ascii="Calibri"/>
                  </w:rPr>
                  <w:instrText xml:space="preserve"> PAGE </w:instrText>
                </w:r>
                <w:r>
                  <w:fldChar w:fldCharType="separate"/>
                </w:r>
                <w:r>
                  <w:rPr>
                    <w:rFonts w:ascii="Calibri"/>
                    <w:noProof/>
                  </w:rPr>
                  <w:t>3</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B01A33">
      <w:r>
        <w:separator/>
      </w:r>
    </w:p>
  </w:footnote>
  <w:footnote w:type="continuationSeparator" w:id="0">
    <w:p w:rsidR="00000000" w:rsidRDefault="00B01A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C574F6"/>
    <w:multiLevelType w:val="multilevel"/>
    <w:tmpl w:val="E2FA2156"/>
    <w:lvl w:ilvl="0">
      <w:start w:val="16"/>
      <w:numFmt w:val="upperLetter"/>
      <w:lvlText w:val="%1"/>
      <w:lvlJc w:val="left"/>
      <w:pPr>
        <w:ind w:left="587" w:hanging="488"/>
        <w:jc w:val="left"/>
      </w:pPr>
      <w:rPr>
        <w:rFonts w:hint="default"/>
      </w:rPr>
    </w:lvl>
    <w:lvl w:ilvl="1">
      <w:start w:val="15"/>
      <w:numFmt w:val="upperLetter"/>
      <w:lvlText w:val="%1.%2."/>
      <w:lvlJc w:val="left"/>
      <w:pPr>
        <w:ind w:left="587" w:hanging="488"/>
        <w:jc w:val="left"/>
      </w:pPr>
      <w:rPr>
        <w:rFonts w:ascii="Times New Roman" w:eastAsia="Times New Roman" w:hAnsi="Times New Roman" w:cs="Times New Roman" w:hint="default"/>
        <w:w w:val="99"/>
        <w:sz w:val="24"/>
        <w:szCs w:val="24"/>
      </w:rPr>
    </w:lvl>
    <w:lvl w:ilvl="2">
      <w:numFmt w:val="bullet"/>
      <w:lvlText w:val=""/>
      <w:lvlJc w:val="left"/>
      <w:pPr>
        <w:ind w:left="820" w:hanging="360"/>
      </w:pPr>
      <w:rPr>
        <w:rFonts w:ascii="Symbol" w:eastAsia="Symbol" w:hAnsi="Symbol" w:cs="Symbol" w:hint="default"/>
        <w:w w:val="100"/>
        <w:sz w:val="24"/>
        <w:szCs w:val="24"/>
      </w:rPr>
    </w:lvl>
    <w:lvl w:ilvl="3">
      <w:numFmt w:val="bullet"/>
      <w:lvlText w:val="•"/>
      <w:lvlJc w:val="left"/>
      <w:pPr>
        <w:ind w:left="2766" w:hanging="360"/>
      </w:pPr>
      <w:rPr>
        <w:rFonts w:hint="default"/>
      </w:rPr>
    </w:lvl>
    <w:lvl w:ilvl="4">
      <w:numFmt w:val="bullet"/>
      <w:lvlText w:val="•"/>
      <w:lvlJc w:val="left"/>
      <w:pPr>
        <w:ind w:left="3740" w:hanging="360"/>
      </w:pPr>
      <w:rPr>
        <w:rFonts w:hint="default"/>
      </w:rPr>
    </w:lvl>
    <w:lvl w:ilvl="5">
      <w:numFmt w:val="bullet"/>
      <w:lvlText w:val="•"/>
      <w:lvlJc w:val="left"/>
      <w:pPr>
        <w:ind w:left="4713" w:hanging="360"/>
      </w:pPr>
      <w:rPr>
        <w:rFonts w:hint="default"/>
      </w:rPr>
    </w:lvl>
    <w:lvl w:ilvl="6">
      <w:numFmt w:val="bullet"/>
      <w:lvlText w:val="•"/>
      <w:lvlJc w:val="left"/>
      <w:pPr>
        <w:ind w:left="5686" w:hanging="360"/>
      </w:pPr>
      <w:rPr>
        <w:rFonts w:hint="default"/>
      </w:rPr>
    </w:lvl>
    <w:lvl w:ilvl="7">
      <w:numFmt w:val="bullet"/>
      <w:lvlText w:val="•"/>
      <w:lvlJc w:val="left"/>
      <w:pPr>
        <w:ind w:left="6660" w:hanging="360"/>
      </w:pPr>
      <w:rPr>
        <w:rFonts w:hint="default"/>
      </w:rPr>
    </w:lvl>
    <w:lvl w:ilvl="8">
      <w:numFmt w:val="bullet"/>
      <w:lvlText w:val="•"/>
      <w:lvlJc w:val="left"/>
      <w:pPr>
        <w:ind w:left="7633"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40230F"/>
    <w:rsid w:val="0040230F"/>
    <w:rsid w:val="00B01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5:docId w15:val="{7781EC93-B4B1-4D76-A2EF-A700A4CD3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61" w:line="321" w:lineRule="exact"/>
      <w:ind w:left="100"/>
      <w:jc w:val="both"/>
      <w:outlineLvl w:val="0"/>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jc w:val="both"/>
    </w:pPr>
    <w:rPr>
      <w:sz w:val="24"/>
      <w:szCs w:val="24"/>
    </w:rPr>
  </w:style>
  <w:style w:type="paragraph" w:styleId="ListParagraph">
    <w:name w:val="List Paragraph"/>
    <w:basedOn w:val="Normal"/>
    <w:uiPriority w:val="1"/>
    <w:qFormat/>
    <w:pPr>
      <w:spacing w:before="11"/>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mailto:rquintero@healthsperie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1902</Words>
  <Characters>10447</Characters>
  <Application>Microsoft Office Word</Application>
  <DocSecurity>0</DocSecurity>
  <Lines>168</Lines>
  <Paragraphs>47</Paragraphs>
  <ScaleCrop>false</ScaleCrop>
  <Company>CMS</Company>
  <LinksUpToDate>false</LinksUpToDate>
  <CharactersWithSpaces>12307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 Lamba</dc:creator>
  <cp:lastModifiedBy>Arthur Pignotti</cp:lastModifiedBy>
  <cp:revision>2</cp:revision>
  <dcterms:created xsi:type="dcterms:W3CDTF">2018-07-23T16:17:00Z</dcterms:created>
  <dcterms:modified xsi:type="dcterms:W3CDTF">2018-07-23T20:54:00Z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2018-07-23T00:00:00Z</vt:filetime>
  </property>
</Properties>
</file>