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3"/>
        </w:rPr>
      </w:pPr>
    </w:p>
    <w:p>
      <w:pPr>
        <w:spacing w:line="345" w:lineRule="auto" w:before="0"/>
        <w:ind w:left="7271" w:right="765" w:firstLine="0"/>
        <w:jc w:val="left"/>
        <w:rPr>
          <w:rFonts w:ascii="Calibri"/>
          <w:b/>
          <w:sz w:val="16"/>
        </w:rPr>
      </w:pPr>
      <w:r>
        <w:rPr/>
        <w:drawing>
          <wp:anchor distT="0" distB="0" distL="0" distR="0" allowOverlap="1" layoutInCell="1" locked="0" behindDoc="0" simplePos="0" relativeHeight="0">
            <wp:simplePos x="0" y="0"/>
            <wp:positionH relativeFrom="page">
              <wp:posOffset>914400</wp:posOffset>
            </wp:positionH>
            <wp:positionV relativeFrom="paragraph">
              <wp:posOffset>-95284</wp:posOffset>
            </wp:positionV>
            <wp:extent cx="2342400" cy="880744"/>
            <wp:effectExtent l="0" t="0" r="0" b="0"/>
            <wp:wrapNone/>
            <wp:docPr id="1" name="image1.jpeg" descr="Image result for davita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2400" cy="880744"/>
                    </a:xfrm>
                    <a:prstGeom prst="rect">
                      <a:avLst/>
                    </a:prstGeom>
                  </pic:spPr>
                </pic:pic>
              </a:graphicData>
            </a:graphic>
          </wp:anchor>
        </w:drawing>
      </w:r>
      <w:r>
        <w:rPr>
          <w:rFonts w:ascii="Calibri"/>
          <w:b/>
          <w:color w:val="0070C0"/>
          <w:sz w:val="16"/>
        </w:rPr>
        <w:t>500 North Capitol Street, NW Suite 300</w:t>
      </w:r>
    </w:p>
    <w:p>
      <w:pPr>
        <w:spacing w:line="195" w:lineRule="exact" w:before="0"/>
        <w:ind w:left="0" w:right="1181" w:firstLine="0"/>
        <w:jc w:val="right"/>
        <w:rPr>
          <w:rFonts w:ascii="Calibri"/>
          <w:b/>
          <w:sz w:val="16"/>
        </w:rPr>
      </w:pPr>
      <w:r>
        <w:rPr>
          <w:rFonts w:ascii="Calibri"/>
          <w:b/>
          <w:color w:val="0070C0"/>
          <w:sz w:val="16"/>
        </w:rPr>
        <w:t>Washington, DC 20001</w:t>
      </w:r>
    </w:p>
    <w:p>
      <w:pPr>
        <w:tabs>
          <w:tab w:pos="1437" w:val="left" w:leader="none"/>
        </w:tabs>
        <w:spacing w:before="86"/>
        <w:ind w:left="0" w:right="111" w:firstLine="0"/>
        <w:jc w:val="right"/>
        <w:rPr>
          <w:rFonts w:ascii="Times New Roman"/>
          <w:b/>
          <w:sz w:val="16"/>
        </w:rPr>
      </w:pPr>
      <w:r>
        <w:rPr>
          <w:rFonts w:ascii="Times New Roman"/>
          <w:b/>
          <w:color w:val="0070C0"/>
          <w:sz w:val="16"/>
        </w:rPr>
        <w:t>Tel:</w:t>
      </w:r>
      <w:r>
        <w:rPr>
          <w:rFonts w:ascii="Times New Roman"/>
          <w:b/>
          <w:color w:val="0070C0"/>
          <w:spacing w:val="-5"/>
          <w:sz w:val="16"/>
        </w:rPr>
        <w:t> </w:t>
      </w:r>
      <w:r>
        <w:rPr>
          <w:rFonts w:ascii="Times New Roman"/>
          <w:b/>
          <w:color w:val="0070C0"/>
          <w:sz w:val="16"/>
        </w:rPr>
        <w:t>202.478.8184</w:t>
        <w:tab/>
        <w:t>Fax</w:t>
      </w:r>
      <w:r>
        <w:rPr>
          <w:rFonts w:ascii="Times New Roman"/>
          <w:b/>
          <w:color w:val="0070C0"/>
          <w:spacing w:val="-8"/>
          <w:sz w:val="16"/>
        </w:rPr>
        <w:t> </w:t>
      </w:r>
      <w:r>
        <w:rPr>
          <w:rFonts w:ascii="Times New Roman"/>
          <w:b/>
          <w:color w:val="0070C0"/>
          <w:sz w:val="16"/>
        </w:rPr>
        <w:t>202.639.0751</w:t>
      </w:r>
    </w:p>
    <w:p>
      <w:pPr>
        <w:spacing w:before="96"/>
        <w:ind w:left="0" w:right="1697" w:firstLine="0"/>
        <w:jc w:val="right"/>
        <w:rPr>
          <w:rFonts w:ascii="Arial Narrow"/>
          <w:b/>
          <w:sz w:val="16"/>
        </w:rPr>
      </w:pPr>
      <w:hyperlink r:id="rId6">
        <w:r>
          <w:rPr>
            <w:rFonts w:ascii="Arial Narrow"/>
            <w:b/>
            <w:color w:val="0070C0"/>
            <w:sz w:val="16"/>
            <w:u w:val="single" w:color="0070C0"/>
          </w:rPr>
          <w:t>www.davita.com</w:t>
        </w:r>
      </w:hyperlink>
    </w:p>
    <w:p>
      <w:pPr>
        <w:pStyle w:val="BodyText"/>
        <w:spacing w:before="6"/>
        <w:rPr>
          <w:rFonts w:ascii="Arial Narrow"/>
          <w:b/>
          <w:sz w:val="28"/>
        </w:rPr>
      </w:pPr>
    </w:p>
    <w:p>
      <w:pPr>
        <w:spacing w:before="103"/>
        <w:ind w:left="100" w:right="0" w:firstLine="0"/>
        <w:jc w:val="both"/>
        <w:rPr>
          <w:b/>
          <w:i/>
          <w:sz w:val="25"/>
        </w:rPr>
      </w:pPr>
      <w:bookmarkStart w:name="Submitted Via Regulations.gov" w:id="1"/>
      <w:bookmarkEnd w:id="1"/>
      <w:r>
        <w:rPr/>
      </w:r>
      <w:r>
        <w:rPr>
          <w:b/>
          <w:i/>
          <w:w w:val="90"/>
          <w:sz w:val="25"/>
        </w:rPr>
        <w:t>Submitted Via Regulations.gov</w:t>
      </w:r>
    </w:p>
    <w:p>
      <w:pPr>
        <w:pStyle w:val="BodyText"/>
        <w:spacing w:before="6"/>
        <w:rPr>
          <w:b/>
          <w:i/>
          <w:sz w:val="27"/>
        </w:rPr>
      </w:pPr>
    </w:p>
    <w:p>
      <w:pPr>
        <w:pStyle w:val="BodyText"/>
        <w:spacing w:before="1"/>
        <w:ind w:left="100"/>
        <w:jc w:val="both"/>
      </w:pPr>
      <w:r>
        <w:rPr/>
        <w:t>March 5, 2018</w:t>
      </w:r>
    </w:p>
    <w:p>
      <w:pPr>
        <w:pStyle w:val="BodyText"/>
        <w:spacing w:before="7"/>
        <w:rPr>
          <w:sz w:val="27"/>
        </w:rPr>
      </w:pPr>
    </w:p>
    <w:p>
      <w:pPr>
        <w:pStyle w:val="BodyText"/>
        <w:ind w:left="100"/>
        <w:jc w:val="both"/>
      </w:pPr>
      <w:r>
        <w:rPr/>
        <w:t>Mr. Demetrios Kouzoukas</w:t>
      </w:r>
    </w:p>
    <w:p>
      <w:pPr>
        <w:pStyle w:val="BodyText"/>
        <w:spacing w:line="259" w:lineRule="auto" w:before="22"/>
        <w:ind w:left="100" w:right="5682"/>
      </w:pPr>
      <w:r>
        <w:rPr/>
        <w:t>Principal Deputy Administrator and Director Center for Medicare</w:t>
      </w:r>
    </w:p>
    <w:p>
      <w:pPr>
        <w:pStyle w:val="BodyText"/>
        <w:spacing w:before="9"/>
        <w:rPr>
          <w:sz w:val="25"/>
        </w:rPr>
      </w:pPr>
    </w:p>
    <w:p>
      <w:pPr>
        <w:pStyle w:val="BodyText"/>
        <w:spacing w:line="259" w:lineRule="auto"/>
        <w:ind w:left="100" w:right="5490"/>
      </w:pPr>
      <w:r>
        <w:rPr/>
        <w:t>Ms. Jennifer Wuggazer Lazio, F.S.A., M.A.A.A. Director, Parts C &amp; D Actuarial Group</w:t>
      </w:r>
    </w:p>
    <w:p>
      <w:pPr>
        <w:pStyle w:val="BodyText"/>
        <w:ind w:left="100"/>
        <w:jc w:val="both"/>
      </w:pPr>
      <w:r>
        <w:rPr/>
        <w:t>Office of the Actuary</w:t>
      </w:r>
    </w:p>
    <w:p>
      <w:pPr>
        <w:pStyle w:val="BodyText"/>
        <w:spacing w:before="8"/>
        <w:rPr>
          <w:sz w:val="27"/>
        </w:rPr>
      </w:pPr>
    </w:p>
    <w:p>
      <w:pPr>
        <w:pStyle w:val="BodyText"/>
        <w:spacing w:line="259" w:lineRule="auto" w:before="1"/>
        <w:ind w:left="100" w:right="5963"/>
      </w:pPr>
      <w:r>
        <w:rPr/>
        <w:t>Centers for Medicare &amp; Medicaid Services 200 Independence Avenue, SW Washington, DC 20201</w:t>
      </w:r>
    </w:p>
    <w:p>
      <w:pPr>
        <w:pStyle w:val="BodyText"/>
        <w:rPr>
          <w:sz w:val="37"/>
        </w:rPr>
      </w:pPr>
    </w:p>
    <w:p>
      <w:pPr>
        <w:pStyle w:val="Heading1"/>
        <w:spacing w:line="259" w:lineRule="auto"/>
        <w:ind w:left="100" w:right="537"/>
        <w:jc w:val="both"/>
      </w:pPr>
      <w:r>
        <w:rPr/>
        <w:t>RE: CMS-2017-0163 – Advance Notice of Methodological Changes for Calendar Year (CY) 2019</w:t>
      </w:r>
      <w:r>
        <w:rPr>
          <w:spacing w:val="-10"/>
        </w:rPr>
        <w:t> </w:t>
      </w:r>
      <w:r>
        <w:rPr/>
        <w:t>for</w:t>
      </w:r>
      <w:r>
        <w:rPr>
          <w:spacing w:val="-12"/>
        </w:rPr>
        <w:t> </w:t>
      </w:r>
      <w:r>
        <w:rPr/>
        <w:t>Medicare</w:t>
      </w:r>
      <w:r>
        <w:rPr>
          <w:spacing w:val="-10"/>
        </w:rPr>
        <w:t> </w:t>
      </w:r>
      <w:r>
        <w:rPr/>
        <w:t>Advantage</w:t>
      </w:r>
      <w:r>
        <w:rPr>
          <w:spacing w:val="-10"/>
        </w:rPr>
        <w:t> </w:t>
      </w:r>
      <w:r>
        <w:rPr/>
        <w:t>(MA)</w:t>
      </w:r>
      <w:r>
        <w:rPr>
          <w:spacing w:val="-12"/>
        </w:rPr>
        <w:t> </w:t>
      </w:r>
      <w:r>
        <w:rPr/>
        <w:t>Capitation</w:t>
      </w:r>
      <w:r>
        <w:rPr>
          <w:spacing w:val="-11"/>
        </w:rPr>
        <w:t> </w:t>
      </w:r>
      <w:r>
        <w:rPr/>
        <w:t>Rates,</w:t>
      </w:r>
      <w:r>
        <w:rPr>
          <w:spacing w:val="-11"/>
        </w:rPr>
        <w:t> </w:t>
      </w:r>
      <w:r>
        <w:rPr/>
        <w:t>Part</w:t>
      </w:r>
      <w:r>
        <w:rPr>
          <w:spacing w:val="-11"/>
        </w:rPr>
        <w:t> </w:t>
      </w:r>
      <w:r>
        <w:rPr/>
        <w:t>C</w:t>
      </w:r>
      <w:r>
        <w:rPr>
          <w:spacing w:val="-10"/>
        </w:rPr>
        <w:t> </w:t>
      </w:r>
      <w:r>
        <w:rPr/>
        <w:t>and</w:t>
      </w:r>
      <w:r>
        <w:rPr>
          <w:spacing w:val="-11"/>
        </w:rPr>
        <w:t> </w:t>
      </w:r>
      <w:r>
        <w:rPr/>
        <w:t>Part</w:t>
      </w:r>
      <w:r>
        <w:rPr>
          <w:spacing w:val="-14"/>
        </w:rPr>
        <w:t> </w:t>
      </w:r>
      <w:r>
        <w:rPr/>
        <w:t>D</w:t>
      </w:r>
      <w:r>
        <w:rPr>
          <w:spacing w:val="-11"/>
        </w:rPr>
        <w:t> </w:t>
      </w:r>
      <w:r>
        <w:rPr/>
        <w:t>Payment</w:t>
      </w:r>
      <w:r>
        <w:rPr>
          <w:spacing w:val="-11"/>
        </w:rPr>
        <w:t> </w:t>
      </w:r>
      <w:r>
        <w:rPr/>
        <w:t>Policies</w:t>
      </w:r>
      <w:r>
        <w:rPr>
          <w:spacing w:val="-10"/>
        </w:rPr>
        <w:t> </w:t>
      </w:r>
      <w:r>
        <w:rPr/>
        <w:t>and 2019 draft Call</w:t>
      </w:r>
      <w:r>
        <w:rPr>
          <w:spacing w:val="-7"/>
        </w:rPr>
        <w:t> </w:t>
      </w:r>
      <w:r>
        <w:rPr/>
        <w:t>Letter</w:t>
      </w:r>
    </w:p>
    <w:p>
      <w:pPr>
        <w:pStyle w:val="BodyText"/>
        <w:spacing w:before="6"/>
        <w:rPr>
          <w:b/>
          <w:sz w:val="36"/>
        </w:rPr>
      </w:pPr>
    </w:p>
    <w:p>
      <w:pPr>
        <w:pStyle w:val="BodyText"/>
        <w:ind w:left="100"/>
        <w:jc w:val="both"/>
      </w:pPr>
      <w:r>
        <w:rPr/>
        <w:t>Dear Mr. Kouzoukas and Ms. Wuggazer Lazio:</w:t>
      </w:r>
    </w:p>
    <w:p>
      <w:pPr>
        <w:pStyle w:val="BodyText"/>
        <w:spacing w:before="5"/>
        <w:rPr>
          <w:sz w:val="38"/>
        </w:rPr>
      </w:pPr>
    </w:p>
    <w:p>
      <w:pPr>
        <w:pStyle w:val="BodyText"/>
        <w:spacing w:line="259" w:lineRule="auto"/>
        <w:ind w:left="100" w:right="534"/>
        <w:jc w:val="both"/>
      </w:pPr>
      <w:r>
        <w:rPr/>
        <w:t>DaVita</w:t>
      </w:r>
      <w:r>
        <w:rPr>
          <w:spacing w:val="-4"/>
        </w:rPr>
        <w:t> </w:t>
      </w:r>
      <w:r>
        <w:rPr/>
        <w:t>is</w:t>
      </w:r>
      <w:r>
        <w:rPr>
          <w:spacing w:val="-6"/>
        </w:rPr>
        <w:t> </w:t>
      </w:r>
      <w:r>
        <w:rPr/>
        <w:t>pleased</w:t>
      </w:r>
      <w:r>
        <w:rPr>
          <w:spacing w:val="-4"/>
        </w:rPr>
        <w:t> </w:t>
      </w:r>
      <w:r>
        <w:rPr/>
        <w:t>to</w:t>
      </w:r>
      <w:r>
        <w:rPr>
          <w:spacing w:val="-7"/>
        </w:rPr>
        <w:t> </w:t>
      </w:r>
      <w:r>
        <w:rPr/>
        <w:t>comment</w:t>
      </w:r>
      <w:r>
        <w:rPr>
          <w:spacing w:val="-5"/>
        </w:rPr>
        <w:t> </w:t>
      </w:r>
      <w:r>
        <w:rPr/>
        <w:t>on</w:t>
      </w:r>
      <w:r>
        <w:rPr>
          <w:spacing w:val="-4"/>
        </w:rPr>
        <w:t> </w:t>
      </w:r>
      <w:r>
        <w:rPr/>
        <w:t>the</w:t>
      </w:r>
      <w:r>
        <w:rPr>
          <w:spacing w:val="-6"/>
        </w:rPr>
        <w:t> </w:t>
      </w:r>
      <w:r>
        <w:rPr/>
        <w:t>Advance</w:t>
      </w:r>
      <w:r>
        <w:rPr>
          <w:spacing w:val="-4"/>
        </w:rPr>
        <w:t> </w:t>
      </w:r>
      <w:r>
        <w:rPr/>
        <w:t>Notice</w:t>
      </w:r>
      <w:r>
        <w:rPr>
          <w:spacing w:val="-4"/>
        </w:rPr>
        <w:t> </w:t>
      </w:r>
      <w:r>
        <w:rPr/>
        <w:t>of</w:t>
      </w:r>
      <w:r>
        <w:rPr>
          <w:spacing w:val="-5"/>
        </w:rPr>
        <w:t> </w:t>
      </w:r>
      <w:r>
        <w:rPr/>
        <w:t>Methodological</w:t>
      </w:r>
      <w:r>
        <w:rPr>
          <w:spacing w:val="-7"/>
        </w:rPr>
        <w:t> </w:t>
      </w:r>
      <w:r>
        <w:rPr/>
        <w:t>Changes</w:t>
      </w:r>
      <w:r>
        <w:rPr>
          <w:spacing w:val="-6"/>
        </w:rPr>
        <w:t> </w:t>
      </w:r>
      <w:r>
        <w:rPr/>
        <w:t>for</w:t>
      </w:r>
      <w:r>
        <w:rPr>
          <w:spacing w:val="-5"/>
        </w:rPr>
        <w:t> </w:t>
      </w:r>
      <w:r>
        <w:rPr/>
        <w:t>Calendar</w:t>
      </w:r>
      <w:r>
        <w:rPr>
          <w:spacing w:val="-5"/>
        </w:rPr>
        <w:t> </w:t>
      </w:r>
      <w:r>
        <w:rPr/>
        <w:t>Year (CY) 2019 for Medicare Advantage (MA) Capitation Rates, Part C and Part D Payment Policies and 2019 draft Call Letter. Our more than 70,800 DaVita Kidney Care teammates care for 197,800 end stage</w:t>
      </w:r>
      <w:r>
        <w:rPr>
          <w:spacing w:val="-12"/>
        </w:rPr>
        <w:t> </w:t>
      </w:r>
      <w:r>
        <w:rPr/>
        <w:t>renal</w:t>
      </w:r>
      <w:r>
        <w:rPr>
          <w:spacing w:val="-13"/>
        </w:rPr>
        <w:t> </w:t>
      </w:r>
      <w:r>
        <w:rPr/>
        <w:t>disease</w:t>
      </w:r>
      <w:r>
        <w:rPr>
          <w:spacing w:val="-12"/>
        </w:rPr>
        <w:t> </w:t>
      </w:r>
      <w:r>
        <w:rPr/>
        <w:t>(ESRD)</w:t>
      </w:r>
      <w:r>
        <w:rPr>
          <w:spacing w:val="-13"/>
        </w:rPr>
        <w:t> </w:t>
      </w:r>
      <w:r>
        <w:rPr/>
        <w:t>patients,</w:t>
      </w:r>
      <w:r>
        <w:rPr>
          <w:spacing w:val="-13"/>
        </w:rPr>
        <w:t> </w:t>
      </w:r>
      <w:r>
        <w:rPr/>
        <w:t>and</w:t>
      </w:r>
      <w:r>
        <w:rPr>
          <w:spacing w:val="-13"/>
        </w:rPr>
        <w:t> </w:t>
      </w:r>
      <w:r>
        <w:rPr/>
        <w:t>we</w:t>
      </w:r>
      <w:r>
        <w:rPr>
          <w:spacing w:val="-12"/>
        </w:rPr>
        <w:t> </w:t>
      </w:r>
      <w:r>
        <w:rPr/>
        <w:t>operate</w:t>
      </w:r>
      <w:r>
        <w:rPr>
          <w:spacing w:val="-15"/>
        </w:rPr>
        <w:t> </w:t>
      </w:r>
      <w:r>
        <w:rPr/>
        <w:t>or</w:t>
      </w:r>
      <w:r>
        <w:rPr>
          <w:spacing w:val="-14"/>
        </w:rPr>
        <w:t> </w:t>
      </w:r>
      <w:r>
        <w:rPr/>
        <w:t>provide</w:t>
      </w:r>
      <w:r>
        <w:rPr>
          <w:spacing w:val="-12"/>
        </w:rPr>
        <w:t> </w:t>
      </w:r>
      <w:r>
        <w:rPr/>
        <w:t>administrative</w:t>
      </w:r>
      <w:r>
        <w:rPr>
          <w:spacing w:val="-12"/>
        </w:rPr>
        <w:t> </w:t>
      </w:r>
      <w:r>
        <w:rPr/>
        <w:t>services</w:t>
      </w:r>
      <w:r>
        <w:rPr>
          <w:spacing w:val="-14"/>
        </w:rPr>
        <w:t> </w:t>
      </w:r>
      <w:r>
        <w:rPr/>
        <w:t>at</w:t>
      </w:r>
      <w:r>
        <w:rPr>
          <w:spacing w:val="-13"/>
        </w:rPr>
        <w:t> </w:t>
      </w:r>
      <w:r>
        <w:rPr/>
        <w:t>2,510</w:t>
      </w:r>
      <w:r>
        <w:rPr>
          <w:spacing w:val="-13"/>
        </w:rPr>
        <w:t> </w:t>
      </w:r>
      <w:r>
        <w:rPr/>
        <w:t>dialysis facilities</w:t>
      </w:r>
      <w:r>
        <w:rPr>
          <w:spacing w:val="-14"/>
        </w:rPr>
        <w:t> </w:t>
      </w:r>
      <w:r>
        <w:rPr/>
        <w:t>nationwide.</w:t>
      </w:r>
      <w:r>
        <w:rPr>
          <w:spacing w:val="-13"/>
        </w:rPr>
        <w:t> </w:t>
      </w:r>
      <w:r>
        <w:rPr/>
        <w:t>In</w:t>
      </w:r>
      <w:r>
        <w:rPr>
          <w:spacing w:val="-13"/>
        </w:rPr>
        <w:t> </w:t>
      </w:r>
      <w:r>
        <w:rPr/>
        <w:t>addition,</w:t>
      </w:r>
      <w:r>
        <w:rPr>
          <w:spacing w:val="-13"/>
        </w:rPr>
        <w:t> </w:t>
      </w:r>
      <w:r>
        <w:rPr/>
        <w:t>DaVita</w:t>
      </w:r>
      <w:r>
        <w:rPr>
          <w:spacing w:val="-12"/>
        </w:rPr>
        <w:t> </w:t>
      </w:r>
      <w:r>
        <w:rPr/>
        <w:t>serves</w:t>
      </w:r>
      <w:r>
        <w:rPr>
          <w:spacing w:val="-14"/>
        </w:rPr>
        <w:t> </w:t>
      </w:r>
      <w:r>
        <w:rPr/>
        <w:t>2,900</w:t>
      </w:r>
      <w:r>
        <w:rPr>
          <w:spacing w:val="-13"/>
        </w:rPr>
        <w:t> </w:t>
      </w:r>
      <w:r>
        <w:rPr/>
        <w:t>beneficiaries</w:t>
      </w:r>
      <w:r>
        <w:rPr>
          <w:spacing w:val="-14"/>
        </w:rPr>
        <w:t> </w:t>
      </w:r>
      <w:r>
        <w:rPr/>
        <w:t>with</w:t>
      </w:r>
      <w:r>
        <w:rPr>
          <w:spacing w:val="-13"/>
        </w:rPr>
        <w:t> </w:t>
      </w:r>
      <w:r>
        <w:rPr/>
        <w:t>ESRD</w:t>
      </w:r>
      <w:r>
        <w:rPr>
          <w:spacing w:val="-16"/>
        </w:rPr>
        <w:t> </w:t>
      </w:r>
      <w:r>
        <w:rPr/>
        <w:t>under</w:t>
      </w:r>
      <w:r>
        <w:rPr>
          <w:spacing w:val="-14"/>
        </w:rPr>
        <w:t> </w:t>
      </w:r>
      <w:r>
        <w:rPr/>
        <w:t>the</w:t>
      </w:r>
      <w:r>
        <w:rPr>
          <w:spacing w:val="-12"/>
        </w:rPr>
        <w:t> </w:t>
      </w:r>
      <w:r>
        <w:rPr/>
        <w:t>MA</w:t>
      </w:r>
      <w:r>
        <w:rPr>
          <w:spacing w:val="-12"/>
        </w:rPr>
        <w:t> </w:t>
      </w:r>
      <w:r>
        <w:rPr/>
        <w:t>Chronic Condition Special Needs Plan (MA C-SNP)</w:t>
      </w:r>
      <w:r>
        <w:rPr>
          <w:spacing w:val="-26"/>
        </w:rPr>
        <w:t> </w:t>
      </w:r>
      <w:r>
        <w:rPr/>
        <w:t>program.</w:t>
      </w:r>
    </w:p>
    <w:p>
      <w:pPr>
        <w:pStyle w:val="BodyText"/>
        <w:spacing w:before="10"/>
        <w:rPr>
          <w:sz w:val="25"/>
        </w:rPr>
      </w:pPr>
    </w:p>
    <w:p>
      <w:pPr>
        <w:pStyle w:val="BodyText"/>
        <w:spacing w:line="259" w:lineRule="auto"/>
        <w:ind w:left="100" w:right="535"/>
        <w:jc w:val="both"/>
      </w:pPr>
      <w:r>
        <w:rPr/>
        <w:t>The MA care model squarely aligns with our deep-rooted commitment to improving our patients’ quality</w:t>
      </w:r>
      <w:r>
        <w:rPr>
          <w:spacing w:val="-7"/>
        </w:rPr>
        <w:t> </w:t>
      </w:r>
      <w:r>
        <w:rPr/>
        <w:t>of</w:t>
      </w:r>
      <w:r>
        <w:rPr>
          <w:spacing w:val="-9"/>
        </w:rPr>
        <w:t> </w:t>
      </w:r>
      <w:r>
        <w:rPr/>
        <w:t>life</w:t>
      </w:r>
      <w:r>
        <w:rPr>
          <w:spacing w:val="-7"/>
        </w:rPr>
        <w:t> </w:t>
      </w:r>
      <w:r>
        <w:rPr/>
        <w:t>by</w:t>
      </w:r>
      <w:r>
        <w:rPr>
          <w:spacing w:val="-7"/>
        </w:rPr>
        <w:t> </w:t>
      </w:r>
      <w:r>
        <w:rPr/>
        <w:t>integrating</w:t>
      </w:r>
      <w:r>
        <w:rPr>
          <w:spacing w:val="-8"/>
        </w:rPr>
        <w:t> </w:t>
      </w:r>
      <w:r>
        <w:rPr/>
        <w:t>their</w:t>
      </w:r>
      <w:r>
        <w:rPr>
          <w:spacing w:val="-9"/>
        </w:rPr>
        <w:t> </w:t>
      </w:r>
      <w:r>
        <w:rPr/>
        <w:t>care</w:t>
      </w:r>
      <w:r>
        <w:rPr>
          <w:spacing w:val="-7"/>
        </w:rPr>
        <w:t> </w:t>
      </w:r>
      <w:r>
        <w:rPr/>
        <w:t>and</w:t>
      </w:r>
      <w:r>
        <w:rPr>
          <w:spacing w:val="-8"/>
        </w:rPr>
        <w:t> </w:t>
      </w:r>
      <w:r>
        <w:rPr/>
        <w:t>offering</w:t>
      </w:r>
      <w:r>
        <w:rPr>
          <w:spacing w:val="-8"/>
        </w:rPr>
        <w:t> </w:t>
      </w:r>
      <w:r>
        <w:rPr/>
        <w:t>personalized</w:t>
      </w:r>
      <w:r>
        <w:rPr>
          <w:spacing w:val="-8"/>
        </w:rPr>
        <w:t> </w:t>
      </w:r>
      <w:r>
        <w:rPr/>
        <w:t>treatment</w:t>
      </w:r>
      <w:r>
        <w:rPr>
          <w:spacing w:val="-9"/>
        </w:rPr>
        <w:t> </w:t>
      </w:r>
      <w:r>
        <w:rPr/>
        <w:t>plans.</w:t>
      </w:r>
      <w:r>
        <w:rPr>
          <w:spacing w:val="-8"/>
        </w:rPr>
        <w:t> </w:t>
      </w:r>
      <w:r>
        <w:rPr/>
        <w:t>We</w:t>
      </w:r>
      <w:r>
        <w:rPr>
          <w:spacing w:val="-7"/>
        </w:rPr>
        <w:t> </w:t>
      </w:r>
      <w:r>
        <w:rPr/>
        <w:t>are</w:t>
      </w:r>
      <w:r>
        <w:rPr>
          <w:spacing w:val="-7"/>
        </w:rPr>
        <w:t> </w:t>
      </w:r>
      <w:r>
        <w:rPr/>
        <w:t>proud</w:t>
      </w:r>
      <w:r>
        <w:rPr>
          <w:spacing w:val="-8"/>
        </w:rPr>
        <w:t> </w:t>
      </w:r>
      <w:r>
        <w:rPr/>
        <w:t>of</w:t>
      </w:r>
      <w:r>
        <w:rPr>
          <w:spacing w:val="-9"/>
        </w:rPr>
        <w:t> </w:t>
      </w:r>
      <w:r>
        <w:rPr/>
        <w:t>our participation in MA ESRD C-SNPs, which allows us to apply not only our significant renal care experience, but also several innovative strategies that address beneficiaries’ clinical and social needs. Our performance on key indicators demonstrates the difference our providers have made in helping beneficiaries with ESRD maintain their health. Specifically, compared to United States Renal Data System (USRDS) statistics, the MA ESRD C-SNPs in which we participate have</w:t>
      </w:r>
      <w:r>
        <w:rPr>
          <w:spacing w:val="-40"/>
        </w:rPr>
        <w:t> </w:t>
      </w:r>
      <w:r>
        <w:rPr/>
        <w:t>achieved:</w:t>
      </w:r>
    </w:p>
    <w:p>
      <w:pPr>
        <w:spacing w:after="0" w:line="259" w:lineRule="auto"/>
        <w:jc w:val="both"/>
        <w:sectPr>
          <w:type w:val="continuous"/>
          <w:pgSz w:w="12240" w:h="15840"/>
          <w:pgMar w:top="1440" w:bottom="280" w:left="1340" w:right="900"/>
        </w:sectPr>
      </w:pPr>
    </w:p>
    <w:p>
      <w:pPr>
        <w:pStyle w:val="BodyText"/>
        <w:spacing w:before="5"/>
        <w:rPr>
          <w:sz w:val="11"/>
        </w:rPr>
      </w:pPr>
    </w:p>
    <w:p>
      <w:pPr>
        <w:pStyle w:val="ListParagraph"/>
        <w:numPr>
          <w:ilvl w:val="0"/>
          <w:numId w:val="1"/>
        </w:numPr>
        <w:tabs>
          <w:tab w:pos="819" w:val="left" w:leader="none"/>
          <w:tab w:pos="820" w:val="left" w:leader="none"/>
        </w:tabs>
        <w:spacing w:line="240" w:lineRule="auto" w:before="100" w:after="0"/>
        <w:ind w:left="820" w:right="0" w:hanging="360"/>
        <w:jc w:val="left"/>
        <w:rPr>
          <w:sz w:val="24"/>
        </w:rPr>
      </w:pPr>
      <w:r>
        <w:rPr>
          <w:sz w:val="24"/>
        </w:rPr>
        <w:t>a 25 percent lower hospitalization</w:t>
      </w:r>
      <w:r>
        <w:rPr>
          <w:spacing w:val="-19"/>
          <w:sz w:val="24"/>
        </w:rPr>
        <w:t> </w:t>
      </w:r>
      <w:r>
        <w:rPr>
          <w:sz w:val="24"/>
        </w:rPr>
        <w:t>rate;</w:t>
      </w:r>
    </w:p>
    <w:p>
      <w:pPr>
        <w:pStyle w:val="ListParagraph"/>
        <w:numPr>
          <w:ilvl w:val="0"/>
          <w:numId w:val="1"/>
        </w:numPr>
        <w:tabs>
          <w:tab w:pos="819" w:val="left" w:leader="none"/>
          <w:tab w:pos="820" w:val="left" w:leader="none"/>
        </w:tabs>
        <w:spacing w:line="256" w:lineRule="auto" w:before="21" w:after="0"/>
        <w:ind w:left="820" w:right="119" w:hanging="360"/>
        <w:jc w:val="left"/>
        <w:rPr>
          <w:sz w:val="24"/>
        </w:rPr>
      </w:pPr>
      <w:r>
        <w:rPr>
          <w:sz w:val="24"/>
        </w:rPr>
        <w:t>a 51 percent lower hospital readmission rate, significantly reducing the risk of hospital- acquired infections;</w:t>
      </w:r>
      <w:r>
        <w:rPr>
          <w:spacing w:val="-10"/>
          <w:sz w:val="24"/>
        </w:rPr>
        <w:t> </w:t>
      </w:r>
      <w:r>
        <w:rPr>
          <w:sz w:val="24"/>
        </w:rPr>
        <w:t>and</w:t>
      </w:r>
    </w:p>
    <w:p>
      <w:pPr>
        <w:pStyle w:val="ListParagraph"/>
        <w:numPr>
          <w:ilvl w:val="0"/>
          <w:numId w:val="1"/>
        </w:numPr>
        <w:tabs>
          <w:tab w:pos="819" w:val="left" w:leader="none"/>
          <w:tab w:pos="820" w:val="left" w:leader="none"/>
        </w:tabs>
        <w:spacing w:line="240" w:lineRule="auto" w:before="0" w:after="0"/>
        <w:ind w:left="820" w:right="0" w:hanging="360"/>
        <w:jc w:val="left"/>
        <w:rPr>
          <w:sz w:val="24"/>
        </w:rPr>
      </w:pPr>
      <w:r>
        <w:rPr>
          <w:sz w:val="24"/>
        </w:rPr>
        <w:t>a 66 percent lower central venous catheter</w:t>
      </w:r>
      <w:r>
        <w:rPr>
          <w:spacing w:val="-24"/>
          <w:sz w:val="24"/>
        </w:rPr>
        <w:t> </w:t>
      </w:r>
      <w:r>
        <w:rPr>
          <w:sz w:val="24"/>
        </w:rPr>
        <w:t>rate.</w:t>
      </w:r>
    </w:p>
    <w:p>
      <w:pPr>
        <w:pStyle w:val="BodyText"/>
        <w:spacing w:line="259" w:lineRule="auto" w:before="142"/>
        <w:ind w:left="100" w:right="114"/>
        <w:jc w:val="both"/>
      </w:pPr>
      <w:r>
        <w:rPr/>
        <w:t>These</w:t>
      </w:r>
      <w:r>
        <w:rPr>
          <w:spacing w:val="-3"/>
        </w:rPr>
        <w:t> </w:t>
      </w:r>
      <w:r>
        <w:rPr/>
        <w:t>results</w:t>
      </w:r>
      <w:r>
        <w:rPr>
          <w:spacing w:val="-5"/>
        </w:rPr>
        <w:t> </w:t>
      </w:r>
      <w:r>
        <w:rPr/>
        <w:t>underscore</w:t>
      </w:r>
      <w:r>
        <w:rPr>
          <w:spacing w:val="-3"/>
        </w:rPr>
        <w:t> </w:t>
      </w:r>
      <w:r>
        <w:rPr/>
        <w:t>the</w:t>
      </w:r>
      <w:r>
        <w:rPr>
          <w:spacing w:val="-3"/>
        </w:rPr>
        <w:t> </w:t>
      </w:r>
      <w:r>
        <w:rPr/>
        <w:t>value</w:t>
      </w:r>
      <w:r>
        <w:rPr>
          <w:spacing w:val="-3"/>
        </w:rPr>
        <w:t> </w:t>
      </w:r>
      <w:r>
        <w:rPr/>
        <w:t>that</w:t>
      </w:r>
      <w:r>
        <w:rPr>
          <w:spacing w:val="-4"/>
        </w:rPr>
        <w:t> </w:t>
      </w:r>
      <w:r>
        <w:rPr/>
        <w:t>MA</w:t>
      </w:r>
      <w:r>
        <w:rPr>
          <w:spacing w:val="-3"/>
        </w:rPr>
        <w:t> </w:t>
      </w:r>
      <w:r>
        <w:rPr/>
        <w:t>plans</w:t>
      </w:r>
      <w:r>
        <w:rPr>
          <w:spacing w:val="-5"/>
        </w:rPr>
        <w:t> </w:t>
      </w:r>
      <w:r>
        <w:rPr/>
        <w:t>can</w:t>
      </w:r>
      <w:r>
        <w:rPr>
          <w:spacing w:val="-4"/>
        </w:rPr>
        <w:t> </w:t>
      </w:r>
      <w:r>
        <w:rPr/>
        <w:t>bring</w:t>
      </w:r>
      <w:r>
        <w:rPr>
          <w:spacing w:val="-3"/>
        </w:rPr>
        <w:t> </w:t>
      </w:r>
      <w:r>
        <w:rPr/>
        <w:t>not</w:t>
      </w:r>
      <w:r>
        <w:rPr>
          <w:spacing w:val="-4"/>
        </w:rPr>
        <w:t> </w:t>
      </w:r>
      <w:r>
        <w:rPr/>
        <w:t>only</w:t>
      </w:r>
      <w:r>
        <w:rPr>
          <w:spacing w:val="-3"/>
        </w:rPr>
        <w:t> </w:t>
      </w:r>
      <w:r>
        <w:rPr/>
        <w:t>to</w:t>
      </w:r>
      <w:r>
        <w:rPr>
          <w:spacing w:val="-4"/>
        </w:rPr>
        <w:t> </w:t>
      </w:r>
      <w:r>
        <w:rPr/>
        <w:t>beneficiaries</w:t>
      </w:r>
      <w:r>
        <w:rPr>
          <w:spacing w:val="-5"/>
        </w:rPr>
        <w:t> </w:t>
      </w:r>
      <w:r>
        <w:rPr/>
        <w:t>with</w:t>
      </w:r>
      <w:r>
        <w:rPr>
          <w:spacing w:val="-6"/>
        </w:rPr>
        <w:t> </w:t>
      </w:r>
      <w:r>
        <w:rPr/>
        <w:t>ESRD,</w:t>
      </w:r>
      <w:r>
        <w:rPr>
          <w:spacing w:val="-6"/>
        </w:rPr>
        <w:t> </w:t>
      </w:r>
      <w:r>
        <w:rPr/>
        <w:t>but also</w:t>
      </w:r>
      <w:r>
        <w:rPr>
          <w:spacing w:val="-11"/>
        </w:rPr>
        <w:t> </w:t>
      </w:r>
      <w:r>
        <w:rPr/>
        <w:t>to</w:t>
      </w:r>
      <w:r>
        <w:rPr>
          <w:spacing w:val="-11"/>
        </w:rPr>
        <w:t> </w:t>
      </w:r>
      <w:r>
        <w:rPr/>
        <w:t>the</w:t>
      </w:r>
      <w:r>
        <w:rPr>
          <w:spacing w:val="-10"/>
        </w:rPr>
        <w:t> </w:t>
      </w:r>
      <w:r>
        <w:rPr/>
        <w:t>overall</w:t>
      </w:r>
      <w:r>
        <w:rPr>
          <w:spacing w:val="-10"/>
        </w:rPr>
        <w:t> </w:t>
      </w:r>
      <w:r>
        <w:rPr/>
        <w:t>Medicare</w:t>
      </w:r>
      <w:r>
        <w:rPr>
          <w:spacing w:val="-10"/>
        </w:rPr>
        <w:t> </w:t>
      </w:r>
      <w:r>
        <w:rPr/>
        <w:t>program.</w:t>
      </w:r>
      <w:r>
        <w:rPr>
          <w:spacing w:val="-10"/>
        </w:rPr>
        <w:t> </w:t>
      </w:r>
      <w:r>
        <w:rPr/>
        <w:t>We</w:t>
      </w:r>
      <w:r>
        <w:rPr>
          <w:spacing w:val="-12"/>
        </w:rPr>
        <w:t> </w:t>
      </w:r>
      <w:r>
        <w:rPr/>
        <w:t>are</w:t>
      </w:r>
      <w:r>
        <w:rPr>
          <w:spacing w:val="-10"/>
        </w:rPr>
        <w:t> </w:t>
      </w:r>
      <w:r>
        <w:rPr/>
        <w:t>pleased</w:t>
      </w:r>
      <w:r>
        <w:rPr>
          <w:spacing w:val="-13"/>
        </w:rPr>
        <w:t> </w:t>
      </w:r>
      <w:r>
        <w:rPr/>
        <w:t>that</w:t>
      </w:r>
      <w:r>
        <w:rPr>
          <w:spacing w:val="-11"/>
        </w:rPr>
        <w:t> </w:t>
      </w:r>
      <w:r>
        <w:rPr/>
        <w:t>Congress</w:t>
      </w:r>
      <w:r>
        <w:rPr>
          <w:spacing w:val="-12"/>
        </w:rPr>
        <w:t> </w:t>
      </w:r>
      <w:r>
        <w:rPr/>
        <w:t>recognized</w:t>
      </w:r>
      <w:r>
        <w:rPr>
          <w:spacing w:val="-13"/>
        </w:rPr>
        <w:t> </w:t>
      </w:r>
      <w:r>
        <w:rPr/>
        <w:t>this</w:t>
      </w:r>
      <w:r>
        <w:rPr>
          <w:spacing w:val="-12"/>
        </w:rPr>
        <w:t> </w:t>
      </w:r>
      <w:r>
        <w:rPr/>
        <w:t>value</w:t>
      </w:r>
      <w:r>
        <w:rPr>
          <w:spacing w:val="-10"/>
        </w:rPr>
        <w:t> </w:t>
      </w:r>
      <w:r>
        <w:rPr/>
        <w:t>by</w:t>
      </w:r>
      <w:r>
        <w:rPr>
          <w:spacing w:val="-10"/>
        </w:rPr>
        <w:t> </w:t>
      </w:r>
      <w:r>
        <w:rPr/>
        <w:t>affording beneficiaries</w:t>
      </w:r>
      <w:r>
        <w:rPr>
          <w:spacing w:val="-5"/>
        </w:rPr>
        <w:t> </w:t>
      </w:r>
      <w:r>
        <w:rPr/>
        <w:t>with</w:t>
      </w:r>
      <w:r>
        <w:rPr>
          <w:spacing w:val="-6"/>
        </w:rPr>
        <w:t> </w:t>
      </w:r>
      <w:r>
        <w:rPr/>
        <w:t>ESRD</w:t>
      </w:r>
      <w:r>
        <w:rPr>
          <w:spacing w:val="-4"/>
        </w:rPr>
        <w:t> </w:t>
      </w:r>
      <w:r>
        <w:rPr/>
        <w:t>the</w:t>
      </w:r>
      <w:r>
        <w:rPr>
          <w:spacing w:val="-3"/>
        </w:rPr>
        <w:t> </w:t>
      </w:r>
      <w:r>
        <w:rPr/>
        <w:t>same</w:t>
      </w:r>
      <w:r>
        <w:rPr>
          <w:spacing w:val="-3"/>
        </w:rPr>
        <w:t> </w:t>
      </w:r>
      <w:r>
        <w:rPr/>
        <w:t>MA</w:t>
      </w:r>
      <w:r>
        <w:rPr>
          <w:spacing w:val="-3"/>
        </w:rPr>
        <w:t> </w:t>
      </w:r>
      <w:r>
        <w:rPr/>
        <w:t>coverage</w:t>
      </w:r>
      <w:r>
        <w:rPr>
          <w:spacing w:val="-3"/>
        </w:rPr>
        <w:t> </w:t>
      </w:r>
      <w:r>
        <w:rPr/>
        <w:t>choices</w:t>
      </w:r>
      <w:r>
        <w:rPr>
          <w:spacing w:val="-5"/>
        </w:rPr>
        <w:t> </w:t>
      </w:r>
      <w:r>
        <w:rPr/>
        <w:t>as</w:t>
      </w:r>
      <w:r>
        <w:rPr>
          <w:spacing w:val="-5"/>
        </w:rPr>
        <w:t> </w:t>
      </w:r>
      <w:r>
        <w:rPr/>
        <w:t>all</w:t>
      </w:r>
      <w:r>
        <w:rPr>
          <w:spacing w:val="-3"/>
        </w:rPr>
        <w:t> </w:t>
      </w:r>
      <w:r>
        <w:rPr/>
        <w:t>other</w:t>
      </w:r>
      <w:r>
        <w:rPr>
          <w:spacing w:val="-4"/>
        </w:rPr>
        <w:t> </w:t>
      </w:r>
      <w:r>
        <w:rPr/>
        <w:t>beneficiaries</w:t>
      </w:r>
      <w:r>
        <w:rPr>
          <w:spacing w:val="-5"/>
        </w:rPr>
        <w:t> </w:t>
      </w:r>
      <w:r>
        <w:rPr/>
        <w:t>beginning</w:t>
      </w:r>
      <w:r>
        <w:rPr>
          <w:spacing w:val="-3"/>
        </w:rPr>
        <w:t> </w:t>
      </w:r>
      <w:r>
        <w:rPr/>
        <w:t>in</w:t>
      </w:r>
      <w:r>
        <w:rPr>
          <w:spacing w:val="-4"/>
        </w:rPr>
        <w:t> </w:t>
      </w:r>
      <w:r>
        <w:rPr/>
        <w:t>2021.</w:t>
      </w:r>
    </w:p>
    <w:p>
      <w:pPr>
        <w:pStyle w:val="BodyText"/>
        <w:spacing w:before="9"/>
        <w:rPr>
          <w:sz w:val="25"/>
        </w:rPr>
      </w:pPr>
    </w:p>
    <w:p>
      <w:pPr>
        <w:pStyle w:val="BodyText"/>
        <w:spacing w:line="259" w:lineRule="auto"/>
        <w:ind w:left="100" w:right="114"/>
        <w:jc w:val="both"/>
      </w:pPr>
      <w:r>
        <w:rPr/>
        <w:t>DaVita appreciates the work undertaken annually by the Centers for Medicare &amp; Medicaid Services (CMS)</w:t>
      </w:r>
      <w:r>
        <w:rPr>
          <w:spacing w:val="-17"/>
        </w:rPr>
        <w:t> </w:t>
      </w:r>
      <w:r>
        <w:rPr/>
        <w:t>to</w:t>
      </w:r>
      <w:r>
        <w:rPr>
          <w:spacing w:val="-17"/>
        </w:rPr>
        <w:t> </w:t>
      </w:r>
      <w:r>
        <w:rPr/>
        <w:t>revise</w:t>
      </w:r>
      <w:r>
        <w:rPr>
          <w:spacing w:val="-16"/>
        </w:rPr>
        <w:t> </w:t>
      </w:r>
      <w:r>
        <w:rPr/>
        <w:t>the</w:t>
      </w:r>
      <w:r>
        <w:rPr>
          <w:spacing w:val="-16"/>
        </w:rPr>
        <w:t> </w:t>
      </w:r>
      <w:r>
        <w:rPr/>
        <w:t>MA</w:t>
      </w:r>
      <w:r>
        <w:rPr>
          <w:spacing w:val="-16"/>
        </w:rPr>
        <w:t> </w:t>
      </w:r>
      <w:r>
        <w:rPr/>
        <w:t>payment</w:t>
      </w:r>
      <w:r>
        <w:rPr>
          <w:spacing w:val="-17"/>
        </w:rPr>
        <w:t> </w:t>
      </w:r>
      <w:r>
        <w:rPr/>
        <w:t>methodology</w:t>
      </w:r>
      <w:r>
        <w:rPr>
          <w:spacing w:val="-18"/>
        </w:rPr>
        <w:t> </w:t>
      </w:r>
      <w:r>
        <w:rPr/>
        <w:t>with</w:t>
      </w:r>
      <w:r>
        <w:rPr>
          <w:spacing w:val="-17"/>
        </w:rPr>
        <w:t> </w:t>
      </w:r>
      <w:r>
        <w:rPr/>
        <w:t>the</w:t>
      </w:r>
      <w:r>
        <w:rPr>
          <w:spacing w:val="-16"/>
        </w:rPr>
        <w:t> </w:t>
      </w:r>
      <w:r>
        <w:rPr/>
        <w:t>goal</w:t>
      </w:r>
      <w:r>
        <w:rPr>
          <w:spacing w:val="-18"/>
        </w:rPr>
        <w:t> </w:t>
      </w:r>
      <w:r>
        <w:rPr/>
        <w:t>of</w:t>
      </w:r>
      <w:r>
        <w:rPr>
          <w:spacing w:val="-17"/>
        </w:rPr>
        <w:t> </w:t>
      </w:r>
      <w:r>
        <w:rPr/>
        <w:t>ensuring</w:t>
      </w:r>
      <w:r>
        <w:rPr>
          <w:spacing w:val="-16"/>
        </w:rPr>
        <w:t> </w:t>
      </w:r>
      <w:r>
        <w:rPr/>
        <w:t>payment</w:t>
      </w:r>
      <w:r>
        <w:rPr>
          <w:spacing w:val="-17"/>
        </w:rPr>
        <w:t> </w:t>
      </w:r>
      <w:r>
        <w:rPr/>
        <w:t>adequacy.</w:t>
      </w:r>
      <w:r>
        <w:rPr>
          <w:spacing w:val="-16"/>
        </w:rPr>
        <w:t> </w:t>
      </w:r>
      <w:r>
        <w:rPr/>
        <w:t>However, as CMS knows well, interactions between the methodology’s various components can affect attainment of that goal. For example, the projected 5.07 percent increase in the dialysis-only ESRD United States Per Capita Cost (USPCC) better aligns with current cost trends. Yet, the proposed ESRD risk adjustment model recalibration does not appear to be neutral relative to the 2012 model. As a result, the proposed recalibration inappropriately lowers risk scores. Further, the risk score decreases resulting from the proposed recalibration seem inconsistent with CMS’s projection of the 2019 ESRD normalization factor, which is 1.8 percent higher than the 2018 ESRD normalization factor under the 2012 model. It is difficult to reconcile the incongruent observations that as the cost trend</w:t>
      </w:r>
      <w:r>
        <w:rPr>
          <w:spacing w:val="-14"/>
        </w:rPr>
        <w:t> </w:t>
      </w:r>
      <w:r>
        <w:rPr/>
        <w:t>has</w:t>
      </w:r>
      <w:r>
        <w:rPr>
          <w:spacing w:val="-15"/>
        </w:rPr>
        <w:t> </w:t>
      </w:r>
      <w:r>
        <w:rPr/>
        <w:t>increased,</w:t>
      </w:r>
      <w:r>
        <w:rPr>
          <w:spacing w:val="-14"/>
        </w:rPr>
        <w:t> </w:t>
      </w:r>
      <w:r>
        <w:rPr/>
        <w:t>risk</w:t>
      </w:r>
      <w:r>
        <w:rPr>
          <w:spacing w:val="-14"/>
        </w:rPr>
        <w:t> </w:t>
      </w:r>
      <w:r>
        <w:rPr/>
        <w:t>scores</w:t>
      </w:r>
      <w:r>
        <w:rPr>
          <w:spacing w:val="-15"/>
        </w:rPr>
        <w:t> </w:t>
      </w:r>
      <w:r>
        <w:rPr/>
        <w:t>have</w:t>
      </w:r>
      <w:r>
        <w:rPr>
          <w:spacing w:val="-13"/>
        </w:rPr>
        <w:t> </w:t>
      </w:r>
      <w:r>
        <w:rPr/>
        <w:t>decreased,</w:t>
      </w:r>
      <w:r>
        <w:rPr>
          <w:spacing w:val="-14"/>
        </w:rPr>
        <w:t> </w:t>
      </w:r>
      <w:r>
        <w:rPr/>
        <w:t>and</w:t>
      </w:r>
      <w:r>
        <w:rPr>
          <w:spacing w:val="-14"/>
        </w:rPr>
        <w:t> </w:t>
      </w:r>
      <w:r>
        <w:rPr/>
        <w:t>the</w:t>
      </w:r>
      <w:r>
        <w:rPr>
          <w:spacing w:val="-13"/>
        </w:rPr>
        <w:t> </w:t>
      </w:r>
      <w:r>
        <w:rPr/>
        <w:t>normalization</w:t>
      </w:r>
      <w:r>
        <w:rPr>
          <w:spacing w:val="-14"/>
        </w:rPr>
        <w:t> </w:t>
      </w:r>
      <w:r>
        <w:rPr/>
        <w:t>factor</w:t>
      </w:r>
      <w:r>
        <w:rPr>
          <w:spacing w:val="-15"/>
        </w:rPr>
        <w:t> </w:t>
      </w:r>
      <w:r>
        <w:rPr/>
        <w:t>has</w:t>
      </w:r>
      <w:r>
        <w:rPr>
          <w:spacing w:val="-15"/>
        </w:rPr>
        <w:t> </w:t>
      </w:r>
      <w:r>
        <w:rPr/>
        <w:t>increased,</w:t>
      </w:r>
      <w:r>
        <w:rPr>
          <w:spacing w:val="-14"/>
        </w:rPr>
        <w:t> </w:t>
      </w:r>
      <w:r>
        <w:rPr/>
        <w:t>which</w:t>
      </w:r>
      <w:r>
        <w:rPr>
          <w:spacing w:val="-17"/>
        </w:rPr>
        <w:t> </w:t>
      </w:r>
      <w:r>
        <w:rPr/>
        <w:t>calls into question the proposed recalibration’s validity</w:t>
      </w:r>
      <w:r>
        <w:rPr>
          <w:spacing w:val="-42"/>
        </w:rPr>
        <w:t> </w:t>
      </w:r>
      <w:r>
        <w:rPr/>
        <w:t>and implementation readiness.</w:t>
      </w:r>
    </w:p>
    <w:p>
      <w:pPr>
        <w:pStyle w:val="BodyText"/>
        <w:spacing w:before="9"/>
        <w:rPr>
          <w:sz w:val="25"/>
        </w:rPr>
      </w:pPr>
    </w:p>
    <w:p>
      <w:pPr>
        <w:pStyle w:val="BodyText"/>
        <w:spacing w:line="259" w:lineRule="auto"/>
        <w:ind w:left="100" w:right="114"/>
        <w:jc w:val="both"/>
      </w:pPr>
      <w:r>
        <w:rPr/>
        <w:t>To</w:t>
      </w:r>
      <w:r>
        <w:rPr>
          <w:spacing w:val="-12"/>
        </w:rPr>
        <w:t> </w:t>
      </w:r>
      <w:r>
        <w:rPr/>
        <w:t>be</w:t>
      </w:r>
      <w:r>
        <w:rPr>
          <w:spacing w:val="-11"/>
        </w:rPr>
        <w:t> </w:t>
      </w:r>
      <w:r>
        <w:rPr/>
        <w:t>clear,</w:t>
      </w:r>
      <w:r>
        <w:rPr>
          <w:spacing w:val="-12"/>
        </w:rPr>
        <w:t> </w:t>
      </w:r>
      <w:r>
        <w:rPr/>
        <w:t>we</w:t>
      </w:r>
      <w:r>
        <w:rPr>
          <w:spacing w:val="-11"/>
        </w:rPr>
        <w:t> </w:t>
      </w:r>
      <w:r>
        <w:rPr/>
        <w:t>strongly</w:t>
      </w:r>
      <w:r>
        <w:rPr>
          <w:spacing w:val="-11"/>
        </w:rPr>
        <w:t> </w:t>
      </w:r>
      <w:r>
        <w:rPr/>
        <w:t>support</w:t>
      </w:r>
      <w:r>
        <w:rPr>
          <w:spacing w:val="-12"/>
        </w:rPr>
        <w:t> </w:t>
      </w:r>
      <w:r>
        <w:rPr/>
        <w:t>CMS’s</w:t>
      </w:r>
      <w:r>
        <w:rPr>
          <w:spacing w:val="-13"/>
        </w:rPr>
        <w:t> </w:t>
      </w:r>
      <w:r>
        <w:rPr/>
        <w:t>efforts</w:t>
      </w:r>
      <w:r>
        <w:rPr>
          <w:spacing w:val="-13"/>
        </w:rPr>
        <w:t> </w:t>
      </w:r>
      <w:r>
        <w:rPr/>
        <w:t>to</w:t>
      </w:r>
      <w:r>
        <w:rPr>
          <w:spacing w:val="-12"/>
        </w:rPr>
        <w:t> </w:t>
      </w:r>
      <w:r>
        <w:rPr/>
        <w:t>ensure</w:t>
      </w:r>
      <w:r>
        <w:rPr>
          <w:spacing w:val="-11"/>
        </w:rPr>
        <w:t> </w:t>
      </w:r>
      <w:r>
        <w:rPr/>
        <w:t>that</w:t>
      </w:r>
      <w:r>
        <w:rPr>
          <w:spacing w:val="-12"/>
        </w:rPr>
        <w:t> </w:t>
      </w:r>
      <w:r>
        <w:rPr/>
        <w:t>MA</w:t>
      </w:r>
      <w:r>
        <w:rPr>
          <w:spacing w:val="-11"/>
        </w:rPr>
        <w:t> </w:t>
      </w:r>
      <w:r>
        <w:rPr/>
        <w:t>continues</w:t>
      </w:r>
      <w:r>
        <w:rPr>
          <w:spacing w:val="-13"/>
        </w:rPr>
        <w:t> </w:t>
      </w:r>
      <w:r>
        <w:rPr/>
        <w:t>to</w:t>
      </w:r>
      <w:r>
        <w:rPr>
          <w:spacing w:val="-12"/>
        </w:rPr>
        <w:t> </w:t>
      </w:r>
      <w:r>
        <w:rPr/>
        <w:t>evolve;</w:t>
      </w:r>
      <w:r>
        <w:rPr>
          <w:spacing w:val="-12"/>
        </w:rPr>
        <w:t> </w:t>
      </w:r>
      <w:r>
        <w:rPr/>
        <w:t>applies</w:t>
      </w:r>
      <w:r>
        <w:rPr>
          <w:spacing w:val="-13"/>
        </w:rPr>
        <w:t> </w:t>
      </w:r>
      <w:r>
        <w:rPr/>
        <w:t>cutting- edge benefit design principles; and remains a robust coverage option for Medicare’s next generation of beneficiaries. However, in the spirit of MA program stability, we once again encourage CMS to consider the collective impact of Advance Notice and draft Call Letter policies on MA plans, providers, beneficiaries, and CMS’s oversight responsibilities. Below we have summarized our recommendations, which primarily address ESRD-related MA payment and other proposals with a particular</w:t>
      </w:r>
      <w:r>
        <w:rPr>
          <w:spacing w:val="-12"/>
        </w:rPr>
        <w:t> </w:t>
      </w:r>
      <w:r>
        <w:rPr/>
        <w:t>focus</w:t>
      </w:r>
      <w:r>
        <w:rPr>
          <w:spacing w:val="-12"/>
        </w:rPr>
        <w:t> </w:t>
      </w:r>
      <w:r>
        <w:rPr/>
        <w:t>on</w:t>
      </w:r>
      <w:r>
        <w:rPr>
          <w:spacing w:val="-11"/>
        </w:rPr>
        <w:t> </w:t>
      </w:r>
      <w:r>
        <w:rPr/>
        <w:t>the</w:t>
      </w:r>
      <w:r>
        <w:rPr>
          <w:spacing w:val="-10"/>
        </w:rPr>
        <w:t> </w:t>
      </w:r>
      <w:r>
        <w:rPr/>
        <w:t>recalibration</w:t>
      </w:r>
      <w:r>
        <w:rPr>
          <w:spacing w:val="-11"/>
        </w:rPr>
        <w:t> </w:t>
      </w:r>
      <w:r>
        <w:rPr/>
        <w:t>of</w:t>
      </w:r>
      <w:r>
        <w:rPr>
          <w:spacing w:val="-11"/>
        </w:rPr>
        <w:t> </w:t>
      </w:r>
      <w:r>
        <w:rPr/>
        <w:t>the</w:t>
      </w:r>
      <w:r>
        <w:rPr>
          <w:spacing w:val="-10"/>
        </w:rPr>
        <w:t> </w:t>
      </w:r>
      <w:r>
        <w:rPr/>
        <w:t>ESRD</w:t>
      </w:r>
      <w:r>
        <w:rPr>
          <w:spacing w:val="-11"/>
        </w:rPr>
        <w:t> </w:t>
      </w:r>
      <w:r>
        <w:rPr/>
        <w:t>risk</w:t>
      </w:r>
      <w:r>
        <w:rPr>
          <w:spacing w:val="-10"/>
        </w:rPr>
        <w:t> </w:t>
      </w:r>
      <w:r>
        <w:rPr/>
        <w:t>adjustment</w:t>
      </w:r>
      <w:r>
        <w:rPr>
          <w:spacing w:val="-11"/>
        </w:rPr>
        <w:t> </w:t>
      </w:r>
      <w:r>
        <w:rPr/>
        <w:t>model</w:t>
      </w:r>
      <w:r>
        <w:rPr>
          <w:spacing w:val="-13"/>
        </w:rPr>
        <w:t> </w:t>
      </w:r>
      <w:r>
        <w:rPr/>
        <w:t>and</w:t>
      </w:r>
      <w:r>
        <w:rPr>
          <w:spacing w:val="-11"/>
        </w:rPr>
        <w:t> </w:t>
      </w:r>
      <w:r>
        <w:rPr/>
        <w:t>the</w:t>
      </w:r>
      <w:r>
        <w:rPr>
          <w:spacing w:val="-10"/>
        </w:rPr>
        <w:t> </w:t>
      </w:r>
      <w:r>
        <w:rPr/>
        <w:t>need</w:t>
      </w:r>
      <w:r>
        <w:rPr>
          <w:spacing w:val="-13"/>
        </w:rPr>
        <w:t> </w:t>
      </w:r>
      <w:r>
        <w:rPr/>
        <w:t>to</w:t>
      </w:r>
      <w:r>
        <w:rPr>
          <w:spacing w:val="-11"/>
        </w:rPr>
        <w:t> </w:t>
      </w:r>
      <w:r>
        <w:rPr/>
        <w:t>treat</w:t>
      </w:r>
      <w:r>
        <w:rPr>
          <w:spacing w:val="-11"/>
        </w:rPr>
        <w:t> </w:t>
      </w:r>
      <w:r>
        <w:rPr/>
        <w:t>the</w:t>
      </w:r>
      <w:r>
        <w:rPr>
          <w:spacing w:val="-12"/>
        </w:rPr>
        <w:t> </w:t>
      </w:r>
      <w:r>
        <w:rPr/>
        <w:t>cost of calcimimetic drugs appropriately under</w:t>
      </w:r>
      <w:r>
        <w:rPr>
          <w:spacing w:val="-20"/>
        </w:rPr>
        <w:t> </w:t>
      </w:r>
      <w:r>
        <w:rPr/>
        <w:t>MA.</w:t>
      </w:r>
    </w:p>
    <w:p>
      <w:pPr>
        <w:pStyle w:val="BodyText"/>
        <w:rPr>
          <w:sz w:val="26"/>
        </w:rPr>
      </w:pPr>
    </w:p>
    <w:p>
      <w:pPr>
        <w:pStyle w:val="Heading1"/>
        <w:spacing w:before="197"/>
        <w:ind w:left="3278" w:right="3299"/>
      </w:pPr>
      <w:r>
        <w:rPr>
          <w:u w:val="single"/>
        </w:rPr>
        <w:t>MA Payment Methodology</w:t>
      </w:r>
    </w:p>
    <w:p>
      <w:pPr>
        <w:pStyle w:val="BodyText"/>
        <w:spacing w:before="9"/>
        <w:rPr>
          <w:b/>
          <w:sz w:val="18"/>
        </w:rPr>
      </w:pPr>
    </w:p>
    <w:p>
      <w:pPr>
        <w:pStyle w:val="ListParagraph"/>
        <w:numPr>
          <w:ilvl w:val="0"/>
          <w:numId w:val="2"/>
        </w:numPr>
        <w:tabs>
          <w:tab w:pos="639" w:val="left" w:leader="none"/>
          <w:tab w:pos="640" w:val="left" w:leader="none"/>
        </w:tabs>
        <w:spacing w:line="256" w:lineRule="auto" w:before="100" w:after="0"/>
        <w:ind w:left="640" w:right="115" w:hanging="360"/>
        <w:jc w:val="left"/>
        <w:rPr>
          <w:sz w:val="24"/>
        </w:rPr>
      </w:pPr>
      <w:r>
        <w:rPr>
          <w:sz w:val="24"/>
        </w:rPr>
        <w:t>Conduct additional analysis to validate the ESRD risk adjustment model’s recalibration and phase-in the revised risk</w:t>
      </w:r>
      <w:r>
        <w:rPr>
          <w:spacing w:val="-18"/>
          <w:sz w:val="24"/>
        </w:rPr>
        <w:t> </w:t>
      </w:r>
      <w:r>
        <w:rPr>
          <w:sz w:val="24"/>
        </w:rPr>
        <w:t>factors;</w:t>
      </w:r>
    </w:p>
    <w:p>
      <w:pPr>
        <w:pStyle w:val="ListParagraph"/>
        <w:numPr>
          <w:ilvl w:val="0"/>
          <w:numId w:val="2"/>
        </w:numPr>
        <w:tabs>
          <w:tab w:pos="639" w:val="left" w:leader="none"/>
          <w:tab w:pos="640" w:val="left" w:leader="none"/>
        </w:tabs>
        <w:spacing w:line="240" w:lineRule="auto" w:before="0" w:after="0"/>
        <w:ind w:left="640" w:right="0" w:hanging="360"/>
        <w:jc w:val="left"/>
        <w:rPr>
          <w:sz w:val="24"/>
        </w:rPr>
      </w:pPr>
      <w:r>
        <w:rPr>
          <w:sz w:val="24"/>
        </w:rPr>
        <w:t>Ensure the accuracy of the ESRD normalization factor starting</w:t>
      </w:r>
      <w:r>
        <w:rPr>
          <w:spacing w:val="-39"/>
          <w:sz w:val="24"/>
        </w:rPr>
        <w:t> </w:t>
      </w:r>
      <w:r>
        <w:rPr>
          <w:sz w:val="24"/>
        </w:rPr>
        <w:t>point;</w:t>
      </w:r>
    </w:p>
    <w:p>
      <w:pPr>
        <w:pStyle w:val="ListParagraph"/>
        <w:numPr>
          <w:ilvl w:val="0"/>
          <w:numId w:val="2"/>
        </w:numPr>
        <w:tabs>
          <w:tab w:pos="639" w:val="left" w:leader="none"/>
          <w:tab w:pos="640" w:val="left" w:leader="none"/>
        </w:tabs>
        <w:spacing w:line="240" w:lineRule="auto" w:before="21" w:after="0"/>
        <w:ind w:left="640" w:right="0" w:hanging="360"/>
        <w:jc w:val="left"/>
        <w:rPr>
          <w:sz w:val="24"/>
        </w:rPr>
      </w:pPr>
      <w:r>
        <w:rPr>
          <w:sz w:val="24"/>
        </w:rPr>
        <w:t>Exercise</w:t>
      </w:r>
      <w:r>
        <w:rPr>
          <w:spacing w:val="-4"/>
          <w:sz w:val="24"/>
        </w:rPr>
        <w:t> </w:t>
      </w:r>
      <w:r>
        <w:rPr>
          <w:sz w:val="24"/>
        </w:rPr>
        <w:t>authority</w:t>
      </w:r>
      <w:r>
        <w:rPr>
          <w:spacing w:val="-4"/>
          <w:sz w:val="24"/>
        </w:rPr>
        <w:t> </w:t>
      </w:r>
      <w:r>
        <w:rPr>
          <w:sz w:val="24"/>
        </w:rPr>
        <w:t>not</w:t>
      </w:r>
      <w:r>
        <w:rPr>
          <w:spacing w:val="-5"/>
          <w:sz w:val="24"/>
        </w:rPr>
        <w:t> </w:t>
      </w:r>
      <w:r>
        <w:rPr>
          <w:sz w:val="24"/>
        </w:rPr>
        <w:t>to</w:t>
      </w:r>
      <w:r>
        <w:rPr>
          <w:spacing w:val="-7"/>
          <w:sz w:val="24"/>
        </w:rPr>
        <w:t> </w:t>
      </w:r>
      <w:r>
        <w:rPr>
          <w:sz w:val="24"/>
        </w:rPr>
        <w:t>begin</w:t>
      </w:r>
      <w:r>
        <w:rPr>
          <w:spacing w:val="-5"/>
          <w:sz w:val="24"/>
        </w:rPr>
        <w:t> </w:t>
      </w:r>
      <w:r>
        <w:rPr>
          <w:sz w:val="24"/>
        </w:rPr>
        <w:t>phasing-in</w:t>
      </w:r>
      <w:r>
        <w:rPr>
          <w:spacing w:val="-5"/>
          <w:sz w:val="24"/>
        </w:rPr>
        <w:t> </w:t>
      </w:r>
      <w:r>
        <w:rPr>
          <w:sz w:val="24"/>
        </w:rPr>
        <w:t>the</w:t>
      </w:r>
      <w:r>
        <w:rPr>
          <w:spacing w:val="-4"/>
          <w:sz w:val="24"/>
        </w:rPr>
        <w:t> </w:t>
      </w:r>
      <w:r>
        <w:rPr>
          <w:sz w:val="24"/>
        </w:rPr>
        <w:t>payment</w:t>
      </w:r>
      <w:r>
        <w:rPr>
          <w:spacing w:val="-5"/>
          <w:sz w:val="24"/>
        </w:rPr>
        <w:t> </w:t>
      </w:r>
      <w:r>
        <w:rPr>
          <w:sz w:val="24"/>
        </w:rPr>
        <w:t>condition</w:t>
      </w:r>
      <w:r>
        <w:rPr>
          <w:spacing w:val="-4"/>
          <w:sz w:val="24"/>
        </w:rPr>
        <w:t> </w:t>
      </w:r>
      <w:r>
        <w:rPr>
          <w:sz w:val="24"/>
        </w:rPr>
        <w:t>count</w:t>
      </w:r>
      <w:r>
        <w:rPr>
          <w:spacing w:val="-5"/>
          <w:sz w:val="24"/>
        </w:rPr>
        <w:t> </w:t>
      </w:r>
      <w:r>
        <w:rPr>
          <w:sz w:val="24"/>
        </w:rPr>
        <w:t>model</w:t>
      </w:r>
      <w:r>
        <w:rPr>
          <w:spacing w:val="-4"/>
          <w:sz w:val="24"/>
        </w:rPr>
        <w:t> </w:t>
      </w:r>
      <w:r>
        <w:rPr>
          <w:sz w:val="24"/>
        </w:rPr>
        <w:t>next</w:t>
      </w:r>
      <w:r>
        <w:rPr>
          <w:spacing w:val="-5"/>
          <w:sz w:val="24"/>
        </w:rPr>
        <w:t> </w:t>
      </w:r>
      <w:r>
        <w:rPr>
          <w:sz w:val="24"/>
        </w:rPr>
        <w:t>year;</w:t>
      </w:r>
    </w:p>
    <w:p>
      <w:pPr>
        <w:pStyle w:val="ListParagraph"/>
        <w:numPr>
          <w:ilvl w:val="0"/>
          <w:numId w:val="2"/>
        </w:numPr>
        <w:tabs>
          <w:tab w:pos="639" w:val="left" w:leader="none"/>
          <w:tab w:pos="640" w:val="left" w:leader="none"/>
        </w:tabs>
        <w:spacing w:line="256" w:lineRule="auto" w:before="21" w:after="0"/>
        <w:ind w:left="640" w:right="120" w:hanging="360"/>
        <w:jc w:val="left"/>
        <w:rPr>
          <w:sz w:val="24"/>
        </w:rPr>
      </w:pPr>
      <w:r>
        <w:rPr>
          <w:sz w:val="24"/>
        </w:rPr>
        <w:t>Hold encounter data processing system (EDPS) and risk adjustment process system (RAPS) blend</w:t>
      </w:r>
      <w:r>
        <w:rPr>
          <w:spacing w:val="-3"/>
          <w:sz w:val="24"/>
        </w:rPr>
        <w:t> </w:t>
      </w:r>
      <w:r>
        <w:rPr>
          <w:sz w:val="24"/>
        </w:rPr>
        <w:t>percentages</w:t>
      </w:r>
      <w:r>
        <w:rPr>
          <w:spacing w:val="-5"/>
          <w:sz w:val="24"/>
        </w:rPr>
        <w:t> </w:t>
      </w:r>
      <w:r>
        <w:rPr>
          <w:sz w:val="24"/>
        </w:rPr>
        <w:t>at</w:t>
      </w:r>
      <w:r>
        <w:rPr>
          <w:spacing w:val="-4"/>
          <w:sz w:val="24"/>
        </w:rPr>
        <w:t> </w:t>
      </w:r>
      <w:r>
        <w:rPr>
          <w:sz w:val="24"/>
        </w:rPr>
        <w:t>2018</w:t>
      </w:r>
      <w:r>
        <w:rPr>
          <w:spacing w:val="-6"/>
          <w:sz w:val="24"/>
        </w:rPr>
        <w:t> </w:t>
      </w:r>
      <w:r>
        <w:rPr>
          <w:sz w:val="24"/>
        </w:rPr>
        <w:t>levels</w:t>
      </w:r>
      <w:r>
        <w:rPr>
          <w:spacing w:val="-5"/>
          <w:sz w:val="24"/>
        </w:rPr>
        <w:t> </w:t>
      </w:r>
      <w:r>
        <w:rPr>
          <w:sz w:val="24"/>
        </w:rPr>
        <w:t>for</w:t>
      </w:r>
      <w:r>
        <w:rPr>
          <w:spacing w:val="-4"/>
          <w:sz w:val="24"/>
        </w:rPr>
        <w:t> </w:t>
      </w:r>
      <w:r>
        <w:rPr>
          <w:sz w:val="24"/>
        </w:rPr>
        <w:t>purposes</w:t>
      </w:r>
      <w:r>
        <w:rPr>
          <w:spacing w:val="-5"/>
          <w:sz w:val="24"/>
        </w:rPr>
        <w:t> </w:t>
      </w:r>
      <w:r>
        <w:rPr>
          <w:sz w:val="24"/>
        </w:rPr>
        <w:t>of</w:t>
      </w:r>
      <w:r>
        <w:rPr>
          <w:spacing w:val="-4"/>
          <w:sz w:val="24"/>
        </w:rPr>
        <w:t> </w:t>
      </w:r>
      <w:r>
        <w:rPr>
          <w:sz w:val="24"/>
        </w:rPr>
        <w:t>determining</w:t>
      </w:r>
      <w:r>
        <w:rPr>
          <w:spacing w:val="-3"/>
          <w:sz w:val="24"/>
        </w:rPr>
        <w:t> </w:t>
      </w:r>
      <w:r>
        <w:rPr>
          <w:sz w:val="24"/>
        </w:rPr>
        <w:t>beneficiary</w:t>
      </w:r>
      <w:r>
        <w:rPr>
          <w:spacing w:val="-3"/>
          <w:sz w:val="24"/>
        </w:rPr>
        <w:t> </w:t>
      </w:r>
      <w:r>
        <w:rPr>
          <w:sz w:val="24"/>
        </w:rPr>
        <w:t>risk</w:t>
      </w:r>
      <w:r>
        <w:rPr>
          <w:spacing w:val="-3"/>
          <w:sz w:val="24"/>
        </w:rPr>
        <w:t> </w:t>
      </w:r>
      <w:r>
        <w:rPr>
          <w:sz w:val="24"/>
        </w:rPr>
        <w:t>scores;</w:t>
      </w:r>
      <w:r>
        <w:rPr>
          <w:spacing w:val="-3"/>
          <w:sz w:val="24"/>
        </w:rPr>
        <w:t> </w:t>
      </w:r>
      <w:r>
        <w:rPr>
          <w:sz w:val="24"/>
        </w:rPr>
        <w:t>and</w:t>
      </w:r>
    </w:p>
    <w:p>
      <w:pPr>
        <w:pStyle w:val="ListParagraph"/>
        <w:numPr>
          <w:ilvl w:val="0"/>
          <w:numId w:val="2"/>
        </w:numPr>
        <w:tabs>
          <w:tab w:pos="639" w:val="left" w:leader="none"/>
          <w:tab w:pos="640" w:val="left" w:leader="none"/>
        </w:tabs>
        <w:spacing w:line="240" w:lineRule="auto" w:before="5" w:after="0"/>
        <w:ind w:left="640" w:right="0" w:hanging="360"/>
        <w:jc w:val="left"/>
        <w:rPr>
          <w:sz w:val="24"/>
        </w:rPr>
      </w:pPr>
      <w:r>
        <w:rPr>
          <w:sz w:val="24"/>
        </w:rPr>
        <w:t>Adjust</w:t>
      </w:r>
      <w:r>
        <w:rPr>
          <w:spacing w:val="-11"/>
          <w:sz w:val="24"/>
        </w:rPr>
        <w:t> </w:t>
      </w:r>
      <w:r>
        <w:rPr>
          <w:sz w:val="24"/>
        </w:rPr>
        <w:t>MA</w:t>
      </w:r>
      <w:r>
        <w:rPr>
          <w:spacing w:val="-10"/>
          <w:sz w:val="24"/>
        </w:rPr>
        <w:t> </w:t>
      </w:r>
      <w:r>
        <w:rPr>
          <w:sz w:val="24"/>
        </w:rPr>
        <w:t>payments</w:t>
      </w:r>
      <w:r>
        <w:rPr>
          <w:spacing w:val="-12"/>
          <w:sz w:val="24"/>
        </w:rPr>
        <w:t> </w:t>
      </w:r>
      <w:r>
        <w:rPr>
          <w:sz w:val="24"/>
        </w:rPr>
        <w:t>to</w:t>
      </w:r>
      <w:r>
        <w:rPr>
          <w:spacing w:val="-8"/>
          <w:sz w:val="24"/>
        </w:rPr>
        <w:t> </w:t>
      </w:r>
      <w:r>
        <w:rPr>
          <w:sz w:val="24"/>
        </w:rPr>
        <w:t>ensure</w:t>
      </w:r>
      <w:r>
        <w:rPr>
          <w:spacing w:val="-10"/>
          <w:sz w:val="24"/>
        </w:rPr>
        <w:t> </w:t>
      </w:r>
      <w:r>
        <w:rPr>
          <w:sz w:val="24"/>
        </w:rPr>
        <w:t>the</w:t>
      </w:r>
      <w:r>
        <w:rPr>
          <w:spacing w:val="-10"/>
          <w:sz w:val="24"/>
        </w:rPr>
        <w:t> </w:t>
      </w:r>
      <w:r>
        <w:rPr>
          <w:sz w:val="24"/>
        </w:rPr>
        <w:t>appropriate</w:t>
      </w:r>
      <w:r>
        <w:rPr>
          <w:spacing w:val="-10"/>
          <w:sz w:val="24"/>
        </w:rPr>
        <w:t> </w:t>
      </w:r>
      <w:r>
        <w:rPr>
          <w:sz w:val="24"/>
        </w:rPr>
        <w:t>treatment</w:t>
      </w:r>
      <w:r>
        <w:rPr>
          <w:spacing w:val="-11"/>
          <w:sz w:val="24"/>
        </w:rPr>
        <w:t> </w:t>
      </w:r>
      <w:r>
        <w:rPr>
          <w:sz w:val="24"/>
        </w:rPr>
        <w:t>of</w:t>
      </w:r>
      <w:r>
        <w:rPr>
          <w:spacing w:val="-11"/>
          <w:sz w:val="24"/>
        </w:rPr>
        <w:t> </w:t>
      </w:r>
      <w:r>
        <w:rPr>
          <w:sz w:val="24"/>
        </w:rPr>
        <w:t>calcimimetic</w:t>
      </w:r>
      <w:r>
        <w:rPr>
          <w:spacing w:val="-10"/>
          <w:sz w:val="24"/>
        </w:rPr>
        <w:t> </w:t>
      </w:r>
      <w:r>
        <w:rPr>
          <w:sz w:val="24"/>
        </w:rPr>
        <w:t>drug</w:t>
      </w:r>
      <w:r>
        <w:rPr>
          <w:spacing w:val="-10"/>
          <w:sz w:val="24"/>
        </w:rPr>
        <w:t> </w:t>
      </w:r>
      <w:r>
        <w:rPr>
          <w:sz w:val="24"/>
        </w:rPr>
        <w:t>costs</w:t>
      </w:r>
      <w:r>
        <w:rPr>
          <w:spacing w:val="-9"/>
          <w:sz w:val="24"/>
        </w:rPr>
        <w:t> </w:t>
      </w:r>
      <w:r>
        <w:rPr>
          <w:sz w:val="24"/>
        </w:rPr>
        <w:t>under</w:t>
      </w:r>
      <w:r>
        <w:rPr>
          <w:spacing w:val="-12"/>
          <w:sz w:val="24"/>
        </w:rPr>
        <w:t> </w:t>
      </w:r>
      <w:r>
        <w:rPr>
          <w:sz w:val="24"/>
        </w:rPr>
        <w:t>MA.</w:t>
      </w:r>
    </w:p>
    <w:p>
      <w:pPr>
        <w:spacing w:after="0" w:line="240" w:lineRule="auto"/>
        <w:jc w:val="left"/>
        <w:rPr>
          <w:sz w:val="24"/>
        </w:rPr>
        <w:sectPr>
          <w:footerReference w:type="default" r:id="rId7"/>
          <w:pgSz w:w="12240" w:h="15840"/>
          <w:pgMar w:footer="722" w:header="0" w:top="1500" w:bottom="920" w:left="1340" w:right="1320"/>
          <w:pgNumType w:start="2"/>
        </w:sectPr>
      </w:pPr>
    </w:p>
    <w:p>
      <w:pPr>
        <w:pStyle w:val="Heading1"/>
        <w:spacing w:before="79"/>
        <w:ind w:left="3299" w:right="3299"/>
      </w:pPr>
      <w:r>
        <w:rPr>
          <w:u w:val="single"/>
        </w:rPr>
        <w:t>MA Program Operations</w:t>
      </w:r>
    </w:p>
    <w:p>
      <w:pPr>
        <w:pStyle w:val="BodyText"/>
        <w:spacing w:before="9"/>
        <w:rPr>
          <w:b/>
          <w:sz w:val="18"/>
        </w:rPr>
      </w:pPr>
    </w:p>
    <w:p>
      <w:pPr>
        <w:pStyle w:val="ListParagraph"/>
        <w:numPr>
          <w:ilvl w:val="1"/>
          <w:numId w:val="2"/>
        </w:numPr>
        <w:tabs>
          <w:tab w:pos="840" w:val="left" w:leader="none"/>
        </w:tabs>
        <w:spacing w:line="256" w:lineRule="auto" w:before="100" w:after="0"/>
        <w:ind w:left="840" w:right="116" w:hanging="360"/>
        <w:jc w:val="both"/>
        <w:rPr>
          <w:sz w:val="24"/>
        </w:rPr>
      </w:pPr>
      <w:r>
        <w:rPr>
          <w:sz w:val="24"/>
        </w:rPr>
        <w:t>Take a measured approach in implementing benefit design flexibility rule changes to mitigate potential discrimination against beneficiaries with higher</w:t>
      </w:r>
      <w:r>
        <w:rPr>
          <w:spacing w:val="-35"/>
          <w:sz w:val="24"/>
        </w:rPr>
        <w:t> </w:t>
      </w:r>
      <w:r>
        <w:rPr>
          <w:sz w:val="24"/>
        </w:rPr>
        <w:t>risk;</w:t>
      </w:r>
    </w:p>
    <w:p>
      <w:pPr>
        <w:pStyle w:val="ListParagraph"/>
        <w:numPr>
          <w:ilvl w:val="1"/>
          <w:numId w:val="2"/>
        </w:numPr>
        <w:tabs>
          <w:tab w:pos="840" w:val="left" w:leader="none"/>
        </w:tabs>
        <w:spacing w:line="256" w:lineRule="auto" w:before="0" w:after="0"/>
        <w:ind w:left="840" w:right="115" w:hanging="360"/>
        <w:jc w:val="both"/>
        <w:rPr>
          <w:sz w:val="24"/>
        </w:rPr>
      </w:pPr>
      <w:r>
        <w:rPr>
          <w:sz w:val="24"/>
        </w:rPr>
        <w:t>Retain the current out-of-pocket cost (OOPC) threshold and explore other avenues through which MA plans can demonstrate compliance with the meaningful difference</w:t>
      </w:r>
      <w:r>
        <w:rPr>
          <w:spacing w:val="-40"/>
          <w:sz w:val="24"/>
        </w:rPr>
        <w:t> </w:t>
      </w:r>
      <w:r>
        <w:rPr>
          <w:sz w:val="24"/>
        </w:rPr>
        <w:t>rule;</w:t>
      </w:r>
    </w:p>
    <w:p>
      <w:pPr>
        <w:pStyle w:val="ListParagraph"/>
        <w:numPr>
          <w:ilvl w:val="1"/>
          <w:numId w:val="2"/>
        </w:numPr>
        <w:tabs>
          <w:tab w:pos="840" w:val="left" w:leader="none"/>
        </w:tabs>
        <w:spacing w:line="256" w:lineRule="auto" w:before="0" w:after="0"/>
        <w:ind w:left="840" w:right="117" w:hanging="360"/>
        <w:jc w:val="both"/>
        <w:rPr>
          <w:sz w:val="24"/>
        </w:rPr>
      </w:pPr>
      <w:r>
        <w:rPr>
          <w:sz w:val="24"/>
        </w:rPr>
        <w:t>Finalize the revised interpretation of the primarily health-related standard for purposes of offering supplemental benefits;</w:t>
      </w:r>
      <w:r>
        <w:rPr>
          <w:spacing w:val="-18"/>
          <w:sz w:val="24"/>
        </w:rPr>
        <w:t> </w:t>
      </w:r>
      <w:r>
        <w:rPr>
          <w:sz w:val="24"/>
        </w:rPr>
        <w:t>and</w:t>
      </w:r>
    </w:p>
    <w:p>
      <w:pPr>
        <w:pStyle w:val="ListParagraph"/>
        <w:numPr>
          <w:ilvl w:val="1"/>
          <w:numId w:val="2"/>
        </w:numPr>
        <w:tabs>
          <w:tab w:pos="840" w:val="left" w:leader="none"/>
        </w:tabs>
        <w:spacing w:line="259" w:lineRule="auto" w:before="0" w:after="0"/>
        <w:ind w:left="840" w:right="115" w:hanging="360"/>
        <w:jc w:val="both"/>
        <w:rPr>
          <w:sz w:val="24"/>
        </w:rPr>
      </w:pPr>
      <w:r>
        <w:rPr>
          <w:sz w:val="24"/>
        </w:rPr>
        <w:t>Continue to move forward in developing SNP-specific network adequacy evaluations to ensure</w:t>
      </w:r>
      <w:r>
        <w:rPr>
          <w:spacing w:val="-6"/>
          <w:sz w:val="24"/>
        </w:rPr>
        <w:t> </w:t>
      </w:r>
      <w:r>
        <w:rPr>
          <w:sz w:val="24"/>
        </w:rPr>
        <w:t>that</w:t>
      </w:r>
      <w:r>
        <w:rPr>
          <w:spacing w:val="-7"/>
          <w:sz w:val="24"/>
        </w:rPr>
        <w:t> </w:t>
      </w:r>
      <w:r>
        <w:rPr>
          <w:sz w:val="24"/>
        </w:rPr>
        <w:t>chronically</w:t>
      </w:r>
      <w:r>
        <w:rPr>
          <w:spacing w:val="-8"/>
          <w:sz w:val="24"/>
        </w:rPr>
        <w:t> </w:t>
      </w:r>
      <w:r>
        <w:rPr>
          <w:sz w:val="24"/>
        </w:rPr>
        <w:t>ill</w:t>
      </w:r>
      <w:r>
        <w:rPr>
          <w:spacing w:val="-9"/>
          <w:sz w:val="24"/>
        </w:rPr>
        <w:t> </w:t>
      </w:r>
      <w:r>
        <w:rPr>
          <w:sz w:val="24"/>
        </w:rPr>
        <w:t>and</w:t>
      </w:r>
      <w:r>
        <w:rPr>
          <w:spacing w:val="-7"/>
          <w:sz w:val="24"/>
        </w:rPr>
        <w:t> </w:t>
      </w:r>
      <w:r>
        <w:rPr>
          <w:sz w:val="24"/>
        </w:rPr>
        <w:t>other</w:t>
      </w:r>
      <w:r>
        <w:rPr>
          <w:spacing w:val="-8"/>
          <w:sz w:val="24"/>
        </w:rPr>
        <w:t> </w:t>
      </w:r>
      <w:r>
        <w:rPr>
          <w:sz w:val="24"/>
        </w:rPr>
        <w:t>vulnerable</w:t>
      </w:r>
      <w:r>
        <w:rPr>
          <w:spacing w:val="-8"/>
          <w:sz w:val="24"/>
        </w:rPr>
        <w:t> </w:t>
      </w:r>
      <w:r>
        <w:rPr>
          <w:sz w:val="24"/>
        </w:rPr>
        <w:t>Medicare</w:t>
      </w:r>
      <w:r>
        <w:rPr>
          <w:spacing w:val="-6"/>
          <w:sz w:val="24"/>
        </w:rPr>
        <w:t> </w:t>
      </w:r>
      <w:r>
        <w:rPr>
          <w:sz w:val="24"/>
        </w:rPr>
        <w:t>beneficiaries</w:t>
      </w:r>
      <w:r>
        <w:rPr>
          <w:spacing w:val="-8"/>
          <w:sz w:val="24"/>
        </w:rPr>
        <w:t> </w:t>
      </w:r>
      <w:r>
        <w:rPr>
          <w:sz w:val="24"/>
        </w:rPr>
        <w:t>have</w:t>
      </w:r>
      <w:r>
        <w:rPr>
          <w:spacing w:val="-8"/>
          <w:sz w:val="24"/>
        </w:rPr>
        <w:t> </w:t>
      </w:r>
      <w:r>
        <w:rPr>
          <w:sz w:val="24"/>
        </w:rPr>
        <w:t>good</w:t>
      </w:r>
      <w:r>
        <w:rPr>
          <w:spacing w:val="-7"/>
          <w:sz w:val="24"/>
        </w:rPr>
        <w:t> </w:t>
      </w:r>
      <w:r>
        <w:rPr>
          <w:sz w:val="24"/>
        </w:rPr>
        <w:t>access</w:t>
      </w:r>
      <w:r>
        <w:rPr>
          <w:spacing w:val="-8"/>
          <w:sz w:val="24"/>
        </w:rPr>
        <w:t> </w:t>
      </w:r>
      <w:r>
        <w:rPr>
          <w:sz w:val="24"/>
        </w:rPr>
        <w:t>to</w:t>
      </w:r>
      <w:r>
        <w:rPr>
          <w:spacing w:val="-7"/>
          <w:sz w:val="24"/>
        </w:rPr>
        <w:t> </w:t>
      </w:r>
      <w:r>
        <w:rPr>
          <w:sz w:val="24"/>
        </w:rPr>
        <w:t>the range</w:t>
      </w:r>
      <w:r>
        <w:rPr>
          <w:spacing w:val="-4"/>
          <w:sz w:val="24"/>
        </w:rPr>
        <w:t> </w:t>
      </w:r>
      <w:r>
        <w:rPr>
          <w:sz w:val="24"/>
        </w:rPr>
        <w:t>of</w:t>
      </w:r>
      <w:r>
        <w:rPr>
          <w:spacing w:val="-5"/>
          <w:sz w:val="24"/>
        </w:rPr>
        <w:t> </w:t>
      </w:r>
      <w:r>
        <w:rPr>
          <w:sz w:val="24"/>
        </w:rPr>
        <w:t>providers</w:t>
      </w:r>
      <w:r>
        <w:rPr>
          <w:spacing w:val="-6"/>
          <w:sz w:val="24"/>
        </w:rPr>
        <w:t> </w:t>
      </w:r>
      <w:r>
        <w:rPr>
          <w:sz w:val="24"/>
        </w:rPr>
        <w:t>involved</w:t>
      </w:r>
      <w:r>
        <w:rPr>
          <w:spacing w:val="-4"/>
          <w:sz w:val="24"/>
        </w:rPr>
        <w:t> </w:t>
      </w:r>
      <w:r>
        <w:rPr>
          <w:sz w:val="24"/>
        </w:rPr>
        <w:t>in</w:t>
      </w:r>
      <w:r>
        <w:rPr>
          <w:spacing w:val="-5"/>
          <w:sz w:val="24"/>
        </w:rPr>
        <w:t> </w:t>
      </w:r>
      <w:r>
        <w:rPr>
          <w:sz w:val="24"/>
        </w:rPr>
        <w:t>their</w:t>
      </w:r>
      <w:r>
        <w:rPr>
          <w:spacing w:val="-5"/>
          <w:sz w:val="24"/>
        </w:rPr>
        <w:t> </w:t>
      </w:r>
      <w:r>
        <w:rPr>
          <w:sz w:val="24"/>
        </w:rPr>
        <w:t>care</w:t>
      </w:r>
      <w:r>
        <w:rPr>
          <w:spacing w:val="-4"/>
          <w:sz w:val="24"/>
        </w:rPr>
        <w:t> </w:t>
      </w:r>
      <w:r>
        <w:rPr>
          <w:sz w:val="24"/>
        </w:rPr>
        <w:t>and</w:t>
      </w:r>
      <w:r>
        <w:rPr>
          <w:spacing w:val="-4"/>
          <w:sz w:val="24"/>
        </w:rPr>
        <w:t> </w:t>
      </w:r>
      <w:r>
        <w:rPr>
          <w:sz w:val="24"/>
        </w:rPr>
        <w:t>can</w:t>
      </w:r>
      <w:r>
        <w:rPr>
          <w:spacing w:val="-5"/>
          <w:sz w:val="24"/>
        </w:rPr>
        <w:t> </w:t>
      </w:r>
      <w:r>
        <w:rPr>
          <w:sz w:val="24"/>
        </w:rPr>
        <w:t>maintain</w:t>
      </w:r>
      <w:r>
        <w:rPr>
          <w:spacing w:val="-5"/>
          <w:sz w:val="24"/>
        </w:rPr>
        <w:t> </w:t>
      </w:r>
      <w:r>
        <w:rPr>
          <w:sz w:val="24"/>
        </w:rPr>
        <w:t>important</w:t>
      </w:r>
      <w:r>
        <w:rPr>
          <w:spacing w:val="-5"/>
          <w:sz w:val="24"/>
        </w:rPr>
        <w:t> </w:t>
      </w:r>
      <w:r>
        <w:rPr>
          <w:sz w:val="24"/>
        </w:rPr>
        <w:t>provider</w:t>
      </w:r>
      <w:r>
        <w:rPr>
          <w:spacing w:val="-5"/>
          <w:sz w:val="24"/>
        </w:rPr>
        <w:t> </w:t>
      </w:r>
      <w:r>
        <w:rPr>
          <w:sz w:val="24"/>
        </w:rPr>
        <w:t>relationships.</w:t>
      </w:r>
    </w:p>
    <w:p>
      <w:pPr>
        <w:pStyle w:val="BodyText"/>
        <w:spacing w:before="10"/>
        <w:rPr>
          <w:sz w:val="25"/>
        </w:rPr>
      </w:pPr>
    </w:p>
    <w:p>
      <w:pPr>
        <w:pStyle w:val="BodyText"/>
        <w:spacing w:line="259" w:lineRule="auto"/>
        <w:ind w:left="120" w:right="116"/>
        <w:jc w:val="both"/>
      </w:pPr>
      <w:r>
        <w:rPr/>
        <w:t>Again,</w:t>
      </w:r>
      <w:r>
        <w:rPr>
          <w:spacing w:val="-8"/>
        </w:rPr>
        <w:t> </w:t>
      </w:r>
      <w:r>
        <w:rPr/>
        <w:t>DaVita</w:t>
      </w:r>
      <w:r>
        <w:rPr>
          <w:spacing w:val="-10"/>
        </w:rPr>
        <w:t> </w:t>
      </w:r>
      <w:r>
        <w:rPr/>
        <w:t>is</w:t>
      </w:r>
      <w:r>
        <w:rPr>
          <w:spacing w:val="-9"/>
        </w:rPr>
        <w:t> </w:t>
      </w:r>
      <w:r>
        <w:rPr/>
        <w:t>grateful</w:t>
      </w:r>
      <w:r>
        <w:rPr>
          <w:spacing w:val="-8"/>
        </w:rPr>
        <w:t> </w:t>
      </w:r>
      <w:r>
        <w:rPr/>
        <w:t>for</w:t>
      </w:r>
      <w:r>
        <w:rPr>
          <w:spacing w:val="-9"/>
        </w:rPr>
        <w:t> </w:t>
      </w:r>
      <w:r>
        <w:rPr/>
        <w:t>CMS’s</w:t>
      </w:r>
      <w:r>
        <w:rPr>
          <w:spacing w:val="-9"/>
        </w:rPr>
        <w:t> </w:t>
      </w:r>
      <w:r>
        <w:rPr/>
        <w:t>solicitation</w:t>
      </w:r>
      <w:r>
        <w:rPr>
          <w:spacing w:val="-8"/>
        </w:rPr>
        <w:t> </w:t>
      </w:r>
      <w:r>
        <w:rPr/>
        <w:t>of</w:t>
      </w:r>
      <w:r>
        <w:rPr>
          <w:spacing w:val="-9"/>
        </w:rPr>
        <w:t> </w:t>
      </w:r>
      <w:r>
        <w:rPr/>
        <w:t>stakeholder</w:t>
      </w:r>
      <w:r>
        <w:rPr>
          <w:spacing w:val="-9"/>
        </w:rPr>
        <w:t> </w:t>
      </w:r>
      <w:r>
        <w:rPr/>
        <w:t>input</w:t>
      </w:r>
      <w:r>
        <w:rPr>
          <w:spacing w:val="-9"/>
        </w:rPr>
        <w:t> </w:t>
      </w:r>
      <w:r>
        <w:rPr/>
        <w:t>on</w:t>
      </w:r>
      <w:r>
        <w:rPr>
          <w:spacing w:val="-8"/>
        </w:rPr>
        <w:t> </w:t>
      </w:r>
      <w:r>
        <w:rPr/>
        <w:t>the</w:t>
      </w:r>
      <w:r>
        <w:rPr>
          <w:spacing w:val="-7"/>
        </w:rPr>
        <w:t> </w:t>
      </w:r>
      <w:r>
        <w:rPr/>
        <w:t>2019</w:t>
      </w:r>
      <w:r>
        <w:rPr>
          <w:spacing w:val="-8"/>
        </w:rPr>
        <w:t> </w:t>
      </w:r>
      <w:r>
        <w:rPr/>
        <w:t>Advance</w:t>
      </w:r>
      <w:r>
        <w:rPr>
          <w:spacing w:val="-7"/>
        </w:rPr>
        <w:t> </w:t>
      </w:r>
      <w:r>
        <w:rPr/>
        <w:t>Notice</w:t>
      </w:r>
      <w:r>
        <w:rPr>
          <w:spacing w:val="-7"/>
        </w:rPr>
        <w:t> </w:t>
      </w:r>
      <w:r>
        <w:rPr/>
        <w:t>and draft Call Letter. Should you have any questions, please do not hesitate to contact me at (202) 478- 8188 or at</w:t>
      </w:r>
      <w:r>
        <w:rPr>
          <w:spacing w:val="-18"/>
        </w:rPr>
        <w:t> </w:t>
      </w:r>
      <w:hyperlink r:id="rId8">
        <w:r>
          <w:rPr>
            <w:color w:val="0000FF"/>
            <w:u w:val="single" w:color="0000FF"/>
          </w:rPr>
          <w:t>LeAnne.Zumwalt@DaVita.com</w:t>
        </w:r>
        <w:r>
          <w:rPr/>
          <w:t>.</w:t>
        </w:r>
      </w:hyperlink>
    </w:p>
    <w:p>
      <w:pPr>
        <w:pStyle w:val="BodyText"/>
        <w:rPr>
          <w:sz w:val="17"/>
        </w:rPr>
      </w:pPr>
    </w:p>
    <w:p>
      <w:pPr>
        <w:pStyle w:val="BodyText"/>
        <w:spacing w:before="100"/>
        <w:ind w:left="120"/>
      </w:pPr>
      <w:r>
        <w:rPr/>
        <w:t>Sincerely,</w:t>
      </w:r>
    </w:p>
    <w:p>
      <w:pPr>
        <w:pStyle w:val="BodyText"/>
        <w:spacing w:before="4"/>
      </w:pPr>
      <w:r>
        <w:rPr/>
        <w:drawing>
          <wp:anchor distT="0" distB="0" distL="0" distR="0" allowOverlap="1" layoutInCell="1" locked="0" behindDoc="0" simplePos="0" relativeHeight="1048">
            <wp:simplePos x="0" y="0"/>
            <wp:positionH relativeFrom="page">
              <wp:posOffset>933450</wp:posOffset>
            </wp:positionH>
            <wp:positionV relativeFrom="paragraph">
              <wp:posOffset>198926</wp:posOffset>
            </wp:positionV>
            <wp:extent cx="2040897" cy="54006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040897" cy="540067"/>
                    </a:xfrm>
                    <a:prstGeom prst="rect">
                      <a:avLst/>
                    </a:prstGeom>
                  </pic:spPr>
                </pic:pic>
              </a:graphicData>
            </a:graphic>
          </wp:anchor>
        </w:drawing>
      </w:r>
    </w:p>
    <w:p>
      <w:pPr>
        <w:pStyle w:val="BodyText"/>
        <w:spacing w:line="259" w:lineRule="auto"/>
        <w:ind w:left="119" w:right="7426"/>
      </w:pPr>
      <w:r>
        <w:rPr/>
        <w:t>LeAnne Zumwalt Group Vice President</w:t>
      </w:r>
    </w:p>
    <w:p>
      <w:pPr>
        <w:spacing w:after="0" w:line="259" w:lineRule="auto"/>
        <w:sectPr>
          <w:pgSz w:w="12240" w:h="15840"/>
          <w:pgMar w:header="0" w:footer="722" w:top="1360" w:bottom="920" w:left="1320" w:right="1320"/>
        </w:sectPr>
      </w:pPr>
    </w:p>
    <w:p>
      <w:pPr>
        <w:spacing w:before="79"/>
        <w:ind w:left="3020" w:right="0" w:firstLine="0"/>
        <w:jc w:val="left"/>
        <w:rPr>
          <w:b/>
          <w:sz w:val="19"/>
        </w:rPr>
      </w:pPr>
      <w:r>
        <w:rPr>
          <w:b/>
          <w:sz w:val="24"/>
          <w:u w:val="single"/>
        </w:rPr>
        <w:t>2019 A</w:t>
      </w:r>
      <w:r>
        <w:rPr>
          <w:b/>
          <w:sz w:val="19"/>
          <w:u w:val="single"/>
        </w:rPr>
        <w:t>DVANCE </w:t>
      </w:r>
      <w:r>
        <w:rPr>
          <w:b/>
          <w:sz w:val="24"/>
          <w:u w:val="single"/>
        </w:rPr>
        <w:t>N</w:t>
      </w:r>
      <w:r>
        <w:rPr>
          <w:b/>
          <w:sz w:val="19"/>
          <w:u w:val="single"/>
        </w:rPr>
        <w:t>OTICE </w:t>
      </w:r>
      <w:r>
        <w:rPr>
          <w:b/>
          <w:sz w:val="24"/>
          <w:u w:val="single"/>
        </w:rPr>
        <w:t>P</w:t>
      </w:r>
      <w:r>
        <w:rPr>
          <w:b/>
          <w:sz w:val="19"/>
          <w:u w:val="single"/>
        </w:rPr>
        <w:t>ROPOSALS</w:t>
      </w:r>
    </w:p>
    <w:p>
      <w:pPr>
        <w:pStyle w:val="BodyText"/>
        <w:spacing w:before="10"/>
        <w:rPr>
          <w:b/>
          <w:sz w:val="18"/>
        </w:rPr>
      </w:pPr>
    </w:p>
    <w:p>
      <w:pPr>
        <w:pStyle w:val="Heading1"/>
        <w:numPr>
          <w:ilvl w:val="0"/>
          <w:numId w:val="3"/>
        </w:numPr>
        <w:tabs>
          <w:tab w:pos="820" w:val="left" w:leader="none"/>
        </w:tabs>
        <w:spacing w:line="240" w:lineRule="auto" w:before="100" w:after="0"/>
        <w:ind w:left="840" w:right="0" w:hanging="740"/>
        <w:jc w:val="both"/>
      </w:pPr>
      <w:r>
        <w:rPr/>
        <w:t>Recalibration of the ESRD Risk Adjustment</w:t>
      </w:r>
      <w:r>
        <w:rPr>
          <w:spacing w:val="-23"/>
        </w:rPr>
        <w:t> </w:t>
      </w:r>
      <w:r>
        <w:rPr/>
        <w:t>Model</w:t>
      </w:r>
    </w:p>
    <w:p>
      <w:pPr>
        <w:pStyle w:val="BodyText"/>
        <w:spacing w:before="9"/>
        <w:rPr>
          <w:b/>
          <w:sz w:val="27"/>
        </w:rPr>
      </w:pPr>
    </w:p>
    <w:p>
      <w:pPr>
        <w:pStyle w:val="BodyText"/>
        <w:spacing w:line="259" w:lineRule="auto"/>
        <w:ind w:left="100" w:right="115"/>
        <w:jc w:val="both"/>
      </w:pPr>
      <w:r>
        <w:rPr/>
        <w:t>CMS has proposed implementing an updated version of the ESRD risk adjustment model, which it calibrates</w:t>
      </w:r>
      <w:r>
        <w:rPr>
          <w:spacing w:val="-6"/>
        </w:rPr>
        <w:t> </w:t>
      </w:r>
      <w:r>
        <w:rPr/>
        <w:t>using</w:t>
      </w:r>
      <w:r>
        <w:rPr>
          <w:spacing w:val="-4"/>
        </w:rPr>
        <w:t> </w:t>
      </w:r>
      <w:r>
        <w:rPr/>
        <w:t>the</w:t>
      </w:r>
      <w:r>
        <w:rPr>
          <w:spacing w:val="-4"/>
        </w:rPr>
        <w:t> </w:t>
      </w:r>
      <w:r>
        <w:rPr/>
        <w:t>fee-for-service</w:t>
      </w:r>
      <w:r>
        <w:rPr>
          <w:spacing w:val="-4"/>
        </w:rPr>
        <w:t> </w:t>
      </w:r>
      <w:r>
        <w:rPr/>
        <w:t>(FFS)</w:t>
      </w:r>
      <w:r>
        <w:rPr>
          <w:spacing w:val="-5"/>
        </w:rPr>
        <w:t> </w:t>
      </w:r>
      <w:r>
        <w:rPr/>
        <w:t>ESRD</w:t>
      </w:r>
      <w:r>
        <w:rPr>
          <w:spacing w:val="-5"/>
        </w:rPr>
        <w:t> </w:t>
      </w:r>
      <w:r>
        <w:rPr/>
        <w:t>population.</w:t>
      </w:r>
      <w:r>
        <w:rPr>
          <w:spacing w:val="-4"/>
        </w:rPr>
        <w:t> </w:t>
      </w:r>
      <w:r>
        <w:rPr/>
        <w:t>As</w:t>
      </w:r>
      <w:r>
        <w:rPr>
          <w:spacing w:val="-6"/>
        </w:rPr>
        <w:t> </w:t>
      </w:r>
      <w:r>
        <w:rPr/>
        <w:t>such,</w:t>
      </w:r>
      <w:r>
        <w:rPr>
          <w:spacing w:val="-4"/>
        </w:rPr>
        <w:t> </w:t>
      </w:r>
      <w:r>
        <w:rPr/>
        <w:t>the</w:t>
      </w:r>
      <w:r>
        <w:rPr>
          <w:spacing w:val="-6"/>
        </w:rPr>
        <w:t> </w:t>
      </w:r>
      <w:r>
        <w:rPr/>
        <w:t>resulting</w:t>
      </w:r>
      <w:r>
        <w:rPr>
          <w:spacing w:val="-4"/>
        </w:rPr>
        <w:t> </w:t>
      </w:r>
      <w:r>
        <w:rPr/>
        <w:t>coefficients</w:t>
      </w:r>
      <w:r>
        <w:rPr>
          <w:spacing w:val="-6"/>
        </w:rPr>
        <w:t> </w:t>
      </w:r>
      <w:r>
        <w:rPr/>
        <w:t>reflect cost</w:t>
      </w:r>
      <w:r>
        <w:rPr>
          <w:spacing w:val="-9"/>
        </w:rPr>
        <w:t> </w:t>
      </w:r>
      <w:r>
        <w:rPr/>
        <w:t>and</w:t>
      </w:r>
      <w:r>
        <w:rPr>
          <w:spacing w:val="-9"/>
        </w:rPr>
        <w:t> </w:t>
      </w:r>
      <w:r>
        <w:rPr/>
        <w:t>disease</w:t>
      </w:r>
      <w:r>
        <w:rPr>
          <w:spacing w:val="-10"/>
        </w:rPr>
        <w:t> </w:t>
      </w:r>
      <w:r>
        <w:rPr/>
        <w:t>patterns</w:t>
      </w:r>
      <w:r>
        <w:rPr>
          <w:spacing w:val="-9"/>
        </w:rPr>
        <w:t> </w:t>
      </w:r>
      <w:r>
        <w:rPr/>
        <w:t>for</w:t>
      </w:r>
      <w:r>
        <w:rPr>
          <w:spacing w:val="-9"/>
        </w:rPr>
        <w:t> </w:t>
      </w:r>
      <w:r>
        <w:rPr/>
        <w:t>this</w:t>
      </w:r>
      <w:r>
        <w:rPr>
          <w:spacing w:val="-9"/>
        </w:rPr>
        <w:t> </w:t>
      </w:r>
      <w:r>
        <w:rPr/>
        <w:t>subgroup</w:t>
      </w:r>
      <w:r>
        <w:rPr>
          <w:spacing w:val="-9"/>
        </w:rPr>
        <w:t> </w:t>
      </w:r>
      <w:r>
        <w:rPr/>
        <w:t>of</w:t>
      </w:r>
      <w:r>
        <w:rPr>
          <w:spacing w:val="-9"/>
        </w:rPr>
        <w:t> </w:t>
      </w:r>
      <w:r>
        <w:rPr/>
        <w:t>beneficiaries.</w:t>
      </w:r>
      <w:r>
        <w:rPr>
          <w:spacing w:val="-9"/>
        </w:rPr>
        <w:t> </w:t>
      </w:r>
      <w:r>
        <w:rPr/>
        <w:t>Specifically,</w:t>
      </w:r>
      <w:r>
        <w:rPr>
          <w:spacing w:val="-10"/>
        </w:rPr>
        <w:t> </w:t>
      </w:r>
      <w:r>
        <w:rPr/>
        <w:t>CMS</w:t>
      </w:r>
      <w:r>
        <w:rPr>
          <w:spacing w:val="-10"/>
        </w:rPr>
        <w:t> </w:t>
      </w:r>
      <w:r>
        <w:rPr/>
        <w:t>plans</w:t>
      </w:r>
      <w:r>
        <w:rPr>
          <w:spacing w:val="-9"/>
        </w:rPr>
        <w:t> </w:t>
      </w:r>
      <w:r>
        <w:rPr/>
        <w:t>to</w:t>
      </w:r>
      <w:r>
        <w:rPr>
          <w:spacing w:val="-9"/>
        </w:rPr>
        <w:t> </w:t>
      </w:r>
      <w:r>
        <w:rPr/>
        <w:t>update</w:t>
      </w:r>
      <w:r>
        <w:rPr>
          <w:spacing w:val="-10"/>
        </w:rPr>
        <w:t> </w:t>
      </w:r>
      <w:r>
        <w:rPr/>
        <w:t>the</w:t>
      </w:r>
      <w:r>
        <w:rPr>
          <w:spacing w:val="-8"/>
        </w:rPr>
        <w:t> </w:t>
      </w:r>
      <w:r>
        <w:rPr/>
        <w:t>data years</w:t>
      </w:r>
      <w:r>
        <w:rPr>
          <w:spacing w:val="-5"/>
        </w:rPr>
        <w:t> </w:t>
      </w:r>
      <w:r>
        <w:rPr/>
        <w:t>underlying</w:t>
      </w:r>
      <w:r>
        <w:rPr>
          <w:spacing w:val="-3"/>
        </w:rPr>
        <w:t> </w:t>
      </w:r>
      <w:r>
        <w:rPr/>
        <w:t>the</w:t>
      </w:r>
      <w:r>
        <w:rPr>
          <w:spacing w:val="-3"/>
        </w:rPr>
        <w:t> </w:t>
      </w:r>
      <w:r>
        <w:rPr/>
        <w:t>model</w:t>
      </w:r>
      <w:r>
        <w:rPr>
          <w:spacing w:val="-3"/>
        </w:rPr>
        <w:t> </w:t>
      </w:r>
      <w:r>
        <w:rPr/>
        <w:t>and</w:t>
      </w:r>
      <w:r>
        <w:rPr>
          <w:spacing w:val="-3"/>
        </w:rPr>
        <w:t> </w:t>
      </w:r>
      <w:r>
        <w:rPr/>
        <w:t>update</w:t>
      </w:r>
      <w:r>
        <w:rPr>
          <w:spacing w:val="-3"/>
        </w:rPr>
        <w:t> </w:t>
      </w:r>
      <w:r>
        <w:rPr/>
        <w:t>the</w:t>
      </w:r>
      <w:r>
        <w:rPr>
          <w:spacing w:val="-3"/>
        </w:rPr>
        <w:t> </w:t>
      </w:r>
      <w:r>
        <w:rPr/>
        <w:t>Medicaid</w:t>
      </w:r>
      <w:r>
        <w:rPr>
          <w:spacing w:val="-6"/>
        </w:rPr>
        <w:t> </w:t>
      </w:r>
      <w:r>
        <w:rPr/>
        <w:t>factors</w:t>
      </w:r>
      <w:r>
        <w:rPr>
          <w:spacing w:val="-5"/>
        </w:rPr>
        <w:t> </w:t>
      </w:r>
      <w:r>
        <w:rPr/>
        <w:t>to</w:t>
      </w:r>
      <w:r>
        <w:rPr>
          <w:spacing w:val="-4"/>
        </w:rPr>
        <w:t> </w:t>
      </w:r>
      <w:r>
        <w:rPr/>
        <w:t>be</w:t>
      </w:r>
      <w:r>
        <w:rPr>
          <w:spacing w:val="-3"/>
        </w:rPr>
        <w:t> </w:t>
      </w:r>
      <w:r>
        <w:rPr/>
        <w:t>concurrent</w:t>
      </w:r>
      <w:r>
        <w:rPr>
          <w:spacing w:val="-4"/>
        </w:rPr>
        <w:t> </w:t>
      </w:r>
      <w:r>
        <w:rPr/>
        <w:t>with</w:t>
      </w:r>
      <w:r>
        <w:rPr>
          <w:spacing w:val="-4"/>
        </w:rPr>
        <w:t> </w:t>
      </w:r>
      <w:r>
        <w:rPr/>
        <w:t>the</w:t>
      </w:r>
      <w:r>
        <w:rPr>
          <w:spacing w:val="-3"/>
        </w:rPr>
        <w:t> </w:t>
      </w:r>
      <w:r>
        <w:rPr/>
        <w:t>payment</w:t>
      </w:r>
      <w:r>
        <w:rPr>
          <w:spacing w:val="-6"/>
        </w:rPr>
        <w:t> </w:t>
      </w:r>
      <w:r>
        <w:rPr/>
        <w:t>year.</w:t>
      </w:r>
    </w:p>
    <w:p>
      <w:pPr>
        <w:pStyle w:val="BodyText"/>
        <w:spacing w:before="10"/>
        <w:rPr>
          <w:sz w:val="25"/>
        </w:rPr>
      </w:pPr>
    </w:p>
    <w:p>
      <w:pPr>
        <w:pStyle w:val="Heading1"/>
        <w:ind w:left="3279" w:right="3298"/>
      </w:pPr>
      <w:r>
        <w:rPr/>
        <w:t>Comment/Recommendation</w:t>
      </w:r>
    </w:p>
    <w:p>
      <w:pPr>
        <w:pStyle w:val="BodyText"/>
        <w:spacing w:before="7"/>
        <w:rPr>
          <w:b/>
          <w:sz w:val="27"/>
        </w:rPr>
      </w:pPr>
    </w:p>
    <w:p>
      <w:pPr>
        <w:pStyle w:val="BodyText"/>
        <w:spacing w:line="259" w:lineRule="auto"/>
        <w:ind w:left="100" w:right="115"/>
        <w:jc w:val="both"/>
      </w:pPr>
      <w:r>
        <w:rPr/>
        <w:t>DaVita agrees that the ESRD risk adjustment model must be as robust as possible. As CMS noted, achieving that goal is particularly important given that all beneficiaries with ESRD will have the opportunity</w:t>
      </w:r>
      <w:r>
        <w:rPr>
          <w:spacing w:val="-6"/>
        </w:rPr>
        <w:t> </w:t>
      </w:r>
      <w:r>
        <w:rPr/>
        <w:t>to</w:t>
      </w:r>
      <w:r>
        <w:rPr>
          <w:spacing w:val="-7"/>
        </w:rPr>
        <w:t> </w:t>
      </w:r>
      <w:r>
        <w:rPr/>
        <w:t>elect</w:t>
      </w:r>
      <w:r>
        <w:rPr>
          <w:spacing w:val="-8"/>
        </w:rPr>
        <w:t> </w:t>
      </w:r>
      <w:r>
        <w:rPr/>
        <w:t>an</w:t>
      </w:r>
      <w:r>
        <w:rPr>
          <w:spacing w:val="-7"/>
        </w:rPr>
        <w:t> </w:t>
      </w:r>
      <w:r>
        <w:rPr/>
        <w:t>MA</w:t>
      </w:r>
      <w:r>
        <w:rPr>
          <w:spacing w:val="-7"/>
        </w:rPr>
        <w:t> </w:t>
      </w:r>
      <w:r>
        <w:rPr/>
        <w:t>plan</w:t>
      </w:r>
      <w:r>
        <w:rPr>
          <w:spacing w:val="-7"/>
        </w:rPr>
        <w:t> </w:t>
      </w:r>
      <w:r>
        <w:rPr/>
        <w:t>beginning</w:t>
      </w:r>
      <w:r>
        <w:rPr>
          <w:spacing w:val="-7"/>
        </w:rPr>
        <w:t> </w:t>
      </w:r>
      <w:r>
        <w:rPr/>
        <w:t>in</w:t>
      </w:r>
      <w:r>
        <w:rPr>
          <w:spacing w:val="-7"/>
        </w:rPr>
        <w:t> </w:t>
      </w:r>
      <w:r>
        <w:rPr/>
        <w:t>2021.</w:t>
      </w:r>
      <w:r>
        <w:rPr>
          <w:spacing w:val="-7"/>
        </w:rPr>
        <w:t> </w:t>
      </w:r>
      <w:r>
        <w:rPr/>
        <w:t>We</w:t>
      </w:r>
      <w:r>
        <w:rPr>
          <w:spacing w:val="-6"/>
        </w:rPr>
        <w:t> </w:t>
      </w:r>
      <w:r>
        <w:rPr/>
        <w:t>applaud</w:t>
      </w:r>
      <w:r>
        <w:rPr>
          <w:spacing w:val="-7"/>
        </w:rPr>
        <w:t> </w:t>
      </w:r>
      <w:r>
        <w:rPr/>
        <w:t>CMS’s</w:t>
      </w:r>
      <w:r>
        <w:rPr>
          <w:spacing w:val="-8"/>
        </w:rPr>
        <w:t> </w:t>
      </w:r>
      <w:r>
        <w:rPr/>
        <w:t>effort</w:t>
      </w:r>
      <w:r>
        <w:rPr>
          <w:spacing w:val="-5"/>
        </w:rPr>
        <w:t> </w:t>
      </w:r>
      <w:r>
        <w:rPr/>
        <w:t>to</w:t>
      </w:r>
      <w:r>
        <w:rPr>
          <w:spacing w:val="-7"/>
        </w:rPr>
        <w:t> </w:t>
      </w:r>
      <w:r>
        <w:rPr/>
        <w:t>improve</w:t>
      </w:r>
      <w:r>
        <w:rPr>
          <w:spacing w:val="-6"/>
        </w:rPr>
        <w:t> </w:t>
      </w:r>
      <w:r>
        <w:rPr/>
        <w:t>the</w:t>
      </w:r>
      <w:r>
        <w:rPr>
          <w:spacing w:val="-6"/>
        </w:rPr>
        <w:t> </w:t>
      </w:r>
      <w:r>
        <w:rPr/>
        <w:t>model’s predictive ability for both higher and lower risk beneficiaries. That said, in reviewing the 2019 ESRD risk adjustment model’s updated factors, we respectfully offer that the revised model may create new issues,</w:t>
      </w:r>
      <w:r>
        <w:rPr>
          <w:spacing w:val="-8"/>
        </w:rPr>
        <w:t> </w:t>
      </w:r>
      <w:r>
        <w:rPr/>
        <w:t>while</w:t>
      </w:r>
      <w:r>
        <w:rPr>
          <w:spacing w:val="-7"/>
        </w:rPr>
        <w:t> </w:t>
      </w:r>
      <w:r>
        <w:rPr/>
        <w:t>not</w:t>
      </w:r>
      <w:r>
        <w:rPr>
          <w:spacing w:val="-9"/>
        </w:rPr>
        <w:t> </w:t>
      </w:r>
      <w:r>
        <w:rPr/>
        <w:t>completely</w:t>
      </w:r>
      <w:r>
        <w:rPr>
          <w:spacing w:val="-7"/>
        </w:rPr>
        <w:t> </w:t>
      </w:r>
      <w:r>
        <w:rPr/>
        <w:t>address</w:t>
      </w:r>
      <w:r>
        <w:rPr>
          <w:spacing w:val="-9"/>
        </w:rPr>
        <w:t> </w:t>
      </w:r>
      <w:r>
        <w:rPr/>
        <w:t>existing</w:t>
      </w:r>
      <w:r>
        <w:rPr>
          <w:spacing w:val="-8"/>
        </w:rPr>
        <w:t> </w:t>
      </w:r>
      <w:r>
        <w:rPr/>
        <w:t>ones.</w:t>
      </w:r>
      <w:r>
        <w:rPr>
          <w:spacing w:val="-8"/>
        </w:rPr>
        <w:t> </w:t>
      </w:r>
      <w:r>
        <w:rPr/>
        <w:t>First</w:t>
      </w:r>
      <w:r>
        <w:rPr>
          <w:spacing w:val="-9"/>
        </w:rPr>
        <w:t> </w:t>
      </w:r>
      <w:r>
        <w:rPr/>
        <w:t>and</w:t>
      </w:r>
      <w:r>
        <w:rPr>
          <w:spacing w:val="-8"/>
        </w:rPr>
        <w:t> </w:t>
      </w:r>
      <w:r>
        <w:rPr/>
        <w:t>foremost,</w:t>
      </w:r>
      <w:r>
        <w:rPr>
          <w:spacing w:val="-8"/>
        </w:rPr>
        <w:t> </w:t>
      </w:r>
      <w:r>
        <w:rPr/>
        <w:t>although</w:t>
      </w:r>
      <w:r>
        <w:rPr>
          <w:spacing w:val="-8"/>
        </w:rPr>
        <w:t> </w:t>
      </w:r>
      <w:r>
        <w:rPr/>
        <w:t>CMS</w:t>
      </w:r>
      <w:r>
        <w:rPr>
          <w:spacing w:val="-8"/>
        </w:rPr>
        <w:t> </w:t>
      </w:r>
      <w:r>
        <w:rPr/>
        <w:t>implied</w:t>
      </w:r>
      <w:r>
        <w:rPr>
          <w:spacing w:val="-8"/>
        </w:rPr>
        <w:t> </w:t>
      </w:r>
      <w:r>
        <w:rPr/>
        <w:t>that</w:t>
      </w:r>
      <w:r>
        <w:rPr>
          <w:spacing w:val="-9"/>
        </w:rPr>
        <w:t> </w:t>
      </w:r>
      <w:r>
        <w:rPr/>
        <w:t>the proposed</w:t>
      </w:r>
      <w:r>
        <w:rPr>
          <w:spacing w:val="-11"/>
        </w:rPr>
        <w:t> </w:t>
      </w:r>
      <w:r>
        <w:rPr/>
        <w:t>2019</w:t>
      </w:r>
      <w:r>
        <w:rPr>
          <w:spacing w:val="-11"/>
        </w:rPr>
        <w:t> </w:t>
      </w:r>
      <w:r>
        <w:rPr/>
        <w:t>ESRD</w:t>
      </w:r>
      <w:r>
        <w:rPr>
          <w:spacing w:val="-11"/>
        </w:rPr>
        <w:t> </w:t>
      </w:r>
      <w:r>
        <w:rPr/>
        <w:t>risk</w:t>
      </w:r>
      <w:r>
        <w:rPr>
          <w:spacing w:val="-11"/>
        </w:rPr>
        <w:t> </w:t>
      </w:r>
      <w:r>
        <w:rPr/>
        <w:t>adjustment</w:t>
      </w:r>
      <w:r>
        <w:rPr>
          <w:spacing w:val="-11"/>
        </w:rPr>
        <w:t> </w:t>
      </w:r>
      <w:r>
        <w:rPr/>
        <w:t>model</w:t>
      </w:r>
      <w:r>
        <w:rPr>
          <w:spacing w:val="-13"/>
        </w:rPr>
        <w:t> </w:t>
      </w:r>
      <w:r>
        <w:rPr/>
        <w:t>results</w:t>
      </w:r>
      <w:r>
        <w:rPr>
          <w:spacing w:val="-12"/>
        </w:rPr>
        <w:t> </w:t>
      </w:r>
      <w:r>
        <w:rPr/>
        <w:t>in</w:t>
      </w:r>
      <w:r>
        <w:rPr>
          <w:spacing w:val="-11"/>
        </w:rPr>
        <w:t> </w:t>
      </w:r>
      <w:r>
        <w:rPr/>
        <w:t>risk</w:t>
      </w:r>
      <w:r>
        <w:rPr>
          <w:spacing w:val="-11"/>
        </w:rPr>
        <w:t> </w:t>
      </w:r>
      <w:r>
        <w:rPr/>
        <w:t>score</w:t>
      </w:r>
      <w:r>
        <w:rPr>
          <w:spacing w:val="-11"/>
        </w:rPr>
        <w:t> </w:t>
      </w:r>
      <w:r>
        <w:rPr/>
        <w:t>neutrality</w:t>
      </w:r>
      <w:r>
        <w:rPr>
          <w:spacing w:val="-12"/>
        </w:rPr>
        <w:t> </w:t>
      </w:r>
      <w:r>
        <w:rPr/>
        <w:t>relative</w:t>
      </w:r>
      <w:r>
        <w:rPr>
          <w:spacing w:val="-11"/>
        </w:rPr>
        <w:t> </w:t>
      </w:r>
      <w:r>
        <w:rPr/>
        <w:t>to</w:t>
      </w:r>
      <w:r>
        <w:rPr>
          <w:spacing w:val="-11"/>
        </w:rPr>
        <w:t> </w:t>
      </w:r>
      <w:r>
        <w:rPr/>
        <w:t>the</w:t>
      </w:r>
      <w:r>
        <w:rPr>
          <w:spacing w:val="-12"/>
        </w:rPr>
        <w:t> </w:t>
      </w:r>
      <w:r>
        <w:rPr/>
        <w:t>2012</w:t>
      </w:r>
      <w:r>
        <w:rPr>
          <w:spacing w:val="-13"/>
        </w:rPr>
        <w:t> </w:t>
      </w:r>
      <w:r>
        <w:rPr/>
        <w:t>model, our analysis suggests that overall, it will lower risk scores and MA payments for beneficiaries with ESRD. This outcome runs counter to the recent cost trends evidenced in the 5.07 percent projected increase in the dialysis-only USPCC and will undermine MA</w:t>
      </w:r>
      <w:r>
        <w:rPr>
          <w:spacing w:val="-33"/>
        </w:rPr>
        <w:t> </w:t>
      </w:r>
      <w:r>
        <w:rPr/>
        <w:t>payments.</w:t>
      </w:r>
    </w:p>
    <w:p>
      <w:pPr>
        <w:pStyle w:val="BodyText"/>
        <w:spacing w:before="10"/>
        <w:rPr>
          <w:sz w:val="25"/>
        </w:rPr>
      </w:pPr>
    </w:p>
    <w:p>
      <w:pPr>
        <w:pStyle w:val="BodyText"/>
        <w:spacing w:line="259" w:lineRule="auto"/>
        <w:ind w:left="100" w:right="115"/>
        <w:jc w:val="both"/>
      </w:pPr>
      <w:r>
        <w:rPr/>
        <w:t>We understand that the ESRD risk adjustment model has not been recalibrated in several years; however, it appears that aspects of the recalibration methodology, coupled with the long interval between calibrations, have introduced serious distortions into the model that must be resolved. We urge CMS to avoid creating unintended consequences for MA plans and beneficiaries with ESRD by postponing the recalibrated model’s implementation while it works to address these issues and then phase-in the revised risk factors’ application over a three-year period. Our specific concerns with the proposed 2019 ESRD risk adjustment model are outlined in greater detail below.</w:t>
      </w:r>
    </w:p>
    <w:p>
      <w:pPr>
        <w:pStyle w:val="BodyText"/>
        <w:spacing w:before="10"/>
        <w:rPr>
          <w:sz w:val="25"/>
        </w:rPr>
      </w:pPr>
    </w:p>
    <w:p>
      <w:pPr>
        <w:pStyle w:val="ListParagraph"/>
        <w:numPr>
          <w:ilvl w:val="1"/>
          <w:numId w:val="3"/>
        </w:numPr>
        <w:tabs>
          <w:tab w:pos="640" w:val="left" w:leader="none"/>
        </w:tabs>
        <w:spacing w:line="259" w:lineRule="auto" w:before="0" w:after="0"/>
        <w:ind w:left="640" w:right="115" w:hanging="360"/>
        <w:jc w:val="both"/>
        <w:rPr>
          <w:sz w:val="24"/>
        </w:rPr>
      </w:pPr>
      <w:r>
        <w:rPr>
          <w:b/>
          <w:sz w:val="24"/>
        </w:rPr>
        <w:t>The 2019 ESRD Risk Adjustment Model Does Not Achieve Risk Score Neutrality Compared</w:t>
      </w:r>
      <w:r>
        <w:rPr>
          <w:b/>
          <w:spacing w:val="-5"/>
          <w:sz w:val="24"/>
        </w:rPr>
        <w:t> </w:t>
      </w:r>
      <w:r>
        <w:rPr>
          <w:b/>
          <w:sz w:val="24"/>
        </w:rPr>
        <w:t>to</w:t>
      </w:r>
      <w:r>
        <w:rPr>
          <w:b/>
          <w:spacing w:val="-5"/>
          <w:sz w:val="24"/>
        </w:rPr>
        <w:t> </w:t>
      </w:r>
      <w:r>
        <w:rPr>
          <w:b/>
          <w:sz w:val="24"/>
        </w:rPr>
        <w:t>the</w:t>
      </w:r>
      <w:r>
        <w:rPr>
          <w:b/>
          <w:spacing w:val="-5"/>
          <w:sz w:val="24"/>
        </w:rPr>
        <w:t> </w:t>
      </w:r>
      <w:r>
        <w:rPr>
          <w:b/>
          <w:sz w:val="24"/>
        </w:rPr>
        <w:t>2012</w:t>
      </w:r>
      <w:r>
        <w:rPr>
          <w:b/>
          <w:spacing w:val="-5"/>
          <w:sz w:val="24"/>
        </w:rPr>
        <w:t> </w:t>
      </w:r>
      <w:r>
        <w:rPr>
          <w:b/>
          <w:sz w:val="24"/>
        </w:rPr>
        <w:t>Model.</w:t>
      </w:r>
      <w:r>
        <w:rPr>
          <w:b/>
          <w:spacing w:val="-5"/>
          <w:sz w:val="24"/>
        </w:rPr>
        <w:t> </w:t>
      </w:r>
      <w:r>
        <w:rPr>
          <w:sz w:val="24"/>
        </w:rPr>
        <w:t>First,</w:t>
      </w:r>
      <w:r>
        <w:rPr>
          <w:spacing w:val="-5"/>
          <w:sz w:val="24"/>
        </w:rPr>
        <w:t> </w:t>
      </w:r>
      <w:r>
        <w:rPr>
          <w:sz w:val="24"/>
        </w:rPr>
        <w:t>we</w:t>
      </w:r>
      <w:r>
        <w:rPr>
          <w:spacing w:val="-4"/>
          <w:sz w:val="24"/>
        </w:rPr>
        <w:t> </w:t>
      </w:r>
      <w:r>
        <w:rPr>
          <w:sz w:val="24"/>
        </w:rPr>
        <w:t>want</w:t>
      </w:r>
      <w:r>
        <w:rPr>
          <w:spacing w:val="-5"/>
          <w:sz w:val="24"/>
        </w:rPr>
        <w:t> </w:t>
      </w:r>
      <w:r>
        <w:rPr>
          <w:sz w:val="24"/>
        </w:rPr>
        <w:t>to</w:t>
      </w:r>
      <w:r>
        <w:rPr>
          <w:spacing w:val="-7"/>
          <w:sz w:val="24"/>
        </w:rPr>
        <w:t> </w:t>
      </w:r>
      <w:r>
        <w:rPr>
          <w:sz w:val="24"/>
        </w:rPr>
        <w:t>verify</w:t>
      </w:r>
      <w:r>
        <w:rPr>
          <w:spacing w:val="-4"/>
          <w:sz w:val="24"/>
        </w:rPr>
        <w:t> </w:t>
      </w:r>
      <w:r>
        <w:rPr>
          <w:sz w:val="24"/>
        </w:rPr>
        <w:t>that</w:t>
      </w:r>
      <w:r>
        <w:rPr>
          <w:spacing w:val="-5"/>
          <w:sz w:val="24"/>
        </w:rPr>
        <w:t> </w:t>
      </w:r>
      <w:r>
        <w:rPr>
          <w:sz w:val="24"/>
        </w:rPr>
        <w:t>CMS</w:t>
      </w:r>
      <w:r>
        <w:rPr>
          <w:spacing w:val="-5"/>
          <w:sz w:val="24"/>
        </w:rPr>
        <w:t> </w:t>
      </w:r>
      <w:r>
        <w:rPr>
          <w:sz w:val="24"/>
        </w:rPr>
        <w:t>ensured</w:t>
      </w:r>
      <w:r>
        <w:rPr>
          <w:spacing w:val="-5"/>
          <w:sz w:val="24"/>
        </w:rPr>
        <w:t> </w:t>
      </w:r>
      <w:r>
        <w:rPr>
          <w:sz w:val="24"/>
        </w:rPr>
        <w:t>that</w:t>
      </w:r>
      <w:r>
        <w:rPr>
          <w:spacing w:val="-5"/>
          <w:sz w:val="24"/>
        </w:rPr>
        <w:t> </w:t>
      </w:r>
      <w:r>
        <w:rPr>
          <w:sz w:val="24"/>
        </w:rPr>
        <w:t>the</w:t>
      </w:r>
      <w:r>
        <w:rPr>
          <w:spacing w:val="-4"/>
          <w:sz w:val="24"/>
        </w:rPr>
        <w:t> </w:t>
      </w:r>
      <w:r>
        <w:rPr>
          <w:sz w:val="24"/>
        </w:rPr>
        <w:t>2019</w:t>
      </w:r>
      <w:r>
        <w:rPr>
          <w:spacing w:val="-7"/>
          <w:sz w:val="24"/>
        </w:rPr>
        <w:t> </w:t>
      </w:r>
      <w:r>
        <w:rPr>
          <w:sz w:val="24"/>
        </w:rPr>
        <w:t>ESRD risk adjustment model is, in fact, neutral relative to the 2012 model. In the Advance Notice, CMS did not explain whether or not it recalibrated each component of the ESRD risk adjustment model (i.e., dialysis, transplant, and post-graph) separately or collectively. If CMS recalibrated each segment separately, our analysis of 2012 and 2019 risk factors showed the following</w:t>
      </w:r>
      <w:r>
        <w:rPr>
          <w:spacing w:val="-11"/>
          <w:sz w:val="24"/>
        </w:rPr>
        <w:t> </w:t>
      </w:r>
      <w:r>
        <w:rPr>
          <w:sz w:val="24"/>
        </w:rPr>
        <w:t>decreases:</w:t>
      </w:r>
      <w:r>
        <w:rPr>
          <w:spacing w:val="-11"/>
          <w:sz w:val="24"/>
        </w:rPr>
        <w:t> </w:t>
      </w:r>
      <w:r>
        <w:rPr>
          <w:sz w:val="24"/>
        </w:rPr>
        <w:t>three</w:t>
      </w:r>
      <w:r>
        <w:rPr>
          <w:spacing w:val="-11"/>
          <w:sz w:val="24"/>
        </w:rPr>
        <w:t> </w:t>
      </w:r>
      <w:r>
        <w:rPr>
          <w:sz w:val="24"/>
        </w:rPr>
        <w:t>percent</w:t>
      </w:r>
      <w:r>
        <w:rPr>
          <w:spacing w:val="-12"/>
          <w:sz w:val="24"/>
        </w:rPr>
        <w:t> </w:t>
      </w:r>
      <w:r>
        <w:rPr>
          <w:sz w:val="24"/>
        </w:rPr>
        <w:t>to</w:t>
      </w:r>
      <w:r>
        <w:rPr>
          <w:spacing w:val="-12"/>
          <w:sz w:val="24"/>
        </w:rPr>
        <w:t> </w:t>
      </w:r>
      <w:r>
        <w:rPr>
          <w:sz w:val="24"/>
        </w:rPr>
        <w:t>seven</w:t>
      </w:r>
      <w:r>
        <w:rPr>
          <w:spacing w:val="-12"/>
          <w:sz w:val="24"/>
        </w:rPr>
        <w:t> </w:t>
      </w:r>
      <w:r>
        <w:rPr>
          <w:sz w:val="24"/>
        </w:rPr>
        <w:t>percent</w:t>
      </w:r>
      <w:r>
        <w:rPr>
          <w:spacing w:val="-12"/>
          <w:sz w:val="24"/>
        </w:rPr>
        <w:t> </w:t>
      </w:r>
      <w:r>
        <w:rPr>
          <w:sz w:val="24"/>
        </w:rPr>
        <w:t>for</w:t>
      </w:r>
      <w:r>
        <w:rPr>
          <w:spacing w:val="-13"/>
          <w:sz w:val="24"/>
        </w:rPr>
        <w:t> </w:t>
      </w:r>
      <w:r>
        <w:rPr>
          <w:sz w:val="24"/>
        </w:rPr>
        <w:t>dialysis;</w:t>
      </w:r>
      <w:r>
        <w:rPr>
          <w:spacing w:val="-11"/>
          <w:sz w:val="24"/>
        </w:rPr>
        <w:t> </w:t>
      </w:r>
      <w:r>
        <w:rPr>
          <w:sz w:val="24"/>
        </w:rPr>
        <w:t>three</w:t>
      </w:r>
      <w:r>
        <w:rPr>
          <w:spacing w:val="-11"/>
          <w:sz w:val="24"/>
        </w:rPr>
        <w:t> </w:t>
      </w:r>
      <w:r>
        <w:rPr>
          <w:sz w:val="24"/>
        </w:rPr>
        <w:t>percent</w:t>
      </w:r>
      <w:r>
        <w:rPr>
          <w:spacing w:val="-12"/>
          <w:sz w:val="24"/>
        </w:rPr>
        <w:t> </w:t>
      </w:r>
      <w:r>
        <w:rPr>
          <w:sz w:val="24"/>
        </w:rPr>
        <w:t>for</w:t>
      </w:r>
      <w:r>
        <w:rPr>
          <w:spacing w:val="-13"/>
          <w:sz w:val="24"/>
        </w:rPr>
        <w:t> </w:t>
      </w:r>
      <w:r>
        <w:rPr>
          <w:sz w:val="24"/>
        </w:rPr>
        <w:t>transplant;</w:t>
      </w:r>
      <w:r>
        <w:rPr>
          <w:spacing w:val="-11"/>
          <w:sz w:val="24"/>
        </w:rPr>
        <w:t> </w:t>
      </w:r>
      <w:r>
        <w:rPr>
          <w:sz w:val="24"/>
        </w:rPr>
        <w:t>and greater</w:t>
      </w:r>
      <w:r>
        <w:rPr>
          <w:spacing w:val="-9"/>
          <w:sz w:val="24"/>
        </w:rPr>
        <w:t> </w:t>
      </w:r>
      <w:r>
        <w:rPr>
          <w:sz w:val="24"/>
        </w:rPr>
        <w:t>than</w:t>
      </w:r>
      <w:r>
        <w:rPr>
          <w:spacing w:val="-8"/>
          <w:sz w:val="24"/>
        </w:rPr>
        <w:t> </w:t>
      </w:r>
      <w:r>
        <w:rPr>
          <w:sz w:val="24"/>
        </w:rPr>
        <w:t>10</w:t>
      </w:r>
      <w:r>
        <w:rPr>
          <w:spacing w:val="-8"/>
          <w:sz w:val="24"/>
        </w:rPr>
        <w:t> </w:t>
      </w:r>
      <w:r>
        <w:rPr>
          <w:sz w:val="24"/>
        </w:rPr>
        <w:t>percent</w:t>
      </w:r>
      <w:r>
        <w:rPr>
          <w:spacing w:val="-9"/>
          <w:sz w:val="24"/>
        </w:rPr>
        <w:t> </w:t>
      </w:r>
      <w:r>
        <w:rPr>
          <w:sz w:val="24"/>
        </w:rPr>
        <w:t>for</w:t>
      </w:r>
      <w:r>
        <w:rPr>
          <w:spacing w:val="-9"/>
          <w:sz w:val="24"/>
        </w:rPr>
        <w:t> </w:t>
      </w:r>
      <w:r>
        <w:rPr>
          <w:sz w:val="24"/>
        </w:rPr>
        <w:t>post-graph.</w:t>
      </w:r>
      <w:r>
        <w:rPr>
          <w:spacing w:val="-8"/>
          <w:sz w:val="24"/>
        </w:rPr>
        <w:t> </w:t>
      </w:r>
      <w:r>
        <w:rPr>
          <w:sz w:val="24"/>
        </w:rPr>
        <w:t>In</w:t>
      </w:r>
      <w:r>
        <w:rPr>
          <w:spacing w:val="-8"/>
          <w:sz w:val="24"/>
        </w:rPr>
        <w:t> </w:t>
      </w:r>
      <w:r>
        <w:rPr>
          <w:sz w:val="24"/>
        </w:rPr>
        <w:t>addition,</w:t>
      </w:r>
      <w:r>
        <w:rPr>
          <w:spacing w:val="-6"/>
          <w:sz w:val="24"/>
        </w:rPr>
        <w:t> </w:t>
      </w:r>
      <w:r>
        <w:rPr>
          <w:sz w:val="24"/>
        </w:rPr>
        <w:t>for</w:t>
      </w:r>
      <w:r>
        <w:rPr>
          <w:spacing w:val="-9"/>
          <w:sz w:val="24"/>
        </w:rPr>
        <w:t> </w:t>
      </w:r>
      <w:r>
        <w:rPr>
          <w:sz w:val="24"/>
        </w:rPr>
        <w:t>any</w:t>
      </w:r>
      <w:r>
        <w:rPr>
          <w:spacing w:val="-7"/>
          <w:sz w:val="24"/>
        </w:rPr>
        <w:t> </w:t>
      </w:r>
      <w:r>
        <w:rPr>
          <w:sz w:val="24"/>
        </w:rPr>
        <w:t>period</w:t>
      </w:r>
      <w:r>
        <w:rPr>
          <w:spacing w:val="-8"/>
          <w:sz w:val="24"/>
        </w:rPr>
        <w:t> </w:t>
      </w:r>
      <w:r>
        <w:rPr>
          <w:sz w:val="24"/>
        </w:rPr>
        <w:t>prior</w:t>
      </w:r>
      <w:r>
        <w:rPr>
          <w:spacing w:val="-7"/>
          <w:sz w:val="24"/>
        </w:rPr>
        <w:t> </w:t>
      </w:r>
      <w:r>
        <w:rPr>
          <w:sz w:val="24"/>
        </w:rPr>
        <w:t>to</w:t>
      </w:r>
      <w:r>
        <w:rPr>
          <w:spacing w:val="-8"/>
          <w:sz w:val="24"/>
        </w:rPr>
        <w:t> </w:t>
      </w:r>
      <w:r>
        <w:rPr>
          <w:sz w:val="24"/>
        </w:rPr>
        <w:t>2021,</w:t>
      </w:r>
      <w:r>
        <w:rPr>
          <w:spacing w:val="-8"/>
          <w:sz w:val="24"/>
        </w:rPr>
        <w:t> </w:t>
      </w:r>
      <w:r>
        <w:rPr>
          <w:sz w:val="24"/>
        </w:rPr>
        <w:t>the</w:t>
      </w:r>
      <w:r>
        <w:rPr>
          <w:spacing w:val="-7"/>
          <w:sz w:val="24"/>
        </w:rPr>
        <w:t> </w:t>
      </w:r>
      <w:r>
        <w:rPr>
          <w:sz w:val="24"/>
        </w:rPr>
        <w:t>population of ESRD beneficiaries served by MA will not mirror the FFS ESRD population upon which CMS</w:t>
      </w:r>
      <w:r>
        <w:rPr>
          <w:spacing w:val="-3"/>
          <w:sz w:val="24"/>
        </w:rPr>
        <w:t> </w:t>
      </w:r>
      <w:r>
        <w:rPr>
          <w:sz w:val="24"/>
        </w:rPr>
        <w:t>based</w:t>
      </w:r>
      <w:r>
        <w:rPr>
          <w:spacing w:val="-3"/>
          <w:sz w:val="24"/>
        </w:rPr>
        <w:t> </w:t>
      </w:r>
      <w:r>
        <w:rPr>
          <w:sz w:val="24"/>
        </w:rPr>
        <w:t>the</w:t>
      </w:r>
      <w:r>
        <w:rPr>
          <w:spacing w:val="-3"/>
          <w:sz w:val="24"/>
        </w:rPr>
        <w:t> </w:t>
      </w:r>
      <w:r>
        <w:rPr>
          <w:sz w:val="24"/>
        </w:rPr>
        <w:t>recalibration.</w:t>
      </w:r>
      <w:r>
        <w:rPr>
          <w:spacing w:val="-3"/>
          <w:sz w:val="24"/>
        </w:rPr>
        <w:t> </w:t>
      </w:r>
      <w:r>
        <w:rPr>
          <w:sz w:val="24"/>
        </w:rPr>
        <w:t>This</w:t>
      </w:r>
      <w:r>
        <w:rPr>
          <w:spacing w:val="-5"/>
          <w:sz w:val="24"/>
        </w:rPr>
        <w:t> </w:t>
      </w:r>
      <w:r>
        <w:rPr>
          <w:sz w:val="24"/>
        </w:rPr>
        <w:t>point</w:t>
      </w:r>
      <w:r>
        <w:rPr>
          <w:spacing w:val="-4"/>
          <w:sz w:val="24"/>
        </w:rPr>
        <w:t> </w:t>
      </w:r>
      <w:r>
        <w:rPr>
          <w:sz w:val="24"/>
        </w:rPr>
        <w:t>is</w:t>
      </w:r>
      <w:r>
        <w:rPr>
          <w:spacing w:val="-5"/>
          <w:sz w:val="24"/>
        </w:rPr>
        <w:t> </w:t>
      </w:r>
      <w:r>
        <w:rPr>
          <w:sz w:val="24"/>
        </w:rPr>
        <w:t>explored</w:t>
      </w:r>
      <w:r>
        <w:rPr>
          <w:spacing w:val="-2"/>
          <w:sz w:val="24"/>
        </w:rPr>
        <w:t> </w:t>
      </w:r>
      <w:r>
        <w:rPr>
          <w:sz w:val="24"/>
        </w:rPr>
        <w:t>further</w:t>
      </w:r>
      <w:r>
        <w:rPr>
          <w:spacing w:val="-4"/>
          <w:sz w:val="24"/>
        </w:rPr>
        <w:t> </w:t>
      </w:r>
      <w:r>
        <w:rPr>
          <w:sz w:val="24"/>
        </w:rPr>
        <w:t>in</w:t>
      </w:r>
      <w:r>
        <w:rPr>
          <w:spacing w:val="-4"/>
          <w:sz w:val="24"/>
        </w:rPr>
        <w:t> </w:t>
      </w:r>
      <w:r>
        <w:rPr>
          <w:sz w:val="24"/>
        </w:rPr>
        <w:t>the</w:t>
      </w:r>
      <w:r>
        <w:rPr>
          <w:spacing w:val="-3"/>
          <w:sz w:val="24"/>
        </w:rPr>
        <w:t> </w:t>
      </w:r>
      <w:r>
        <w:rPr>
          <w:sz w:val="24"/>
        </w:rPr>
        <w:t>next</w:t>
      </w:r>
      <w:r>
        <w:rPr>
          <w:spacing w:val="-4"/>
          <w:sz w:val="24"/>
        </w:rPr>
        <w:t> </w:t>
      </w:r>
      <w:r>
        <w:rPr>
          <w:sz w:val="24"/>
        </w:rPr>
        <w:t>section.</w:t>
      </w:r>
    </w:p>
    <w:p>
      <w:pPr>
        <w:spacing w:after="0" w:line="259" w:lineRule="auto"/>
        <w:jc w:val="both"/>
        <w:rPr>
          <w:sz w:val="24"/>
        </w:rPr>
        <w:sectPr>
          <w:pgSz w:w="12240" w:h="15840"/>
          <w:pgMar w:header="0" w:footer="722" w:top="640" w:bottom="920" w:left="1340" w:right="1320"/>
        </w:sectPr>
      </w:pPr>
    </w:p>
    <w:p>
      <w:pPr>
        <w:pStyle w:val="ListParagraph"/>
        <w:numPr>
          <w:ilvl w:val="1"/>
          <w:numId w:val="3"/>
        </w:numPr>
        <w:tabs>
          <w:tab w:pos="660" w:val="left" w:leader="none"/>
        </w:tabs>
        <w:spacing w:line="259" w:lineRule="auto" w:before="79" w:after="0"/>
        <w:ind w:left="660" w:right="114" w:hanging="360"/>
        <w:jc w:val="both"/>
        <w:rPr>
          <w:sz w:val="24"/>
        </w:rPr>
      </w:pPr>
      <w:r>
        <w:rPr>
          <w:b/>
          <w:sz w:val="24"/>
        </w:rPr>
        <w:t>The CMS Should Conduct Additional Analyses to Validate the 2019 ESRD Risk Adjustment</w:t>
      </w:r>
      <w:r>
        <w:rPr>
          <w:b/>
          <w:spacing w:val="-17"/>
          <w:sz w:val="24"/>
        </w:rPr>
        <w:t> </w:t>
      </w:r>
      <w:r>
        <w:rPr>
          <w:b/>
          <w:sz w:val="24"/>
        </w:rPr>
        <w:t>Model’s</w:t>
      </w:r>
      <w:r>
        <w:rPr>
          <w:b/>
          <w:spacing w:val="-16"/>
          <w:sz w:val="24"/>
        </w:rPr>
        <w:t> </w:t>
      </w:r>
      <w:r>
        <w:rPr>
          <w:b/>
          <w:sz w:val="24"/>
        </w:rPr>
        <w:t>Use</w:t>
      </w:r>
      <w:r>
        <w:rPr>
          <w:b/>
          <w:spacing w:val="-16"/>
          <w:sz w:val="24"/>
        </w:rPr>
        <w:t> </w:t>
      </w:r>
      <w:r>
        <w:rPr>
          <w:b/>
          <w:sz w:val="24"/>
        </w:rPr>
        <w:t>for</w:t>
      </w:r>
      <w:r>
        <w:rPr>
          <w:b/>
          <w:spacing w:val="-17"/>
          <w:sz w:val="24"/>
        </w:rPr>
        <w:t> </w:t>
      </w:r>
      <w:r>
        <w:rPr>
          <w:b/>
          <w:sz w:val="24"/>
        </w:rPr>
        <w:t>the</w:t>
      </w:r>
      <w:r>
        <w:rPr>
          <w:b/>
          <w:spacing w:val="-16"/>
          <w:sz w:val="24"/>
        </w:rPr>
        <w:t> </w:t>
      </w:r>
      <w:r>
        <w:rPr>
          <w:b/>
          <w:sz w:val="24"/>
        </w:rPr>
        <w:t>ESRD</w:t>
      </w:r>
      <w:r>
        <w:rPr>
          <w:b/>
          <w:spacing w:val="-17"/>
          <w:sz w:val="24"/>
        </w:rPr>
        <w:t> </w:t>
      </w:r>
      <w:r>
        <w:rPr>
          <w:b/>
          <w:sz w:val="24"/>
        </w:rPr>
        <w:t>Beneficiary</w:t>
      </w:r>
      <w:r>
        <w:rPr>
          <w:b/>
          <w:spacing w:val="-16"/>
          <w:sz w:val="24"/>
        </w:rPr>
        <w:t> </w:t>
      </w:r>
      <w:r>
        <w:rPr>
          <w:b/>
          <w:sz w:val="24"/>
        </w:rPr>
        <w:t>Population</w:t>
      </w:r>
      <w:r>
        <w:rPr>
          <w:b/>
          <w:spacing w:val="-17"/>
          <w:sz w:val="24"/>
        </w:rPr>
        <w:t> </w:t>
      </w:r>
      <w:r>
        <w:rPr>
          <w:b/>
          <w:sz w:val="24"/>
        </w:rPr>
        <w:t>Enrolled</w:t>
      </w:r>
      <w:r>
        <w:rPr>
          <w:b/>
          <w:spacing w:val="-17"/>
          <w:sz w:val="24"/>
        </w:rPr>
        <w:t> </w:t>
      </w:r>
      <w:r>
        <w:rPr>
          <w:b/>
          <w:sz w:val="24"/>
        </w:rPr>
        <w:t>in</w:t>
      </w:r>
      <w:r>
        <w:rPr>
          <w:b/>
          <w:spacing w:val="-17"/>
          <w:sz w:val="24"/>
        </w:rPr>
        <w:t> </w:t>
      </w:r>
      <w:r>
        <w:rPr>
          <w:b/>
          <w:sz w:val="24"/>
        </w:rPr>
        <w:t>MA.</w:t>
      </w:r>
      <w:r>
        <w:rPr>
          <w:b/>
          <w:spacing w:val="-17"/>
          <w:sz w:val="24"/>
        </w:rPr>
        <w:t> </w:t>
      </w:r>
      <w:r>
        <w:rPr>
          <w:sz w:val="24"/>
        </w:rPr>
        <w:t>Although CMS explained that it used 2014 diagnoses from FFS claims data to predict 2015 expenditures, it is not clear if it tested the new model’s impact on demographic and comorbidity risk scores for</w:t>
      </w:r>
      <w:r>
        <w:rPr>
          <w:spacing w:val="-19"/>
          <w:sz w:val="24"/>
        </w:rPr>
        <w:t> </w:t>
      </w:r>
      <w:r>
        <w:rPr>
          <w:sz w:val="24"/>
        </w:rPr>
        <w:t>the</w:t>
      </w:r>
      <w:r>
        <w:rPr>
          <w:spacing w:val="-17"/>
          <w:sz w:val="24"/>
        </w:rPr>
        <w:t> </w:t>
      </w:r>
      <w:r>
        <w:rPr>
          <w:sz w:val="24"/>
        </w:rPr>
        <w:t>ESRD</w:t>
      </w:r>
      <w:r>
        <w:rPr>
          <w:spacing w:val="-18"/>
          <w:sz w:val="24"/>
        </w:rPr>
        <w:t> </w:t>
      </w:r>
      <w:r>
        <w:rPr>
          <w:sz w:val="24"/>
        </w:rPr>
        <w:t>beneficiary</w:t>
      </w:r>
      <w:r>
        <w:rPr>
          <w:spacing w:val="-19"/>
          <w:sz w:val="24"/>
        </w:rPr>
        <w:t> </w:t>
      </w:r>
      <w:r>
        <w:rPr>
          <w:sz w:val="24"/>
        </w:rPr>
        <w:t>population</w:t>
      </w:r>
      <w:r>
        <w:rPr>
          <w:spacing w:val="-18"/>
          <w:sz w:val="24"/>
        </w:rPr>
        <w:t> </w:t>
      </w:r>
      <w:r>
        <w:rPr>
          <w:sz w:val="24"/>
        </w:rPr>
        <w:t>enrolled</w:t>
      </w:r>
      <w:r>
        <w:rPr>
          <w:spacing w:val="-18"/>
          <w:sz w:val="24"/>
        </w:rPr>
        <w:t> </w:t>
      </w:r>
      <w:r>
        <w:rPr>
          <w:sz w:val="24"/>
        </w:rPr>
        <w:t>in</w:t>
      </w:r>
      <w:r>
        <w:rPr>
          <w:spacing w:val="-18"/>
          <w:sz w:val="24"/>
        </w:rPr>
        <w:t> </w:t>
      </w:r>
      <w:r>
        <w:rPr>
          <w:sz w:val="24"/>
        </w:rPr>
        <w:t>MA</w:t>
      </w:r>
      <w:r>
        <w:rPr>
          <w:spacing w:val="-20"/>
          <w:sz w:val="24"/>
        </w:rPr>
        <w:t> </w:t>
      </w:r>
      <w:r>
        <w:rPr>
          <w:sz w:val="24"/>
        </w:rPr>
        <w:t>plans</w:t>
      </w:r>
      <w:r>
        <w:rPr>
          <w:spacing w:val="-19"/>
          <w:sz w:val="24"/>
        </w:rPr>
        <w:t> </w:t>
      </w:r>
      <w:r>
        <w:rPr>
          <w:sz w:val="24"/>
        </w:rPr>
        <w:t>relative</w:t>
      </w:r>
      <w:r>
        <w:rPr>
          <w:spacing w:val="-17"/>
          <w:sz w:val="24"/>
        </w:rPr>
        <w:t> </w:t>
      </w:r>
      <w:r>
        <w:rPr>
          <w:sz w:val="24"/>
        </w:rPr>
        <w:t>to</w:t>
      </w:r>
      <w:r>
        <w:rPr>
          <w:spacing w:val="-18"/>
          <w:sz w:val="24"/>
        </w:rPr>
        <w:t> </w:t>
      </w:r>
      <w:r>
        <w:rPr>
          <w:sz w:val="24"/>
        </w:rPr>
        <w:t>the</w:t>
      </w:r>
      <w:r>
        <w:rPr>
          <w:spacing w:val="-17"/>
          <w:sz w:val="24"/>
        </w:rPr>
        <w:t> </w:t>
      </w:r>
      <w:r>
        <w:rPr>
          <w:sz w:val="24"/>
        </w:rPr>
        <w:t>FFS</w:t>
      </w:r>
      <w:r>
        <w:rPr>
          <w:spacing w:val="-18"/>
          <w:sz w:val="24"/>
        </w:rPr>
        <w:t> </w:t>
      </w:r>
      <w:r>
        <w:rPr>
          <w:sz w:val="24"/>
        </w:rPr>
        <w:t>ESRD</w:t>
      </w:r>
      <w:r>
        <w:rPr>
          <w:spacing w:val="-18"/>
          <w:sz w:val="24"/>
        </w:rPr>
        <w:t> </w:t>
      </w:r>
      <w:r>
        <w:rPr>
          <w:sz w:val="24"/>
        </w:rPr>
        <w:t>population. Given current rules governing ESRD beneficiaries’ MA eligibility, we believe that further validation of the model prior to its implementation is necessary. As CMS knows, ESRD beneficiaries’ MA eligibility significantly differs from other beneficiaries’ eligibility and will not change</w:t>
      </w:r>
      <w:r>
        <w:rPr>
          <w:spacing w:val="-5"/>
          <w:sz w:val="24"/>
        </w:rPr>
        <w:t> </w:t>
      </w:r>
      <w:r>
        <w:rPr>
          <w:sz w:val="24"/>
        </w:rPr>
        <w:t>until</w:t>
      </w:r>
      <w:r>
        <w:rPr>
          <w:spacing w:val="-3"/>
          <w:sz w:val="24"/>
        </w:rPr>
        <w:t> </w:t>
      </w:r>
      <w:r>
        <w:rPr>
          <w:sz w:val="24"/>
        </w:rPr>
        <w:t>2021.</w:t>
      </w:r>
      <w:r>
        <w:rPr>
          <w:spacing w:val="-6"/>
          <w:sz w:val="24"/>
        </w:rPr>
        <w:t> </w:t>
      </w:r>
      <w:r>
        <w:rPr>
          <w:sz w:val="24"/>
        </w:rPr>
        <w:t>At</w:t>
      </w:r>
      <w:r>
        <w:rPr>
          <w:spacing w:val="-4"/>
          <w:sz w:val="24"/>
        </w:rPr>
        <w:t> </w:t>
      </w:r>
      <w:r>
        <w:rPr>
          <w:sz w:val="24"/>
        </w:rPr>
        <w:t>present,</w:t>
      </w:r>
      <w:r>
        <w:rPr>
          <w:spacing w:val="-3"/>
          <w:sz w:val="24"/>
        </w:rPr>
        <w:t> </w:t>
      </w:r>
      <w:r>
        <w:rPr>
          <w:sz w:val="24"/>
        </w:rPr>
        <w:t>unless</w:t>
      </w:r>
      <w:r>
        <w:rPr>
          <w:spacing w:val="-5"/>
          <w:sz w:val="24"/>
        </w:rPr>
        <w:t> </w:t>
      </w:r>
      <w:r>
        <w:rPr>
          <w:sz w:val="24"/>
        </w:rPr>
        <w:t>an</w:t>
      </w:r>
      <w:r>
        <w:rPr>
          <w:spacing w:val="-4"/>
          <w:sz w:val="24"/>
        </w:rPr>
        <w:t> </w:t>
      </w:r>
      <w:r>
        <w:rPr>
          <w:sz w:val="24"/>
        </w:rPr>
        <w:t>MA</w:t>
      </w:r>
      <w:r>
        <w:rPr>
          <w:spacing w:val="-3"/>
          <w:sz w:val="24"/>
        </w:rPr>
        <w:t> </w:t>
      </w:r>
      <w:r>
        <w:rPr>
          <w:sz w:val="24"/>
        </w:rPr>
        <w:t>ESRD</w:t>
      </w:r>
      <w:r>
        <w:rPr>
          <w:spacing w:val="-6"/>
          <w:sz w:val="24"/>
        </w:rPr>
        <w:t> </w:t>
      </w:r>
      <w:r>
        <w:rPr>
          <w:sz w:val="24"/>
        </w:rPr>
        <w:t>C-SNP</w:t>
      </w:r>
      <w:r>
        <w:rPr>
          <w:spacing w:val="-4"/>
          <w:sz w:val="24"/>
        </w:rPr>
        <w:t> </w:t>
      </w:r>
      <w:r>
        <w:rPr>
          <w:sz w:val="24"/>
        </w:rPr>
        <w:t>is</w:t>
      </w:r>
      <w:r>
        <w:rPr>
          <w:spacing w:val="-5"/>
          <w:sz w:val="24"/>
        </w:rPr>
        <w:t> </w:t>
      </w:r>
      <w:r>
        <w:rPr>
          <w:sz w:val="24"/>
        </w:rPr>
        <w:t>available,</w:t>
      </w:r>
      <w:r>
        <w:rPr>
          <w:spacing w:val="-6"/>
          <w:sz w:val="24"/>
        </w:rPr>
        <w:t> </w:t>
      </w:r>
      <w:r>
        <w:rPr>
          <w:sz w:val="24"/>
        </w:rPr>
        <w:t>a</w:t>
      </w:r>
      <w:r>
        <w:rPr>
          <w:spacing w:val="-3"/>
          <w:sz w:val="24"/>
        </w:rPr>
        <w:t> </w:t>
      </w:r>
      <w:r>
        <w:rPr>
          <w:sz w:val="24"/>
        </w:rPr>
        <w:t>beneficiary</w:t>
      </w:r>
      <w:r>
        <w:rPr>
          <w:spacing w:val="-3"/>
          <w:sz w:val="24"/>
        </w:rPr>
        <w:t> </w:t>
      </w:r>
      <w:r>
        <w:rPr>
          <w:sz w:val="24"/>
        </w:rPr>
        <w:t>diagnosed with ESRD – regardless of age – currently cannot switch from FFS to MA. However, an MA enrollee eligible for Medicare based on age who subsequently develops ESRD can remain enrolled in the MA plan. As a result, the vast majority of the estimated 95,000 MA ESRD enrollees</w:t>
      </w:r>
      <w:r>
        <w:rPr>
          <w:spacing w:val="-11"/>
          <w:sz w:val="24"/>
        </w:rPr>
        <w:t> </w:t>
      </w:r>
      <w:r>
        <w:rPr>
          <w:sz w:val="24"/>
        </w:rPr>
        <w:t>are</w:t>
      </w:r>
      <w:r>
        <w:rPr>
          <w:spacing w:val="-9"/>
          <w:sz w:val="24"/>
        </w:rPr>
        <w:t> </w:t>
      </w:r>
      <w:r>
        <w:rPr>
          <w:sz w:val="24"/>
        </w:rPr>
        <w:t>likely</w:t>
      </w:r>
      <w:r>
        <w:rPr>
          <w:spacing w:val="-9"/>
          <w:sz w:val="24"/>
        </w:rPr>
        <w:t> </w:t>
      </w:r>
      <w:r>
        <w:rPr>
          <w:sz w:val="24"/>
        </w:rPr>
        <w:t>aged</w:t>
      </w:r>
      <w:r>
        <w:rPr>
          <w:spacing w:val="-10"/>
          <w:sz w:val="24"/>
        </w:rPr>
        <w:t> </w:t>
      </w:r>
      <w:r>
        <w:rPr>
          <w:sz w:val="24"/>
        </w:rPr>
        <w:t>65</w:t>
      </w:r>
      <w:r>
        <w:rPr>
          <w:spacing w:val="-12"/>
          <w:sz w:val="24"/>
        </w:rPr>
        <w:t> </w:t>
      </w:r>
      <w:r>
        <w:rPr>
          <w:sz w:val="24"/>
        </w:rPr>
        <w:t>years</w:t>
      </w:r>
      <w:r>
        <w:rPr>
          <w:spacing w:val="-11"/>
          <w:sz w:val="24"/>
        </w:rPr>
        <w:t> </w:t>
      </w:r>
      <w:r>
        <w:rPr>
          <w:sz w:val="24"/>
        </w:rPr>
        <w:t>or</w:t>
      </w:r>
      <w:r>
        <w:rPr>
          <w:spacing w:val="-11"/>
          <w:sz w:val="24"/>
        </w:rPr>
        <w:t> </w:t>
      </w:r>
      <w:r>
        <w:rPr>
          <w:sz w:val="24"/>
        </w:rPr>
        <w:t>older.</w:t>
      </w:r>
      <w:r>
        <w:rPr>
          <w:spacing w:val="-9"/>
          <w:sz w:val="24"/>
        </w:rPr>
        <w:t> </w:t>
      </w:r>
      <w:r>
        <w:rPr>
          <w:sz w:val="24"/>
        </w:rPr>
        <w:t>In</w:t>
      </w:r>
      <w:r>
        <w:rPr>
          <w:spacing w:val="-10"/>
          <w:sz w:val="24"/>
        </w:rPr>
        <w:t> </w:t>
      </w:r>
      <w:r>
        <w:rPr>
          <w:sz w:val="24"/>
        </w:rPr>
        <w:t>contrast,</w:t>
      </w:r>
      <w:r>
        <w:rPr>
          <w:spacing w:val="-9"/>
          <w:sz w:val="24"/>
        </w:rPr>
        <w:t> </w:t>
      </w:r>
      <w:r>
        <w:rPr>
          <w:sz w:val="24"/>
        </w:rPr>
        <w:t>51</w:t>
      </w:r>
      <w:r>
        <w:rPr>
          <w:spacing w:val="-9"/>
          <w:sz w:val="24"/>
        </w:rPr>
        <w:t> </w:t>
      </w:r>
      <w:r>
        <w:rPr>
          <w:sz w:val="24"/>
        </w:rPr>
        <w:t>percent</w:t>
      </w:r>
      <w:r>
        <w:rPr>
          <w:spacing w:val="-10"/>
          <w:sz w:val="24"/>
        </w:rPr>
        <w:t> </w:t>
      </w:r>
      <w:r>
        <w:rPr>
          <w:sz w:val="24"/>
        </w:rPr>
        <w:t>of</w:t>
      </w:r>
      <w:r>
        <w:rPr>
          <w:spacing w:val="-10"/>
          <w:sz w:val="24"/>
        </w:rPr>
        <w:t> </w:t>
      </w:r>
      <w:r>
        <w:rPr>
          <w:sz w:val="24"/>
        </w:rPr>
        <w:t>FFS</w:t>
      </w:r>
      <w:r>
        <w:rPr>
          <w:spacing w:val="-9"/>
          <w:sz w:val="24"/>
        </w:rPr>
        <w:t> </w:t>
      </w:r>
      <w:r>
        <w:rPr>
          <w:sz w:val="24"/>
        </w:rPr>
        <w:t>ESRD</w:t>
      </w:r>
      <w:r>
        <w:rPr>
          <w:spacing w:val="-12"/>
          <w:sz w:val="24"/>
        </w:rPr>
        <w:t> </w:t>
      </w:r>
      <w:r>
        <w:rPr>
          <w:sz w:val="24"/>
        </w:rPr>
        <w:t>beneficiaries</w:t>
      </w:r>
      <w:r>
        <w:rPr>
          <w:spacing w:val="-11"/>
          <w:sz w:val="24"/>
        </w:rPr>
        <w:t> </w:t>
      </w:r>
      <w:r>
        <w:rPr>
          <w:sz w:val="24"/>
        </w:rPr>
        <w:t>are aged 65 or older. </w:t>
      </w:r>
      <w:hyperlink w:history="true" w:anchor="_bookmark0">
        <w:r>
          <w:rPr>
            <w:position w:val="9"/>
            <w:sz w:val="14"/>
          </w:rPr>
          <w:t>1</w:t>
        </w:r>
      </w:hyperlink>
      <w:r>
        <w:rPr>
          <w:position w:val="9"/>
          <w:sz w:val="14"/>
        </w:rPr>
        <w:t> </w:t>
      </w:r>
      <w:r>
        <w:rPr>
          <w:sz w:val="24"/>
        </w:rPr>
        <w:t>The fundamental difference in age distribution between these populations also can influence other risk factors. As such, the recalibration of key risk factors such as age, eligibility category (i.e., aged versus disabled), dual eligibility status, and disease comorbidities, may</w:t>
      </w:r>
      <w:r>
        <w:rPr>
          <w:spacing w:val="-8"/>
          <w:sz w:val="24"/>
        </w:rPr>
        <w:t> </w:t>
      </w:r>
      <w:r>
        <w:rPr>
          <w:sz w:val="24"/>
        </w:rPr>
        <w:t>result</w:t>
      </w:r>
      <w:r>
        <w:rPr>
          <w:spacing w:val="-10"/>
          <w:sz w:val="24"/>
        </w:rPr>
        <w:t> </w:t>
      </w:r>
      <w:r>
        <w:rPr>
          <w:sz w:val="24"/>
        </w:rPr>
        <w:t>in</w:t>
      </w:r>
      <w:r>
        <w:rPr>
          <w:spacing w:val="-9"/>
          <w:sz w:val="24"/>
        </w:rPr>
        <w:t> </w:t>
      </w:r>
      <w:r>
        <w:rPr>
          <w:sz w:val="24"/>
        </w:rPr>
        <w:t>risk</w:t>
      </w:r>
      <w:r>
        <w:rPr>
          <w:spacing w:val="-9"/>
          <w:sz w:val="24"/>
        </w:rPr>
        <w:t> </w:t>
      </w:r>
      <w:r>
        <w:rPr>
          <w:sz w:val="24"/>
        </w:rPr>
        <w:t>factors</w:t>
      </w:r>
      <w:r>
        <w:rPr>
          <w:spacing w:val="-10"/>
          <w:sz w:val="24"/>
        </w:rPr>
        <w:t> </w:t>
      </w:r>
      <w:r>
        <w:rPr>
          <w:sz w:val="24"/>
        </w:rPr>
        <w:t>appropriate</w:t>
      </w:r>
      <w:r>
        <w:rPr>
          <w:spacing w:val="-8"/>
          <w:sz w:val="24"/>
        </w:rPr>
        <w:t> </w:t>
      </w:r>
      <w:r>
        <w:rPr>
          <w:sz w:val="24"/>
        </w:rPr>
        <w:t>for</w:t>
      </w:r>
      <w:r>
        <w:rPr>
          <w:spacing w:val="-10"/>
          <w:sz w:val="24"/>
        </w:rPr>
        <w:t> </w:t>
      </w:r>
      <w:r>
        <w:rPr>
          <w:sz w:val="24"/>
        </w:rPr>
        <w:t>FFS</w:t>
      </w:r>
      <w:r>
        <w:rPr>
          <w:spacing w:val="-9"/>
          <w:sz w:val="24"/>
        </w:rPr>
        <w:t> </w:t>
      </w:r>
      <w:r>
        <w:rPr>
          <w:sz w:val="24"/>
        </w:rPr>
        <w:t>ESRD</w:t>
      </w:r>
      <w:r>
        <w:rPr>
          <w:spacing w:val="-12"/>
          <w:sz w:val="24"/>
        </w:rPr>
        <w:t> </w:t>
      </w:r>
      <w:r>
        <w:rPr>
          <w:sz w:val="24"/>
        </w:rPr>
        <w:t>beneficiaries,</w:t>
      </w:r>
      <w:r>
        <w:rPr>
          <w:spacing w:val="-9"/>
          <w:sz w:val="24"/>
        </w:rPr>
        <w:t> </w:t>
      </w:r>
      <w:r>
        <w:rPr>
          <w:sz w:val="24"/>
        </w:rPr>
        <w:t>but</w:t>
      </w:r>
      <w:r>
        <w:rPr>
          <w:spacing w:val="-10"/>
          <w:sz w:val="24"/>
        </w:rPr>
        <w:t> </w:t>
      </w:r>
      <w:r>
        <w:rPr>
          <w:sz w:val="24"/>
        </w:rPr>
        <w:t>could</w:t>
      </w:r>
      <w:r>
        <w:rPr>
          <w:spacing w:val="-12"/>
          <w:sz w:val="24"/>
        </w:rPr>
        <w:t> </w:t>
      </w:r>
      <w:r>
        <w:rPr>
          <w:sz w:val="24"/>
        </w:rPr>
        <w:t>produce</w:t>
      </w:r>
      <w:r>
        <w:rPr>
          <w:spacing w:val="-8"/>
          <w:sz w:val="24"/>
        </w:rPr>
        <w:t> </w:t>
      </w:r>
      <w:r>
        <w:rPr>
          <w:sz w:val="24"/>
        </w:rPr>
        <w:t>inaccurate cost</w:t>
      </w:r>
      <w:r>
        <w:rPr>
          <w:spacing w:val="-6"/>
          <w:sz w:val="24"/>
        </w:rPr>
        <w:t> </w:t>
      </w:r>
      <w:r>
        <w:rPr>
          <w:sz w:val="24"/>
        </w:rPr>
        <w:t>predictions,</w:t>
      </w:r>
      <w:r>
        <w:rPr>
          <w:spacing w:val="-5"/>
          <w:sz w:val="24"/>
        </w:rPr>
        <w:t> </w:t>
      </w:r>
      <w:r>
        <w:rPr>
          <w:sz w:val="24"/>
        </w:rPr>
        <w:t>and</w:t>
      </w:r>
      <w:r>
        <w:rPr>
          <w:spacing w:val="-5"/>
          <w:sz w:val="24"/>
        </w:rPr>
        <w:t> </w:t>
      </w:r>
      <w:r>
        <w:rPr>
          <w:sz w:val="24"/>
        </w:rPr>
        <w:t>thus</w:t>
      </w:r>
      <w:r>
        <w:rPr>
          <w:spacing w:val="-4"/>
          <w:sz w:val="24"/>
        </w:rPr>
        <w:t> </w:t>
      </w:r>
      <w:r>
        <w:rPr>
          <w:sz w:val="24"/>
        </w:rPr>
        <w:t>inadequate</w:t>
      </w:r>
      <w:r>
        <w:rPr>
          <w:spacing w:val="-5"/>
          <w:sz w:val="24"/>
        </w:rPr>
        <w:t> </w:t>
      </w:r>
      <w:r>
        <w:rPr>
          <w:sz w:val="24"/>
        </w:rPr>
        <w:t>reimbursement,</w:t>
      </w:r>
      <w:r>
        <w:rPr>
          <w:spacing w:val="-5"/>
          <w:sz w:val="24"/>
        </w:rPr>
        <w:t> </w:t>
      </w:r>
      <w:r>
        <w:rPr>
          <w:sz w:val="24"/>
        </w:rPr>
        <w:t>for</w:t>
      </w:r>
      <w:r>
        <w:rPr>
          <w:spacing w:val="-6"/>
          <w:sz w:val="24"/>
        </w:rPr>
        <w:t> </w:t>
      </w:r>
      <w:r>
        <w:rPr>
          <w:sz w:val="24"/>
        </w:rPr>
        <w:t>MA-enrolled</w:t>
      </w:r>
      <w:r>
        <w:rPr>
          <w:spacing w:val="-5"/>
          <w:sz w:val="24"/>
        </w:rPr>
        <w:t> </w:t>
      </w:r>
      <w:r>
        <w:rPr>
          <w:sz w:val="24"/>
        </w:rPr>
        <w:t>ESRD</w:t>
      </w:r>
      <w:r>
        <w:rPr>
          <w:spacing w:val="-6"/>
          <w:sz w:val="24"/>
        </w:rPr>
        <w:t> </w:t>
      </w:r>
      <w:r>
        <w:rPr>
          <w:sz w:val="24"/>
        </w:rPr>
        <w:t>beneficiaries.</w:t>
      </w:r>
    </w:p>
    <w:p>
      <w:pPr>
        <w:pStyle w:val="BodyText"/>
        <w:spacing w:before="9"/>
        <w:rPr>
          <w:sz w:val="25"/>
        </w:rPr>
      </w:pPr>
    </w:p>
    <w:p>
      <w:pPr>
        <w:pStyle w:val="ListParagraph"/>
        <w:numPr>
          <w:ilvl w:val="1"/>
          <w:numId w:val="3"/>
        </w:numPr>
        <w:tabs>
          <w:tab w:pos="660" w:val="left" w:leader="none"/>
        </w:tabs>
        <w:spacing w:line="259" w:lineRule="auto" w:before="0" w:after="0"/>
        <w:ind w:left="660" w:right="115" w:hanging="360"/>
        <w:jc w:val="both"/>
        <w:rPr>
          <w:sz w:val="24"/>
        </w:rPr>
      </w:pPr>
      <w:r>
        <w:rPr>
          <w:b/>
          <w:sz w:val="24"/>
        </w:rPr>
        <w:t>The 2019 ESRD Risk Adjustment Model Must Rebalance Scores More Evenly. </w:t>
      </w:r>
      <w:r>
        <w:rPr>
          <w:sz w:val="24"/>
        </w:rPr>
        <w:t>The proposed</w:t>
      </w:r>
      <w:r>
        <w:rPr>
          <w:spacing w:val="-16"/>
          <w:sz w:val="24"/>
        </w:rPr>
        <w:t> </w:t>
      </w:r>
      <w:r>
        <w:rPr>
          <w:sz w:val="24"/>
        </w:rPr>
        <w:t>model</w:t>
      </w:r>
      <w:r>
        <w:rPr>
          <w:spacing w:val="-16"/>
          <w:sz w:val="24"/>
        </w:rPr>
        <w:t> </w:t>
      </w:r>
      <w:r>
        <w:rPr>
          <w:sz w:val="24"/>
        </w:rPr>
        <w:t>appears</w:t>
      </w:r>
      <w:r>
        <w:rPr>
          <w:spacing w:val="-17"/>
          <w:sz w:val="24"/>
        </w:rPr>
        <w:t> </w:t>
      </w:r>
      <w:r>
        <w:rPr>
          <w:sz w:val="24"/>
        </w:rPr>
        <w:t>to</w:t>
      </w:r>
      <w:r>
        <w:rPr>
          <w:spacing w:val="-16"/>
          <w:sz w:val="24"/>
        </w:rPr>
        <w:t> </w:t>
      </w:r>
      <w:r>
        <w:rPr>
          <w:sz w:val="24"/>
        </w:rPr>
        <w:t>result</w:t>
      </w:r>
      <w:r>
        <w:rPr>
          <w:spacing w:val="-16"/>
          <w:sz w:val="24"/>
        </w:rPr>
        <w:t> </w:t>
      </w:r>
      <w:r>
        <w:rPr>
          <w:sz w:val="24"/>
        </w:rPr>
        <w:t>in</w:t>
      </w:r>
      <w:r>
        <w:rPr>
          <w:spacing w:val="-16"/>
          <w:sz w:val="24"/>
        </w:rPr>
        <w:t> </w:t>
      </w:r>
      <w:r>
        <w:rPr>
          <w:sz w:val="24"/>
        </w:rPr>
        <w:t>disproportionately</w:t>
      </w:r>
      <w:r>
        <w:rPr>
          <w:spacing w:val="-16"/>
          <w:sz w:val="24"/>
        </w:rPr>
        <w:t> </w:t>
      </w:r>
      <w:r>
        <w:rPr>
          <w:sz w:val="24"/>
        </w:rPr>
        <w:t>improved</w:t>
      </w:r>
      <w:r>
        <w:rPr>
          <w:spacing w:val="-16"/>
          <w:sz w:val="24"/>
        </w:rPr>
        <w:t> </w:t>
      </w:r>
      <w:r>
        <w:rPr>
          <w:sz w:val="24"/>
        </w:rPr>
        <w:t>reimbursement</w:t>
      </w:r>
      <w:r>
        <w:rPr>
          <w:spacing w:val="-16"/>
          <w:sz w:val="24"/>
        </w:rPr>
        <w:t> </w:t>
      </w:r>
      <w:r>
        <w:rPr>
          <w:sz w:val="24"/>
        </w:rPr>
        <w:t>for</w:t>
      </w:r>
      <w:r>
        <w:rPr>
          <w:spacing w:val="-16"/>
          <w:sz w:val="24"/>
        </w:rPr>
        <w:t> </w:t>
      </w:r>
      <w:r>
        <w:rPr>
          <w:sz w:val="24"/>
        </w:rPr>
        <w:t>the</w:t>
      </w:r>
      <w:r>
        <w:rPr>
          <w:spacing w:val="-16"/>
          <w:sz w:val="24"/>
        </w:rPr>
        <w:t> </w:t>
      </w:r>
      <w:r>
        <w:rPr>
          <w:sz w:val="24"/>
        </w:rPr>
        <w:t>smaller subset</w:t>
      </w:r>
      <w:r>
        <w:rPr>
          <w:spacing w:val="-10"/>
          <w:sz w:val="24"/>
        </w:rPr>
        <w:t> </w:t>
      </w:r>
      <w:r>
        <w:rPr>
          <w:sz w:val="24"/>
        </w:rPr>
        <w:t>of</w:t>
      </w:r>
      <w:r>
        <w:rPr>
          <w:spacing w:val="-10"/>
          <w:sz w:val="24"/>
        </w:rPr>
        <w:t> </w:t>
      </w:r>
      <w:r>
        <w:rPr>
          <w:sz w:val="24"/>
        </w:rPr>
        <w:t>beneficiaries</w:t>
      </w:r>
      <w:r>
        <w:rPr>
          <w:spacing w:val="-10"/>
          <w:sz w:val="24"/>
        </w:rPr>
        <w:t> </w:t>
      </w:r>
      <w:r>
        <w:rPr>
          <w:sz w:val="24"/>
        </w:rPr>
        <w:t>receiving</w:t>
      </w:r>
      <w:r>
        <w:rPr>
          <w:spacing w:val="-9"/>
          <w:sz w:val="24"/>
        </w:rPr>
        <w:t> </w:t>
      </w:r>
      <w:r>
        <w:rPr>
          <w:sz w:val="24"/>
        </w:rPr>
        <w:t>dialysis</w:t>
      </w:r>
      <w:r>
        <w:rPr>
          <w:spacing w:val="-10"/>
          <w:sz w:val="24"/>
        </w:rPr>
        <w:t> </w:t>
      </w:r>
      <w:r>
        <w:rPr>
          <w:sz w:val="24"/>
        </w:rPr>
        <w:t>with</w:t>
      </w:r>
      <w:r>
        <w:rPr>
          <w:spacing w:val="-9"/>
          <w:sz w:val="24"/>
        </w:rPr>
        <w:t> </w:t>
      </w:r>
      <w:r>
        <w:rPr>
          <w:sz w:val="24"/>
        </w:rPr>
        <w:t>the</w:t>
      </w:r>
      <w:r>
        <w:rPr>
          <w:spacing w:val="-8"/>
          <w:sz w:val="24"/>
        </w:rPr>
        <w:t> </w:t>
      </w:r>
      <w:r>
        <w:rPr>
          <w:sz w:val="24"/>
        </w:rPr>
        <w:t>highest</w:t>
      </w:r>
      <w:r>
        <w:rPr>
          <w:spacing w:val="-10"/>
          <w:sz w:val="24"/>
        </w:rPr>
        <w:t> </w:t>
      </w:r>
      <w:r>
        <w:rPr>
          <w:sz w:val="24"/>
        </w:rPr>
        <w:t>risk,</w:t>
      </w:r>
      <w:r>
        <w:rPr>
          <w:spacing w:val="-9"/>
          <w:sz w:val="24"/>
        </w:rPr>
        <w:t> </w:t>
      </w:r>
      <w:r>
        <w:rPr>
          <w:sz w:val="24"/>
        </w:rPr>
        <w:t>while</w:t>
      </w:r>
      <w:r>
        <w:rPr>
          <w:spacing w:val="-8"/>
          <w:sz w:val="24"/>
        </w:rPr>
        <w:t> </w:t>
      </w:r>
      <w:r>
        <w:rPr>
          <w:sz w:val="24"/>
        </w:rPr>
        <w:t>reducing</w:t>
      </w:r>
      <w:r>
        <w:rPr>
          <w:spacing w:val="-9"/>
          <w:sz w:val="24"/>
        </w:rPr>
        <w:t> </w:t>
      </w:r>
      <w:r>
        <w:rPr>
          <w:sz w:val="24"/>
        </w:rPr>
        <w:t>reimbursement</w:t>
      </w:r>
      <w:r>
        <w:rPr>
          <w:spacing w:val="-10"/>
          <w:sz w:val="24"/>
        </w:rPr>
        <w:t> </w:t>
      </w:r>
      <w:r>
        <w:rPr>
          <w:sz w:val="24"/>
        </w:rPr>
        <w:t>for the much larger beneficiary population receiving dialysis, who have average and lower risk. Ideally, the recalibration would result in more balanced reimbursement for high-risk and low- risk beneficiaries. Rather, the proposed demographic ESRD risk factor values presented Table V-6</w:t>
      </w:r>
      <w:r>
        <w:rPr>
          <w:spacing w:val="-15"/>
          <w:sz w:val="24"/>
        </w:rPr>
        <w:t> </w:t>
      </w:r>
      <w:r>
        <w:rPr>
          <w:sz w:val="24"/>
        </w:rPr>
        <w:t>of</w:t>
      </w:r>
      <w:r>
        <w:rPr>
          <w:spacing w:val="-16"/>
          <w:sz w:val="24"/>
        </w:rPr>
        <w:t> </w:t>
      </w:r>
      <w:r>
        <w:rPr>
          <w:sz w:val="24"/>
        </w:rPr>
        <w:t>the</w:t>
      </w:r>
      <w:r>
        <w:rPr>
          <w:spacing w:val="-15"/>
          <w:sz w:val="24"/>
        </w:rPr>
        <w:t> </w:t>
      </w:r>
      <w:r>
        <w:rPr>
          <w:sz w:val="24"/>
        </w:rPr>
        <w:t>Advance</w:t>
      </w:r>
      <w:r>
        <w:rPr>
          <w:spacing w:val="-15"/>
          <w:sz w:val="24"/>
        </w:rPr>
        <w:t> </w:t>
      </w:r>
      <w:r>
        <w:rPr>
          <w:sz w:val="24"/>
        </w:rPr>
        <w:t>Notice</w:t>
      </w:r>
      <w:r>
        <w:rPr>
          <w:spacing w:val="-15"/>
          <w:sz w:val="24"/>
        </w:rPr>
        <w:t> </w:t>
      </w:r>
      <w:r>
        <w:rPr>
          <w:sz w:val="24"/>
        </w:rPr>
        <w:t>show</w:t>
      </w:r>
      <w:r>
        <w:rPr>
          <w:spacing w:val="-15"/>
          <w:sz w:val="24"/>
        </w:rPr>
        <w:t> </w:t>
      </w:r>
      <w:r>
        <w:rPr>
          <w:sz w:val="24"/>
        </w:rPr>
        <w:t>a</w:t>
      </w:r>
      <w:r>
        <w:rPr>
          <w:spacing w:val="-15"/>
          <w:sz w:val="24"/>
        </w:rPr>
        <w:t> </w:t>
      </w:r>
      <w:r>
        <w:rPr>
          <w:sz w:val="24"/>
        </w:rPr>
        <w:t>meaningful</w:t>
      </w:r>
      <w:r>
        <w:rPr>
          <w:spacing w:val="-15"/>
          <w:sz w:val="24"/>
        </w:rPr>
        <w:t> </w:t>
      </w:r>
      <w:r>
        <w:rPr>
          <w:sz w:val="24"/>
        </w:rPr>
        <w:t>decline</w:t>
      </w:r>
      <w:r>
        <w:rPr>
          <w:spacing w:val="-15"/>
          <w:sz w:val="24"/>
        </w:rPr>
        <w:t> </w:t>
      </w:r>
      <w:r>
        <w:rPr>
          <w:sz w:val="24"/>
        </w:rPr>
        <w:t>compared</w:t>
      </w:r>
      <w:r>
        <w:rPr>
          <w:spacing w:val="-15"/>
          <w:sz w:val="24"/>
        </w:rPr>
        <w:t> </w:t>
      </w:r>
      <w:r>
        <w:rPr>
          <w:sz w:val="24"/>
        </w:rPr>
        <w:t>to</w:t>
      </w:r>
      <w:r>
        <w:rPr>
          <w:spacing w:val="-16"/>
          <w:sz w:val="24"/>
        </w:rPr>
        <w:t> </w:t>
      </w:r>
      <w:r>
        <w:rPr>
          <w:sz w:val="24"/>
        </w:rPr>
        <w:t>the</w:t>
      </w:r>
      <w:r>
        <w:rPr>
          <w:spacing w:val="-15"/>
          <w:sz w:val="24"/>
        </w:rPr>
        <w:t> </w:t>
      </w:r>
      <w:r>
        <w:rPr>
          <w:sz w:val="24"/>
        </w:rPr>
        <w:t>2012</w:t>
      </w:r>
      <w:r>
        <w:rPr>
          <w:spacing w:val="-20"/>
          <w:sz w:val="24"/>
        </w:rPr>
        <w:t> </w:t>
      </w:r>
      <w:r>
        <w:rPr>
          <w:sz w:val="24"/>
        </w:rPr>
        <w:t>model.</w:t>
      </w:r>
      <w:r>
        <w:rPr>
          <w:spacing w:val="-15"/>
          <w:sz w:val="24"/>
        </w:rPr>
        <w:t> </w:t>
      </w:r>
      <w:r>
        <w:rPr>
          <w:sz w:val="24"/>
        </w:rPr>
        <w:t>For</w:t>
      </w:r>
      <w:r>
        <w:rPr>
          <w:spacing w:val="-16"/>
          <w:sz w:val="24"/>
        </w:rPr>
        <w:t> </w:t>
      </w:r>
      <w:r>
        <w:rPr>
          <w:sz w:val="24"/>
        </w:rPr>
        <w:t>females and males aged 45 and over, the declines range from seven percent to 13 percent with a simple average demographic risk factor change of -0.06, and from nine percent to 19 percent with a simple average risk factor change of -0.09, respectively (Figures 1 and 2). According to the USRDS, these individuals account for 84 percent of the ESRD</w:t>
      </w:r>
      <w:r>
        <w:rPr>
          <w:spacing w:val="-37"/>
          <w:sz w:val="24"/>
        </w:rPr>
        <w:t> </w:t>
      </w:r>
      <w:r>
        <w:rPr>
          <w:sz w:val="24"/>
        </w:rPr>
        <w:t>population.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r>
        <w:rPr/>
        <w:pict>
          <v:line style="position:absolute;mso-position-horizontal-relative:page;mso-position-vertical-relative:paragraph;z-index:1072;mso-wrap-distance-left:0;mso-wrap-distance-right:0" from="72pt,13.902508pt" to="216pt,13.902508pt" stroked="true" strokeweight=".72pt" strokecolor="#000000">
            <v:stroke dashstyle="solid"/>
            <w10:wrap type="topAndBottom"/>
          </v:line>
        </w:pict>
      </w:r>
    </w:p>
    <w:p>
      <w:pPr>
        <w:spacing w:before="72"/>
        <w:ind w:left="120" w:right="309" w:hanging="1"/>
        <w:jc w:val="left"/>
        <w:rPr>
          <w:sz w:val="20"/>
        </w:rPr>
      </w:pPr>
      <w:bookmarkStart w:name="_bookmark0" w:id="2"/>
      <w:bookmarkEnd w:id="2"/>
      <w:r>
        <w:rPr/>
      </w:r>
      <w:r>
        <w:rPr>
          <w:position w:val="5"/>
          <w:sz w:val="13"/>
        </w:rPr>
        <w:t>1 </w:t>
      </w:r>
      <w:r>
        <w:rPr>
          <w:sz w:val="20"/>
        </w:rPr>
        <w:t>Medicare Payment Advisory Commission (MedPAC), “</w:t>
      </w:r>
      <w:r>
        <w:rPr>
          <w:i/>
          <w:sz w:val="20"/>
        </w:rPr>
        <w:t>A Data Book: Health care spending and the Medicare program</w:t>
      </w:r>
      <w:r>
        <w:rPr>
          <w:sz w:val="20"/>
        </w:rPr>
        <w:t>,” June 2017.</w:t>
      </w:r>
    </w:p>
    <w:p>
      <w:pPr>
        <w:spacing w:after="0"/>
        <w:jc w:val="left"/>
        <w:rPr>
          <w:sz w:val="20"/>
        </w:rPr>
        <w:sectPr>
          <w:pgSz w:w="12240" w:h="15840"/>
          <w:pgMar w:header="0" w:footer="722" w:top="640" w:bottom="920" w:left="1320" w:right="1320"/>
        </w:sectPr>
      </w:pPr>
    </w:p>
    <w:p>
      <w:pPr>
        <w:pStyle w:val="Heading1"/>
        <w:spacing w:before="71"/>
        <w:ind w:left="3324" w:right="446" w:hanging="2873"/>
        <w:jc w:val="left"/>
      </w:pPr>
      <w:r>
        <w:rPr/>
        <w:t>Figure 1: Comparison of 2012 and 2019 ESRD Risk Adjustment Model Risk Factors by Gender and Age Group</w:t>
      </w:r>
    </w:p>
    <w:tbl>
      <w:tblPr>
        <w:tblW w:w="0" w:type="auto"/>
        <w:jc w:val="left"/>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720"/>
        <w:gridCol w:w="809"/>
        <w:gridCol w:w="720"/>
        <w:gridCol w:w="1044"/>
        <w:gridCol w:w="730"/>
        <w:gridCol w:w="926"/>
        <w:gridCol w:w="900"/>
        <w:gridCol w:w="1087"/>
      </w:tblGrid>
      <w:tr>
        <w:trPr>
          <w:trHeight w:val="264" w:hRule="exact"/>
        </w:trPr>
        <w:tc>
          <w:tcPr>
            <w:tcW w:w="1682" w:type="dxa"/>
            <w:vMerge w:val="restart"/>
            <w:tcBorders>
              <w:top w:val="nil"/>
              <w:left w:val="nil"/>
            </w:tcBorders>
          </w:tcPr>
          <w:p>
            <w:pPr/>
          </w:p>
        </w:tc>
        <w:tc>
          <w:tcPr>
            <w:tcW w:w="3293" w:type="dxa"/>
            <w:gridSpan w:val="4"/>
          </w:tcPr>
          <w:p>
            <w:pPr>
              <w:pStyle w:val="TableParagraph"/>
              <w:ind w:left="1230" w:right="1230"/>
              <w:rPr>
                <w:b/>
                <w:sz w:val="22"/>
              </w:rPr>
            </w:pPr>
            <w:r>
              <w:rPr>
                <w:b/>
                <w:sz w:val="22"/>
              </w:rPr>
              <w:t>Females</w:t>
            </w:r>
          </w:p>
        </w:tc>
        <w:tc>
          <w:tcPr>
            <w:tcW w:w="3643" w:type="dxa"/>
            <w:gridSpan w:val="4"/>
          </w:tcPr>
          <w:p>
            <w:pPr>
              <w:pStyle w:val="TableParagraph"/>
              <w:ind w:left="1516" w:right="1517"/>
              <w:rPr>
                <w:b/>
                <w:sz w:val="22"/>
              </w:rPr>
            </w:pPr>
            <w:r>
              <w:rPr>
                <w:b/>
                <w:sz w:val="22"/>
              </w:rPr>
              <w:t>Males</w:t>
            </w:r>
          </w:p>
        </w:tc>
      </w:tr>
      <w:tr>
        <w:trPr>
          <w:trHeight w:val="754" w:hRule="exact"/>
        </w:trPr>
        <w:tc>
          <w:tcPr>
            <w:tcW w:w="1682" w:type="dxa"/>
            <w:vMerge/>
            <w:tcBorders>
              <w:left w:val="nil"/>
            </w:tcBorders>
          </w:tcPr>
          <w:p>
            <w:pPr/>
          </w:p>
        </w:tc>
        <w:tc>
          <w:tcPr>
            <w:tcW w:w="1529" w:type="dxa"/>
            <w:gridSpan w:val="2"/>
          </w:tcPr>
          <w:p>
            <w:pPr>
              <w:pStyle w:val="TableParagraph"/>
              <w:spacing w:before="2"/>
              <w:ind w:left="215" w:right="217"/>
              <w:rPr>
                <w:b/>
                <w:sz w:val="22"/>
              </w:rPr>
            </w:pPr>
            <w:r>
              <w:rPr>
                <w:b/>
                <w:sz w:val="22"/>
              </w:rPr>
              <w:t>Risk Factor By Model Year</w:t>
            </w:r>
          </w:p>
        </w:tc>
        <w:tc>
          <w:tcPr>
            <w:tcW w:w="1764" w:type="dxa"/>
            <w:gridSpan w:val="2"/>
          </w:tcPr>
          <w:p>
            <w:pPr>
              <w:pStyle w:val="TableParagraph"/>
              <w:spacing w:before="2"/>
              <w:jc w:val="left"/>
              <w:rPr>
                <w:b/>
                <w:sz w:val="22"/>
              </w:rPr>
            </w:pPr>
          </w:p>
          <w:p>
            <w:pPr>
              <w:pStyle w:val="TableParagraph"/>
              <w:spacing w:before="0"/>
              <w:ind w:left="515"/>
              <w:jc w:val="left"/>
              <w:rPr>
                <w:b/>
                <w:sz w:val="22"/>
              </w:rPr>
            </w:pPr>
            <w:r>
              <w:rPr>
                <w:b/>
                <w:sz w:val="22"/>
              </w:rPr>
              <w:t>Change</w:t>
            </w:r>
          </w:p>
        </w:tc>
        <w:tc>
          <w:tcPr>
            <w:tcW w:w="1656" w:type="dxa"/>
            <w:gridSpan w:val="2"/>
          </w:tcPr>
          <w:p>
            <w:pPr>
              <w:pStyle w:val="TableParagraph"/>
              <w:spacing w:before="125"/>
              <w:ind w:left="280" w:right="111" w:hanging="154"/>
              <w:jc w:val="left"/>
              <w:rPr>
                <w:b/>
                <w:sz w:val="22"/>
              </w:rPr>
            </w:pPr>
            <w:r>
              <w:rPr>
                <w:b/>
                <w:sz w:val="22"/>
              </w:rPr>
              <w:t>Risk Factor By Model Year</w:t>
            </w:r>
          </w:p>
        </w:tc>
        <w:tc>
          <w:tcPr>
            <w:tcW w:w="1987" w:type="dxa"/>
            <w:gridSpan w:val="2"/>
          </w:tcPr>
          <w:p>
            <w:pPr>
              <w:pStyle w:val="TableParagraph"/>
              <w:spacing w:before="2"/>
              <w:jc w:val="left"/>
              <w:rPr>
                <w:b/>
                <w:sz w:val="22"/>
              </w:rPr>
            </w:pPr>
          </w:p>
          <w:p>
            <w:pPr>
              <w:pStyle w:val="TableParagraph"/>
              <w:spacing w:before="0"/>
              <w:ind w:left="628"/>
              <w:jc w:val="left"/>
              <w:rPr>
                <w:b/>
                <w:sz w:val="22"/>
              </w:rPr>
            </w:pPr>
            <w:r>
              <w:rPr>
                <w:b/>
                <w:sz w:val="22"/>
              </w:rPr>
              <w:t>Change</w:t>
            </w:r>
          </w:p>
        </w:tc>
      </w:tr>
      <w:tr>
        <w:trPr>
          <w:trHeight w:val="504" w:hRule="exact"/>
        </w:trPr>
        <w:tc>
          <w:tcPr>
            <w:tcW w:w="1682" w:type="dxa"/>
          </w:tcPr>
          <w:p>
            <w:pPr>
              <w:pStyle w:val="TableParagraph"/>
              <w:spacing w:before="0"/>
              <w:ind w:left="518" w:right="311" w:hanging="192"/>
              <w:jc w:val="left"/>
              <w:rPr>
                <w:b/>
                <w:sz w:val="22"/>
              </w:rPr>
            </w:pPr>
            <w:r>
              <w:rPr>
                <w:b/>
                <w:sz w:val="22"/>
              </w:rPr>
              <w:t>Age Group (years)</w:t>
            </w:r>
          </w:p>
        </w:tc>
        <w:tc>
          <w:tcPr>
            <w:tcW w:w="720" w:type="dxa"/>
          </w:tcPr>
          <w:p>
            <w:pPr>
              <w:pStyle w:val="TableParagraph"/>
              <w:spacing w:before="125"/>
              <w:ind w:left="155"/>
              <w:jc w:val="left"/>
              <w:rPr>
                <w:b/>
                <w:sz w:val="22"/>
              </w:rPr>
            </w:pPr>
            <w:r>
              <w:rPr>
                <w:b/>
                <w:sz w:val="22"/>
              </w:rPr>
              <w:t>2012</w:t>
            </w:r>
          </w:p>
        </w:tc>
        <w:tc>
          <w:tcPr>
            <w:tcW w:w="809" w:type="dxa"/>
          </w:tcPr>
          <w:p>
            <w:pPr>
              <w:pStyle w:val="TableParagraph"/>
              <w:spacing w:before="125"/>
              <w:ind w:left="201"/>
              <w:jc w:val="left"/>
              <w:rPr>
                <w:b/>
                <w:sz w:val="22"/>
              </w:rPr>
            </w:pPr>
            <w:r>
              <w:rPr>
                <w:b/>
                <w:sz w:val="22"/>
              </w:rPr>
              <w:t>2019</w:t>
            </w:r>
          </w:p>
        </w:tc>
        <w:tc>
          <w:tcPr>
            <w:tcW w:w="720" w:type="dxa"/>
          </w:tcPr>
          <w:p>
            <w:pPr>
              <w:pStyle w:val="TableParagraph"/>
              <w:spacing w:before="125"/>
              <w:ind w:left="1"/>
              <w:rPr>
                <w:b/>
                <w:sz w:val="22"/>
              </w:rPr>
            </w:pPr>
            <w:r>
              <w:rPr>
                <w:b/>
                <w:w w:val="100"/>
                <w:sz w:val="22"/>
              </w:rPr>
              <w:t>%</w:t>
            </w:r>
          </w:p>
        </w:tc>
        <w:tc>
          <w:tcPr>
            <w:tcW w:w="1044" w:type="dxa"/>
          </w:tcPr>
          <w:p>
            <w:pPr>
              <w:pStyle w:val="TableParagraph"/>
              <w:spacing w:before="125"/>
              <w:ind w:left="86" w:right="84"/>
              <w:rPr>
                <w:b/>
                <w:sz w:val="22"/>
              </w:rPr>
            </w:pPr>
            <w:r>
              <w:rPr>
                <w:b/>
                <w:sz w:val="22"/>
              </w:rPr>
              <w:t>Absolute</w:t>
            </w:r>
          </w:p>
        </w:tc>
        <w:tc>
          <w:tcPr>
            <w:tcW w:w="730" w:type="dxa"/>
          </w:tcPr>
          <w:p>
            <w:pPr>
              <w:pStyle w:val="TableParagraph"/>
              <w:spacing w:before="125"/>
              <w:ind w:left="109" w:right="109"/>
              <w:rPr>
                <w:b/>
                <w:sz w:val="22"/>
              </w:rPr>
            </w:pPr>
            <w:r>
              <w:rPr>
                <w:b/>
                <w:sz w:val="22"/>
              </w:rPr>
              <w:t>2012</w:t>
            </w:r>
          </w:p>
        </w:tc>
        <w:tc>
          <w:tcPr>
            <w:tcW w:w="926" w:type="dxa"/>
          </w:tcPr>
          <w:p>
            <w:pPr>
              <w:pStyle w:val="TableParagraph"/>
              <w:spacing w:before="125"/>
              <w:ind w:left="259"/>
              <w:jc w:val="left"/>
              <w:rPr>
                <w:b/>
                <w:sz w:val="22"/>
              </w:rPr>
            </w:pPr>
            <w:r>
              <w:rPr>
                <w:b/>
                <w:sz w:val="22"/>
              </w:rPr>
              <w:t>2019</w:t>
            </w:r>
          </w:p>
        </w:tc>
        <w:tc>
          <w:tcPr>
            <w:tcW w:w="900" w:type="dxa"/>
          </w:tcPr>
          <w:p>
            <w:pPr>
              <w:pStyle w:val="TableParagraph"/>
              <w:spacing w:before="125"/>
              <w:rPr>
                <w:b/>
                <w:sz w:val="22"/>
              </w:rPr>
            </w:pPr>
            <w:r>
              <w:rPr>
                <w:b/>
                <w:w w:val="100"/>
                <w:sz w:val="22"/>
              </w:rPr>
              <w:t>%</w:t>
            </w:r>
          </w:p>
        </w:tc>
        <w:tc>
          <w:tcPr>
            <w:tcW w:w="1087" w:type="dxa"/>
          </w:tcPr>
          <w:p>
            <w:pPr>
              <w:pStyle w:val="TableParagraph"/>
              <w:spacing w:before="125"/>
              <w:ind w:left="108" w:right="106"/>
              <w:rPr>
                <w:b/>
                <w:sz w:val="22"/>
              </w:rPr>
            </w:pPr>
            <w:r>
              <w:rPr>
                <w:b/>
                <w:sz w:val="22"/>
              </w:rPr>
              <w:t>Absolute</w:t>
            </w:r>
          </w:p>
        </w:tc>
      </w:tr>
      <w:tr>
        <w:trPr>
          <w:trHeight w:val="266" w:hRule="exact"/>
        </w:trPr>
        <w:tc>
          <w:tcPr>
            <w:tcW w:w="1682" w:type="dxa"/>
          </w:tcPr>
          <w:p>
            <w:pPr>
              <w:pStyle w:val="TableParagraph"/>
              <w:ind w:right="590"/>
              <w:jc w:val="right"/>
              <w:rPr>
                <w:b/>
                <w:sz w:val="22"/>
              </w:rPr>
            </w:pPr>
            <w:r>
              <w:rPr>
                <w:b/>
                <w:sz w:val="22"/>
              </w:rPr>
              <w:t>45-54</w:t>
            </w:r>
          </w:p>
        </w:tc>
        <w:tc>
          <w:tcPr>
            <w:tcW w:w="720" w:type="dxa"/>
          </w:tcPr>
          <w:p>
            <w:pPr>
              <w:pStyle w:val="TableParagraph"/>
              <w:ind w:left="124"/>
              <w:jc w:val="left"/>
              <w:rPr>
                <w:sz w:val="22"/>
              </w:rPr>
            </w:pPr>
            <w:r>
              <w:rPr>
                <w:sz w:val="22"/>
              </w:rPr>
              <w:t>0.598</w:t>
            </w:r>
          </w:p>
        </w:tc>
        <w:tc>
          <w:tcPr>
            <w:tcW w:w="809" w:type="dxa"/>
          </w:tcPr>
          <w:p>
            <w:pPr>
              <w:pStyle w:val="TableParagraph"/>
              <w:ind w:left="168"/>
              <w:jc w:val="left"/>
              <w:rPr>
                <w:sz w:val="22"/>
              </w:rPr>
            </w:pPr>
            <w:r>
              <w:rPr>
                <w:sz w:val="22"/>
              </w:rPr>
              <w:t>0.522</w:t>
            </w:r>
          </w:p>
        </w:tc>
        <w:tc>
          <w:tcPr>
            <w:tcW w:w="720" w:type="dxa"/>
          </w:tcPr>
          <w:p>
            <w:pPr>
              <w:pStyle w:val="TableParagraph"/>
              <w:ind w:left="122" w:right="122"/>
              <w:rPr>
                <w:sz w:val="22"/>
              </w:rPr>
            </w:pPr>
            <w:r>
              <w:rPr>
                <w:sz w:val="22"/>
              </w:rPr>
              <w:t>-12.7</w:t>
            </w:r>
          </w:p>
        </w:tc>
        <w:tc>
          <w:tcPr>
            <w:tcW w:w="1044" w:type="dxa"/>
          </w:tcPr>
          <w:p>
            <w:pPr>
              <w:pStyle w:val="TableParagraph"/>
              <w:ind w:left="84" w:right="84"/>
              <w:rPr>
                <w:sz w:val="22"/>
              </w:rPr>
            </w:pPr>
            <w:r>
              <w:rPr>
                <w:sz w:val="22"/>
              </w:rPr>
              <w:t>(0.08)</w:t>
            </w:r>
          </w:p>
        </w:tc>
        <w:tc>
          <w:tcPr>
            <w:tcW w:w="730" w:type="dxa"/>
          </w:tcPr>
          <w:p>
            <w:pPr>
              <w:pStyle w:val="TableParagraph"/>
              <w:ind w:left="109" w:right="109"/>
              <w:rPr>
                <w:sz w:val="22"/>
              </w:rPr>
            </w:pPr>
            <w:r>
              <w:rPr>
                <w:sz w:val="22"/>
              </w:rPr>
              <w:t>0.589</w:t>
            </w:r>
          </w:p>
        </w:tc>
        <w:tc>
          <w:tcPr>
            <w:tcW w:w="926" w:type="dxa"/>
          </w:tcPr>
          <w:p>
            <w:pPr>
              <w:pStyle w:val="TableParagraph"/>
              <w:ind w:left="227"/>
              <w:jc w:val="left"/>
              <w:rPr>
                <w:sz w:val="22"/>
              </w:rPr>
            </w:pPr>
            <w:r>
              <w:rPr>
                <w:sz w:val="22"/>
              </w:rPr>
              <w:t>0.478</w:t>
            </w:r>
          </w:p>
        </w:tc>
        <w:tc>
          <w:tcPr>
            <w:tcW w:w="900" w:type="dxa"/>
          </w:tcPr>
          <w:p>
            <w:pPr>
              <w:pStyle w:val="TableParagraph"/>
              <w:ind w:left="212" w:right="212"/>
              <w:rPr>
                <w:sz w:val="22"/>
              </w:rPr>
            </w:pPr>
            <w:r>
              <w:rPr>
                <w:sz w:val="22"/>
              </w:rPr>
              <w:t>-18.8</w:t>
            </w:r>
          </w:p>
        </w:tc>
        <w:tc>
          <w:tcPr>
            <w:tcW w:w="1087" w:type="dxa"/>
          </w:tcPr>
          <w:p>
            <w:pPr>
              <w:pStyle w:val="TableParagraph"/>
              <w:ind w:left="106" w:right="106"/>
              <w:rPr>
                <w:sz w:val="22"/>
              </w:rPr>
            </w:pPr>
            <w:r>
              <w:rPr>
                <w:sz w:val="22"/>
              </w:rPr>
              <w:t>(0.11)</w:t>
            </w:r>
          </w:p>
        </w:tc>
      </w:tr>
      <w:tr>
        <w:trPr>
          <w:trHeight w:val="264" w:hRule="exact"/>
        </w:trPr>
        <w:tc>
          <w:tcPr>
            <w:tcW w:w="1682" w:type="dxa"/>
          </w:tcPr>
          <w:p>
            <w:pPr>
              <w:pStyle w:val="TableParagraph"/>
              <w:ind w:right="590"/>
              <w:jc w:val="right"/>
              <w:rPr>
                <w:b/>
                <w:sz w:val="22"/>
              </w:rPr>
            </w:pPr>
            <w:r>
              <w:rPr>
                <w:b/>
                <w:sz w:val="22"/>
              </w:rPr>
              <w:t>55-59</w:t>
            </w:r>
          </w:p>
        </w:tc>
        <w:tc>
          <w:tcPr>
            <w:tcW w:w="720" w:type="dxa"/>
          </w:tcPr>
          <w:p>
            <w:pPr>
              <w:pStyle w:val="TableParagraph"/>
              <w:ind w:left="124"/>
              <w:jc w:val="left"/>
              <w:rPr>
                <w:sz w:val="22"/>
              </w:rPr>
            </w:pPr>
            <w:r>
              <w:rPr>
                <w:sz w:val="22"/>
              </w:rPr>
              <w:t>0.606</w:t>
            </w:r>
          </w:p>
        </w:tc>
        <w:tc>
          <w:tcPr>
            <w:tcW w:w="809" w:type="dxa"/>
          </w:tcPr>
          <w:p>
            <w:pPr>
              <w:pStyle w:val="TableParagraph"/>
              <w:ind w:left="168"/>
              <w:jc w:val="left"/>
              <w:rPr>
                <w:sz w:val="22"/>
              </w:rPr>
            </w:pPr>
            <w:r>
              <w:rPr>
                <w:sz w:val="22"/>
              </w:rPr>
              <w:t>0.535</w:t>
            </w:r>
          </w:p>
        </w:tc>
        <w:tc>
          <w:tcPr>
            <w:tcW w:w="720" w:type="dxa"/>
          </w:tcPr>
          <w:p>
            <w:pPr>
              <w:pStyle w:val="TableParagraph"/>
              <w:ind w:left="122" w:right="122"/>
              <w:rPr>
                <w:sz w:val="22"/>
              </w:rPr>
            </w:pPr>
            <w:r>
              <w:rPr>
                <w:sz w:val="22"/>
              </w:rPr>
              <w:t>-11.7</w:t>
            </w:r>
          </w:p>
        </w:tc>
        <w:tc>
          <w:tcPr>
            <w:tcW w:w="1044" w:type="dxa"/>
          </w:tcPr>
          <w:p>
            <w:pPr>
              <w:pStyle w:val="TableParagraph"/>
              <w:ind w:left="84" w:right="84"/>
              <w:rPr>
                <w:sz w:val="22"/>
              </w:rPr>
            </w:pPr>
            <w:r>
              <w:rPr>
                <w:sz w:val="22"/>
              </w:rPr>
              <w:t>(0.07)</w:t>
            </w:r>
          </w:p>
        </w:tc>
        <w:tc>
          <w:tcPr>
            <w:tcW w:w="730" w:type="dxa"/>
          </w:tcPr>
          <w:p>
            <w:pPr>
              <w:pStyle w:val="TableParagraph"/>
              <w:ind w:left="109" w:right="109"/>
              <w:rPr>
                <w:sz w:val="22"/>
              </w:rPr>
            </w:pPr>
            <w:r>
              <w:rPr>
                <w:sz w:val="22"/>
              </w:rPr>
              <w:t>0.599</w:t>
            </w:r>
          </w:p>
        </w:tc>
        <w:tc>
          <w:tcPr>
            <w:tcW w:w="926" w:type="dxa"/>
          </w:tcPr>
          <w:p>
            <w:pPr>
              <w:pStyle w:val="TableParagraph"/>
              <w:ind w:left="227"/>
              <w:jc w:val="left"/>
              <w:rPr>
                <w:sz w:val="22"/>
              </w:rPr>
            </w:pPr>
            <w:r>
              <w:rPr>
                <w:sz w:val="22"/>
              </w:rPr>
              <w:t>0.495</w:t>
            </w:r>
          </w:p>
        </w:tc>
        <w:tc>
          <w:tcPr>
            <w:tcW w:w="900" w:type="dxa"/>
          </w:tcPr>
          <w:p>
            <w:pPr>
              <w:pStyle w:val="TableParagraph"/>
              <w:ind w:left="212" w:right="212"/>
              <w:rPr>
                <w:sz w:val="22"/>
              </w:rPr>
            </w:pPr>
            <w:r>
              <w:rPr>
                <w:sz w:val="22"/>
              </w:rPr>
              <w:t>-17.4</w:t>
            </w:r>
          </w:p>
        </w:tc>
        <w:tc>
          <w:tcPr>
            <w:tcW w:w="1087" w:type="dxa"/>
          </w:tcPr>
          <w:p>
            <w:pPr>
              <w:pStyle w:val="TableParagraph"/>
              <w:ind w:left="106" w:right="106"/>
              <w:rPr>
                <w:sz w:val="22"/>
              </w:rPr>
            </w:pPr>
            <w:r>
              <w:rPr>
                <w:sz w:val="22"/>
              </w:rPr>
              <w:t>(0.10)</w:t>
            </w:r>
          </w:p>
        </w:tc>
      </w:tr>
      <w:tr>
        <w:trPr>
          <w:trHeight w:val="266" w:hRule="exact"/>
        </w:trPr>
        <w:tc>
          <w:tcPr>
            <w:tcW w:w="1682" w:type="dxa"/>
          </w:tcPr>
          <w:p>
            <w:pPr>
              <w:pStyle w:val="TableParagraph"/>
              <w:ind w:right="590"/>
              <w:jc w:val="right"/>
              <w:rPr>
                <w:b/>
                <w:sz w:val="22"/>
              </w:rPr>
            </w:pPr>
            <w:r>
              <w:rPr>
                <w:b/>
                <w:sz w:val="22"/>
              </w:rPr>
              <w:t>60-64</w:t>
            </w:r>
          </w:p>
        </w:tc>
        <w:tc>
          <w:tcPr>
            <w:tcW w:w="720" w:type="dxa"/>
          </w:tcPr>
          <w:p>
            <w:pPr>
              <w:pStyle w:val="TableParagraph"/>
              <w:ind w:left="124"/>
              <w:jc w:val="left"/>
              <w:rPr>
                <w:sz w:val="22"/>
              </w:rPr>
            </w:pPr>
            <w:r>
              <w:rPr>
                <w:sz w:val="22"/>
              </w:rPr>
              <w:t>0.619</w:t>
            </w:r>
          </w:p>
        </w:tc>
        <w:tc>
          <w:tcPr>
            <w:tcW w:w="809" w:type="dxa"/>
          </w:tcPr>
          <w:p>
            <w:pPr>
              <w:pStyle w:val="TableParagraph"/>
              <w:ind w:left="168"/>
              <w:jc w:val="left"/>
              <w:rPr>
                <w:sz w:val="22"/>
              </w:rPr>
            </w:pPr>
            <w:r>
              <w:rPr>
                <w:sz w:val="22"/>
              </w:rPr>
              <w:t>0.553</w:t>
            </w:r>
          </w:p>
        </w:tc>
        <w:tc>
          <w:tcPr>
            <w:tcW w:w="720" w:type="dxa"/>
          </w:tcPr>
          <w:p>
            <w:pPr>
              <w:pStyle w:val="TableParagraph"/>
              <w:ind w:left="122" w:right="122"/>
              <w:rPr>
                <w:sz w:val="22"/>
              </w:rPr>
            </w:pPr>
            <w:r>
              <w:rPr>
                <w:sz w:val="22"/>
              </w:rPr>
              <w:t>-10.7</w:t>
            </w:r>
          </w:p>
        </w:tc>
        <w:tc>
          <w:tcPr>
            <w:tcW w:w="1044" w:type="dxa"/>
          </w:tcPr>
          <w:p>
            <w:pPr>
              <w:pStyle w:val="TableParagraph"/>
              <w:ind w:left="84" w:right="84"/>
              <w:rPr>
                <w:sz w:val="22"/>
              </w:rPr>
            </w:pPr>
            <w:r>
              <w:rPr>
                <w:sz w:val="22"/>
              </w:rPr>
              <w:t>(0.07)</w:t>
            </w:r>
          </w:p>
        </w:tc>
        <w:tc>
          <w:tcPr>
            <w:tcW w:w="730" w:type="dxa"/>
          </w:tcPr>
          <w:p>
            <w:pPr>
              <w:pStyle w:val="TableParagraph"/>
              <w:ind w:left="109" w:right="109"/>
              <w:rPr>
                <w:sz w:val="22"/>
              </w:rPr>
            </w:pPr>
            <w:r>
              <w:rPr>
                <w:sz w:val="22"/>
              </w:rPr>
              <w:t>0.609</w:t>
            </w:r>
          </w:p>
        </w:tc>
        <w:tc>
          <w:tcPr>
            <w:tcW w:w="926" w:type="dxa"/>
          </w:tcPr>
          <w:p>
            <w:pPr>
              <w:pStyle w:val="TableParagraph"/>
              <w:ind w:left="227"/>
              <w:jc w:val="left"/>
              <w:rPr>
                <w:sz w:val="22"/>
              </w:rPr>
            </w:pPr>
            <w:r>
              <w:rPr>
                <w:sz w:val="22"/>
              </w:rPr>
              <w:t>0.498</w:t>
            </w:r>
          </w:p>
        </w:tc>
        <w:tc>
          <w:tcPr>
            <w:tcW w:w="900" w:type="dxa"/>
          </w:tcPr>
          <w:p>
            <w:pPr>
              <w:pStyle w:val="TableParagraph"/>
              <w:ind w:left="212" w:right="212"/>
              <w:rPr>
                <w:sz w:val="22"/>
              </w:rPr>
            </w:pPr>
            <w:r>
              <w:rPr>
                <w:sz w:val="22"/>
              </w:rPr>
              <w:t>-18.2</w:t>
            </w:r>
          </w:p>
        </w:tc>
        <w:tc>
          <w:tcPr>
            <w:tcW w:w="1087" w:type="dxa"/>
          </w:tcPr>
          <w:p>
            <w:pPr>
              <w:pStyle w:val="TableParagraph"/>
              <w:ind w:left="106" w:right="106"/>
              <w:rPr>
                <w:sz w:val="22"/>
              </w:rPr>
            </w:pPr>
            <w:r>
              <w:rPr>
                <w:sz w:val="22"/>
              </w:rPr>
              <w:t>(0.11)</w:t>
            </w:r>
          </w:p>
        </w:tc>
      </w:tr>
      <w:tr>
        <w:trPr>
          <w:trHeight w:val="264" w:hRule="exact"/>
        </w:trPr>
        <w:tc>
          <w:tcPr>
            <w:tcW w:w="1682" w:type="dxa"/>
          </w:tcPr>
          <w:p>
            <w:pPr>
              <w:pStyle w:val="TableParagraph"/>
              <w:spacing w:before="2"/>
              <w:ind w:right="590"/>
              <w:jc w:val="right"/>
              <w:rPr>
                <w:b/>
                <w:sz w:val="22"/>
              </w:rPr>
            </w:pPr>
            <w:r>
              <w:rPr>
                <w:b/>
                <w:sz w:val="22"/>
              </w:rPr>
              <w:t>65-69</w:t>
            </w:r>
          </w:p>
        </w:tc>
        <w:tc>
          <w:tcPr>
            <w:tcW w:w="720" w:type="dxa"/>
          </w:tcPr>
          <w:p>
            <w:pPr>
              <w:pStyle w:val="TableParagraph"/>
              <w:spacing w:before="2"/>
              <w:ind w:left="124"/>
              <w:jc w:val="left"/>
              <w:rPr>
                <w:sz w:val="22"/>
              </w:rPr>
            </w:pPr>
            <w:r>
              <w:rPr>
                <w:sz w:val="22"/>
              </w:rPr>
              <w:t>0.686</w:t>
            </w:r>
          </w:p>
        </w:tc>
        <w:tc>
          <w:tcPr>
            <w:tcW w:w="809" w:type="dxa"/>
          </w:tcPr>
          <w:p>
            <w:pPr>
              <w:pStyle w:val="TableParagraph"/>
              <w:spacing w:before="2"/>
              <w:ind w:left="168"/>
              <w:jc w:val="left"/>
              <w:rPr>
                <w:sz w:val="22"/>
              </w:rPr>
            </w:pPr>
            <w:r>
              <w:rPr>
                <w:sz w:val="22"/>
              </w:rPr>
              <w:t>0.635</w:t>
            </w:r>
          </w:p>
        </w:tc>
        <w:tc>
          <w:tcPr>
            <w:tcW w:w="720" w:type="dxa"/>
          </w:tcPr>
          <w:p>
            <w:pPr>
              <w:pStyle w:val="TableParagraph"/>
              <w:spacing w:before="2"/>
              <w:ind w:left="122" w:right="122"/>
              <w:rPr>
                <w:sz w:val="22"/>
              </w:rPr>
            </w:pPr>
            <w:r>
              <w:rPr>
                <w:sz w:val="22"/>
              </w:rPr>
              <w:t>-7.4</w:t>
            </w:r>
          </w:p>
        </w:tc>
        <w:tc>
          <w:tcPr>
            <w:tcW w:w="1044" w:type="dxa"/>
          </w:tcPr>
          <w:p>
            <w:pPr>
              <w:pStyle w:val="TableParagraph"/>
              <w:spacing w:before="2"/>
              <w:ind w:left="84" w:right="84"/>
              <w:rPr>
                <w:sz w:val="22"/>
              </w:rPr>
            </w:pPr>
            <w:r>
              <w:rPr>
                <w:sz w:val="22"/>
              </w:rPr>
              <w:t>(0.05)</w:t>
            </w:r>
          </w:p>
        </w:tc>
        <w:tc>
          <w:tcPr>
            <w:tcW w:w="730" w:type="dxa"/>
          </w:tcPr>
          <w:p>
            <w:pPr>
              <w:pStyle w:val="TableParagraph"/>
              <w:spacing w:before="2"/>
              <w:ind w:left="109" w:right="109"/>
              <w:rPr>
                <w:sz w:val="22"/>
              </w:rPr>
            </w:pPr>
            <w:r>
              <w:rPr>
                <w:sz w:val="22"/>
              </w:rPr>
              <w:t>0.661</w:t>
            </w:r>
          </w:p>
        </w:tc>
        <w:tc>
          <w:tcPr>
            <w:tcW w:w="926" w:type="dxa"/>
          </w:tcPr>
          <w:p>
            <w:pPr>
              <w:pStyle w:val="TableParagraph"/>
              <w:spacing w:before="2"/>
              <w:ind w:left="227"/>
              <w:jc w:val="left"/>
              <w:rPr>
                <w:sz w:val="22"/>
              </w:rPr>
            </w:pPr>
            <w:r>
              <w:rPr>
                <w:sz w:val="22"/>
              </w:rPr>
              <w:t>0.562</w:t>
            </w:r>
          </w:p>
        </w:tc>
        <w:tc>
          <w:tcPr>
            <w:tcW w:w="900" w:type="dxa"/>
          </w:tcPr>
          <w:p>
            <w:pPr>
              <w:pStyle w:val="TableParagraph"/>
              <w:spacing w:before="2"/>
              <w:ind w:left="212" w:right="212"/>
              <w:rPr>
                <w:sz w:val="22"/>
              </w:rPr>
            </w:pPr>
            <w:r>
              <w:rPr>
                <w:sz w:val="22"/>
              </w:rPr>
              <w:t>-15.0</w:t>
            </w:r>
          </w:p>
        </w:tc>
        <w:tc>
          <w:tcPr>
            <w:tcW w:w="1087" w:type="dxa"/>
          </w:tcPr>
          <w:p>
            <w:pPr>
              <w:pStyle w:val="TableParagraph"/>
              <w:spacing w:before="2"/>
              <w:ind w:left="106" w:right="106"/>
              <w:rPr>
                <w:sz w:val="22"/>
              </w:rPr>
            </w:pPr>
            <w:r>
              <w:rPr>
                <w:sz w:val="22"/>
              </w:rPr>
              <w:t>(0.10)</w:t>
            </w:r>
          </w:p>
        </w:tc>
      </w:tr>
      <w:tr>
        <w:trPr>
          <w:trHeight w:val="264" w:hRule="exact"/>
        </w:trPr>
        <w:tc>
          <w:tcPr>
            <w:tcW w:w="1682" w:type="dxa"/>
          </w:tcPr>
          <w:p>
            <w:pPr>
              <w:pStyle w:val="TableParagraph"/>
              <w:ind w:right="590"/>
              <w:jc w:val="right"/>
              <w:rPr>
                <w:b/>
                <w:sz w:val="22"/>
              </w:rPr>
            </w:pPr>
            <w:r>
              <w:rPr>
                <w:b/>
                <w:sz w:val="22"/>
              </w:rPr>
              <w:t>70-74</w:t>
            </w:r>
          </w:p>
        </w:tc>
        <w:tc>
          <w:tcPr>
            <w:tcW w:w="720" w:type="dxa"/>
          </w:tcPr>
          <w:p>
            <w:pPr>
              <w:pStyle w:val="TableParagraph"/>
              <w:ind w:left="124"/>
              <w:jc w:val="left"/>
              <w:rPr>
                <w:sz w:val="22"/>
              </w:rPr>
            </w:pPr>
            <w:r>
              <w:rPr>
                <w:sz w:val="22"/>
              </w:rPr>
              <w:t>0.702</w:t>
            </w:r>
          </w:p>
        </w:tc>
        <w:tc>
          <w:tcPr>
            <w:tcW w:w="809" w:type="dxa"/>
          </w:tcPr>
          <w:p>
            <w:pPr>
              <w:pStyle w:val="TableParagraph"/>
              <w:ind w:left="168"/>
              <w:jc w:val="left"/>
              <w:rPr>
                <w:sz w:val="22"/>
              </w:rPr>
            </w:pPr>
            <w:r>
              <w:rPr>
                <w:sz w:val="22"/>
              </w:rPr>
              <w:t>0.653</w:t>
            </w:r>
          </w:p>
        </w:tc>
        <w:tc>
          <w:tcPr>
            <w:tcW w:w="720" w:type="dxa"/>
          </w:tcPr>
          <w:p>
            <w:pPr>
              <w:pStyle w:val="TableParagraph"/>
              <w:ind w:left="122" w:right="122"/>
              <w:rPr>
                <w:sz w:val="22"/>
              </w:rPr>
            </w:pPr>
            <w:r>
              <w:rPr>
                <w:sz w:val="22"/>
              </w:rPr>
              <w:t>-7.0</w:t>
            </w:r>
          </w:p>
        </w:tc>
        <w:tc>
          <w:tcPr>
            <w:tcW w:w="1044" w:type="dxa"/>
          </w:tcPr>
          <w:p>
            <w:pPr>
              <w:pStyle w:val="TableParagraph"/>
              <w:ind w:left="84" w:right="84"/>
              <w:rPr>
                <w:sz w:val="22"/>
              </w:rPr>
            </w:pPr>
            <w:r>
              <w:rPr>
                <w:sz w:val="22"/>
              </w:rPr>
              <w:t>(0.05)</w:t>
            </w:r>
          </w:p>
        </w:tc>
        <w:tc>
          <w:tcPr>
            <w:tcW w:w="730" w:type="dxa"/>
          </w:tcPr>
          <w:p>
            <w:pPr>
              <w:pStyle w:val="TableParagraph"/>
              <w:ind w:left="109" w:right="109"/>
              <w:rPr>
                <w:sz w:val="22"/>
              </w:rPr>
            </w:pPr>
            <w:r>
              <w:rPr>
                <w:sz w:val="22"/>
              </w:rPr>
              <w:t>0.686</w:t>
            </w:r>
          </w:p>
        </w:tc>
        <w:tc>
          <w:tcPr>
            <w:tcW w:w="926" w:type="dxa"/>
          </w:tcPr>
          <w:p>
            <w:pPr>
              <w:pStyle w:val="TableParagraph"/>
              <w:ind w:left="227"/>
              <w:jc w:val="left"/>
              <w:rPr>
                <w:sz w:val="22"/>
              </w:rPr>
            </w:pPr>
            <w:r>
              <w:rPr>
                <w:sz w:val="22"/>
              </w:rPr>
              <w:t>0.611</w:t>
            </w:r>
          </w:p>
        </w:tc>
        <w:tc>
          <w:tcPr>
            <w:tcW w:w="900" w:type="dxa"/>
          </w:tcPr>
          <w:p>
            <w:pPr>
              <w:pStyle w:val="TableParagraph"/>
              <w:ind w:left="212" w:right="212"/>
              <w:rPr>
                <w:sz w:val="22"/>
              </w:rPr>
            </w:pPr>
            <w:r>
              <w:rPr>
                <w:sz w:val="22"/>
              </w:rPr>
              <w:t>-10.9</w:t>
            </w:r>
          </w:p>
        </w:tc>
        <w:tc>
          <w:tcPr>
            <w:tcW w:w="1087" w:type="dxa"/>
          </w:tcPr>
          <w:p>
            <w:pPr>
              <w:pStyle w:val="TableParagraph"/>
              <w:ind w:left="106" w:right="106"/>
              <w:rPr>
                <w:sz w:val="22"/>
              </w:rPr>
            </w:pPr>
            <w:r>
              <w:rPr>
                <w:sz w:val="22"/>
              </w:rPr>
              <w:t>(0.08)</w:t>
            </w:r>
          </w:p>
        </w:tc>
      </w:tr>
      <w:tr>
        <w:trPr>
          <w:trHeight w:val="266" w:hRule="exact"/>
        </w:trPr>
        <w:tc>
          <w:tcPr>
            <w:tcW w:w="1682" w:type="dxa"/>
          </w:tcPr>
          <w:p>
            <w:pPr>
              <w:pStyle w:val="TableParagraph"/>
              <w:ind w:right="590"/>
              <w:jc w:val="right"/>
              <w:rPr>
                <w:b/>
                <w:sz w:val="22"/>
              </w:rPr>
            </w:pPr>
            <w:r>
              <w:rPr>
                <w:b/>
                <w:sz w:val="22"/>
              </w:rPr>
              <w:t>75-79</w:t>
            </w:r>
          </w:p>
        </w:tc>
        <w:tc>
          <w:tcPr>
            <w:tcW w:w="720" w:type="dxa"/>
          </w:tcPr>
          <w:p>
            <w:pPr>
              <w:pStyle w:val="TableParagraph"/>
              <w:ind w:left="124"/>
              <w:jc w:val="left"/>
              <w:rPr>
                <w:sz w:val="22"/>
              </w:rPr>
            </w:pPr>
            <w:r>
              <w:rPr>
                <w:sz w:val="22"/>
              </w:rPr>
              <w:t>0.717</w:t>
            </w:r>
          </w:p>
        </w:tc>
        <w:tc>
          <w:tcPr>
            <w:tcW w:w="809" w:type="dxa"/>
          </w:tcPr>
          <w:p>
            <w:pPr>
              <w:pStyle w:val="TableParagraph"/>
              <w:ind w:left="168"/>
              <w:jc w:val="left"/>
              <w:rPr>
                <w:sz w:val="22"/>
              </w:rPr>
            </w:pPr>
            <w:r>
              <w:rPr>
                <w:sz w:val="22"/>
              </w:rPr>
              <w:t>0.658</w:t>
            </w:r>
          </w:p>
        </w:tc>
        <w:tc>
          <w:tcPr>
            <w:tcW w:w="720" w:type="dxa"/>
          </w:tcPr>
          <w:p>
            <w:pPr>
              <w:pStyle w:val="TableParagraph"/>
              <w:ind w:left="122" w:right="122"/>
              <w:rPr>
                <w:sz w:val="22"/>
              </w:rPr>
            </w:pPr>
            <w:r>
              <w:rPr>
                <w:sz w:val="22"/>
              </w:rPr>
              <w:t>-8.2</w:t>
            </w:r>
          </w:p>
        </w:tc>
        <w:tc>
          <w:tcPr>
            <w:tcW w:w="1044" w:type="dxa"/>
          </w:tcPr>
          <w:p>
            <w:pPr>
              <w:pStyle w:val="TableParagraph"/>
              <w:ind w:left="84" w:right="84"/>
              <w:rPr>
                <w:sz w:val="22"/>
              </w:rPr>
            </w:pPr>
            <w:r>
              <w:rPr>
                <w:sz w:val="22"/>
              </w:rPr>
              <w:t>(0.06)</w:t>
            </w:r>
          </w:p>
        </w:tc>
        <w:tc>
          <w:tcPr>
            <w:tcW w:w="730" w:type="dxa"/>
          </w:tcPr>
          <w:p>
            <w:pPr>
              <w:pStyle w:val="TableParagraph"/>
              <w:ind w:left="109" w:right="109"/>
              <w:rPr>
                <w:sz w:val="22"/>
              </w:rPr>
            </w:pPr>
            <w:r>
              <w:rPr>
                <w:sz w:val="22"/>
              </w:rPr>
              <w:t>0.695</w:t>
            </w:r>
          </w:p>
        </w:tc>
        <w:tc>
          <w:tcPr>
            <w:tcW w:w="926" w:type="dxa"/>
          </w:tcPr>
          <w:p>
            <w:pPr>
              <w:pStyle w:val="TableParagraph"/>
              <w:ind w:left="227"/>
              <w:jc w:val="left"/>
              <w:rPr>
                <w:sz w:val="22"/>
              </w:rPr>
            </w:pPr>
            <w:r>
              <w:rPr>
                <w:sz w:val="22"/>
              </w:rPr>
              <w:t>0.634</w:t>
            </w:r>
          </w:p>
        </w:tc>
        <w:tc>
          <w:tcPr>
            <w:tcW w:w="900" w:type="dxa"/>
          </w:tcPr>
          <w:p>
            <w:pPr>
              <w:pStyle w:val="TableParagraph"/>
              <w:ind w:left="212" w:right="212"/>
              <w:rPr>
                <w:sz w:val="22"/>
              </w:rPr>
            </w:pPr>
            <w:r>
              <w:rPr>
                <w:sz w:val="22"/>
              </w:rPr>
              <w:t>-8.8</w:t>
            </w:r>
          </w:p>
        </w:tc>
        <w:tc>
          <w:tcPr>
            <w:tcW w:w="1087" w:type="dxa"/>
          </w:tcPr>
          <w:p>
            <w:pPr>
              <w:pStyle w:val="TableParagraph"/>
              <w:ind w:left="106" w:right="106"/>
              <w:rPr>
                <w:sz w:val="22"/>
              </w:rPr>
            </w:pPr>
            <w:r>
              <w:rPr>
                <w:sz w:val="22"/>
              </w:rPr>
              <w:t>(0.06)</w:t>
            </w:r>
          </w:p>
        </w:tc>
      </w:tr>
      <w:tr>
        <w:trPr>
          <w:trHeight w:val="264" w:hRule="exact"/>
        </w:trPr>
        <w:tc>
          <w:tcPr>
            <w:tcW w:w="1682" w:type="dxa"/>
          </w:tcPr>
          <w:p>
            <w:pPr>
              <w:pStyle w:val="TableParagraph"/>
              <w:ind w:right="590"/>
              <w:jc w:val="right"/>
              <w:rPr>
                <w:b/>
                <w:sz w:val="22"/>
              </w:rPr>
            </w:pPr>
            <w:r>
              <w:rPr>
                <w:b/>
                <w:sz w:val="22"/>
              </w:rPr>
              <w:t>80-84</w:t>
            </w:r>
          </w:p>
        </w:tc>
        <w:tc>
          <w:tcPr>
            <w:tcW w:w="720" w:type="dxa"/>
          </w:tcPr>
          <w:p>
            <w:pPr>
              <w:pStyle w:val="TableParagraph"/>
              <w:ind w:left="124"/>
              <w:jc w:val="left"/>
              <w:rPr>
                <w:sz w:val="22"/>
              </w:rPr>
            </w:pPr>
            <w:r>
              <w:rPr>
                <w:sz w:val="22"/>
              </w:rPr>
              <w:t>0.739</w:t>
            </w:r>
          </w:p>
        </w:tc>
        <w:tc>
          <w:tcPr>
            <w:tcW w:w="809" w:type="dxa"/>
          </w:tcPr>
          <w:p>
            <w:pPr>
              <w:pStyle w:val="TableParagraph"/>
              <w:ind w:left="168"/>
              <w:jc w:val="left"/>
              <w:rPr>
                <w:sz w:val="22"/>
              </w:rPr>
            </w:pPr>
            <w:r>
              <w:rPr>
                <w:sz w:val="22"/>
              </w:rPr>
              <w:t>0.671</w:t>
            </w:r>
          </w:p>
        </w:tc>
        <w:tc>
          <w:tcPr>
            <w:tcW w:w="720" w:type="dxa"/>
          </w:tcPr>
          <w:p>
            <w:pPr>
              <w:pStyle w:val="TableParagraph"/>
              <w:ind w:left="122" w:right="122"/>
              <w:rPr>
                <w:sz w:val="22"/>
              </w:rPr>
            </w:pPr>
            <w:r>
              <w:rPr>
                <w:sz w:val="22"/>
              </w:rPr>
              <w:t>-9.2</w:t>
            </w:r>
          </w:p>
        </w:tc>
        <w:tc>
          <w:tcPr>
            <w:tcW w:w="1044" w:type="dxa"/>
          </w:tcPr>
          <w:p>
            <w:pPr>
              <w:pStyle w:val="TableParagraph"/>
              <w:ind w:left="84" w:right="84"/>
              <w:rPr>
                <w:sz w:val="22"/>
              </w:rPr>
            </w:pPr>
            <w:r>
              <w:rPr>
                <w:sz w:val="22"/>
              </w:rPr>
              <w:t>(0.07)</w:t>
            </w:r>
          </w:p>
        </w:tc>
        <w:tc>
          <w:tcPr>
            <w:tcW w:w="730" w:type="dxa"/>
          </w:tcPr>
          <w:p>
            <w:pPr>
              <w:pStyle w:val="TableParagraph"/>
              <w:ind w:left="109" w:right="109"/>
              <w:rPr>
                <w:sz w:val="22"/>
              </w:rPr>
            </w:pPr>
            <w:r>
              <w:rPr>
                <w:sz w:val="22"/>
              </w:rPr>
              <w:t>0.736</w:t>
            </w:r>
          </w:p>
        </w:tc>
        <w:tc>
          <w:tcPr>
            <w:tcW w:w="926" w:type="dxa"/>
          </w:tcPr>
          <w:p>
            <w:pPr>
              <w:pStyle w:val="TableParagraph"/>
              <w:ind w:left="227"/>
              <w:jc w:val="left"/>
              <w:rPr>
                <w:sz w:val="22"/>
              </w:rPr>
            </w:pPr>
            <w:r>
              <w:rPr>
                <w:sz w:val="22"/>
              </w:rPr>
              <w:t>0.652</w:t>
            </w:r>
          </w:p>
        </w:tc>
        <w:tc>
          <w:tcPr>
            <w:tcW w:w="900" w:type="dxa"/>
          </w:tcPr>
          <w:p>
            <w:pPr>
              <w:pStyle w:val="TableParagraph"/>
              <w:ind w:left="212" w:right="212"/>
              <w:rPr>
                <w:sz w:val="22"/>
              </w:rPr>
            </w:pPr>
            <w:r>
              <w:rPr>
                <w:sz w:val="22"/>
              </w:rPr>
              <w:t>-11.4</w:t>
            </w:r>
          </w:p>
        </w:tc>
        <w:tc>
          <w:tcPr>
            <w:tcW w:w="1087" w:type="dxa"/>
          </w:tcPr>
          <w:p>
            <w:pPr>
              <w:pStyle w:val="TableParagraph"/>
              <w:ind w:left="106" w:right="106"/>
              <w:rPr>
                <w:sz w:val="22"/>
              </w:rPr>
            </w:pPr>
            <w:r>
              <w:rPr>
                <w:sz w:val="22"/>
              </w:rPr>
              <w:t>(0.08)</w:t>
            </w:r>
          </w:p>
        </w:tc>
      </w:tr>
      <w:tr>
        <w:trPr>
          <w:trHeight w:val="266" w:hRule="exact"/>
        </w:trPr>
        <w:tc>
          <w:tcPr>
            <w:tcW w:w="1682" w:type="dxa"/>
          </w:tcPr>
          <w:p>
            <w:pPr>
              <w:pStyle w:val="TableParagraph"/>
              <w:ind w:right="657"/>
              <w:jc w:val="right"/>
              <w:rPr>
                <w:b/>
                <w:sz w:val="22"/>
              </w:rPr>
            </w:pPr>
            <w:r>
              <w:rPr>
                <w:b/>
                <w:sz w:val="22"/>
              </w:rPr>
              <w:t>85+</w:t>
            </w:r>
          </w:p>
        </w:tc>
        <w:tc>
          <w:tcPr>
            <w:tcW w:w="720" w:type="dxa"/>
          </w:tcPr>
          <w:p>
            <w:pPr>
              <w:pStyle w:val="TableParagraph"/>
              <w:ind w:left="124"/>
              <w:jc w:val="left"/>
              <w:rPr>
                <w:sz w:val="22"/>
              </w:rPr>
            </w:pPr>
            <w:r>
              <w:rPr>
                <w:sz w:val="22"/>
              </w:rPr>
              <w:t>0.745</w:t>
            </w:r>
          </w:p>
        </w:tc>
        <w:tc>
          <w:tcPr>
            <w:tcW w:w="809" w:type="dxa"/>
          </w:tcPr>
          <w:p>
            <w:pPr>
              <w:pStyle w:val="TableParagraph"/>
              <w:ind w:left="168"/>
              <w:jc w:val="left"/>
              <w:rPr>
                <w:sz w:val="22"/>
              </w:rPr>
            </w:pPr>
            <w:r>
              <w:rPr>
                <w:sz w:val="22"/>
              </w:rPr>
              <w:t>0.671</w:t>
            </w:r>
          </w:p>
        </w:tc>
        <w:tc>
          <w:tcPr>
            <w:tcW w:w="720" w:type="dxa"/>
          </w:tcPr>
          <w:p>
            <w:pPr>
              <w:pStyle w:val="TableParagraph"/>
              <w:ind w:left="122" w:right="122"/>
              <w:rPr>
                <w:sz w:val="22"/>
              </w:rPr>
            </w:pPr>
            <w:r>
              <w:rPr>
                <w:sz w:val="22"/>
              </w:rPr>
              <w:t>-9.9</w:t>
            </w:r>
          </w:p>
        </w:tc>
        <w:tc>
          <w:tcPr>
            <w:tcW w:w="1044" w:type="dxa"/>
          </w:tcPr>
          <w:p>
            <w:pPr>
              <w:pStyle w:val="TableParagraph"/>
              <w:ind w:left="84" w:right="84"/>
              <w:rPr>
                <w:sz w:val="22"/>
              </w:rPr>
            </w:pPr>
            <w:r>
              <w:rPr>
                <w:sz w:val="22"/>
              </w:rPr>
              <w:t>(0.07)</w:t>
            </w:r>
          </w:p>
        </w:tc>
        <w:tc>
          <w:tcPr>
            <w:tcW w:w="730" w:type="dxa"/>
          </w:tcPr>
          <w:p>
            <w:pPr>
              <w:pStyle w:val="TableParagraph"/>
              <w:ind w:left="109" w:right="109"/>
              <w:rPr>
                <w:sz w:val="22"/>
              </w:rPr>
            </w:pPr>
            <w:r>
              <w:rPr>
                <w:sz w:val="22"/>
              </w:rPr>
              <w:t>0.752</w:t>
            </w:r>
          </w:p>
        </w:tc>
        <w:tc>
          <w:tcPr>
            <w:tcW w:w="926" w:type="dxa"/>
          </w:tcPr>
          <w:p>
            <w:pPr>
              <w:pStyle w:val="TableParagraph"/>
              <w:ind w:left="227"/>
              <w:jc w:val="left"/>
              <w:rPr>
                <w:sz w:val="22"/>
              </w:rPr>
            </w:pPr>
            <w:r>
              <w:rPr>
                <w:sz w:val="22"/>
              </w:rPr>
              <w:t>0.663</w:t>
            </w:r>
          </w:p>
        </w:tc>
        <w:tc>
          <w:tcPr>
            <w:tcW w:w="900" w:type="dxa"/>
          </w:tcPr>
          <w:p>
            <w:pPr>
              <w:pStyle w:val="TableParagraph"/>
              <w:ind w:left="212" w:right="212"/>
              <w:rPr>
                <w:sz w:val="22"/>
              </w:rPr>
            </w:pPr>
            <w:r>
              <w:rPr>
                <w:sz w:val="22"/>
              </w:rPr>
              <w:t>-11.8</w:t>
            </w:r>
          </w:p>
        </w:tc>
        <w:tc>
          <w:tcPr>
            <w:tcW w:w="1087" w:type="dxa"/>
          </w:tcPr>
          <w:p>
            <w:pPr>
              <w:pStyle w:val="TableParagraph"/>
              <w:ind w:left="106" w:right="106"/>
              <w:rPr>
                <w:sz w:val="22"/>
              </w:rPr>
            </w:pPr>
            <w:r>
              <w:rPr>
                <w:sz w:val="22"/>
              </w:rPr>
              <w:t>(0.09)</w:t>
            </w:r>
          </w:p>
        </w:tc>
      </w:tr>
      <w:tr>
        <w:trPr>
          <w:trHeight w:val="264" w:hRule="exact"/>
        </w:trPr>
        <w:tc>
          <w:tcPr>
            <w:tcW w:w="3931" w:type="dxa"/>
            <w:gridSpan w:val="4"/>
          </w:tcPr>
          <w:p>
            <w:pPr>
              <w:pStyle w:val="TableParagraph"/>
              <w:spacing w:before="2"/>
              <w:ind w:left="103"/>
              <w:jc w:val="left"/>
              <w:rPr>
                <w:b/>
                <w:sz w:val="22"/>
              </w:rPr>
            </w:pPr>
            <w:r>
              <w:rPr>
                <w:b/>
                <w:sz w:val="22"/>
              </w:rPr>
              <w:t>Simple average absolute change 45+:</w:t>
            </w:r>
          </w:p>
        </w:tc>
        <w:tc>
          <w:tcPr>
            <w:tcW w:w="1044" w:type="dxa"/>
          </w:tcPr>
          <w:p>
            <w:pPr>
              <w:pStyle w:val="TableParagraph"/>
              <w:spacing w:before="2"/>
              <w:ind w:left="84" w:right="84"/>
              <w:rPr>
                <w:sz w:val="22"/>
              </w:rPr>
            </w:pPr>
            <w:r>
              <w:rPr>
                <w:sz w:val="22"/>
              </w:rPr>
              <w:t>(0.06)</w:t>
            </w:r>
          </w:p>
        </w:tc>
        <w:tc>
          <w:tcPr>
            <w:tcW w:w="2556" w:type="dxa"/>
            <w:gridSpan w:val="3"/>
          </w:tcPr>
          <w:p>
            <w:pPr/>
          </w:p>
        </w:tc>
        <w:tc>
          <w:tcPr>
            <w:tcW w:w="1087" w:type="dxa"/>
          </w:tcPr>
          <w:p>
            <w:pPr>
              <w:pStyle w:val="TableParagraph"/>
              <w:spacing w:before="2"/>
              <w:ind w:left="106" w:right="106"/>
              <w:rPr>
                <w:sz w:val="22"/>
              </w:rPr>
            </w:pPr>
            <w:r>
              <w:rPr>
                <w:sz w:val="22"/>
              </w:rPr>
              <w:t>(0.09)</w:t>
            </w:r>
          </w:p>
        </w:tc>
      </w:tr>
    </w:tbl>
    <w:p>
      <w:pPr>
        <w:spacing w:before="3"/>
        <w:ind w:left="454" w:right="0" w:firstLine="0"/>
        <w:jc w:val="left"/>
        <w:rPr>
          <w:sz w:val="22"/>
        </w:rPr>
      </w:pPr>
      <w:r>
        <w:rPr>
          <w:sz w:val="22"/>
        </w:rPr>
        <w:t>Source: DaVita analysis of CMS data</w:t>
      </w:r>
    </w:p>
    <w:p>
      <w:pPr>
        <w:pStyle w:val="BodyText"/>
        <w:rPr>
          <w:sz w:val="20"/>
        </w:rPr>
      </w:pPr>
    </w:p>
    <w:p>
      <w:pPr>
        <w:pStyle w:val="BodyText"/>
        <w:spacing w:before="4"/>
        <w:rPr>
          <w:sz w:val="19"/>
        </w:rPr>
      </w:pPr>
    </w:p>
    <w:p>
      <w:pPr>
        <w:pStyle w:val="Heading1"/>
        <w:spacing w:before="101"/>
        <w:ind w:left="843"/>
        <w:jc w:val="left"/>
      </w:pPr>
      <w:r>
        <w:rPr/>
        <w:pict>
          <v:group style="position:absolute;margin-left:113.25pt;margin-top:20.397791pt;width:433.45pt;height:315.9pt;mso-position-horizontal-relative:page;mso-position-vertical-relative:paragraph;z-index:1096;mso-wrap-distance-left:0;mso-wrap-distance-right:0" coordorigin="2265,408" coordsize="8669,6318">
            <v:shape style="position:absolute;left:2280;top:423;width:8639;height:6288" type="#_x0000_t75" stroked="false">
              <v:imagedata r:id="rId10" o:title=""/>
            </v:shape>
            <v:rect style="position:absolute;left:2273;top:415;width:8654;height:6303" filled="false" stroked="true" strokeweight=".75pt" strokecolor="#000000">
              <v:stroke dashstyle="solid"/>
            </v:rect>
            <w10:wrap type="topAndBottom"/>
          </v:group>
        </w:pict>
      </w:r>
      <w:r>
        <w:rPr/>
        <w:t>Figure 2: Reduction in Average Risk Score with Demographic Factor Change</w:t>
      </w:r>
    </w:p>
    <w:p>
      <w:pPr>
        <w:spacing w:before="18"/>
        <w:ind w:left="531" w:right="0" w:firstLine="0"/>
        <w:jc w:val="left"/>
        <w:rPr>
          <w:sz w:val="22"/>
        </w:rPr>
      </w:pPr>
      <w:r>
        <w:rPr>
          <w:sz w:val="22"/>
        </w:rPr>
        <w:t>Source: DaVita analysis of CMS data interpolated with internal data</w:t>
      </w:r>
    </w:p>
    <w:p>
      <w:pPr>
        <w:spacing w:after="0"/>
        <w:jc w:val="left"/>
        <w:rPr>
          <w:sz w:val="22"/>
        </w:rPr>
        <w:sectPr>
          <w:pgSz w:w="12240" w:h="15840"/>
          <w:pgMar w:header="0" w:footer="722" w:top="720" w:bottom="920" w:left="1720" w:right="1200"/>
        </w:sectPr>
      </w:pPr>
    </w:p>
    <w:p>
      <w:pPr>
        <w:pStyle w:val="BodyText"/>
        <w:spacing w:before="4"/>
        <w:rPr>
          <w:sz w:val="25"/>
        </w:rPr>
      </w:pPr>
    </w:p>
    <w:p>
      <w:pPr>
        <w:pStyle w:val="BodyText"/>
        <w:spacing w:line="259" w:lineRule="auto" w:before="100"/>
        <w:ind w:left="259" w:right="115"/>
        <w:jc w:val="both"/>
      </w:pPr>
      <w:r>
        <w:rPr/>
        <w:t>Maintaining neutrality in risk score changes would require an equivalent increase in the comorbidity</w:t>
      </w:r>
      <w:r>
        <w:rPr>
          <w:spacing w:val="-13"/>
        </w:rPr>
        <w:t> </w:t>
      </w:r>
      <w:r>
        <w:rPr/>
        <w:t>and</w:t>
      </w:r>
      <w:r>
        <w:rPr>
          <w:spacing w:val="-13"/>
        </w:rPr>
        <w:t> </w:t>
      </w:r>
      <w:r>
        <w:rPr/>
        <w:t>disease/disabled-disease</w:t>
      </w:r>
      <w:r>
        <w:rPr>
          <w:spacing w:val="-13"/>
        </w:rPr>
        <w:t> </w:t>
      </w:r>
      <w:r>
        <w:rPr/>
        <w:t>interactions.</w:t>
      </w:r>
      <w:r>
        <w:rPr>
          <w:spacing w:val="-13"/>
        </w:rPr>
        <w:t> </w:t>
      </w:r>
      <w:r>
        <w:rPr/>
        <w:t>However,</w:t>
      </w:r>
      <w:r>
        <w:rPr>
          <w:spacing w:val="-13"/>
        </w:rPr>
        <w:t> </w:t>
      </w:r>
      <w:r>
        <w:rPr/>
        <w:t>our</w:t>
      </w:r>
      <w:r>
        <w:rPr>
          <w:spacing w:val="-14"/>
        </w:rPr>
        <w:t> </w:t>
      </w:r>
      <w:r>
        <w:rPr/>
        <w:t>analysis</w:t>
      </w:r>
      <w:r>
        <w:rPr>
          <w:spacing w:val="-14"/>
        </w:rPr>
        <w:t> </w:t>
      </w:r>
      <w:r>
        <w:rPr/>
        <w:t>of</w:t>
      </w:r>
      <w:r>
        <w:rPr>
          <w:spacing w:val="-13"/>
        </w:rPr>
        <w:t> </w:t>
      </w:r>
      <w:r>
        <w:rPr/>
        <w:t>these</w:t>
      </w:r>
      <w:r>
        <w:rPr>
          <w:spacing w:val="-13"/>
        </w:rPr>
        <w:t> </w:t>
      </w:r>
      <w:r>
        <w:rPr/>
        <w:t>proposed risk</w:t>
      </w:r>
      <w:r>
        <w:rPr>
          <w:spacing w:val="-8"/>
        </w:rPr>
        <w:t> </w:t>
      </w:r>
      <w:r>
        <w:rPr/>
        <w:t>factors</w:t>
      </w:r>
      <w:r>
        <w:rPr>
          <w:spacing w:val="-9"/>
        </w:rPr>
        <w:t> </w:t>
      </w:r>
      <w:r>
        <w:rPr/>
        <w:t>compared</w:t>
      </w:r>
      <w:r>
        <w:rPr>
          <w:spacing w:val="-8"/>
        </w:rPr>
        <w:t> </w:t>
      </w:r>
      <w:r>
        <w:rPr/>
        <w:t>to</w:t>
      </w:r>
      <w:r>
        <w:rPr>
          <w:spacing w:val="-8"/>
        </w:rPr>
        <w:t> </w:t>
      </w:r>
      <w:r>
        <w:rPr/>
        <w:t>the</w:t>
      </w:r>
      <w:r>
        <w:rPr>
          <w:spacing w:val="-7"/>
        </w:rPr>
        <w:t> </w:t>
      </w:r>
      <w:r>
        <w:rPr/>
        <w:t>2012</w:t>
      </w:r>
      <w:r>
        <w:rPr>
          <w:spacing w:val="-8"/>
        </w:rPr>
        <w:t> </w:t>
      </w:r>
      <w:r>
        <w:rPr/>
        <w:t>model’s</w:t>
      </w:r>
      <w:r>
        <w:rPr>
          <w:spacing w:val="-9"/>
        </w:rPr>
        <w:t> </w:t>
      </w:r>
      <w:r>
        <w:rPr/>
        <w:t>risk</w:t>
      </w:r>
      <w:r>
        <w:rPr>
          <w:spacing w:val="-8"/>
        </w:rPr>
        <w:t> </w:t>
      </w:r>
      <w:r>
        <w:rPr/>
        <w:t>factors</w:t>
      </w:r>
      <w:r>
        <w:rPr>
          <w:spacing w:val="-9"/>
        </w:rPr>
        <w:t> </w:t>
      </w:r>
      <w:r>
        <w:rPr/>
        <w:t>showed</w:t>
      </w:r>
      <w:r>
        <w:rPr>
          <w:spacing w:val="-8"/>
        </w:rPr>
        <w:t> </w:t>
      </w:r>
      <w:r>
        <w:rPr/>
        <w:t>that</w:t>
      </w:r>
      <w:r>
        <w:rPr>
          <w:spacing w:val="-9"/>
        </w:rPr>
        <w:t> </w:t>
      </w:r>
      <w:r>
        <w:rPr/>
        <w:t>risk</w:t>
      </w:r>
      <w:r>
        <w:rPr>
          <w:spacing w:val="-8"/>
        </w:rPr>
        <w:t> </w:t>
      </w:r>
      <w:r>
        <w:rPr/>
        <w:t>factors</w:t>
      </w:r>
      <w:r>
        <w:rPr>
          <w:spacing w:val="-7"/>
        </w:rPr>
        <w:t> </w:t>
      </w:r>
      <w:r>
        <w:rPr/>
        <w:t>for</w:t>
      </w:r>
      <w:r>
        <w:rPr>
          <w:spacing w:val="-9"/>
        </w:rPr>
        <w:t> </w:t>
      </w:r>
      <w:r>
        <w:rPr/>
        <w:t>47</w:t>
      </w:r>
      <w:r>
        <w:rPr>
          <w:spacing w:val="-8"/>
        </w:rPr>
        <w:t> </w:t>
      </w:r>
      <w:r>
        <w:rPr/>
        <w:t>HCCs</w:t>
      </w:r>
      <w:r>
        <w:rPr>
          <w:spacing w:val="-9"/>
        </w:rPr>
        <w:t> </w:t>
      </w:r>
      <w:r>
        <w:rPr/>
        <w:t>(54 percent) increased, while risk factors for 40 HCCs (46 percent) decreased or did not change. Risk factors that increased have a simple average increase of 0.024, while those that decreased have a simple average decrease of -0.021 (Figure 3). This implies that the typical MA ESRD enrollee</w:t>
      </w:r>
      <w:r>
        <w:rPr>
          <w:spacing w:val="-15"/>
        </w:rPr>
        <w:t> </w:t>
      </w:r>
      <w:r>
        <w:rPr/>
        <w:t>will</w:t>
      </w:r>
      <w:r>
        <w:rPr>
          <w:spacing w:val="-15"/>
        </w:rPr>
        <w:t> </w:t>
      </w:r>
      <w:r>
        <w:rPr/>
        <w:t>not</w:t>
      </w:r>
      <w:r>
        <w:rPr>
          <w:spacing w:val="-16"/>
        </w:rPr>
        <w:t> </w:t>
      </w:r>
      <w:r>
        <w:rPr/>
        <w:t>likely</w:t>
      </w:r>
      <w:r>
        <w:rPr>
          <w:spacing w:val="-15"/>
        </w:rPr>
        <w:t> </w:t>
      </w:r>
      <w:r>
        <w:rPr/>
        <w:t>see</w:t>
      </w:r>
      <w:r>
        <w:rPr>
          <w:spacing w:val="-15"/>
        </w:rPr>
        <w:t> </w:t>
      </w:r>
      <w:r>
        <w:rPr/>
        <w:t>an</w:t>
      </w:r>
      <w:r>
        <w:rPr>
          <w:spacing w:val="-16"/>
        </w:rPr>
        <w:t> </w:t>
      </w:r>
      <w:r>
        <w:rPr/>
        <w:t>increase</w:t>
      </w:r>
      <w:r>
        <w:rPr>
          <w:spacing w:val="-15"/>
        </w:rPr>
        <w:t> </w:t>
      </w:r>
      <w:r>
        <w:rPr/>
        <w:t>in</w:t>
      </w:r>
      <w:r>
        <w:rPr>
          <w:spacing w:val="-16"/>
        </w:rPr>
        <w:t> </w:t>
      </w:r>
      <w:r>
        <w:rPr/>
        <w:t>their</w:t>
      </w:r>
      <w:r>
        <w:rPr>
          <w:spacing w:val="-16"/>
        </w:rPr>
        <w:t> </w:t>
      </w:r>
      <w:r>
        <w:rPr/>
        <w:t>comorbidity</w:t>
      </w:r>
      <w:r>
        <w:rPr>
          <w:spacing w:val="-15"/>
        </w:rPr>
        <w:t> </w:t>
      </w:r>
      <w:r>
        <w:rPr/>
        <w:t>risk</w:t>
      </w:r>
      <w:r>
        <w:rPr>
          <w:spacing w:val="-15"/>
        </w:rPr>
        <w:t> </w:t>
      </w:r>
      <w:r>
        <w:rPr/>
        <w:t>factor</w:t>
      </w:r>
      <w:r>
        <w:rPr>
          <w:spacing w:val="-14"/>
        </w:rPr>
        <w:t> </w:t>
      </w:r>
      <w:r>
        <w:rPr/>
        <w:t>significant</w:t>
      </w:r>
      <w:r>
        <w:rPr>
          <w:spacing w:val="-16"/>
        </w:rPr>
        <w:t> </w:t>
      </w:r>
      <w:r>
        <w:rPr/>
        <w:t>enough</w:t>
      </w:r>
      <w:r>
        <w:rPr>
          <w:spacing w:val="-16"/>
        </w:rPr>
        <w:t> </w:t>
      </w:r>
      <w:r>
        <w:rPr/>
        <w:t>to</w:t>
      </w:r>
      <w:r>
        <w:rPr>
          <w:spacing w:val="-16"/>
        </w:rPr>
        <w:t> </w:t>
      </w:r>
      <w:r>
        <w:rPr/>
        <w:t>offset the steep demographic risk factor</w:t>
      </w:r>
      <w:r>
        <w:rPr>
          <w:spacing w:val="-19"/>
        </w:rPr>
        <w:t> </w:t>
      </w:r>
      <w:r>
        <w:rPr/>
        <w:t>decline.</w:t>
      </w:r>
    </w:p>
    <w:p>
      <w:pPr>
        <w:pStyle w:val="BodyText"/>
        <w:spacing w:before="9"/>
        <w:rPr>
          <w:sz w:val="25"/>
        </w:rPr>
      </w:pPr>
    </w:p>
    <w:p>
      <w:pPr>
        <w:pStyle w:val="Heading1"/>
        <w:spacing w:line="259" w:lineRule="auto"/>
        <w:ind w:left="2379" w:hanging="1908"/>
        <w:jc w:val="left"/>
      </w:pPr>
      <w:r>
        <w:rPr/>
        <w:pict>
          <v:group style="position:absolute;margin-left:158.75pt;margin-top:30.444805pt;width:324.95pt;height:235.65pt;mso-position-horizontal-relative:page;mso-position-vertical-relative:paragraph;z-index:1120;mso-wrap-distance-left:0;mso-wrap-distance-right:0" coordorigin="3175,609" coordsize="6499,4713">
            <v:shape style="position:absolute;left:3190;top:624;width:6469;height:4683" type="#_x0000_t75" stroked="false">
              <v:imagedata r:id="rId11" o:title=""/>
            </v:shape>
            <v:rect style="position:absolute;left:3183;top:616;width:6484;height:4698" filled="false" stroked="true" strokeweight=".75pt" strokecolor="#000000">
              <v:stroke dashstyle="solid"/>
            </v:rect>
            <w10:wrap type="topAndBottom"/>
          </v:group>
        </w:pict>
      </w:r>
      <w:r>
        <w:rPr/>
        <w:t>Figure 3: Change in Risk Factors by HCC under 2019 ESRD Risk Adjustment Model Relative to 2012 ESRD Risk Adjustment Model</w:t>
      </w:r>
    </w:p>
    <w:p>
      <w:pPr>
        <w:spacing w:before="11"/>
        <w:ind w:left="1431" w:right="0" w:firstLine="0"/>
        <w:jc w:val="left"/>
        <w:rPr>
          <w:sz w:val="22"/>
        </w:rPr>
      </w:pPr>
      <w:r>
        <w:rPr>
          <w:sz w:val="22"/>
        </w:rPr>
        <w:t>Source: DaVita analysis of CMS data</w:t>
      </w:r>
    </w:p>
    <w:p>
      <w:pPr>
        <w:pStyle w:val="BodyText"/>
        <w:spacing w:before="7"/>
        <w:rPr>
          <w:sz w:val="27"/>
        </w:rPr>
      </w:pPr>
    </w:p>
    <w:p>
      <w:pPr>
        <w:pStyle w:val="BodyText"/>
        <w:spacing w:line="259" w:lineRule="auto"/>
        <w:ind w:left="440" w:right="115"/>
        <w:jc w:val="both"/>
      </w:pPr>
      <w:r>
        <w:rPr/>
        <w:t>In addition, risk factor changes for certain HCCs do not necessarily align with comorbidity and treatment patterns for beneficiaries with ESRD. For example, HCC 73 (Amyotrophic Lateral</w:t>
      </w:r>
      <w:r>
        <w:rPr>
          <w:spacing w:val="-19"/>
        </w:rPr>
        <w:t> </w:t>
      </w:r>
      <w:r>
        <w:rPr/>
        <w:t>Sclerosis</w:t>
      </w:r>
      <w:r>
        <w:rPr>
          <w:spacing w:val="-20"/>
        </w:rPr>
        <w:t> </w:t>
      </w:r>
      <w:r>
        <w:rPr/>
        <w:t>and</w:t>
      </w:r>
      <w:r>
        <w:rPr>
          <w:spacing w:val="-19"/>
        </w:rPr>
        <w:t> </w:t>
      </w:r>
      <w:r>
        <w:rPr/>
        <w:t>Other</w:t>
      </w:r>
      <w:r>
        <w:rPr>
          <w:spacing w:val="-20"/>
        </w:rPr>
        <w:t> </w:t>
      </w:r>
      <w:r>
        <w:rPr/>
        <w:t>Motor</w:t>
      </w:r>
      <w:r>
        <w:rPr>
          <w:spacing w:val="-20"/>
        </w:rPr>
        <w:t> </w:t>
      </w:r>
      <w:r>
        <w:rPr/>
        <w:t>Neuron</w:t>
      </w:r>
      <w:r>
        <w:rPr>
          <w:spacing w:val="-19"/>
        </w:rPr>
        <w:t> </w:t>
      </w:r>
      <w:r>
        <w:rPr/>
        <w:t>Disease)</w:t>
      </w:r>
      <w:r>
        <w:rPr>
          <w:spacing w:val="-19"/>
        </w:rPr>
        <w:t> </w:t>
      </w:r>
      <w:r>
        <w:rPr/>
        <w:t>and</w:t>
      </w:r>
      <w:r>
        <w:rPr>
          <w:spacing w:val="-19"/>
        </w:rPr>
        <w:t> </w:t>
      </w:r>
      <w:r>
        <w:rPr/>
        <w:t>HCC</w:t>
      </w:r>
      <w:r>
        <w:rPr>
          <w:spacing w:val="-18"/>
        </w:rPr>
        <w:t> </w:t>
      </w:r>
      <w:r>
        <w:rPr/>
        <w:t>76</w:t>
      </w:r>
      <w:r>
        <w:rPr>
          <w:spacing w:val="-19"/>
        </w:rPr>
        <w:t> </w:t>
      </w:r>
      <w:r>
        <w:rPr/>
        <w:t>(Muscular</w:t>
      </w:r>
      <w:r>
        <w:rPr>
          <w:spacing w:val="-20"/>
        </w:rPr>
        <w:t> </w:t>
      </w:r>
      <w:r>
        <w:rPr/>
        <w:t>Dystrophy),</w:t>
      </w:r>
      <w:r>
        <w:rPr>
          <w:spacing w:val="-19"/>
        </w:rPr>
        <w:t> </w:t>
      </w:r>
      <w:r>
        <w:rPr/>
        <w:t>which are not very common, experienced relatively larger risk factor increases of 0.12 and 0.06, respectively.</w:t>
      </w:r>
      <w:r>
        <w:rPr>
          <w:spacing w:val="-15"/>
        </w:rPr>
        <w:t> </w:t>
      </w:r>
      <w:r>
        <w:rPr/>
        <w:t>In</w:t>
      </w:r>
      <w:r>
        <w:rPr>
          <w:spacing w:val="-16"/>
        </w:rPr>
        <w:t> </w:t>
      </w:r>
      <w:r>
        <w:rPr/>
        <w:t>contrast,</w:t>
      </w:r>
      <w:r>
        <w:rPr>
          <w:spacing w:val="-15"/>
        </w:rPr>
        <w:t> </w:t>
      </w:r>
      <w:r>
        <w:rPr/>
        <w:t>the</w:t>
      </w:r>
      <w:r>
        <w:rPr>
          <w:spacing w:val="-15"/>
        </w:rPr>
        <w:t> </w:t>
      </w:r>
      <w:r>
        <w:rPr/>
        <w:t>risk</w:t>
      </w:r>
      <w:r>
        <w:rPr>
          <w:spacing w:val="-15"/>
        </w:rPr>
        <w:t> </w:t>
      </w:r>
      <w:r>
        <w:rPr/>
        <w:t>factor</w:t>
      </w:r>
      <w:r>
        <w:rPr>
          <w:spacing w:val="-14"/>
        </w:rPr>
        <w:t> </w:t>
      </w:r>
      <w:r>
        <w:rPr/>
        <w:t>for</w:t>
      </w:r>
      <w:r>
        <w:rPr>
          <w:spacing w:val="-14"/>
        </w:rPr>
        <w:t> </w:t>
      </w:r>
      <w:r>
        <w:rPr/>
        <w:t>HCC</w:t>
      </w:r>
      <w:r>
        <w:rPr>
          <w:spacing w:val="-14"/>
        </w:rPr>
        <w:t> </w:t>
      </w:r>
      <w:r>
        <w:rPr/>
        <w:t>22</w:t>
      </w:r>
      <w:r>
        <w:rPr>
          <w:spacing w:val="-15"/>
        </w:rPr>
        <w:t> </w:t>
      </w:r>
      <w:r>
        <w:rPr/>
        <w:t>(Morbid</w:t>
      </w:r>
      <w:r>
        <w:rPr>
          <w:spacing w:val="-15"/>
        </w:rPr>
        <w:t> </w:t>
      </w:r>
      <w:r>
        <w:rPr/>
        <w:t>Obesity),</w:t>
      </w:r>
      <w:r>
        <w:rPr>
          <w:spacing w:val="-15"/>
        </w:rPr>
        <w:t> </w:t>
      </w:r>
      <w:r>
        <w:rPr/>
        <w:t>which</w:t>
      </w:r>
      <w:r>
        <w:rPr>
          <w:spacing w:val="-16"/>
        </w:rPr>
        <w:t> </w:t>
      </w:r>
      <w:r>
        <w:rPr/>
        <w:t>is</w:t>
      </w:r>
      <w:r>
        <w:rPr>
          <w:spacing w:val="-17"/>
        </w:rPr>
        <w:t> </w:t>
      </w:r>
      <w:r>
        <w:rPr/>
        <w:t>more</w:t>
      </w:r>
      <w:r>
        <w:rPr>
          <w:spacing w:val="-15"/>
        </w:rPr>
        <w:t> </w:t>
      </w:r>
      <w:r>
        <w:rPr/>
        <w:t>common and usually associated with health complications for beneficiaries with ESRD, and thus additional costs, decreased by -0.06 or -45 percent. These seemingly selective risk factor adjustments suggest that the recalibration will focus more on rewarding MA plans that serve ESRD</w:t>
      </w:r>
      <w:r>
        <w:rPr>
          <w:spacing w:val="-15"/>
        </w:rPr>
        <w:t> </w:t>
      </w:r>
      <w:r>
        <w:rPr/>
        <w:t>patients</w:t>
      </w:r>
      <w:r>
        <w:rPr>
          <w:spacing w:val="-16"/>
        </w:rPr>
        <w:t> </w:t>
      </w:r>
      <w:r>
        <w:rPr/>
        <w:t>whose</w:t>
      </w:r>
      <w:r>
        <w:rPr>
          <w:spacing w:val="-14"/>
        </w:rPr>
        <w:t> </w:t>
      </w:r>
      <w:r>
        <w:rPr/>
        <w:t>diagnoses</w:t>
      </w:r>
      <w:r>
        <w:rPr>
          <w:spacing w:val="-16"/>
        </w:rPr>
        <w:t> </w:t>
      </w:r>
      <w:r>
        <w:rPr/>
        <w:t>map</w:t>
      </w:r>
      <w:r>
        <w:rPr>
          <w:spacing w:val="-15"/>
        </w:rPr>
        <w:t> </w:t>
      </w:r>
      <w:r>
        <w:rPr/>
        <w:t>to</w:t>
      </w:r>
      <w:r>
        <w:rPr>
          <w:spacing w:val="-13"/>
        </w:rPr>
        <w:t> </w:t>
      </w:r>
      <w:r>
        <w:rPr/>
        <w:t>more</w:t>
      </w:r>
      <w:r>
        <w:rPr>
          <w:spacing w:val="-14"/>
        </w:rPr>
        <w:t> </w:t>
      </w:r>
      <w:r>
        <w:rPr/>
        <w:t>HCCs</w:t>
      </w:r>
      <w:r>
        <w:rPr>
          <w:spacing w:val="-14"/>
        </w:rPr>
        <w:t> </w:t>
      </w:r>
      <w:r>
        <w:rPr/>
        <w:t>or</w:t>
      </w:r>
      <w:r>
        <w:rPr>
          <w:spacing w:val="-15"/>
        </w:rPr>
        <w:t> </w:t>
      </w:r>
      <w:r>
        <w:rPr/>
        <w:t>who</w:t>
      </w:r>
      <w:r>
        <w:rPr>
          <w:spacing w:val="-14"/>
        </w:rPr>
        <w:t> </w:t>
      </w:r>
      <w:r>
        <w:rPr/>
        <w:t>have</w:t>
      </w:r>
      <w:r>
        <w:rPr>
          <w:spacing w:val="-14"/>
        </w:rPr>
        <w:t> </w:t>
      </w:r>
      <w:r>
        <w:rPr/>
        <w:t>rarer</w:t>
      </w:r>
      <w:r>
        <w:rPr>
          <w:spacing w:val="-15"/>
        </w:rPr>
        <w:t> </w:t>
      </w:r>
      <w:r>
        <w:rPr/>
        <w:t>conditions,</w:t>
      </w:r>
      <w:r>
        <w:rPr>
          <w:spacing w:val="-14"/>
        </w:rPr>
        <w:t> </w:t>
      </w:r>
      <w:r>
        <w:rPr/>
        <w:t>rather</w:t>
      </w:r>
      <w:r>
        <w:rPr>
          <w:spacing w:val="-14"/>
        </w:rPr>
        <w:t> </w:t>
      </w:r>
      <w:r>
        <w:rPr/>
        <w:t>than the complexity and prevalence of a particular</w:t>
      </w:r>
      <w:r>
        <w:rPr>
          <w:spacing w:val="-30"/>
        </w:rPr>
        <w:t> </w:t>
      </w:r>
      <w:r>
        <w:rPr/>
        <w:t>comorbidity.</w:t>
      </w:r>
    </w:p>
    <w:p>
      <w:pPr>
        <w:pStyle w:val="BodyText"/>
        <w:spacing w:before="10"/>
        <w:rPr>
          <w:sz w:val="25"/>
        </w:rPr>
      </w:pPr>
    </w:p>
    <w:p>
      <w:pPr>
        <w:pStyle w:val="BodyText"/>
        <w:spacing w:line="259" w:lineRule="auto"/>
        <w:ind w:left="440" w:right="115"/>
        <w:jc w:val="both"/>
      </w:pPr>
      <w:r>
        <w:rPr/>
        <w:t>To assess this issue more thoroughly, we compared risk factor changes under the CMS-HCC model</w:t>
      </w:r>
      <w:r>
        <w:rPr>
          <w:spacing w:val="-7"/>
        </w:rPr>
        <w:t> </w:t>
      </w:r>
      <w:r>
        <w:rPr/>
        <w:t>2014</w:t>
      </w:r>
      <w:r>
        <w:rPr>
          <w:spacing w:val="-9"/>
        </w:rPr>
        <w:t> </w:t>
      </w:r>
      <w:r>
        <w:rPr/>
        <w:t>community</w:t>
      </w:r>
      <w:r>
        <w:rPr>
          <w:spacing w:val="-6"/>
        </w:rPr>
        <w:t> </w:t>
      </w:r>
      <w:r>
        <w:rPr/>
        <w:t>segment</w:t>
      </w:r>
      <w:r>
        <w:rPr>
          <w:spacing w:val="-7"/>
        </w:rPr>
        <w:t> </w:t>
      </w:r>
      <w:r>
        <w:rPr/>
        <w:t>and</w:t>
      </w:r>
      <w:r>
        <w:rPr>
          <w:spacing w:val="-7"/>
        </w:rPr>
        <w:t> </w:t>
      </w:r>
      <w:r>
        <w:rPr/>
        <w:t>the</w:t>
      </w:r>
      <w:r>
        <w:rPr>
          <w:spacing w:val="-6"/>
        </w:rPr>
        <w:t> </w:t>
      </w:r>
      <w:r>
        <w:rPr/>
        <w:t>2017</w:t>
      </w:r>
      <w:r>
        <w:rPr>
          <w:spacing w:val="-7"/>
        </w:rPr>
        <w:t> </w:t>
      </w:r>
      <w:r>
        <w:rPr/>
        <w:t>community</w:t>
      </w:r>
      <w:r>
        <w:rPr>
          <w:spacing w:val="-6"/>
        </w:rPr>
        <w:t> </w:t>
      </w:r>
      <w:r>
        <w:rPr/>
        <w:t>segment</w:t>
      </w:r>
      <w:r>
        <w:rPr>
          <w:spacing w:val="-7"/>
        </w:rPr>
        <w:t> </w:t>
      </w:r>
      <w:r>
        <w:rPr/>
        <w:t>for</w:t>
      </w:r>
      <w:r>
        <w:rPr>
          <w:spacing w:val="-8"/>
        </w:rPr>
        <w:t> </w:t>
      </w:r>
      <w:r>
        <w:rPr/>
        <w:t>non-dual</w:t>
      </w:r>
      <w:r>
        <w:rPr>
          <w:spacing w:val="-7"/>
        </w:rPr>
        <w:t> </w:t>
      </w:r>
      <w:r>
        <w:rPr/>
        <w:t>eligible</w:t>
      </w:r>
      <w:r>
        <w:rPr>
          <w:spacing w:val="-8"/>
        </w:rPr>
        <w:t> </w:t>
      </w:r>
      <w:r>
        <w:rPr/>
        <w:t>aged beneficiaries to the risk factor changes observed between the 2012 and 2019 ESRD risk adjustment</w:t>
      </w:r>
      <w:r>
        <w:rPr>
          <w:spacing w:val="31"/>
        </w:rPr>
        <w:t> </w:t>
      </w:r>
      <w:r>
        <w:rPr/>
        <w:t>models.</w:t>
      </w:r>
      <w:r>
        <w:rPr>
          <w:spacing w:val="32"/>
        </w:rPr>
        <w:t> </w:t>
      </w:r>
      <w:r>
        <w:rPr/>
        <w:t>Under</w:t>
      </w:r>
      <w:r>
        <w:rPr>
          <w:spacing w:val="31"/>
        </w:rPr>
        <w:t> </w:t>
      </w:r>
      <w:r>
        <w:rPr/>
        <w:t>each</w:t>
      </w:r>
      <w:r>
        <w:rPr>
          <w:spacing w:val="31"/>
        </w:rPr>
        <w:t> </w:t>
      </w:r>
      <w:r>
        <w:rPr/>
        <w:t>model,</w:t>
      </w:r>
      <w:r>
        <w:rPr>
          <w:spacing w:val="32"/>
        </w:rPr>
        <w:t> </w:t>
      </w:r>
      <w:r>
        <w:rPr/>
        <w:t>some</w:t>
      </w:r>
      <w:r>
        <w:rPr>
          <w:spacing w:val="32"/>
        </w:rPr>
        <w:t> </w:t>
      </w:r>
      <w:r>
        <w:rPr/>
        <w:t>HCCs,</w:t>
      </w:r>
      <w:r>
        <w:rPr>
          <w:spacing w:val="32"/>
        </w:rPr>
        <w:t> </w:t>
      </w:r>
      <w:r>
        <w:rPr/>
        <w:t>such</w:t>
      </w:r>
      <w:r>
        <w:rPr>
          <w:spacing w:val="31"/>
        </w:rPr>
        <w:t> </w:t>
      </w:r>
      <w:r>
        <w:rPr/>
        <w:t>as</w:t>
      </w:r>
      <w:r>
        <w:rPr>
          <w:spacing w:val="30"/>
        </w:rPr>
        <w:t> </w:t>
      </w:r>
      <w:r>
        <w:rPr/>
        <w:t>HCC</w:t>
      </w:r>
      <w:r>
        <w:rPr>
          <w:spacing w:val="32"/>
        </w:rPr>
        <w:t> </w:t>
      </w:r>
      <w:r>
        <w:rPr/>
        <w:t>19</w:t>
      </w:r>
      <w:r>
        <w:rPr>
          <w:spacing w:val="32"/>
        </w:rPr>
        <w:t> </w:t>
      </w:r>
      <w:r>
        <w:rPr/>
        <w:t>(Diabetes</w:t>
      </w:r>
      <w:r>
        <w:rPr>
          <w:spacing w:val="30"/>
        </w:rPr>
        <w:t> </w:t>
      </w:r>
      <w:r>
        <w:rPr/>
        <w:t>Without</w:t>
      </w:r>
    </w:p>
    <w:p>
      <w:pPr>
        <w:spacing w:after="0" w:line="259" w:lineRule="auto"/>
        <w:jc w:val="both"/>
        <w:sectPr>
          <w:pgSz w:w="12240" w:h="15840"/>
          <w:pgMar w:header="0" w:footer="722" w:top="1500" w:bottom="920" w:left="1720" w:right="1320"/>
        </w:sectPr>
      </w:pPr>
    </w:p>
    <w:p>
      <w:pPr>
        <w:pStyle w:val="BodyText"/>
        <w:spacing w:line="259" w:lineRule="auto" w:before="79"/>
        <w:ind w:left="440" w:right="319"/>
        <w:jc w:val="both"/>
      </w:pPr>
      <w:r>
        <w:rPr/>
        <w:t>Complications) showed similar decreases in risk factors. For other HCCs, the risk factor decreases under the ESRD model were significantly higher, rather than proportional to decreases under the CMS-HCC model community segment (Figure 4). These results are counterintuitive</w:t>
      </w:r>
      <w:r>
        <w:rPr>
          <w:spacing w:val="-12"/>
        </w:rPr>
        <w:t> </w:t>
      </w:r>
      <w:r>
        <w:rPr/>
        <w:t>and</w:t>
      </w:r>
      <w:r>
        <w:rPr>
          <w:spacing w:val="-13"/>
        </w:rPr>
        <w:t> </w:t>
      </w:r>
      <w:r>
        <w:rPr/>
        <w:t>further</w:t>
      </w:r>
      <w:r>
        <w:rPr>
          <w:spacing w:val="-14"/>
        </w:rPr>
        <w:t> </w:t>
      </w:r>
      <w:r>
        <w:rPr/>
        <w:t>illustrate</w:t>
      </w:r>
      <w:r>
        <w:rPr>
          <w:spacing w:val="-12"/>
        </w:rPr>
        <w:t> </w:t>
      </w:r>
      <w:r>
        <w:rPr/>
        <w:t>the</w:t>
      </w:r>
      <w:r>
        <w:rPr>
          <w:spacing w:val="-12"/>
        </w:rPr>
        <w:t> </w:t>
      </w:r>
      <w:r>
        <w:rPr/>
        <w:t>need</w:t>
      </w:r>
      <w:r>
        <w:rPr>
          <w:spacing w:val="-13"/>
        </w:rPr>
        <w:t> </w:t>
      </w:r>
      <w:r>
        <w:rPr/>
        <w:t>to</w:t>
      </w:r>
      <w:r>
        <w:rPr>
          <w:spacing w:val="-12"/>
        </w:rPr>
        <w:t> </w:t>
      </w:r>
      <w:r>
        <w:rPr/>
        <w:t>reassess</w:t>
      </w:r>
      <w:r>
        <w:rPr>
          <w:spacing w:val="-14"/>
        </w:rPr>
        <w:t> </w:t>
      </w:r>
      <w:r>
        <w:rPr/>
        <w:t>the</w:t>
      </w:r>
      <w:r>
        <w:rPr>
          <w:spacing w:val="-12"/>
        </w:rPr>
        <w:t> </w:t>
      </w:r>
      <w:r>
        <w:rPr/>
        <w:t>implementation</w:t>
      </w:r>
      <w:r>
        <w:rPr>
          <w:spacing w:val="-12"/>
        </w:rPr>
        <w:t> </w:t>
      </w:r>
      <w:r>
        <w:rPr/>
        <w:t>of</w:t>
      </w:r>
      <w:r>
        <w:rPr>
          <w:spacing w:val="-14"/>
        </w:rPr>
        <w:t> </w:t>
      </w:r>
      <w:r>
        <w:rPr/>
        <w:t>the</w:t>
      </w:r>
      <w:r>
        <w:rPr>
          <w:spacing w:val="-12"/>
        </w:rPr>
        <w:t> </w:t>
      </w:r>
      <w:r>
        <w:rPr/>
        <w:t>proposed ESRD model’s</w:t>
      </w:r>
      <w:r>
        <w:rPr>
          <w:spacing w:val="45"/>
        </w:rPr>
        <w:t> </w:t>
      </w:r>
      <w:r>
        <w:rPr/>
        <w:t>recalibration.</w:t>
      </w:r>
    </w:p>
    <w:p>
      <w:pPr>
        <w:pStyle w:val="BodyText"/>
        <w:spacing w:before="7"/>
        <w:rPr>
          <w:sz w:val="25"/>
        </w:rPr>
      </w:pPr>
    </w:p>
    <w:p>
      <w:pPr>
        <w:pStyle w:val="Heading1"/>
        <w:spacing w:line="259" w:lineRule="auto"/>
        <w:ind w:left="2748" w:right="900" w:hanging="1709"/>
        <w:jc w:val="left"/>
      </w:pPr>
      <w:r>
        <w:rPr/>
        <w:t>Figure 4: Comparison of Percent Change in Risk Factors for Select HCCs Under Revised Risk Adjustment Models</w:t>
      </w:r>
    </w:p>
    <w:tbl>
      <w:tblPr>
        <w:tblW w:w="0" w:type="auto"/>
        <w:jc w:val="left"/>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51"/>
        <w:gridCol w:w="2069"/>
        <w:gridCol w:w="1711"/>
      </w:tblGrid>
      <w:tr>
        <w:trPr>
          <w:trHeight w:val="290" w:hRule="exact"/>
        </w:trPr>
        <w:tc>
          <w:tcPr>
            <w:tcW w:w="4951" w:type="dxa"/>
            <w:vMerge w:val="restart"/>
            <w:tcBorders>
              <w:top w:val="nil"/>
              <w:left w:val="nil"/>
            </w:tcBorders>
          </w:tcPr>
          <w:p>
            <w:pPr/>
          </w:p>
        </w:tc>
        <w:tc>
          <w:tcPr>
            <w:tcW w:w="3780" w:type="dxa"/>
            <w:gridSpan w:val="2"/>
          </w:tcPr>
          <w:p>
            <w:pPr>
              <w:pStyle w:val="TableParagraph"/>
              <w:spacing w:before="17"/>
              <w:ind w:left="451"/>
              <w:jc w:val="left"/>
              <w:rPr>
                <w:b/>
                <w:sz w:val="22"/>
              </w:rPr>
            </w:pPr>
            <w:r>
              <w:rPr>
                <w:b/>
                <w:sz w:val="22"/>
              </w:rPr>
              <w:t>Percent Change in Risk Factor</w:t>
            </w:r>
          </w:p>
        </w:tc>
      </w:tr>
      <w:tr>
        <w:trPr>
          <w:trHeight w:val="754" w:hRule="exact"/>
        </w:trPr>
        <w:tc>
          <w:tcPr>
            <w:tcW w:w="4951" w:type="dxa"/>
            <w:vMerge/>
            <w:tcBorders>
              <w:left w:val="nil"/>
            </w:tcBorders>
          </w:tcPr>
          <w:p>
            <w:pPr/>
          </w:p>
        </w:tc>
        <w:tc>
          <w:tcPr>
            <w:tcW w:w="2069" w:type="dxa"/>
          </w:tcPr>
          <w:p>
            <w:pPr>
              <w:pStyle w:val="TableParagraph"/>
              <w:spacing w:line="247" w:lineRule="exact" w:before="0"/>
              <w:ind w:left="119" w:right="124"/>
              <w:rPr>
                <w:b/>
                <w:sz w:val="22"/>
              </w:rPr>
            </w:pPr>
            <w:r>
              <w:rPr>
                <w:b/>
                <w:sz w:val="22"/>
              </w:rPr>
              <w:t>2014 Community v.</w:t>
            </w:r>
          </w:p>
          <w:p>
            <w:pPr>
              <w:pStyle w:val="TableParagraph"/>
              <w:spacing w:line="242" w:lineRule="auto" w:before="0"/>
              <w:ind w:left="244" w:right="247"/>
              <w:rPr>
                <w:b/>
                <w:sz w:val="22"/>
              </w:rPr>
            </w:pPr>
            <w:r>
              <w:rPr>
                <w:b/>
                <w:sz w:val="22"/>
              </w:rPr>
              <w:t>2017 Community Non-Dual Aged</w:t>
            </w:r>
          </w:p>
        </w:tc>
        <w:tc>
          <w:tcPr>
            <w:tcW w:w="1711" w:type="dxa"/>
          </w:tcPr>
          <w:p>
            <w:pPr>
              <w:pStyle w:val="TableParagraph"/>
              <w:spacing w:line="247" w:lineRule="exact" w:before="125"/>
              <w:ind w:left="319"/>
              <w:jc w:val="left"/>
              <w:rPr>
                <w:b/>
                <w:sz w:val="22"/>
              </w:rPr>
            </w:pPr>
            <w:r>
              <w:rPr>
                <w:b/>
                <w:sz w:val="22"/>
              </w:rPr>
              <w:t>2012 v. 2019</w:t>
            </w:r>
          </w:p>
          <w:p>
            <w:pPr>
              <w:pStyle w:val="TableParagraph"/>
              <w:spacing w:before="0"/>
              <w:ind w:left="225"/>
              <w:jc w:val="left"/>
              <w:rPr>
                <w:b/>
                <w:sz w:val="22"/>
              </w:rPr>
            </w:pPr>
            <w:r>
              <w:rPr>
                <w:b/>
                <w:sz w:val="22"/>
              </w:rPr>
              <w:t>ESRD Model</w:t>
            </w:r>
          </w:p>
        </w:tc>
      </w:tr>
      <w:tr>
        <w:trPr>
          <w:trHeight w:val="298" w:hRule="exact"/>
        </w:trPr>
        <w:tc>
          <w:tcPr>
            <w:tcW w:w="4951" w:type="dxa"/>
          </w:tcPr>
          <w:p>
            <w:pPr>
              <w:pStyle w:val="TableParagraph"/>
              <w:spacing w:before="40"/>
              <w:ind w:left="103"/>
              <w:jc w:val="left"/>
              <w:rPr>
                <w:b/>
                <w:sz w:val="22"/>
              </w:rPr>
            </w:pPr>
            <w:r>
              <w:rPr>
                <w:b/>
                <w:sz w:val="22"/>
              </w:rPr>
              <w:t>HCC 19 Diabetes Without Complications</w:t>
            </w:r>
          </w:p>
        </w:tc>
        <w:tc>
          <w:tcPr>
            <w:tcW w:w="2069" w:type="dxa"/>
          </w:tcPr>
          <w:p>
            <w:pPr>
              <w:pStyle w:val="TableParagraph"/>
              <w:spacing w:before="19"/>
              <w:ind w:right="816"/>
              <w:jc w:val="right"/>
              <w:rPr>
                <w:sz w:val="22"/>
              </w:rPr>
            </w:pPr>
            <w:r>
              <w:rPr>
                <w:sz w:val="22"/>
              </w:rPr>
              <w:t>-11.9</w:t>
            </w:r>
          </w:p>
        </w:tc>
        <w:tc>
          <w:tcPr>
            <w:tcW w:w="1711" w:type="dxa"/>
          </w:tcPr>
          <w:p>
            <w:pPr>
              <w:pStyle w:val="TableParagraph"/>
              <w:spacing w:before="19"/>
              <w:ind w:left="617" w:right="617"/>
              <w:rPr>
                <w:sz w:val="22"/>
              </w:rPr>
            </w:pPr>
            <w:r>
              <w:rPr>
                <w:sz w:val="22"/>
              </w:rPr>
              <w:t>-12.0</w:t>
            </w:r>
          </w:p>
        </w:tc>
      </w:tr>
      <w:tr>
        <w:trPr>
          <w:trHeight w:val="298" w:hRule="exact"/>
        </w:trPr>
        <w:tc>
          <w:tcPr>
            <w:tcW w:w="4951" w:type="dxa"/>
          </w:tcPr>
          <w:p>
            <w:pPr>
              <w:pStyle w:val="TableParagraph"/>
              <w:spacing w:before="40"/>
              <w:ind w:left="103"/>
              <w:jc w:val="left"/>
              <w:rPr>
                <w:b/>
                <w:sz w:val="22"/>
              </w:rPr>
            </w:pPr>
            <w:r>
              <w:rPr>
                <w:b/>
                <w:sz w:val="22"/>
              </w:rPr>
              <w:t>HCC 22 Morbid Obesity</w:t>
            </w:r>
          </w:p>
        </w:tc>
        <w:tc>
          <w:tcPr>
            <w:tcW w:w="2069" w:type="dxa"/>
          </w:tcPr>
          <w:p>
            <w:pPr>
              <w:pStyle w:val="TableParagraph"/>
              <w:spacing w:before="19"/>
              <w:ind w:right="816"/>
              <w:jc w:val="right"/>
              <w:rPr>
                <w:sz w:val="22"/>
              </w:rPr>
            </w:pPr>
            <w:r>
              <w:rPr>
                <w:sz w:val="22"/>
              </w:rPr>
              <w:t>-25.2</w:t>
            </w:r>
          </w:p>
        </w:tc>
        <w:tc>
          <w:tcPr>
            <w:tcW w:w="1711" w:type="dxa"/>
          </w:tcPr>
          <w:p>
            <w:pPr>
              <w:pStyle w:val="TableParagraph"/>
              <w:spacing w:before="19"/>
              <w:ind w:left="617" w:right="617"/>
              <w:rPr>
                <w:sz w:val="22"/>
              </w:rPr>
            </w:pPr>
            <w:r>
              <w:rPr>
                <w:sz w:val="22"/>
              </w:rPr>
              <w:t>-44.7</w:t>
            </w:r>
          </w:p>
        </w:tc>
      </w:tr>
      <w:tr>
        <w:trPr>
          <w:trHeight w:val="298" w:hRule="exact"/>
        </w:trPr>
        <w:tc>
          <w:tcPr>
            <w:tcW w:w="4951" w:type="dxa"/>
          </w:tcPr>
          <w:p>
            <w:pPr>
              <w:pStyle w:val="TableParagraph"/>
              <w:spacing w:before="40"/>
              <w:ind w:left="103"/>
              <w:jc w:val="left"/>
              <w:rPr>
                <w:b/>
                <w:sz w:val="22"/>
              </w:rPr>
            </w:pPr>
            <w:r>
              <w:rPr>
                <w:b/>
                <w:sz w:val="22"/>
              </w:rPr>
              <w:t>HCC 84 Cardio-Respiratory Failure and Shock</w:t>
            </w:r>
          </w:p>
        </w:tc>
        <w:tc>
          <w:tcPr>
            <w:tcW w:w="2069" w:type="dxa"/>
          </w:tcPr>
          <w:p>
            <w:pPr>
              <w:pStyle w:val="TableParagraph"/>
              <w:spacing w:before="21"/>
              <w:ind w:right="868"/>
              <w:jc w:val="right"/>
              <w:rPr>
                <w:sz w:val="22"/>
              </w:rPr>
            </w:pPr>
            <w:r>
              <w:rPr>
                <w:sz w:val="22"/>
              </w:rPr>
              <w:t>-8.2</w:t>
            </w:r>
          </w:p>
        </w:tc>
        <w:tc>
          <w:tcPr>
            <w:tcW w:w="1711" w:type="dxa"/>
          </w:tcPr>
          <w:p>
            <w:pPr>
              <w:pStyle w:val="TableParagraph"/>
              <w:spacing w:before="21"/>
              <w:ind w:left="617" w:right="617"/>
              <w:rPr>
                <w:sz w:val="22"/>
              </w:rPr>
            </w:pPr>
            <w:r>
              <w:rPr>
                <w:sz w:val="22"/>
              </w:rPr>
              <w:t>-29.0</w:t>
            </w:r>
          </w:p>
        </w:tc>
      </w:tr>
      <w:tr>
        <w:trPr>
          <w:trHeight w:val="506" w:hRule="exact"/>
        </w:trPr>
        <w:tc>
          <w:tcPr>
            <w:tcW w:w="4951" w:type="dxa"/>
          </w:tcPr>
          <w:p>
            <w:pPr>
              <w:pStyle w:val="TableParagraph"/>
              <w:spacing w:before="0"/>
              <w:ind w:left="103" w:right="546"/>
              <w:jc w:val="left"/>
              <w:rPr>
                <w:b/>
                <w:sz w:val="22"/>
              </w:rPr>
            </w:pPr>
            <w:r>
              <w:rPr>
                <w:b/>
                <w:sz w:val="22"/>
              </w:rPr>
              <w:t>HCC 48 Coagulation Defects, Other Specified Hematological Disorders</w:t>
            </w:r>
          </w:p>
        </w:tc>
        <w:tc>
          <w:tcPr>
            <w:tcW w:w="2069" w:type="dxa"/>
          </w:tcPr>
          <w:p>
            <w:pPr>
              <w:pStyle w:val="TableParagraph"/>
              <w:spacing w:before="125"/>
              <w:ind w:right="816"/>
              <w:jc w:val="right"/>
              <w:rPr>
                <w:sz w:val="22"/>
              </w:rPr>
            </w:pPr>
            <w:r>
              <w:rPr>
                <w:sz w:val="22"/>
              </w:rPr>
              <w:t>-12.3</w:t>
            </w:r>
          </w:p>
        </w:tc>
        <w:tc>
          <w:tcPr>
            <w:tcW w:w="1711" w:type="dxa"/>
          </w:tcPr>
          <w:p>
            <w:pPr>
              <w:pStyle w:val="TableParagraph"/>
              <w:spacing w:before="125"/>
              <w:ind w:left="617" w:right="617"/>
              <w:rPr>
                <w:sz w:val="22"/>
              </w:rPr>
            </w:pPr>
            <w:r>
              <w:rPr>
                <w:sz w:val="22"/>
              </w:rPr>
              <w:t>-22.4</w:t>
            </w:r>
          </w:p>
        </w:tc>
      </w:tr>
    </w:tbl>
    <w:p>
      <w:pPr>
        <w:spacing w:before="0"/>
        <w:ind w:left="440" w:right="0" w:firstLine="0"/>
        <w:jc w:val="both"/>
        <w:rPr>
          <w:sz w:val="22"/>
        </w:rPr>
      </w:pPr>
      <w:r>
        <w:rPr>
          <w:sz w:val="22"/>
        </w:rPr>
        <w:t>Source: DaVita analysis of CMS data</w:t>
      </w:r>
    </w:p>
    <w:p>
      <w:pPr>
        <w:pStyle w:val="BodyText"/>
        <w:spacing w:before="5"/>
        <w:rPr>
          <w:sz w:val="27"/>
        </w:rPr>
      </w:pPr>
    </w:p>
    <w:p>
      <w:pPr>
        <w:pStyle w:val="BodyText"/>
        <w:spacing w:line="259" w:lineRule="auto"/>
        <w:ind w:left="439" w:right="314"/>
        <w:jc w:val="both"/>
      </w:pPr>
      <w:r>
        <w:rPr/>
        <w:t>To validate these observations and since DaVita does not have access to the 2014 data and HCC percentages CMS applied in recalibrating the model, we used other sources to estimate required</w:t>
      </w:r>
      <w:r>
        <w:rPr>
          <w:spacing w:val="-14"/>
        </w:rPr>
        <w:t> </w:t>
      </w:r>
      <w:r>
        <w:rPr/>
        <w:t>comorbidity</w:t>
      </w:r>
      <w:r>
        <w:rPr>
          <w:spacing w:val="-13"/>
        </w:rPr>
        <w:t> </w:t>
      </w:r>
      <w:r>
        <w:rPr/>
        <w:t>risk</w:t>
      </w:r>
      <w:r>
        <w:rPr>
          <w:spacing w:val="-16"/>
        </w:rPr>
        <w:t> </w:t>
      </w:r>
      <w:r>
        <w:rPr/>
        <w:t>factor</w:t>
      </w:r>
      <w:r>
        <w:rPr>
          <w:spacing w:val="-15"/>
        </w:rPr>
        <w:t> </w:t>
      </w:r>
      <w:r>
        <w:rPr/>
        <w:t>average</w:t>
      </w:r>
      <w:r>
        <w:rPr>
          <w:spacing w:val="-13"/>
        </w:rPr>
        <w:t> </w:t>
      </w:r>
      <w:r>
        <w:rPr/>
        <w:t>scores</w:t>
      </w:r>
      <w:r>
        <w:rPr>
          <w:spacing w:val="-15"/>
        </w:rPr>
        <w:t> </w:t>
      </w:r>
      <w:r>
        <w:rPr/>
        <w:t>necessary</w:t>
      </w:r>
      <w:r>
        <w:rPr>
          <w:spacing w:val="-13"/>
        </w:rPr>
        <w:t> </w:t>
      </w:r>
      <w:r>
        <w:rPr/>
        <w:t>to</w:t>
      </w:r>
      <w:r>
        <w:rPr>
          <w:spacing w:val="-14"/>
        </w:rPr>
        <w:t> </w:t>
      </w:r>
      <w:r>
        <w:rPr/>
        <w:t>offset</w:t>
      </w:r>
      <w:r>
        <w:rPr>
          <w:spacing w:val="-14"/>
        </w:rPr>
        <w:t> </w:t>
      </w:r>
      <w:r>
        <w:rPr/>
        <w:t>the</w:t>
      </w:r>
      <w:r>
        <w:rPr>
          <w:spacing w:val="-13"/>
        </w:rPr>
        <w:t> </w:t>
      </w:r>
      <w:r>
        <w:rPr/>
        <w:t>demographic</w:t>
      </w:r>
      <w:r>
        <w:rPr>
          <w:spacing w:val="-13"/>
        </w:rPr>
        <w:t> </w:t>
      </w:r>
      <w:r>
        <w:rPr/>
        <w:t>risk</w:t>
      </w:r>
      <w:r>
        <w:rPr>
          <w:spacing w:val="-14"/>
        </w:rPr>
        <w:t> </w:t>
      </w:r>
      <w:r>
        <w:rPr/>
        <w:t>factor declines and ensure the 2019 model’s neutrality. After estimating the number of HCCs the average MA ESRD enrollee has, we calculated the simple and weighted average HCC risk factor improvement between the 2012 and 2019 models using our own data. Based on these internal estimates, an MA plan would need to have beneficiaries with approximately two to three additional HCCs than its current enrollment to offset the average -0.06 female ESRD demographic risk factor reduction and approximately three to 4.5 additional HCCs than its current</w:t>
      </w:r>
      <w:r>
        <w:rPr>
          <w:spacing w:val="-6"/>
        </w:rPr>
        <w:t> </w:t>
      </w:r>
      <w:r>
        <w:rPr/>
        <w:t>enrollment</w:t>
      </w:r>
      <w:r>
        <w:rPr>
          <w:spacing w:val="-6"/>
        </w:rPr>
        <w:t> </w:t>
      </w:r>
      <w:r>
        <w:rPr/>
        <w:t>to</w:t>
      </w:r>
      <w:r>
        <w:rPr>
          <w:spacing w:val="-6"/>
        </w:rPr>
        <w:t> </w:t>
      </w:r>
      <w:r>
        <w:rPr/>
        <w:t>offset</w:t>
      </w:r>
      <w:r>
        <w:rPr>
          <w:spacing w:val="-6"/>
        </w:rPr>
        <w:t> </w:t>
      </w:r>
      <w:r>
        <w:rPr/>
        <w:t>the</w:t>
      </w:r>
      <w:r>
        <w:rPr>
          <w:spacing w:val="-5"/>
        </w:rPr>
        <w:t> </w:t>
      </w:r>
      <w:r>
        <w:rPr/>
        <w:t>average</w:t>
      </w:r>
      <w:r>
        <w:rPr>
          <w:spacing w:val="-5"/>
        </w:rPr>
        <w:t> </w:t>
      </w:r>
      <w:r>
        <w:rPr/>
        <w:t>-0.09</w:t>
      </w:r>
      <w:r>
        <w:rPr>
          <w:spacing w:val="-6"/>
        </w:rPr>
        <w:t> </w:t>
      </w:r>
      <w:r>
        <w:rPr/>
        <w:t>male</w:t>
      </w:r>
      <w:r>
        <w:rPr>
          <w:spacing w:val="-5"/>
        </w:rPr>
        <w:t> </w:t>
      </w:r>
      <w:r>
        <w:rPr/>
        <w:t>ESRD</w:t>
      </w:r>
      <w:r>
        <w:rPr>
          <w:spacing w:val="-6"/>
        </w:rPr>
        <w:t> </w:t>
      </w:r>
      <w:r>
        <w:rPr/>
        <w:t>demographic</w:t>
      </w:r>
      <w:r>
        <w:rPr>
          <w:spacing w:val="-5"/>
        </w:rPr>
        <w:t> </w:t>
      </w:r>
      <w:r>
        <w:rPr/>
        <w:t>risk</w:t>
      </w:r>
      <w:r>
        <w:rPr>
          <w:spacing w:val="-6"/>
        </w:rPr>
        <w:t> </w:t>
      </w:r>
      <w:r>
        <w:rPr/>
        <w:t>factor</w:t>
      </w:r>
      <w:r>
        <w:rPr>
          <w:spacing w:val="-7"/>
        </w:rPr>
        <w:t> </w:t>
      </w:r>
      <w:r>
        <w:rPr/>
        <w:t>reduction. Absent this offset, the resulting average comorbidity risk factor score falls short of offsetting the demographic risk factor score (Figure</w:t>
      </w:r>
      <w:r>
        <w:rPr>
          <w:spacing w:val="-24"/>
        </w:rPr>
        <w:t> </w:t>
      </w:r>
      <w:r>
        <w:rPr/>
        <w:t>5).</w:t>
      </w:r>
    </w:p>
    <w:p>
      <w:pPr>
        <w:pStyle w:val="BodyText"/>
        <w:spacing w:before="10"/>
        <w:rPr>
          <w:sz w:val="25"/>
        </w:rPr>
      </w:pPr>
    </w:p>
    <w:p>
      <w:pPr>
        <w:pStyle w:val="BodyText"/>
        <w:spacing w:line="259" w:lineRule="auto"/>
        <w:ind w:left="440" w:right="314"/>
        <w:jc w:val="both"/>
      </w:pPr>
      <w:r>
        <w:rPr/>
        <w:t>In</w:t>
      </w:r>
      <w:r>
        <w:rPr>
          <w:spacing w:val="-15"/>
        </w:rPr>
        <w:t> </w:t>
      </w:r>
      <w:r>
        <w:rPr/>
        <w:t>conclusion,</w:t>
      </w:r>
      <w:r>
        <w:rPr>
          <w:spacing w:val="-14"/>
        </w:rPr>
        <w:t> </w:t>
      </w:r>
      <w:r>
        <w:rPr/>
        <w:t>our</w:t>
      </w:r>
      <w:r>
        <w:rPr>
          <w:spacing w:val="-13"/>
        </w:rPr>
        <w:t> </w:t>
      </w:r>
      <w:r>
        <w:rPr/>
        <w:t>analysis</w:t>
      </w:r>
      <w:r>
        <w:rPr>
          <w:spacing w:val="-16"/>
        </w:rPr>
        <w:t> </w:t>
      </w:r>
      <w:r>
        <w:rPr/>
        <w:t>indicates</w:t>
      </w:r>
      <w:r>
        <w:rPr>
          <w:spacing w:val="-16"/>
        </w:rPr>
        <w:t> </w:t>
      </w:r>
      <w:r>
        <w:rPr/>
        <w:t>that</w:t>
      </w:r>
      <w:r>
        <w:rPr>
          <w:spacing w:val="-15"/>
        </w:rPr>
        <w:t> </w:t>
      </w:r>
      <w:r>
        <w:rPr/>
        <w:t>for</w:t>
      </w:r>
      <w:r>
        <w:rPr>
          <w:spacing w:val="-13"/>
        </w:rPr>
        <w:t> </w:t>
      </w:r>
      <w:r>
        <w:rPr/>
        <w:t>the</w:t>
      </w:r>
      <w:r>
        <w:rPr>
          <w:spacing w:val="-14"/>
        </w:rPr>
        <w:t> </w:t>
      </w:r>
      <w:r>
        <w:rPr/>
        <w:t>majority</w:t>
      </w:r>
      <w:r>
        <w:rPr>
          <w:spacing w:val="-14"/>
        </w:rPr>
        <w:t> </w:t>
      </w:r>
      <w:r>
        <w:rPr/>
        <w:t>of</w:t>
      </w:r>
      <w:r>
        <w:rPr>
          <w:spacing w:val="-15"/>
        </w:rPr>
        <w:t> </w:t>
      </w:r>
      <w:r>
        <w:rPr/>
        <w:t>beneficiaries</w:t>
      </w:r>
      <w:r>
        <w:rPr>
          <w:spacing w:val="-16"/>
        </w:rPr>
        <w:t> </w:t>
      </w:r>
      <w:r>
        <w:rPr/>
        <w:t>with</w:t>
      </w:r>
      <w:r>
        <w:rPr>
          <w:spacing w:val="-15"/>
        </w:rPr>
        <w:t> </w:t>
      </w:r>
      <w:r>
        <w:rPr/>
        <w:t>ESRD,</w:t>
      </w:r>
      <w:r>
        <w:rPr>
          <w:spacing w:val="-14"/>
        </w:rPr>
        <w:t> </w:t>
      </w:r>
      <w:r>
        <w:rPr/>
        <w:t>the</w:t>
      </w:r>
      <w:r>
        <w:rPr>
          <w:spacing w:val="-14"/>
        </w:rPr>
        <w:t> </w:t>
      </w:r>
      <w:r>
        <w:rPr/>
        <w:t>2019 model will produce a significant decrease in the risk scores attributable to the demographic risk factor decline, while increasing risk scores for only a very small segment of beneficiaries with</w:t>
      </w:r>
      <w:r>
        <w:rPr>
          <w:spacing w:val="-18"/>
        </w:rPr>
        <w:t> </w:t>
      </w:r>
      <w:r>
        <w:rPr/>
        <w:t>ESRD</w:t>
      </w:r>
      <w:r>
        <w:rPr>
          <w:spacing w:val="-18"/>
        </w:rPr>
        <w:t> </w:t>
      </w:r>
      <w:r>
        <w:rPr/>
        <w:t>who</w:t>
      </w:r>
      <w:r>
        <w:rPr>
          <w:spacing w:val="-18"/>
        </w:rPr>
        <w:t> </w:t>
      </w:r>
      <w:r>
        <w:rPr/>
        <w:t>have</w:t>
      </w:r>
      <w:r>
        <w:rPr>
          <w:spacing w:val="-17"/>
        </w:rPr>
        <w:t> </w:t>
      </w:r>
      <w:r>
        <w:rPr/>
        <w:t>high</w:t>
      </w:r>
      <w:r>
        <w:rPr>
          <w:spacing w:val="-19"/>
        </w:rPr>
        <w:t> </w:t>
      </w:r>
      <w:r>
        <w:rPr/>
        <w:t>HCC</w:t>
      </w:r>
      <w:r>
        <w:rPr>
          <w:spacing w:val="-17"/>
        </w:rPr>
        <w:t> </w:t>
      </w:r>
      <w:r>
        <w:rPr/>
        <w:t>counts.</w:t>
      </w:r>
      <w:r>
        <w:rPr>
          <w:spacing w:val="-18"/>
        </w:rPr>
        <w:t> </w:t>
      </w:r>
      <w:r>
        <w:rPr/>
        <w:t>The</w:t>
      </w:r>
      <w:r>
        <w:rPr>
          <w:spacing w:val="-17"/>
        </w:rPr>
        <w:t> </w:t>
      </w:r>
      <w:r>
        <w:rPr/>
        <w:t>result</w:t>
      </w:r>
      <w:r>
        <w:rPr>
          <w:spacing w:val="-18"/>
        </w:rPr>
        <w:t> </w:t>
      </w:r>
      <w:r>
        <w:rPr/>
        <w:t>is</w:t>
      </w:r>
      <w:r>
        <w:rPr>
          <w:spacing w:val="-18"/>
        </w:rPr>
        <w:t> </w:t>
      </w:r>
      <w:r>
        <w:rPr/>
        <w:t>a</w:t>
      </w:r>
      <w:r>
        <w:rPr>
          <w:spacing w:val="-17"/>
        </w:rPr>
        <w:t> </w:t>
      </w:r>
      <w:r>
        <w:rPr/>
        <w:t>net</w:t>
      </w:r>
      <w:r>
        <w:rPr>
          <w:spacing w:val="-18"/>
        </w:rPr>
        <w:t> </w:t>
      </w:r>
      <w:r>
        <w:rPr/>
        <w:t>decrease</w:t>
      </w:r>
      <w:r>
        <w:rPr>
          <w:spacing w:val="-17"/>
        </w:rPr>
        <w:t> </w:t>
      </w:r>
      <w:r>
        <w:rPr/>
        <w:t>in</w:t>
      </w:r>
      <w:r>
        <w:rPr>
          <w:spacing w:val="-18"/>
        </w:rPr>
        <w:t> </w:t>
      </w:r>
      <w:r>
        <w:rPr/>
        <w:t>nearly</w:t>
      </w:r>
      <w:r>
        <w:rPr>
          <w:spacing w:val="-18"/>
        </w:rPr>
        <w:t> </w:t>
      </w:r>
      <w:r>
        <w:rPr/>
        <w:t>all</w:t>
      </w:r>
      <w:r>
        <w:rPr>
          <w:spacing w:val="-19"/>
        </w:rPr>
        <w:t> </w:t>
      </w:r>
      <w:r>
        <w:rPr/>
        <w:t>circumstances. Given</w:t>
      </w:r>
      <w:r>
        <w:rPr>
          <w:spacing w:val="-18"/>
        </w:rPr>
        <w:t> </w:t>
      </w:r>
      <w:r>
        <w:rPr/>
        <w:t>these</w:t>
      </w:r>
      <w:r>
        <w:rPr>
          <w:spacing w:val="-17"/>
        </w:rPr>
        <w:t> </w:t>
      </w:r>
      <w:r>
        <w:rPr/>
        <w:t>outcomes</w:t>
      </w:r>
      <w:r>
        <w:rPr>
          <w:spacing w:val="-19"/>
        </w:rPr>
        <w:t> </w:t>
      </w:r>
      <w:r>
        <w:rPr/>
        <w:t>and</w:t>
      </w:r>
      <w:r>
        <w:rPr>
          <w:spacing w:val="-20"/>
        </w:rPr>
        <w:t> </w:t>
      </w:r>
      <w:r>
        <w:rPr/>
        <w:t>the</w:t>
      </w:r>
      <w:r>
        <w:rPr>
          <w:spacing w:val="-17"/>
        </w:rPr>
        <w:t> </w:t>
      </w:r>
      <w:r>
        <w:rPr/>
        <w:t>destabilizing</w:t>
      </w:r>
      <w:r>
        <w:rPr>
          <w:spacing w:val="-17"/>
        </w:rPr>
        <w:t> </w:t>
      </w:r>
      <w:r>
        <w:rPr/>
        <w:t>effect</w:t>
      </w:r>
      <w:r>
        <w:rPr>
          <w:spacing w:val="-18"/>
        </w:rPr>
        <w:t> </w:t>
      </w:r>
      <w:r>
        <w:rPr/>
        <w:t>they</w:t>
      </w:r>
      <w:r>
        <w:rPr>
          <w:spacing w:val="-17"/>
        </w:rPr>
        <w:t> </w:t>
      </w:r>
      <w:r>
        <w:rPr/>
        <w:t>will</w:t>
      </w:r>
      <w:r>
        <w:rPr>
          <w:spacing w:val="-18"/>
        </w:rPr>
        <w:t> </w:t>
      </w:r>
      <w:r>
        <w:rPr/>
        <w:t>have</w:t>
      </w:r>
      <w:r>
        <w:rPr>
          <w:spacing w:val="-17"/>
        </w:rPr>
        <w:t> </w:t>
      </w:r>
      <w:r>
        <w:rPr/>
        <w:t>on</w:t>
      </w:r>
      <w:r>
        <w:rPr>
          <w:spacing w:val="-18"/>
        </w:rPr>
        <w:t> </w:t>
      </w:r>
      <w:r>
        <w:rPr/>
        <w:t>MA</w:t>
      </w:r>
      <w:r>
        <w:rPr>
          <w:spacing w:val="-17"/>
        </w:rPr>
        <w:t> </w:t>
      </w:r>
      <w:r>
        <w:rPr/>
        <w:t>plans</w:t>
      </w:r>
      <w:r>
        <w:rPr>
          <w:spacing w:val="-19"/>
        </w:rPr>
        <w:t> </w:t>
      </w:r>
      <w:r>
        <w:rPr/>
        <w:t>and</w:t>
      </w:r>
      <w:r>
        <w:rPr>
          <w:spacing w:val="-18"/>
        </w:rPr>
        <w:t> </w:t>
      </w:r>
      <w:r>
        <w:rPr/>
        <w:t>beneficiaries with ESRD, DaVita urges CMS to temper the model recalibration or focus the recalibration only on comorbidities and not include demographic risk factor changes. Postponing implementation</w:t>
      </w:r>
      <w:r>
        <w:rPr>
          <w:spacing w:val="-3"/>
        </w:rPr>
        <w:t> </w:t>
      </w:r>
      <w:r>
        <w:rPr/>
        <w:t>of</w:t>
      </w:r>
      <w:r>
        <w:rPr>
          <w:spacing w:val="-7"/>
        </w:rPr>
        <w:t> </w:t>
      </w:r>
      <w:r>
        <w:rPr/>
        <w:t>a</w:t>
      </w:r>
      <w:r>
        <w:rPr>
          <w:spacing w:val="-3"/>
        </w:rPr>
        <w:t> </w:t>
      </w:r>
      <w:r>
        <w:rPr/>
        <w:t>new</w:t>
      </w:r>
      <w:r>
        <w:rPr>
          <w:spacing w:val="-5"/>
        </w:rPr>
        <w:t> </w:t>
      </w:r>
      <w:r>
        <w:rPr/>
        <w:t>ESRD</w:t>
      </w:r>
      <w:r>
        <w:rPr>
          <w:spacing w:val="-4"/>
        </w:rPr>
        <w:t> </w:t>
      </w:r>
      <w:r>
        <w:rPr/>
        <w:t>risk</w:t>
      </w:r>
      <w:r>
        <w:rPr>
          <w:spacing w:val="-6"/>
        </w:rPr>
        <w:t> </w:t>
      </w:r>
      <w:r>
        <w:rPr/>
        <w:t>adjustment</w:t>
      </w:r>
      <w:r>
        <w:rPr>
          <w:spacing w:val="-4"/>
        </w:rPr>
        <w:t> </w:t>
      </w:r>
      <w:r>
        <w:rPr/>
        <w:t>model</w:t>
      </w:r>
      <w:r>
        <w:rPr>
          <w:spacing w:val="-3"/>
        </w:rPr>
        <w:t> </w:t>
      </w:r>
      <w:r>
        <w:rPr/>
        <w:t>until</w:t>
      </w:r>
      <w:r>
        <w:rPr>
          <w:spacing w:val="-6"/>
        </w:rPr>
        <w:t> </w:t>
      </w:r>
      <w:r>
        <w:rPr/>
        <w:t>CMS</w:t>
      </w:r>
      <w:r>
        <w:rPr>
          <w:spacing w:val="-3"/>
        </w:rPr>
        <w:t> </w:t>
      </w:r>
      <w:r>
        <w:rPr/>
        <w:t>has</w:t>
      </w:r>
      <w:r>
        <w:rPr>
          <w:spacing w:val="-5"/>
        </w:rPr>
        <w:t> </w:t>
      </w:r>
      <w:r>
        <w:rPr/>
        <w:t>had</w:t>
      </w:r>
      <w:r>
        <w:rPr>
          <w:spacing w:val="-3"/>
        </w:rPr>
        <w:t> </w:t>
      </w:r>
      <w:r>
        <w:rPr/>
        <w:t>the</w:t>
      </w:r>
      <w:r>
        <w:rPr>
          <w:spacing w:val="-7"/>
        </w:rPr>
        <w:t> </w:t>
      </w:r>
      <w:r>
        <w:rPr/>
        <w:t>opportunity</w:t>
      </w:r>
      <w:r>
        <w:rPr>
          <w:spacing w:val="-3"/>
        </w:rPr>
        <w:t> </w:t>
      </w:r>
      <w:r>
        <w:rPr/>
        <w:t>to validate</w:t>
      </w:r>
      <w:r>
        <w:rPr>
          <w:spacing w:val="-16"/>
        </w:rPr>
        <w:t> </w:t>
      </w:r>
      <w:r>
        <w:rPr/>
        <w:t>the</w:t>
      </w:r>
      <w:r>
        <w:rPr>
          <w:spacing w:val="-16"/>
        </w:rPr>
        <w:t> </w:t>
      </w:r>
      <w:r>
        <w:rPr/>
        <w:t>results</w:t>
      </w:r>
      <w:r>
        <w:rPr>
          <w:spacing w:val="-18"/>
        </w:rPr>
        <w:t> </w:t>
      </w:r>
      <w:r>
        <w:rPr/>
        <w:t>on</w:t>
      </w:r>
      <w:r>
        <w:rPr>
          <w:spacing w:val="-16"/>
        </w:rPr>
        <w:t> </w:t>
      </w:r>
      <w:r>
        <w:rPr/>
        <w:t>the</w:t>
      </w:r>
      <w:r>
        <w:rPr>
          <w:spacing w:val="-16"/>
        </w:rPr>
        <w:t> </w:t>
      </w:r>
      <w:r>
        <w:rPr/>
        <w:t>existing</w:t>
      </w:r>
      <w:r>
        <w:rPr>
          <w:spacing w:val="-16"/>
        </w:rPr>
        <w:t> </w:t>
      </w:r>
      <w:r>
        <w:rPr/>
        <w:t>MA</w:t>
      </w:r>
      <w:r>
        <w:rPr>
          <w:spacing w:val="-16"/>
        </w:rPr>
        <w:t> </w:t>
      </w:r>
      <w:r>
        <w:rPr/>
        <w:t>ESRD</w:t>
      </w:r>
      <w:r>
        <w:rPr>
          <w:spacing w:val="-19"/>
        </w:rPr>
        <w:t> </w:t>
      </w:r>
      <w:r>
        <w:rPr/>
        <w:t>population</w:t>
      </w:r>
      <w:r>
        <w:rPr>
          <w:spacing w:val="-17"/>
        </w:rPr>
        <w:t> </w:t>
      </w:r>
      <w:r>
        <w:rPr/>
        <w:t>and</w:t>
      </w:r>
      <w:r>
        <w:rPr>
          <w:spacing w:val="-16"/>
        </w:rPr>
        <w:t> </w:t>
      </w:r>
      <w:r>
        <w:rPr/>
        <w:t>made</w:t>
      </w:r>
      <w:r>
        <w:rPr>
          <w:spacing w:val="-16"/>
        </w:rPr>
        <w:t> </w:t>
      </w:r>
      <w:r>
        <w:rPr/>
        <w:t>any</w:t>
      </w:r>
      <w:r>
        <w:rPr>
          <w:spacing w:val="-18"/>
        </w:rPr>
        <w:t> </w:t>
      </w:r>
      <w:r>
        <w:rPr/>
        <w:t>necessary</w:t>
      </w:r>
      <w:r>
        <w:rPr>
          <w:spacing w:val="-16"/>
        </w:rPr>
        <w:t> </w:t>
      </w:r>
      <w:r>
        <w:rPr/>
        <w:t>adjustments, then phasing-in the revised risk factors, will increase stakeholders’ confidence in the model when MA eligibility rules change for beneficiaries with ESRD in</w:t>
      </w:r>
      <w:r>
        <w:rPr>
          <w:spacing w:val="-30"/>
        </w:rPr>
        <w:t> </w:t>
      </w:r>
      <w:r>
        <w:rPr/>
        <w:t>2021.</w:t>
      </w:r>
    </w:p>
    <w:p>
      <w:pPr>
        <w:spacing w:after="0" w:line="259" w:lineRule="auto"/>
        <w:jc w:val="both"/>
        <w:sectPr>
          <w:pgSz w:w="12240" w:h="15840"/>
          <w:pgMar w:header="0" w:footer="722" w:top="640" w:bottom="920" w:left="1720" w:right="1120"/>
        </w:sectPr>
      </w:pPr>
    </w:p>
    <w:p>
      <w:pPr>
        <w:pStyle w:val="Heading1"/>
        <w:spacing w:before="79"/>
        <w:ind w:left="1163"/>
        <w:jc w:val="left"/>
      </w:pPr>
      <w:r>
        <w:rPr/>
        <w:pict>
          <v:group style="position:absolute;margin-left:140.5pt;margin-top:19.790789pt;width:371pt;height:263.150pt;mso-position-horizontal-relative:page;mso-position-vertical-relative:paragraph;z-index:1144;mso-wrap-distance-left:0;mso-wrap-distance-right:0" coordorigin="2810,396" coordsize="7420,5263">
            <v:shape style="position:absolute;left:2825;top:411;width:7389;height:5233" type="#_x0000_t75" stroked="false">
              <v:imagedata r:id="rId12" o:title=""/>
            </v:shape>
            <v:rect style="position:absolute;left:2818;top:403;width:7404;height:5248" filled="false" stroked="true" strokeweight=".75pt" strokecolor="#000000">
              <v:stroke dashstyle="solid"/>
            </v:rect>
            <w10:wrap type="topAndBottom"/>
          </v:group>
        </w:pict>
      </w:r>
      <w:r>
        <w:rPr/>
        <w:t>Figure 5: Gap in Comorbidity Risk Score and Demographic Factor Change</w:t>
      </w:r>
    </w:p>
    <w:p>
      <w:pPr>
        <w:spacing w:before="22"/>
        <w:ind w:left="1271" w:right="0" w:firstLine="0"/>
        <w:jc w:val="left"/>
        <w:rPr>
          <w:sz w:val="22"/>
        </w:rPr>
      </w:pPr>
      <w:r>
        <w:rPr>
          <w:sz w:val="22"/>
        </w:rPr>
        <w:t>Source: DaVita analysis of CMS data interpolated with internal data</w:t>
      </w:r>
    </w:p>
    <w:p>
      <w:pPr>
        <w:pStyle w:val="BodyText"/>
        <w:spacing w:before="7"/>
        <w:rPr>
          <w:sz w:val="27"/>
        </w:rPr>
      </w:pPr>
    </w:p>
    <w:p>
      <w:pPr>
        <w:pStyle w:val="ListParagraph"/>
        <w:numPr>
          <w:ilvl w:val="1"/>
          <w:numId w:val="3"/>
        </w:numPr>
        <w:tabs>
          <w:tab w:pos="460" w:val="left" w:leader="none"/>
        </w:tabs>
        <w:spacing w:line="259" w:lineRule="auto" w:before="0" w:after="0"/>
        <w:ind w:left="460" w:right="116" w:hanging="360"/>
        <w:jc w:val="both"/>
        <w:rPr>
          <w:sz w:val="24"/>
        </w:rPr>
      </w:pPr>
      <w:r>
        <w:rPr>
          <w:b/>
          <w:sz w:val="24"/>
        </w:rPr>
        <w:t>2019</w:t>
      </w:r>
      <w:r>
        <w:rPr>
          <w:b/>
          <w:spacing w:val="-16"/>
          <w:sz w:val="24"/>
        </w:rPr>
        <w:t> </w:t>
      </w:r>
      <w:r>
        <w:rPr>
          <w:b/>
          <w:sz w:val="24"/>
        </w:rPr>
        <w:t>Model</w:t>
      </w:r>
      <w:r>
        <w:rPr>
          <w:b/>
          <w:spacing w:val="-17"/>
          <w:sz w:val="24"/>
        </w:rPr>
        <w:t> </w:t>
      </w:r>
      <w:r>
        <w:rPr>
          <w:b/>
          <w:sz w:val="24"/>
        </w:rPr>
        <w:t>Results</w:t>
      </w:r>
      <w:r>
        <w:rPr>
          <w:b/>
          <w:spacing w:val="-16"/>
          <w:sz w:val="24"/>
        </w:rPr>
        <w:t> </w:t>
      </w:r>
      <w:r>
        <w:rPr>
          <w:b/>
          <w:sz w:val="24"/>
        </w:rPr>
        <w:t>in</w:t>
      </w:r>
      <w:r>
        <w:rPr>
          <w:b/>
          <w:spacing w:val="-17"/>
          <w:sz w:val="24"/>
        </w:rPr>
        <w:t> </w:t>
      </w:r>
      <w:r>
        <w:rPr>
          <w:b/>
          <w:sz w:val="24"/>
        </w:rPr>
        <w:t>Inadequate</w:t>
      </w:r>
      <w:r>
        <w:rPr>
          <w:b/>
          <w:spacing w:val="-16"/>
          <w:sz w:val="24"/>
        </w:rPr>
        <w:t> </w:t>
      </w:r>
      <w:r>
        <w:rPr>
          <w:b/>
          <w:sz w:val="24"/>
        </w:rPr>
        <w:t>Reimbursement</w:t>
      </w:r>
      <w:r>
        <w:rPr>
          <w:b/>
          <w:spacing w:val="-17"/>
          <w:sz w:val="24"/>
        </w:rPr>
        <w:t> </w:t>
      </w:r>
      <w:r>
        <w:rPr>
          <w:b/>
          <w:sz w:val="24"/>
        </w:rPr>
        <w:t>for</w:t>
      </w:r>
      <w:r>
        <w:rPr>
          <w:b/>
          <w:spacing w:val="-17"/>
          <w:sz w:val="24"/>
        </w:rPr>
        <w:t> </w:t>
      </w:r>
      <w:r>
        <w:rPr>
          <w:b/>
          <w:sz w:val="24"/>
        </w:rPr>
        <w:t>Kidney</w:t>
      </w:r>
      <w:r>
        <w:rPr>
          <w:b/>
          <w:spacing w:val="-16"/>
          <w:sz w:val="24"/>
        </w:rPr>
        <w:t> </w:t>
      </w:r>
      <w:r>
        <w:rPr>
          <w:b/>
          <w:sz w:val="24"/>
        </w:rPr>
        <w:t>Transplants.</w:t>
      </w:r>
      <w:r>
        <w:rPr>
          <w:b/>
          <w:spacing w:val="-17"/>
          <w:sz w:val="24"/>
        </w:rPr>
        <w:t> </w:t>
      </w:r>
      <w:r>
        <w:rPr>
          <w:sz w:val="24"/>
        </w:rPr>
        <w:t>The</w:t>
      </w:r>
      <w:r>
        <w:rPr>
          <w:spacing w:val="-16"/>
          <w:sz w:val="24"/>
        </w:rPr>
        <w:t> </w:t>
      </w:r>
      <w:r>
        <w:rPr>
          <w:sz w:val="24"/>
        </w:rPr>
        <w:t>proposed model further undermines the adequacy of reimbursement for kidney transplant costs by decreasing the three-month ESRD Kidney Transplant risk factor total from 7.823 to 7.554,  </w:t>
      </w:r>
      <w:r>
        <w:rPr>
          <w:spacing w:val="51"/>
          <w:sz w:val="24"/>
        </w:rPr>
        <w:t> </w:t>
      </w:r>
      <w:r>
        <w:rPr>
          <w:sz w:val="24"/>
        </w:rPr>
        <w:t>a</w:t>
      </w:r>
    </w:p>
    <w:p>
      <w:pPr>
        <w:pStyle w:val="BodyText"/>
        <w:spacing w:line="259" w:lineRule="auto"/>
        <w:ind w:left="460" w:right="115"/>
        <w:jc w:val="both"/>
      </w:pPr>
      <w:r>
        <w:rPr/>
        <w:t>3.4</w:t>
      </w:r>
      <w:r>
        <w:rPr>
          <w:spacing w:val="-18"/>
        </w:rPr>
        <w:t> </w:t>
      </w:r>
      <w:r>
        <w:rPr/>
        <w:t>percent</w:t>
      </w:r>
      <w:r>
        <w:rPr>
          <w:spacing w:val="-18"/>
        </w:rPr>
        <w:t> </w:t>
      </w:r>
      <w:r>
        <w:rPr/>
        <w:t>reduction.</w:t>
      </w:r>
      <w:r>
        <w:rPr>
          <w:spacing w:val="-18"/>
        </w:rPr>
        <w:t> </w:t>
      </w:r>
      <w:r>
        <w:rPr/>
        <w:t>Furthermore,</w:t>
      </w:r>
      <w:r>
        <w:rPr>
          <w:spacing w:val="-18"/>
        </w:rPr>
        <w:t> </w:t>
      </w:r>
      <w:r>
        <w:rPr/>
        <w:t>it</w:t>
      </w:r>
      <w:r>
        <w:rPr>
          <w:spacing w:val="-18"/>
        </w:rPr>
        <w:t> </w:t>
      </w:r>
      <w:r>
        <w:rPr/>
        <w:t>is</w:t>
      </w:r>
      <w:r>
        <w:rPr>
          <w:spacing w:val="-19"/>
        </w:rPr>
        <w:t> </w:t>
      </w:r>
      <w:r>
        <w:rPr/>
        <w:t>not</w:t>
      </w:r>
      <w:r>
        <w:rPr>
          <w:spacing w:val="-18"/>
        </w:rPr>
        <w:t> </w:t>
      </w:r>
      <w:r>
        <w:rPr/>
        <w:t>clear</w:t>
      </w:r>
      <w:r>
        <w:rPr>
          <w:spacing w:val="-19"/>
        </w:rPr>
        <w:t> </w:t>
      </w:r>
      <w:r>
        <w:rPr/>
        <w:t>if</w:t>
      </w:r>
      <w:r>
        <w:rPr>
          <w:spacing w:val="-21"/>
        </w:rPr>
        <w:t> </w:t>
      </w:r>
      <w:r>
        <w:rPr/>
        <w:t>CMS</w:t>
      </w:r>
      <w:r>
        <w:rPr>
          <w:spacing w:val="-18"/>
        </w:rPr>
        <w:t> </w:t>
      </w:r>
      <w:r>
        <w:rPr/>
        <w:t>only</w:t>
      </w:r>
      <w:r>
        <w:rPr>
          <w:spacing w:val="-17"/>
        </w:rPr>
        <w:t> </w:t>
      </w:r>
      <w:r>
        <w:rPr/>
        <w:t>used</w:t>
      </w:r>
      <w:r>
        <w:rPr>
          <w:spacing w:val="-18"/>
        </w:rPr>
        <w:t> </w:t>
      </w:r>
      <w:r>
        <w:rPr/>
        <w:t>MS-DRG</w:t>
      </w:r>
      <w:r>
        <w:rPr>
          <w:spacing w:val="-18"/>
        </w:rPr>
        <w:t> </w:t>
      </w:r>
      <w:r>
        <w:rPr/>
        <w:t>652</w:t>
      </w:r>
      <w:r>
        <w:rPr>
          <w:spacing w:val="-18"/>
        </w:rPr>
        <w:t> </w:t>
      </w:r>
      <w:r>
        <w:rPr/>
        <w:t>(Single</w:t>
      </w:r>
      <w:r>
        <w:rPr>
          <w:spacing w:val="-17"/>
        </w:rPr>
        <w:t> </w:t>
      </w:r>
      <w:r>
        <w:rPr/>
        <w:t>Kidney Transplant)</w:t>
      </w:r>
      <w:r>
        <w:rPr>
          <w:spacing w:val="-6"/>
        </w:rPr>
        <w:t> </w:t>
      </w:r>
      <w:r>
        <w:rPr/>
        <w:t>to</w:t>
      </w:r>
      <w:r>
        <w:rPr>
          <w:spacing w:val="-6"/>
        </w:rPr>
        <w:t> </w:t>
      </w:r>
      <w:r>
        <w:rPr/>
        <w:t>identify</w:t>
      </w:r>
      <w:r>
        <w:rPr>
          <w:spacing w:val="-5"/>
        </w:rPr>
        <w:t> </w:t>
      </w:r>
      <w:r>
        <w:rPr/>
        <w:t>the</w:t>
      </w:r>
      <w:r>
        <w:rPr>
          <w:spacing w:val="-7"/>
        </w:rPr>
        <w:t> </w:t>
      </w:r>
      <w:r>
        <w:rPr/>
        <w:t>kidney</w:t>
      </w:r>
      <w:r>
        <w:rPr>
          <w:spacing w:val="-7"/>
        </w:rPr>
        <w:t> </w:t>
      </w:r>
      <w:r>
        <w:rPr/>
        <w:t>transplant</w:t>
      </w:r>
      <w:r>
        <w:rPr>
          <w:spacing w:val="-6"/>
        </w:rPr>
        <w:t> </w:t>
      </w:r>
      <w:r>
        <w:rPr/>
        <w:t>event</w:t>
      </w:r>
      <w:r>
        <w:rPr>
          <w:spacing w:val="-6"/>
        </w:rPr>
        <w:t> </w:t>
      </w:r>
      <w:r>
        <w:rPr/>
        <w:t>or</w:t>
      </w:r>
      <w:r>
        <w:rPr>
          <w:spacing w:val="-7"/>
        </w:rPr>
        <w:t> </w:t>
      </w:r>
      <w:r>
        <w:rPr/>
        <w:t>if</w:t>
      </w:r>
      <w:r>
        <w:rPr>
          <w:spacing w:val="-7"/>
        </w:rPr>
        <w:t> </w:t>
      </w:r>
      <w:r>
        <w:rPr/>
        <w:t>it</w:t>
      </w:r>
      <w:r>
        <w:rPr>
          <w:spacing w:val="-6"/>
        </w:rPr>
        <w:t> </w:t>
      </w:r>
      <w:r>
        <w:rPr/>
        <w:t>also</w:t>
      </w:r>
      <w:r>
        <w:rPr>
          <w:spacing w:val="-6"/>
        </w:rPr>
        <w:t> </w:t>
      </w:r>
      <w:r>
        <w:rPr/>
        <w:t>used</w:t>
      </w:r>
      <w:r>
        <w:rPr>
          <w:spacing w:val="-6"/>
        </w:rPr>
        <w:t> </w:t>
      </w:r>
      <w:r>
        <w:rPr/>
        <w:t>this</w:t>
      </w:r>
      <w:r>
        <w:rPr>
          <w:spacing w:val="-7"/>
        </w:rPr>
        <w:t> </w:t>
      </w:r>
      <w:r>
        <w:rPr/>
        <w:t>single</w:t>
      </w:r>
      <w:r>
        <w:rPr>
          <w:spacing w:val="-7"/>
        </w:rPr>
        <w:t> </w:t>
      </w:r>
      <w:r>
        <w:rPr/>
        <w:t>DRG</w:t>
      </w:r>
      <w:r>
        <w:rPr>
          <w:spacing w:val="-6"/>
        </w:rPr>
        <w:t> </w:t>
      </w:r>
      <w:r>
        <w:rPr/>
        <w:t>to</w:t>
      </w:r>
      <w:r>
        <w:rPr>
          <w:spacing w:val="-6"/>
        </w:rPr>
        <w:t> </w:t>
      </w:r>
      <w:r>
        <w:rPr/>
        <w:t>calculate kidney transplant costs. If CMS took the latter approach, the result would underestimate transplant reimbursement by excluding costs associated with multi-organ transplants that include kidneys. As CMS knows, many of these multi-organ transplants have DRGs with costs that exceed, in some cases by more than double, the costs associated with MS-DRG 652. Reducing the total risk score for kidney transplants will make it more challenging for MA plans to develop robust kidney transplant provider</w:t>
      </w:r>
      <w:r>
        <w:rPr>
          <w:spacing w:val="-27"/>
        </w:rPr>
        <w:t> </w:t>
      </w:r>
      <w:r>
        <w:rPr/>
        <w:t>networks.</w:t>
      </w:r>
    </w:p>
    <w:p>
      <w:pPr>
        <w:pStyle w:val="BodyText"/>
        <w:spacing w:before="4"/>
        <w:rPr>
          <w:sz w:val="21"/>
        </w:rPr>
      </w:pPr>
    </w:p>
    <w:p>
      <w:pPr>
        <w:pStyle w:val="ListParagraph"/>
        <w:numPr>
          <w:ilvl w:val="1"/>
          <w:numId w:val="3"/>
        </w:numPr>
        <w:tabs>
          <w:tab w:pos="460" w:val="left" w:leader="none"/>
        </w:tabs>
        <w:spacing w:line="259" w:lineRule="auto" w:before="0" w:after="0"/>
        <w:ind w:left="460" w:right="115" w:hanging="360"/>
        <w:jc w:val="both"/>
        <w:rPr>
          <w:sz w:val="24"/>
        </w:rPr>
      </w:pPr>
      <w:r>
        <w:rPr>
          <w:b/>
          <w:sz w:val="24"/>
        </w:rPr>
        <w:t>2019</w:t>
      </w:r>
      <w:r>
        <w:rPr>
          <w:b/>
          <w:spacing w:val="-12"/>
          <w:sz w:val="24"/>
        </w:rPr>
        <w:t> </w:t>
      </w:r>
      <w:r>
        <w:rPr>
          <w:b/>
          <w:sz w:val="24"/>
        </w:rPr>
        <w:t>Model</w:t>
      </w:r>
      <w:r>
        <w:rPr>
          <w:b/>
          <w:spacing w:val="-12"/>
          <w:sz w:val="24"/>
        </w:rPr>
        <w:t> </w:t>
      </w:r>
      <w:r>
        <w:rPr>
          <w:b/>
          <w:sz w:val="24"/>
        </w:rPr>
        <w:t>Will</w:t>
      </w:r>
      <w:r>
        <w:rPr>
          <w:b/>
          <w:spacing w:val="-12"/>
          <w:sz w:val="24"/>
        </w:rPr>
        <w:t> </w:t>
      </w:r>
      <w:r>
        <w:rPr>
          <w:b/>
          <w:sz w:val="24"/>
        </w:rPr>
        <w:t>Exacerbate</w:t>
      </w:r>
      <w:r>
        <w:rPr>
          <w:b/>
          <w:spacing w:val="-12"/>
          <w:sz w:val="24"/>
        </w:rPr>
        <w:t> </w:t>
      </w:r>
      <w:r>
        <w:rPr>
          <w:b/>
          <w:sz w:val="24"/>
        </w:rPr>
        <w:t>Challenges</w:t>
      </w:r>
      <w:r>
        <w:rPr>
          <w:b/>
          <w:spacing w:val="-11"/>
          <w:sz w:val="24"/>
        </w:rPr>
        <w:t> </w:t>
      </w:r>
      <w:r>
        <w:rPr>
          <w:b/>
          <w:sz w:val="24"/>
        </w:rPr>
        <w:t>Stemming</w:t>
      </w:r>
      <w:r>
        <w:rPr>
          <w:b/>
          <w:spacing w:val="-12"/>
          <w:sz w:val="24"/>
        </w:rPr>
        <w:t> </w:t>
      </w:r>
      <w:r>
        <w:rPr>
          <w:b/>
          <w:sz w:val="24"/>
        </w:rPr>
        <w:t>from</w:t>
      </w:r>
      <w:r>
        <w:rPr>
          <w:b/>
          <w:spacing w:val="-13"/>
          <w:sz w:val="24"/>
        </w:rPr>
        <w:t> </w:t>
      </w:r>
      <w:r>
        <w:rPr>
          <w:b/>
          <w:sz w:val="24"/>
        </w:rPr>
        <w:t>Inadequate</w:t>
      </w:r>
      <w:r>
        <w:rPr>
          <w:b/>
          <w:spacing w:val="-12"/>
          <w:sz w:val="24"/>
        </w:rPr>
        <w:t> </w:t>
      </w:r>
      <w:r>
        <w:rPr>
          <w:b/>
          <w:sz w:val="24"/>
        </w:rPr>
        <w:t>Reimbursement</w:t>
      </w:r>
      <w:r>
        <w:rPr>
          <w:b/>
          <w:spacing w:val="-10"/>
          <w:sz w:val="24"/>
        </w:rPr>
        <w:t> </w:t>
      </w:r>
      <w:r>
        <w:rPr>
          <w:b/>
          <w:sz w:val="24"/>
        </w:rPr>
        <w:t>for Kidney</w:t>
      </w:r>
      <w:r>
        <w:rPr>
          <w:b/>
          <w:spacing w:val="-5"/>
          <w:sz w:val="24"/>
        </w:rPr>
        <w:t> </w:t>
      </w:r>
      <w:r>
        <w:rPr>
          <w:b/>
          <w:sz w:val="24"/>
        </w:rPr>
        <w:t>Organ</w:t>
      </w:r>
      <w:r>
        <w:rPr>
          <w:b/>
          <w:spacing w:val="-4"/>
          <w:sz w:val="24"/>
        </w:rPr>
        <w:t> </w:t>
      </w:r>
      <w:r>
        <w:rPr>
          <w:b/>
          <w:sz w:val="24"/>
        </w:rPr>
        <w:t>Acquisition</w:t>
      </w:r>
      <w:r>
        <w:rPr>
          <w:b/>
          <w:spacing w:val="-5"/>
          <w:sz w:val="24"/>
        </w:rPr>
        <w:t> </w:t>
      </w:r>
      <w:r>
        <w:rPr>
          <w:b/>
          <w:sz w:val="24"/>
        </w:rPr>
        <w:t>Costs</w:t>
      </w:r>
      <w:r>
        <w:rPr>
          <w:b/>
          <w:spacing w:val="-5"/>
          <w:sz w:val="24"/>
        </w:rPr>
        <w:t> </w:t>
      </w:r>
      <w:r>
        <w:rPr>
          <w:b/>
          <w:sz w:val="24"/>
        </w:rPr>
        <w:t>(OACs).</w:t>
      </w:r>
      <w:r>
        <w:rPr>
          <w:b/>
          <w:spacing w:val="-5"/>
          <w:sz w:val="24"/>
        </w:rPr>
        <w:t> </w:t>
      </w:r>
      <w:r>
        <w:rPr>
          <w:sz w:val="24"/>
        </w:rPr>
        <w:t>As</w:t>
      </w:r>
      <w:r>
        <w:rPr>
          <w:spacing w:val="-5"/>
          <w:sz w:val="24"/>
        </w:rPr>
        <w:t> </w:t>
      </w:r>
      <w:r>
        <w:rPr>
          <w:sz w:val="24"/>
        </w:rPr>
        <w:t>CMS</w:t>
      </w:r>
      <w:r>
        <w:rPr>
          <w:spacing w:val="-5"/>
          <w:sz w:val="24"/>
        </w:rPr>
        <w:t> </w:t>
      </w:r>
      <w:r>
        <w:rPr>
          <w:sz w:val="24"/>
        </w:rPr>
        <w:t>knows,</w:t>
      </w:r>
      <w:r>
        <w:rPr>
          <w:spacing w:val="-5"/>
          <w:sz w:val="24"/>
        </w:rPr>
        <w:t> </w:t>
      </w:r>
      <w:r>
        <w:rPr>
          <w:sz w:val="24"/>
        </w:rPr>
        <w:t>MA</w:t>
      </w:r>
      <w:r>
        <w:rPr>
          <w:spacing w:val="-3"/>
          <w:sz w:val="24"/>
        </w:rPr>
        <w:t> </w:t>
      </w:r>
      <w:r>
        <w:rPr>
          <w:sz w:val="24"/>
        </w:rPr>
        <w:t>plans</w:t>
      </w:r>
      <w:r>
        <w:rPr>
          <w:spacing w:val="-6"/>
          <w:sz w:val="24"/>
        </w:rPr>
        <w:t> </w:t>
      </w:r>
      <w:r>
        <w:rPr>
          <w:sz w:val="24"/>
        </w:rPr>
        <w:t>incur</w:t>
      </w:r>
      <w:r>
        <w:rPr>
          <w:spacing w:val="-6"/>
          <w:sz w:val="24"/>
        </w:rPr>
        <w:t> </w:t>
      </w:r>
      <w:r>
        <w:rPr>
          <w:sz w:val="24"/>
        </w:rPr>
        <w:t>separate</w:t>
      </w:r>
      <w:r>
        <w:rPr>
          <w:spacing w:val="-5"/>
          <w:sz w:val="24"/>
        </w:rPr>
        <w:t> </w:t>
      </w:r>
      <w:r>
        <w:rPr>
          <w:sz w:val="24"/>
        </w:rPr>
        <w:t>costs</w:t>
      </w:r>
      <w:r>
        <w:rPr>
          <w:spacing w:val="-6"/>
          <w:sz w:val="24"/>
        </w:rPr>
        <w:t> </w:t>
      </w:r>
      <w:r>
        <w:rPr>
          <w:sz w:val="24"/>
        </w:rPr>
        <w:t>to acquire</w:t>
      </w:r>
      <w:r>
        <w:rPr>
          <w:spacing w:val="-11"/>
          <w:sz w:val="24"/>
        </w:rPr>
        <w:t> </w:t>
      </w:r>
      <w:r>
        <w:rPr>
          <w:sz w:val="24"/>
        </w:rPr>
        <w:t>donor</w:t>
      </w:r>
      <w:r>
        <w:rPr>
          <w:spacing w:val="-13"/>
          <w:sz w:val="24"/>
        </w:rPr>
        <w:t> </w:t>
      </w:r>
      <w:r>
        <w:rPr>
          <w:sz w:val="24"/>
        </w:rPr>
        <w:t>kidney</w:t>
      </w:r>
      <w:r>
        <w:rPr>
          <w:spacing w:val="-11"/>
          <w:sz w:val="24"/>
        </w:rPr>
        <w:t> </w:t>
      </w:r>
      <w:r>
        <w:rPr>
          <w:sz w:val="24"/>
        </w:rPr>
        <w:t>organs.</w:t>
      </w:r>
      <w:r>
        <w:rPr>
          <w:spacing w:val="-11"/>
          <w:sz w:val="24"/>
        </w:rPr>
        <w:t> </w:t>
      </w:r>
      <w:r>
        <w:rPr>
          <w:sz w:val="24"/>
        </w:rPr>
        <w:t>These</w:t>
      </w:r>
      <w:r>
        <w:rPr>
          <w:spacing w:val="-11"/>
          <w:sz w:val="24"/>
        </w:rPr>
        <w:t> </w:t>
      </w:r>
      <w:r>
        <w:rPr>
          <w:sz w:val="24"/>
        </w:rPr>
        <w:t>costs,</w:t>
      </w:r>
      <w:r>
        <w:rPr>
          <w:spacing w:val="-11"/>
          <w:sz w:val="24"/>
        </w:rPr>
        <w:t> </w:t>
      </w:r>
      <w:r>
        <w:rPr>
          <w:sz w:val="24"/>
        </w:rPr>
        <w:t>which</w:t>
      </w:r>
      <w:r>
        <w:rPr>
          <w:spacing w:val="-12"/>
          <w:sz w:val="24"/>
        </w:rPr>
        <w:t> </w:t>
      </w:r>
      <w:r>
        <w:rPr>
          <w:sz w:val="24"/>
        </w:rPr>
        <w:t>are</w:t>
      </w:r>
      <w:r>
        <w:rPr>
          <w:spacing w:val="-13"/>
          <w:sz w:val="24"/>
        </w:rPr>
        <w:t> </w:t>
      </w:r>
      <w:r>
        <w:rPr>
          <w:sz w:val="24"/>
        </w:rPr>
        <w:t>substantial,</w:t>
      </w:r>
      <w:r>
        <w:rPr>
          <w:spacing w:val="-11"/>
          <w:sz w:val="24"/>
        </w:rPr>
        <w:t> </w:t>
      </w:r>
      <w:r>
        <w:rPr>
          <w:sz w:val="24"/>
        </w:rPr>
        <w:t>are</w:t>
      </w:r>
      <w:r>
        <w:rPr>
          <w:spacing w:val="-11"/>
          <w:sz w:val="24"/>
        </w:rPr>
        <w:t> </w:t>
      </w:r>
      <w:r>
        <w:rPr>
          <w:sz w:val="24"/>
        </w:rPr>
        <w:t>not</w:t>
      </w:r>
      <w:r>
        <w:rPr>
          <w:spacing w:val="-12"/>
          <w:sz w:val="24"/>
        </w:rPr>
        <w:t> </w:t>
      </w:r>
      <w:r>
        <w:rPr>
          <w:sz w:val="24"/>
        </w:rPr>
        <w:t>reimbursed</w:t>
      </w:r>
      <w:r>
        <w:rPr>
          <w:spacing w:val="-12"/>
          <w:sz w:val="24"/>
        </w:rPr>
        <w:t> </w:t>
      </w:r>
      <w:r>
        <w:rPr>
          <w:sz w:val="24"/>
        </w:rPr>
        <w:t>through</w:t>
      </w:r>
      <w:r>
        <w:rPr>
          <w:spacing w:val="-12"/>
          <w:sz w:val="24"/>
        </w:rPr>
        <w:t> </w:t>
      </w:r>
      <w:r>
        <w:rPr>
          <w:sz w:val="24"/>
        </w:rPr>
        <w:t>the ESRD</w:t>
      </w:r>
      <w:r>
        <w:rPr>
          <w:spacing w:val="-9"/>
          <w:sz w:val="24"/>
        </w:rPr>
        <w:t> </w:t>
      </w:r>
      <w:r>
        <w:rPr>
          <w:sz w:val="24"/>
        </w:rPr>
        <w:t>Kidney</w:t>
      </w:r>
      <w:r>
        <w:rPr>
          <w:spacing w:val="-10"/>
          <w:sz w:val="24"/>
        </w:rPr>
        <w:t> </w:t>
      </w:r>
      <w:r>
        <w:rPr>
          <w:sz w:val="24"/>
        </w:rPr>
        <w:t>Transplant</w:t>
      </w:r>
      <w:r>
        <w:rPr>
          <w:spacing w:val="-9"/>
          <w:sz w:val="24"/>
        </w:rPr>
        <w:t> </w:t>
      </w:r>
      <w:r>
        <w:rPr>
          <w:sz w:val="24"/>
        </w:rPr>
        <w:t>rate,</w:t>
      </w:r>
      <w:r>
        <w:rPr>
          <w:spacing w:val="-8"/>
          <w:sz w:val="24"/>
        </w:rPr>
        <w:t> </w:t>
      </w:r>
      <w:r>
        <w:rPr>
          <w:sz w:val="24"/>
        </w:rPr>
        <w:t>which</w:t>
      </w:r>
      <w:r>
        <w:rPr>
          <w:spacing w:val="-8"/>
          <w:sz w:val="24"/>
        </w:rPr>
        <w:t> </w:t>
      </w:r>
      <w:r>
        <w:rPr>
          <w:sz w:val="24"/>
        </w:rPr>
        <w:t>makes</w:t>
      </w:r>
      <w:r>
        <w:rPr>
          <w:spacing w:val="-9"/>
          <w:sz w:val="24"/>
        </w:rPr>
        <w:t> </w:t>
      </w:r>
      <w:r>
        <w:rPr>
          <w:sz w:val="24"/>
        </w:rPr>
        <w:t>it</w:t>
      </w:r>
      <w:r>
        <w:rPr>
          <w:spacing w:val="-9"/>
          <w:sz w:val="24"/>
        </w:rPr>
        <w:t> </w:t>
      </w:r>
      <w:r>
        <w:rPr>
          <w:sz w:val="24"/>
        </w:rPr>
        <w:t>difficult</w:t>
      </w:r>
      <w:r>
        <w:rPr>
          <w:spacing w:val="-9"/>
          <w:sz w:val="24"/>
        </w:rPr>
        <w:t> </w:t>
      </w:r>
      <w:r>
        <w:rPr>
          <w:sz w:val="24"/>
        </w:rPr>
        <w:t>for</w:t>
      </w:r>
      <w:r>
        <w:rPr>
          <w:spacing w:val="-9"/>
          <w:sz w:val="24"/>
        </w:rPr>
        <w:t> </w:t>
      </w:r>
      <w:r>
        <w:rPr>
          <w:sz w:val="24"/>
        </w:rPr>
        <w:t>MA</w:t>
      </w:r>
      <w:r>
        <w:rPr>
          <w:spacing w:val="-8"/>
          <w:sz w:val="24"/>
        </w:rPr>
        <w:t> </w:t>
      </w:r>
      <w:r>
        <w:rPr>
          <w:sz w:val="24"/>
        </w:rPr>
        <w:t>plans</w:t>
      </w:r>
      <w:r>
        <w:rPr>
          <w:spacing w:val="-9"/>
          <w:sz w:val="24"/>
        </w:rPr>
        <w:t> </w:t>
      </w:r>
      <w:r>
        <w:rPr>
          <w:sz w:val="24"/>
        </w:rPr>
        <w:t>to</w:t>
      </w:r>
      <w:r>
        <w:rPr>
          <w:spacing w:val="-8"/>
          <w:sz w:val="24"/>
        </w:rPr>
        <w:t> </w:t>
      </w:r>
      <w:r>
        <w:rPr>
          <w:sz w:val="24"/>
        </w:rPr>
        <w:t>develop</w:t>
      </w:r>
      <w:r>
        <w:rPr>
          <w:spacing w:val="-8"/>
          <w:sz w:val="24"/>
        </w:rPr>
        <w:t> </w:t>
      </w:r>
      <w:r>
        <w:rPr>
          <w:sz w:val="24"/>
        </w:rPr>
        <w:t>broader</w:t>
      </w:r>
      <w:r>
        <w:rPr>
          <w:spacing w:val="-9"/>
          <w:sz w:val="24"/>
        </w:rPr>
        <w:t> </w:t>
      </w:r>
      <w:r>
        <w:rPr>
          <w:sz w:val="24"/>
        </w:rPr>
        <w:t>kidney transplant provider networks. DaVita appreciates that Congress established a separate payment for kidney OACs beginning in 2021. However, until then, MA plans will continue to face reimbursement</w:t>
      </w:r>
      <w:r>
        <w:rPr>
          <w:spacing w:val="-15"/>
          <w:sz w:val="24"/>
        </w:rPr>
        <w:t> </w:t>
      </w:r>
      <w:r>
        <w:rPr>
          <w:sz w:val="24"/>
        </w:rPr>
        <w:t>challenges</w:t>
      </w:r>
      <w:r>
        <w:rPr>
          <w:spacing w:val="-16"/>
          <w:sz w:val="24"/>
        </w:rPr>
        <w:t> </w:t>
      </w:r>
      <w:r>
        <w:rPr>
          <w:sz w:val="24"/>
        </w:rPr>
        <w:t>since</w:t>
      </w:r>
      <w:r>
        <w:rPr>
          <w:spacing w:val="-14"/>
          <w:sz w:val="24"/>
        </w:rPr>
        <w:t> </w:t>
      </w:r>
      <w:r>
        <w:rPr>
          <w:sz w:val="24"/>
        </w:rPr>
        <w:t>the</w:t>
      </w:r>
      <w:r>
        <w:rPr>
          <w:spacing w:val="-14"/>
          <w:sz w:val="24"/>
        </w:rPr>
        <w:t> </w:t>
      </w:r>
      <w:r>
        <w:rPr>
          <w:sz w:val="24"/>
        </w:rPr>
        <w:t>proposed</w:t>
      </w:r>
      <w:r>
        <w:rPr>
          <w:spacing w:val="-15"/>
          <w:sz w:val="24"/>
        </w:rPr>
        <w:t> </w:t>
      </w:r>
      <w:r>
        <w:rPr>
          <w:sz w:val="24"/>
        </w:rPr>
        <w:t>three-month</w:t>
      </w:r>
      <w:r>
        <w:rPr>
          <w:spacing w:val="-15"/>
          <w:sz w:val="24"/>
        </w:rPr>
        <w:t> </w:t>
      </w:r>
      <w:r>
        <w:rPr>
          <w:sz w:val="24"/>
        </w:rPr>
        <w:t>ESRD</w:t>
      </w:r>
      <w:r>
        <w:rPr>
          <w:spacing w:val="-15"/>
          <w:sz w:val="24"/>
        </w:rPr>
        <w:t> </w:t>
      </w:r>
      <w:r>
        <w:rPr>
          <w:sz w:val="24"/>
        </w:rPr>
        <w:t>Kidney</w:t>
      </w:r>
      <w:r>
        <w:rPr>
          <w:spacing w:val="-14"/>
          <w:sz w:val="24"/>
        </w:rPr>
        <w:t> </w:t>
      </w:r>
      <w:r>
        <w:rPr>
          <w:sz w:val="24"/>
        </w:rPr>
        <w:t>Transplant</w:t>
      </w:r>
      <w:r>
        <w:rPr>
          <w:spacing w:val="-15"/>
          <w:sz w:val="24"/>
        </w:rPr>
        <w:t> </w:t>
      </w:r>
      <w:r>
        <w:rPr>
          <w:sz w:val="24"/>
        </w:rPr>
        <w:t>risk</w:t>
      </w:r>
      <w:r>
        <w:rPr>
          <w:spacing w:val="-15"/>
          <w:sz w:val="24"/>
        </w:rPr>
        <w:t> </w:t>
      </w:r>
      <w:r>
        <w:rPr>
          <w:sz w:val="24"/>
        </w:rPr>
        <w:t>factor total</w:t>
      </w:r>
      <w:r>
        <w:rPr>
          <w:spacing w:val="-6"/>
          <w:sz w:val="24"/>
        </w:rPr>
        <w:t> </w:t>
      </w:r>
      <w:r>
        <w:rPr>
          <w:sz w:val="24"/>
        </w:rPr>
        <w:t>still</w:t>
      </w:r>
      <w:r>
        <w:rPr>
          <w:spacing w:val="-6"/>
          <w:sz w:val="24"/>
        </w:rPr>
        <w:t> </w:t>
      </w:r>
      <w:r>
        <w:rPr>
          <w:sz w:val="24"/>
        </w:rPr>
        <w:t>does</w:t>
      </w:r>
      <w:r>
        <w:rPr>
          <w:spacing w:val="-7"/>
          <w:sz w:val="24"/>
        </w:rPr>
        <w:t> </w:t>
      </w:r>
      <w:r>
        <w:rPr>
          <w:sz w:val="24"/>
        </w:rPr>
        <w:t>not</w:t>
      </w:r>
      <w:r>
        <w:rPr>
          <w:spacing w:val="-6"/>
          <w:sz w:val="24"/>
        </w:rPr>
        <w:t> </w:t>
      </w:r>
      <w:r>
        <w:rPr>
          <w:sz w:val="24"/>
        </w:rPr>
        <w:t>include</w:t>
      </w:r>
      <w:r>
        <w:rPr>
          <w:spacing w:val="-8"/>
          <w:sz w:val="24"/>
        </w:rPr>
        <w:t> </w:t>
      </w:r>
      <w:r>
        <w:rPr>
          <w:sz w:val="24"/>
        </w:rPr>
        <w:t>OACs.</w:t>
      </w:r>
      <w:r>
        <w:rPr>
          <w:spacing w:val="-6"/>
          <w:sz w:val="24"/>
        </w:rPr>
        <w:t> </w:t>
      </w:r>
      <w:r>
        <w:rPr>
          <w:sz w:val="24"/>
        </w:rPr>
        <w:t>Implementation</w:t>
      </w:r>
      <w:r>
        <w:rPr>
          <w:spacing w:val="-6"/>
          <w:sz w:val="24"/>
        </w:rPr>
        <w:t> </w:t>
      </w:r>
      <w:r>
        <w:rPr>
          <w:sz w:val="24"/>
        </w:rPr>
        <w:t>of</w:t>
      </w:r>
      <w:r>
        <w:rPr>
          <w:spacing w:val="-7"/>
          <w:sz w:val="24"/>
        </w:rPr>
        <w:t> </w:t>
      </w:r>
      <w:r>
        <w:rPr>
          <w:sz w:val="24"/>
        </w:rPr>
        <w:t>the</w:t>
      </w:r>
      <w:r>
        <w:rPr>
          <w:spacing w:val="-5"/>
          <w:sz w:val="24"/>
        </w:rPr>
        <w:t> </w:t>
      </w:r>
      <w:r>
        <w:rPr>
          <w:sz w:val="24"/>
        </w:rPr>
        <w:t>proposed</w:t>
      </w:r>
      <w:r>
        <w:rPr>
          <w:spacing w:val="-6"/>
          <w:sz w:val="24"/>
        </w:rPr>
        <w:t> </w:t>
      </w:r>
      <w:r>
        <w:rPr>
          <w:sz w:val="24"/>
        </w:rPr>
        <w:t>2019</w:t>
      </w:r>
      <w:r>
        <w:rPr>
          <w:spacing w:val="-6"/>
          <w:sz w:val="24"/>
        </w:rPr>
        <w:t> </w:t>
      </w:r>
      <w:r>
        <w:rPr>
          <w:sz w:val="24"/>
        </w:rPr>
        <w:t>ESRD</w:t>
      </w:r>
      <w:r>
        <w:rPr>
          <w:spacing w:val="-6"/>
          <w:sz w:val="24"/>
        </w:rPr>
        <w:t> </w:t>
      </w:r>
      <w:r>
        <w:rPr>
          <w:sz w:val="24"/>
        </w:rPr>
        <w:t>risk</w:t>
      </w:r>
      <w:r>
        <w:rPr>
          <w:spacing w:val="-6"/>
          <w:sz w:val="24"/>
        </w:rPr>
        <w:t> </w:t>
      </w:r>
      <w:r>
        <w:rPr>
          <w:sz w:val="24"/>
        </w:rPr>
        <w:t>adjustment model will exacerbate those</w:t>
      </w:r>
      <w:r>
        <w:rPr>
          <w:spacing w:val="-21"/>
          <w:sz w:val="24"/>
        </w:rPr>
        <w:t> </w:t>
      </w:r>
      <w:r>
        <w:rPr>
          <w:sz w:val="24"/>
        </w:rPr>
        <w:t>challenges.</w:t>
      </w:r>
    </w:p>
    <w:p>
      <w:pPr>
        <w:spacing w:after="0" w:line="259" w:lineRule="auto"/>
        <w:jc w:val="both"/>
        <w:rPr>
          <w:sz w:val="24"/>
        </w:rPr>
        <w:sectPr>
          <w:pgSz w:w="12240" w:h="15840"/>
          <w:pgMar w:header="0" w:footer="722" w:top="640" w:bottom="920" w:left="1520" w:right="1320"/>
        </w:sectPr>
      </w:pPr>
    </w:p>
    <w:p>
      <w:pPr>
        <w:pStyle w:val="Heading1"/>
        <w:numPr>
          <w:ilvl w:val="0"/>
          <w:numId w:val="3"/>
        </w:numPr>
        <w:tabs>
          <w:tab w:pos="820" w:val="left" w:leader="none"/>
        </w:tabs>
        <w:spacing w:line="240" w:lineRule="auto" w:before="79" w:after="0"/>
        <w:ind w:left="820" w:right="0" w:hanging="720"/>
        <w:jc w:val="both"/>
      </w:pPr>
      <w:r>
        <w:rPr/>
        <w:t>Normalization Factor for the ESRD Dialysis Risk Adjustment</w:t>
      </w:r>
      <w:r>
        <w:rPr>
          <w:spacing w:val="-29"/>
        </w:rPr>
        <w:t> </w:t>
      </w:r>
      <w:r>
        <w:rPr/>
        <w:t>Model</w:t>
      </w:r>
    </w:p>
    <w:p>
      <w:pPr>
        <w:pStyle w:val="BodyText"/>
        <w:spacing w:before="8"/>
        <w:rPr>
          <w:b/>
          <w:sz w:val="27"/>
        </w:rPr>
      </w:pPr>
    </w:p>
    <w:p>
      <w:pPr>
        <w:pStyle w:val="BodyText"/>
        <w:spacing w:line="259" w:lineRule="auto" w:before="1"/>
        <w:ind w:left="100" w:right="116"/>
        <w:jc w:val="both"/>
      </w:pPr>
      <w:r>
        <w:rPr/>
        <w:t>Under ESRD risk adjustment model, CMS applies a normalization factor to adjust for differences in risk scores between the model’s denominator year and the payment year. The normalization factor’s application is also intended to help stabilize payments between risk adjustment model calibrations.</w:t>
      </w:r>
    </w:p>
    <w:p>
      <w:pPr>
        <w:pStyle w:val="BodyText"/>
        <w:spacing w:before="8"/>
        <w:rPr>
          <w:sz w:val="25"/>
        </w:rPr>
      </w:pPr>
    </w:p>
    <w:p>
      <w:pPr>
        <w:pStyle w:val="Heading1"/>
        <w:ind w:left="3279" w:right="3298"/>
      </w:pPr>
      <w:r>
        <w:rPr/>
        <w:t>Comment/Recommendation</w:t>
      </w:r>
    </w:p>
    <w:p>
      <w:pPr>
        <w:pStyle w:val="BodyText"/>
        <w:spacing w:before="9"/>
        <w:rPr>
          <w:b/>
          <w:sz w:val="27"/>
        </w:rPr>
      </w:pPr>
    </w:p>
    <w:p>
      <w:pPr>
        <w:pStyle w:val="BodyText"/>
        <w:spacing w:line="259" w:lineRule="auto"/>
        <w:ind w:left="100" w:right="115"/>
        <w:jc w:val="both"/>
      </w:pPr>
      <w:r>
        <w:rPr/>
        <w:t>In</w:t>
      </w:r>
      <w:r>
        <w:rPr>
          <w:spacing w:val="-13"/>
        </w:rPr>
        <w:t> </w:t>
      </w:r>
      <w:r>
        <w:rPr/>
        <w:t>the</w:t>
      </w:r>
      <w:r>
        <w:rPr>
          <w:spacing w:val="-12"/>
        </w:rPr>
        <w:t> </w:t>
      </w:r>
      <w:r>
        <w:rPr/>
        <w:t>2018</w:t>
      </w:r>
      <w:r>
        <w:rPr>
          <w:spacing w:val="-13"/>
        </w:rPr>
        <w:t> </w:t>
      </w:r>
      <w:r>
        <w:rPr/>
        <w:t>Advance</w:t>
      </w:r>
      <w:r>
        <w:rPr>
          <w:spacing w:val="-12"/>
        </w:rPr>
        <w:t> </w:t>
      </w:r>
      <w:r>
        <w:rPr/>
        <w:t>Notice,</w:t>
      </w:r>
      <w:r>
        <w:rPr>
          <w:spacing w:val="-13"/>
        </w:rPr>
        <w:t> </w:t>
      </w:r>
      <w:r>
        <w:rPr/>
        <w:t>CMS</w:t>
      </w:r>
      <w:r>
        <w:rPr>
          <w:spacing w:val="-13"/>
        </w:rPr>
        <w:t> </w:t>
      </w:r>
      <w:r>
        <w:rPr/>
        <w:t>proposed</w:t>
      </w:r>
      <w:r>
        <w:rPr>
          <w:spacing w:val="-13"/>
        </w:rPr>
        <w:t> </w:t>
      </w:r>
      <w:r>
        <w:rPr/>
        <w:t>an</w:t>
      </w:r>
      <w:r>
        <w:rPr>
          <w:spacing w:val="-13"/>
        </w:rPr>
        <w:t> </w:t>
      </w:r>
      <w:r>
        <w:rPr/>
        <w:t>ESRD</w:t>
      </w:r>
      <w:r>
        <w:rPr>
          <w:spacing w:val="-13"/>
        </w:rPr>
        <w:t> </w:t>
      </w:r>
      <w:r>
        <w:rPr/>
        <w:t>normalization</w:t>
      </w:r>
      <w:r>
        <w:rPr>
          <w:spacing w:val="-13"/>
        </w:rPr>
        <w:t> </w:t>
      </w:r>
      <w:r>
        <w:rPr/>
        <w:t>factor</w:t>
      </w:r>
      <w:r>
        <w:rPr>
          <w:spacing w:val="-14"/>
        </w:rPr>
        <w:t> </w:t>
      </w:r>
      <w:r>
        <w:rPr/>
        <w:t>that</w:t>
      </w:r>
      <w:r>
        <w:rPr>
          <w:spacing w:val="-13"/>
        </w:rPr>
        <w:t> </w:t>
      </w:r>
      <w:r>
        <w:rPr/>
        <w:t>significantly</w:t>
      </w:r>
      <w:r>
        <w:rPr>
          <w:spacing w:val="-12"/>
        </w:rPr>
        <w:t> </w:t>
      </w:r>
      <w:r>
        <w:rPr/>
        <w:t>deviated from prior years’ factors and would have inappropriately decreased MA payments for beneficiaries with ESRD. DaVita is grateful that CMS considered stakeholders’ concerns and finalized a normalization factor more consistent with current trends. We appreciate that CMS proposed continuing</w:t>
      </w:r>
      <w:r>
        <w:rPr>
          <w:spacing w:val="-8"/>
        </w:rPr>
        <w:t> </w:t>
      </w:r>
      <w:r>
        <w:rPr/>
        <w:t>to</w:t>
      </w:r>
      <w:r>
        <w:rPr>
          <w:spacing w:val="-8"/>
        </w:rPr>
        <w:t> </w:t>
      </w:r>
      <w:r>
        <w:rPr/>
        <w:t>apply</w:t>
      </w:r>
      <w:r>
        <w:rPr>
          <w:spacing w:val="-7"/>
        </w:rPr>
        <w:t> </w:t>
      </w:r>
      <w:r>
        <w:rPr/>
        <w:t>the</w:t>
      </w:r>
      <w:r>
        <w:rPr>
          <w:spacing w:val="-7"/>
        </w:rPr>
        <w:t> </w:t>
      </w:r>
      <w:r>
        <w:rPr/>
        <w:t>linear</w:t>
      </w:r>
      <w:r>
        <w:rPr>
          <w:spacing w:val="-9"/>
        </w:rPr>
        <w:t> </w:t>
      </w:r>
      <w:r>
        <w:rPr/>
        <w:t>methodology</w:t>
      </w:r>
      <w:r>
        <w:rPr>
          <w:spacing w:val="-7"/>
        </w:rPr>
        <w:t> </w:t>
      </w:r>
      <w:r>
        <w:rPr/>
        <w:t>rather</w:t>
      </w:r>
      <w:r>
        <w:rPr>
          <w:spacing w:val="-9"/>
        </w:rPr>
        <w:t> </w:t>
      </w:r>
      <w:r>
        <w:rPr/>
        <w:t>than</w:t>
      </w:r>
      <w:r>
        <w:rPr>
          <w:spacing w:val="-8"/>
        </w:rPr>
        <w:t> </w:t>
      </w:r>
      <w:r>
        <w:rPr/>
        <w:t>the</w:t>
      </w:r>
      <w:r>
        <w:rPr>
          <w:spacing w:val="-7"/>
        </w:rPr>
        <w:t> </w:t>
      </w:r>
      <w:r>
        <w:rPr/>
        <w:t>quadratic</w:t>
      </w:r>
      <w:r>
        <w:rPr>
          <w:spacing w:val="-7"/>
        </w:rPr>
        <w:t> </w:t>
      </w:r>
      <w:r>
        <w:rPr/>
        <w:t>functional</w:t>
      </w:r>
      <w:r>
        <w:rPr>
          <w:spacing w:val="-8"/>
        </w:rPr>
        <w:t> </w:t>
      </w:r>
      <w:r>
        <w:rPr/>
        <w:t>form</w:t>
      </w:r>
      <w:r>
        <w:rPr>
          <w:spacing w:val="-9"/>
        </w:rPr>
        <w:t> </w:t>
      </w:r>
      <w:r>
        <w:rPr/>
        <w:t>methodology</w:t>
      </w:r>
      <w:r>
        <w:rPr>
          <w:spacing w:val="-7"/>
        </w:rPr>
        <w:t> </w:t>
      </w:r>
      <w:r>
        <w:rPr/>
        <w:t>in deriving the 2019 ESRD dialysis model normalization</w:t>
      </w:r>
      <w:r>
        <w:rPr>
          <w:spacing w:val="-28"/>
        </w:rPr>
        <w:t> </w:t>
      </w:r>
      <w:r>
        <w:rPr/>
        <w:t>factor.</w:t>
      </w:r>
    </w:p>
    <w:p>
      <w:pPr>
        <w:pStyle w:val="BodyText"/>
        <w:spacing w:before="9"/>
        <w:rPr>
          <w:sz w:val="25"/>
        </w:rPr>
      </w:pPr>
    </w:p>
    <w:p>
      <w:pPr>
        <w:pStyle w:val="BodyText"/>
        <w:spacing w:line="259" w:lineRule="auto" w:before="1"/>
        <w:ind w:left="100" w:right="128"/>
      </w:pPr>
      <w:r>
        <w:rPr/>
        <w:t>In the 2019 Advance Notice, CMS indicates that it used risk scores based on the proposed 2019 ESRD risk adjustment model to determine the proposed ESRD dialysis normalization factor. Based on our analyses regarding the proposed ESRD risk adjustment model recalibration presented above, the ESRD Dialysis Model value of 1.000 for 2015 appears to be incorrect, particularly as it applies to an MA ESRD population, which is demographically distinct from the FFS ESRD population.</w:t>
      </w:r>
    </w:p>
    <w:p>
      <w:pPr>
        <w:pStyle w:val="BodyText"/>
        <w:spacing w:line="259" w:lineRule="auto"/>
        <w:ind w:left="100" w:right="171"/>
      </w:pPr>
      <w:r>
        <w:rPr/>
        <w:t>Instead, unless CMS addresses the lack of risk score neutrality between the 2012 and 2019 models, a 2015 starting value that reflects the 2019 model’s downward impact on risk scores – that is, a starting value three percent to seven percent lower compared to the 2012 model, or 0.930 to 0.970, would be more appropriate (Figure 5). With a lower 2015 risk score, instead of the proposed 1.000 value, the implied 2019 ESRD dialysis normalization factor would be in the range of 0.961 to 1.002.</w:t>
      </w:r>
    </w:p>
    <w:p>
      <w:pPr>
        <w:pStyle w:val="BodyText"/>
        <w:rPr>
          <w:sz w:val="26"/>
        </w:rPr>
      </w:pPr>
    </w:p>
    <w:p>
      <w:pPr>
        <w:pStyle w:val="Heading1"/>
        <w:spacing w:after="21"/>
        <w:ind w:left="2557"/>
        <w:jc w:val="left"/>
      </w:pPr>
      <w:r>
        <w:rPr/>
        <w:t>Figure 5: Normalization Factor Start Values</w:t>
      </w: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10"/>
        <w:gridCol w:w="2429"/>
        <w:gridCol w:w="1171"/>
        <w:gridCol w:w="1128"/>
      </w:tblGrid>
      <w:tr>
        <w:trPr>
          <w:trHeight w:val="276" w:hRule="exact"/>
        </w:trPr>
        <w:tc>
          <w:tcPr>
            <w:tcW w:w="6439" w:type="dxa"/>
            <w:gridSpan w:val="2"/>
            <w:tcBorders>
              <w:top w:val="nil"/>
              <w:left w:val="nil"/>
            </w:tcBorders>
          </w:tcPr>
          <w:p>
            <w:pPr/>
          </w:p>
        </w:tc>
        <w:tc>
          <w:tcPr>
            <w:tcW w:w="2299" w:type="dxa"/>
            <w:gridSpan w:val="2"/>
          </w:tcPr>
          <w:p>
            <w:pPr>
              <w:pStyle w:val="TableParagraph"/>
              <w:spacing w:before="0"/>
              <w:ind w:left="703"/>
              <w:jc w:val="left"/>
              <w:rPr>
                <w:b/>
                <w:sz w:val="22"/>
              </w:rPr>
            </w:pPr>
            <w:r>
              <w:rPr>
                <w:b/>
                <w:sz w:val="22"/>
              </w:rPr>
              <w:t>Projected</w:t>
            </w:r>
          </w:p>
        </w:tc>
      </w:tr>
      <w:tr>
        <w:trPr>
          <w:trHeight w:val="545" w:hRule="exact"/>
        </w:trPr>
        <w:tc>
          <w:tcPr>
            <w:tcW w:w="4010" w:type="dxa"/>
          </w:tcPr>
          <w:p>
            <w:pPr>
              <w:pStyle w:val="TableParagraph"/>
              <w:spacing w:before="134"/>
              <w:ind w:left="1412" w:right="1412"/>
              <w:rPr>
                <w:b/>
                <w:sz w:val="22"/>
              </w:rPr>
            </w:pPr>
            <w:r>
              <w:rPr>
                <w:b/>
                <w:sz w:val="22"/>
              </w:rPr>
              <w:t>Data Source</w:t>
            </w:r>
          </w:p>
        </w:tc>
        <w:tc>
          <w:tcPr>
            <w:tcW w:w="2429" w:type="dxa"/>
          </w:tcPr>
          <w:p>
            <w:pPr>
              <w:pStyle w:val="TableParagraph"/>
              <w:spacing w:line="259" w:lineRule="auto" w:before="2"/>
              <w:ind w:left="472" w:right="168" w:hanging="288"/>
              <w:jc w:val="left"/>
              <w:rPr>
                <w:b/>
                <w:sz w:val="22"/>
              </w:rPr>
            </w:pPr>
            <w:r>
              <w:rPr>
                <w:b/>
                <w:sz w:val="22"/>
              </w:rPr>
              <w:t>ESRD Dialysis Model 2015 Start Value</w:t>
            </w:r>
          </w:p>
        </w:tc>
        <w:tc>
          <w:tcPr>
            <w:tcW w:w="1171" w:type="dxa"/>
          </w:tcPr>
          <w:p>
            <w:pPr>
              <w:pStyle w:val="TableParagraph"/>
              <w:spacing w:before="134"/>
              <w:ind w:left="330" w:right="328"/>
              <w:rPr>
                <w:b/>
                <w:sz w:val="22"/>
              </w:rPr>
            </w:pPr>
            <w:r>
              <w:rPr>
                <w:b/>
                <w:sz w:val="22"/>
              </w:rPr>
              <w:t>2018</w:t>
            </w:r>
          </w:p>
        </w:tc>
        <w:tc>
          <w:tcPr>
            <w:tcW w:w="1128" w:type="dxa"/>
          </w:tcPr>
          <w:p>
            <w:pPr>
              <w:pStyle w:val="TableParagraph"/>
              <w:spacing w:before="134"/>
              <w:ind w:left="360"/>
              <w:jc w:val="left"/>
              <w:rPr>
                <w:b/>
                <w:sz w:val="22"/>
              </w:rPr>
            </w:pPr>
            <w:r>
              <w:rPr>
                <w:b/>
                <w:sz w:val="22"/>
              </w:rPr>
              <w:t>2019</w:t>
            </w:r>
          </w:p>
        </w:tc>
      </w:tr>
      <w:tr>
        <w:trPr>
          <w:trHeight w:val="278" w:hRule="exact"/>
        </w:trPr>
        <w:tc>
          <w:tcPr>
            <w:tcW w:w="4010" w:type="dxa"/>
          </w:tcPr>
          <w:p>
            <w:pPr>
              <w:pStyle w:val="TableParagraph"/>
              <w:spacing w:before="0"/>
              <w:ind w:left="103"/>
              <w:jc w:val="left"/>
              <w:rPr>
                <w:b/>
                <w:sz w:val="22"/>
              </w:rPr>
            </w:pPr>
            <w:r>
              <w:rPr>
                <w:b/>
                <w:sz w:val="22"/>
              </w:rPr>
              <w:t>As CMS proposes</w:t>
            </w:r>
          </w:p>
        </w:tc>
        <w:tc>
          <w:tcPr>
            <w:tcW w:w="2429" w:type="dxa"/>
          </w:tcPr>
          <w:p>
            <w:pPr>
              <w:pStyle w:val="TableParagraph"/>
              <w:spacing w:before="0"/>
              <w:ind w:left="959" w:right="959"/>
              <w:rPr>
                <w:sz w:val="22"/>
              </w:rPr>
            </w:pPr>
            <w:r>
              <w:rPr>
                <w:sz w:val="22"/>
              </w:rPr>
              <w:t>1.000</w:t>
            </w:r>
          </w:p>
        </w:tc>
        <w:tc>
          <w:tcPr>
            <w:tcW w:w="1171" w:type="dxa"/>
          </w:tcPr>
          <w:p>
            <w:pPr>
              <w:pStyle w:val="TableParagraph"/>
              <w:spacing w:before="0"/>
              <w:ind w:left="330" w:right="330"/>
              <w:rPr>
                <w:sz w:val="22"/>
              </w:rPr>
            </w:pPr>
            <w:r>
              <w:rPr>
                <w:sz w:val="22"/>
              </w:rPr>
              <w:t>1.025</w:t>
            </w:r>
          </w:p>
        </w:tc>
        <w:tc>
          <w:tcPr>
            <w:tcW w:w="1128" w:type="dxa"/>
          </w:tcPr>
          <w:p>
            <w:pPr>
              <w:pStyle w:val="TableParagraph"/>
              <w:spacing w:before="0"/>
              <w:ind w:left="328"/>
              <w:jc w:val="left"/>
              <w:rPr>
                <w:sz w:val="22"/>
              </w:rPr>
            </w:pPr>
            <w:r>
              <w:rPr>
                <w:sz w:val="22"/>
              </w:rPr>
              <w:t>1.033</w:t>
            </w:r>
          </w:p>
        </w:tc>
      </w:tr>
      <w:tr>
        <w:trPr>
          <w:trHeight w:val="276" w:hRule="exact"/>
        </w:trPr>
        <w:tc>
          <w:tcPr>
            <w:tcW w:w="4010" w:type="dxa"/>
          </w:tcPr>
          <w:p>
            <w:pPr>
              <w:pStyle w:val="TableParagraph"/>
              <w:spacing w:before="0"/>
              <w:ind w:left="103"/>
              <w:jc w:val="left"/>
              <w:rPr>
                <w:b/>
                <w:sz w:val="22"/>
              </w:rPr>
            </w:pPr>
            <w:r>
              <w:rPr>
                <w:b/>
                <w:sz w:val="22"/>
              </w:rPr>
              <w:t>If 2019 recalibration is 3% lower</w:t>
            </w:r>
          </w:p>
        </w:tc>
        <w:tc>
          <w:tcPr>
            <w:tcW w:w="2429" w:type="dxa"/>
          </w:tcPr>
          <w:p>
            <w:pPr>
              <w:pStyle w:val="TableParagraph"/>
              <w:spacing w:before="0"/>
              <w:ind w:left="959" w:right="959"/>
              <w:rPr>
                <w:sz w:val="22"/>
              </w:rPr>
            </w:pPr>
            <w:r>
              <w:rPr>
                <w:sz w:val="22"/>
              </w:rPr>
              <w:t>0.970</w:t>
            </w:r>
          </w:p>
        </w:tc>
        <w:tc>
          <w:tcPr>
            <w:tcW w:w="1171" w:type="dxa"/>
          </w:tcPr>
          <w:p>
            <w:pPr>
              <w:pStyle w:val="TableParagraph"/>
              <w:spacing w:before="0"/>
              <w:ind w:left="330" w:right="330"/>
              <w:rPr>
                <w:sz w:val="22"/>
              </w:rPr>
            </w:pPr>
            <w:r>
              <w:rPr>
                <w:sz w:val="22"/>
              </w:rPr>
              <w:t>0.994</w:t>
            </w:r>
          </w:p>
        </w:tc>
        <w:tc>
          <w:tcPr>
            <w:tcW w:w="1128" w:type="dxa"/>
          </w:tcPr>
          <w:p>
            <w:pPr>
              <w:pStyle w:val="TableParagraph"/>
              <w:spacing w:before="0"/>
              <w:ind w:left="328"/>
              <w:jc w:val="left"/>
              <w:rPr>
                <w:sz w:val="22"/>
              </w:rPr>
            </w:pPr>
            <w:r>
              <w:rPr>
                <w:sz w:val="22"/>
              </w:rPr>
              <w:t>1.002</w:t>
            </w:r>
          </w:p>
        </w:tc>
      </w:tr>
      <w:tr>
        <w:trPr>
          <w:trHeight w:val="278" w:hRule="exact"/>
        </w:trPr>
        <w:tc>
          <w:tcPr>
            <w:tcW w:w="4010" w:type="dxa"/>
          </w:tcPr>
          <w:p>
            <w:pPr>
              <w:pStyle w:val="TableParagraph"/>
              <w:spacing w:before="0"/>
              <w:ind w:left="103"/>
              <w:jc w:val="left"/>
              <w:rPr>
                <w:b/>
                <w:sz w:val="22"/>
              </w:rPr>
            </w:pPr>
            <w:r>
              <w:rPr>
                <w:b/>
                <w:sz w:val="22"/>
              </w:rPr>
              <w:t>If 2019 recalibration is 7% lower</w:t>
            </w:r>
          </w:p>
        </w:tc>
        <w:tc>
          <w:tcPr>
            <w:tcW w:w="2429" w:type="dxa"/>
          </w:tcPr>
          <w:p>
            <w:pPr>
              <w:pStyle w:val="TableParagraph"/>
              <w:spacing w:before="0"/>
              <w:ind w:left="959" w:right="959"/>
              <w:rPr>
                <w:sz w:val="22"/>
              </w:rPr>
            </w:pPr>
            <w:r>
              <w:rPr>
                <w:sz w:val="22"/>
              </w:rPr>
              <w:t>0.930</w:t>
            </w:r>
          </w:p>
        </w:tc>
        <w:tc>
          <w:tcPr>
            <w:tcW w:w="1171" w:type="dxa"/>
          </w:tcPr>
          <w:p>
            <w:pPr>
              <w:pStyle w:val="TableParagraph"/>
              <w:spacing w:before="0"/>
              <w:ind w:left="330" w:right="330"/>
              <w:rPr>
                <w:sz w:val="22"/>
              </w:rPr>
            </w:pPr>
            <w:r>
              <w:rPr>
                <w:sz w:val="22"/>
              </w:rPr>
              <w:t>0.953</w:t>
            </w:r>
          </w:p>
        </w:tc>
        <w:tc>
          <w:tcPr>
            <w:tcW w:w="1128" w:type="dxa"/>
          </w:tcPr>
          <w:p>
            <w:pPr>
              <w:pStyle w:val="TableParagraph"/>
              <w:spacing w:before="0"/>
              <w:ind w:left="328"/>
              <w:jc w:val="left"/>
              <w:rPr>
                <w:sz w:val="22"/>
              </w:rPr>
            </w:pPr>
            <w:r>
              <w:rPr>
                <w:sz w:val="22"/>
              </w:rPr>
              <w:t>0.961</w:t>
            </w:r>
          </w:p>
        </w:tc>
      </w:tr>
    </w:tbl>
    <w:p>
      <w:pPr>
        <w:spacing w:before="0"/>
        <w:ind w:left="371" w:right="0" w:firstLine="0"/>
        <w:jc w:val="left"/>
        <w:rPr>
          <w:sz w:val="22"/>
        </w:rPr>
      </w:pPr>
      <w:r>
        <w:rPr>
          <w:sz w:val="22"/>
        </w:rPr>
        <w:t>Source: DaVita analysis of CMS data</w:t>
      </w:r>
    </w:p>
    <w:p>
      <w:pPr>
        <w:pStyle w:val="BodyText"/>
        <w:spacing w:before="5"/>
        <w:rPr>
          <w:sz w:val="27"/>
        </w:rPr>
      </w:pPr>
    </w:p>
    <w:p>
      <w:pPr>
        <w:pStyle w:val="Heading1"/>
        <w:numPr>
          <w:ilvl w:val="0"/>
          <w:numId w:val="3"/>
        </w:numPr>
        <w:tabs>
          <w:tab w:pos="820" w:val="left" w:leader="none"/>
        </w:tabs>
        <w:spacing w:line="240" w:lineRule="auto" w:before="0" w:after="0"/>
        <w:ind w:left="820" w:right="0" w:hanging="720"/>
        <w:jc w:val="both"/>
      </w:pPr>
      <w:r>
        <w:rPr/>
        <w:t>Guidance on Calcimimetic Drug Coverage and Payment to MA</w:t>
      </w:r>
      <w:r>
        <w:rPr>
          <w:spacing w:val="-29"/>
        </w:rPr>
        <w:t> </w:t>
      </w:r>
      <w:r>
        <w:rPr/>
        <w:t>Plans</w:t>
      </w:r>
    </w:p>
    <w:p>
      <w:pPr>
        <w:pStyle w:val="BodyText"/>
        <w:spacing w:before="9"/>
        <w:rPr>
          <w:b/>
          <w:sz w:val="27"/>
        </w:rPr>
      </w:pPr>
    </w:p>
    <w:p>
      <w:pPr>
        <w:pStyle w:val="BodyText"/>
        <w:spacing w:line="259" w:lineRule="auto"/>
        <w:ind w:left="100" w:right="116"/>
        <w:jc w:val="both"/>
      </w:pPr>
      <w:r>
        <w:rPr/>
        <w:t>Under current law, CMS will cover and pay for ESRD oral-only drugs and biologics under the Medicare Part D prescription drug benefit until 2025, at which time, it will incorporate payments for these drugs into the ESRD bundle. Current law also stipulates that introduction of an intravenous</w:t>
      </w:r>
    </w:p>
    <w:p>
      <w:pPr>
        <w:pStyle w:val="ListParagraph"/>
        <w:numPr>
          <w:ilvl w:val="0"/>
          <w:numId w:val="4"/>
        </w:numPr>
        <w:tabs>
          <w:tab w:pos="547" w:val="left" w:leader="none"/>
        </w:tabs>
        <w:spacing w:line="259" w:lineRule="auto" w:before="0" w:after="0"/>
        <w:ind w:left="100" w:right="114" w:firstLine="0"/>
        <w:jc w:val="both"/>
        <w:rPr>
          <w:sz w:val="24"/>
        </w:rPr>
      </w:pPr>
      <w:r>
        <w:rPr>
          <w:sz w:val="24"/>
        </w:rPr>
        <w:t>form of an oral ESRD drug or biologic triggers the oral form’s shift from Part D, such that Part B</w:t>
      </w:r>
      <w:r>
        <w:rPr>
          <w:spacing w:val="-19"/>
          <w:sz w:val="24"/>
        </w:rPr>
        <w:t> </w:t>
      </w:r>
      <w:r>
        <w:rPr>
          <w:sz w:val="24"/>
        </w:rPr>
        <w:t>will</w:t>
      </w:r>
      <w:r>
        <w:rPr>
          <w:spacing w:val="-18"/>
          <w:sz w:val="24"/>
        </w:rPr>
        <w:t> </w:t>
      </w:r>
      <w:r>
        <w:rPr>
          <w:sz w:val="24"/>
        </w:rPr>
        <w:t>reimburse</w:t>
      </w:r>
      <w:r>
        <w:rPr>
          <w:spacing w:val="-17"/>
          <w:sz w:val="24"/>
        </w:rPr>
        <w:t> </w:t>
      </w:r>
      <w:r>
        <w:rPr>
          <w:sz w:val="24"/>
        </w:rPr>
        <w:t>for</w:t>
      </w:r>
      <w:r>
        <w:rPr>
          <w:spacing w:val="-19"/>
          <w:sz w:val="24"/>
        </w:rPr>
        <w:t> </w:t>
      </w:r>
      <w:r>
        <w:rPr>
          <w:sz w:val="24"/>
        </w:rPr>
        <w:t>both</w:t>
      </w:r>
      <w:r>
        <w:rPr>
          <w:spacing w:val="-18"/>
          <w:sz w:val="24"/>
        </w:rPr>
        <w:t> </w:t>
      </w:r>
      <w:r>
        <w:rPr>
          <w:sz w:val="24"/>
        </w:rPr>
        <w:t>drug</w:t>
      </w:r>
      <w:r>
        <w:rPr>
          <w:spacing w:val="-17"/>
          <w:sz w:val="24"/>
        </w:rPr>
        <w:t> </w:t>
      </w:r>
      <w:r>
        <w:rPr>
          <w:sz w:val="24"/>
        </w:rPr>
        <w:t>forms.</w:t>
      </w:r>
      <w:r>
        <w:rPr>
          <w:spacing w:val="-18"/>
          <w:sz w:val="24"/>
        </w:rPr>
        <w:t> </w:t>
      </w:r>
      <w:r>
        <w:rPr>
          <w:sz w:val="24"/>
        </w:rPr>
        <w:t>As</w:t>
      </w:r>
      <w:r>
        <w:rPr>
          <w:spacing w:val="-19"/>
          <w:sz w:val="24"/>
        </w:rPr>
        <w:t> </w:t>
      </w:r>
      <w:r>
        <w:rPr>
          <w:sz w:val="24"/>
        </w:rPr>
        <w:t>CMS</w:t>
      </w:r>
      <w:r>
        <w:rPr>
          <w:spacing w:val="-18"/>
          <w:sz w:val="24"/>
        </w:rPr>
        <w:t> </w:t>
      </w:r>
      <w:r>
        <w:rPr>
          <w:sz w:val="24"/>
        </w:rPr>
        <w:t>knows,</w:t>
      </w:r>
      <w:r>
        <w:rPr>
          <w:spacing w:val="-18"/>
          <w:sz w:val="24"/>
        </w:rPr>
        <w:t> </w:t>
      </w:r>
      <w:r>
        <w:rPr>
          <w:sz w:val="24"/>
        </w:rPr>
        <w:t>the</w:t>
      </w:r>
      <w:r>
        <w:rPr>
          <w:spacing w:val="-17"/>
          <w:sz w:val="24"/>
        </w:rPr>
        <w:t> </w:t>
      </w:r>
      <w:r>
        <w:rPr>
          <w:sz w:val="24"/>
        </w:rPr>
        <w:t>introduction</w:t>
      </w:r>
      <w:r>
        <w:rPr>
          <w:spacing w:val="-18"/>
          <w:sz w:val="24"/>
        </w:rPr>
        <w:t> </w:t>
      </w:r>
      <w:r>
        <w:rPr>
          <w:sz w:val="24"/>
        </w:rPr>
        <w:t>of</w:t>
      </w:r>
      <w:r>
        <w:rPr>
          <w:spacing w:val="-19"/>
          <w:sz w:val="24"/>
        </w:rPr>
        <w:t> </w:t>
      </w:r>
      <w:r>
        <w:rPr>
          <w:sz w:val="24"/>
        </w:rPr>
        <w:t>Parsabiv,</w:t>
      </w:r>
      <w:r>
        <w:rPr>
          <w:spacing w:val="-18"/>
          <w:sz w:val="24"/>
        </w:rPr>
        <w:t> </w:t>
      </w:r>
      <w:r>
        <w:rPr>
          <w:sz w:val="24"/>
        </w:rPr>
        <w:t>an</w:t>
      </w:r>
      <w:r>
        <w:rPr>
          <w:spacing w:val="-18"/>
          <w:sz w:val="24"/>
        </w:rPr>
        <w:t> </w:t>
      </w:r>
      <w:r>
        <w:rPr>
          <w:sz w:val="24"/>
        </w:rPr>
        <w:t>IV</w:t>
      </w:r>
      <w:r>
        <w:rPr>
          <w:spacing w:val="-20"/>
          <w:sz w:val="24"/>
        </w:rPr>
        <w:t> </w:t>
      </w:r>
      <w:r>
        <w:rPr>
          <w:sz w:val="24"/>
        </w:rPr>
        <w:t>calcimimetic resulted in CMS reimbursing for both Parsabiv and Sensipar, an oral calcimimetic, under Part B beginning January 1, 2018. CMS has established a two-year transitional add-on payment policy to afford</w:t>
      </w:r>
      <w:r>
        <w:rPr>
          <w:spacing w:val="-6"/>
          <w:sz w:val="24"/>
        </w:rPr>
        <w:t> </w:t>
      </w:r>
      <w:r>
        <w:rPr>
          <w:sz w:val="24"/>
        </w:rPr>
        <w:t>sufficient</w:t>
      </w:r>
      <w:r>
        <w:rPr>
          <w:spacing w:val="-6"/>
          <w:sz w:val="24"/>
        </w:rPr>
        <w:t> </w:t>
      </w:r>
      <w:r>
        <w:rPr>
          <w:sz w:val="24"/>
        </w:rPr>
        <w:t>time</w:t>
      </w:r>
      <w:r>
        <w:rPr>
          <w:spacing w:val="-5"/>
          <w:sz w:val="24"/>
        </w:rPr>
        <w:t> </w:t>
      </w:r>
      <w:r>
        <w:rPr>
          <w:sz w:val="24"/>
        </w:rPr>
        <w:t>to</w:t>
      </w:r>
      <w:r>
        <w:rPr>
          <w:spacing w:val="-6"/>
          <w:sz w:val="24"/>
        </w:rPr>
        <w:t> </w:t>
      </w:r>
      <w:r>
        <w:rPr>
          <w:sz w:val="24"/>
        </w:rPr>
        <w:t>gather</w:t>
      </w:r>
      <w:r>
        <w:rPr>
          <w:spacing w:val="-7"/>
          <w:sz w:val="24"/>
        </w:rPr>
        <w:t> </w:t>
      </w:r>
      <w:r>
        <w:rPr>
          <w:sz w:val="24"/>
        </w:rPr>
        <w:t>utilization</w:t>
      </w:r>
      <w:r>
        <w:rPr>
          <w:spacing w:val="-6"/>
          <w:sz w:val="24"/>
        </w:rPr>
        <w:t> </w:t>
      </w:r>
      <w:r>
        <w:rPr>
          <w:sz w:val="24"/>
        </w:rPr>
        <w:t>data</w:t>
      </w:r>
      <w:r>
        <w:rPr>
          <w:spacing w:val="-5"/>
          <w:sz w:val="24"/>
        </w:rPr>
        <w:t> </w:t>
      </w:r>
      <w:r>
        <w:rPr>
          <w:sz w:val="24"/>
        </w:rPr>
        <w:t>prior</w:t>
      </w:r>
      <w:r>
        <w:rPr>
          <w:spacing w:val="-7"/>
          <w:sz w:val="24"/>
        </w:rPr>
        <w:t> </w:t>
      </w:r>
      <w:r>
        <w:rPr>
          <w:sz w:val="24"/>
        </w:rPr>
        <w:t>to</w:t>
      </w:r>
      <w:r>
        <w:rPr>
          <w:spacing w:val="-6"/>
          <w:sz w:val="24"/>
        </w:rPr>
        <w:t> </w:t>
      </w:r>
      <w:r>
        <w:rPr>
          <w:sz w:val="24"/>
        </w:rPr>
        <w:t>fully</w:t>
      </w:r>
      <w:r>
        <w:rPr>
          <w:spacing w:val="-5"/>
          <w:sz w:val="24"/>
        </w:rPr>
        <w:t> </w:t>
      </w:r>
      <w:r>
        <w:rPr>
          <w:sz w:val="24"/>
        </w:rPr>
        <w:t>incorporating</w:t>
      </w:r>
      <w:r>
        <w:rPr>
          <w:spacing w:val="-5"/>
          <w:sz w:val="24"/>
        </w:rPr>
        <w:t> </w:t>
      </w:r>
      <w:r>
        <w:rPr>
          <w:sz w:val="24"/>
        </w:rPr>
        <w:t>payment</w:t>
      </w:r>
      <w:r>
        <w:rPr>
          <w:spacing w:val="-6"/>
          <w:sz w:val="24"/>
        </w:rPr>
        <w:t> </w:t>
      </w:r>
      <w:r>
        <w:rPr>
          <w:sz w:val="24"/>
        </w:rPr>
        <w:t>for</w:t>
      </w:r>
      <w:r>
        <w:rPr>
          <w:spacing w:val="-7"/>
          <w:sz w:val="24"/>
        </w:rPr>
        <w:t> </w:t>
      </w:r>
      <w:r>
        <w:rPr>
          <w:sz w:val="24"/>
        </w:rPr>
        <w:t>the</w:t>
      </w:r>
      <w:r>
        <w:rPr>
          <w:spacing w:val="-5"/>
          <w:sz w:val="24"/>
        </w:rPr>
        <w:t> </w:t>
      </w:r>
      <w:r>
        <w:rPr>
          <w:sz w:val="24"/>
        </w:rPr>
        <w:t>drugs</w:t>
      </w:r>
      <w:r>
        <w:rPr>
          <w:spacing w:val="-5"/>
          <w:sz w:val="24"/>
        </w:rPr>
        <w:t> </w:t>
      </w:r>
      <w:r>
        <w:rPr>
          <w:sz w:val="24"/>
        </w:rPr>
        <w:t>into the ESRD</w:t>
      </w:r>
      <w:r>
        <w:rPr>
          <w:spacing w:val="-8"/>
          <w:sz w:val="24"/>
        </w:rPr>
        <w:t> </w:t>
      </w:r>
      <w:r>
        <w:rPr>
          <w:sz w:val="24"/>
        </w:rPr>
        <w:t>bundle.</w:t>
      </w:r>
    </w:p>
    <w:p>
      <w:pPr>
        <w:spacing w:after="0" w:line="259" w:lineRule="auto"/>
        <w:jc w:val="both"/>
        <w:rPr>
          <w:sz w:val="24"/>
        </w:rPr>
        <w:sectPr>
          <w:footerReference w:type="default" r:id="rId13"/>
          <w:pgSz w:w="12240" w:h="15840"/>
          <w:pgMar w:footer="722" w:header="0" w:top="640" w:bottom="920" w:left="1340" w:right="1320"/>
        </w:sectPr>
      </w:pPr>
    </w:p>
    <w:p>
      <w:pPr>
        <w:pStyle w:val="Heading1"/>
        <w:spacing w:before="79"/>
        <w:ind w:left="3299" w:right="3300"/>
      </w:pPr>
      <w:r>
        <w:rPr/>
        <w:t>Comment/Recommendation</w:t>
      </w:r>
    </w:p>
    <w:p>
      <w:pPr>
        <w:pStyle w:val="BodyText"/>
        <w:spacing w:before="8"/>
        <w:rPr>
          <w:b/>
          <w:sz w:val="27"/>
        </w:rPr>
      </w:pPr>
    </w:p>
    <w:p>
      <w:pPr>
        <w:pStyle w:val="BodyText"/>
        <w:spacing w:line="259" w:lineRule="auto" w:before="1"/>
        <w:ind w:left="120" w:right="116"/>
        <w:jc w:val="both"/>
      </w:pPr>
      <w:r>
        <w:rPr/>
        <w:t>With</w:t>
      </w:r>
      <w:r>
        <w:rPr>
          <w:spacing w:val="-8"/>
        </w:rPr>
        <w:t> </w:t>
      </w:r>
      <w:r>
        <w:rPr/>
        <w:t>the</w:t>
      </w:r>
      <w:r>
        <w:rPr>
          <w:spacing w:val="-7"/>
        </w:rPr>
        <w:t> </w:t>
      </w:r>
      <w:r>
        <w:rPr/>
        <w:t>shift</w:t>
      </w:r>
      <w:r>
        <w:rPr>
          <w:spacing w:val="-9"/>
        </w:rPr>
        <w:t> </w:t>
      </w:r>
      <w:r>
        <w:rPr/>
        <w:t>in</w:t>
      </w:r>
      <w:r>
        <w:rPr>
          <w:spacing w:val="-8"/>
        </w:rPr>
        <w:t> </w:t>
      </w:r>
      <w:r>
        <w:rPr/>
        <w:t>coverage</w:t>
      </w:r>
      <w:r>
        <w:rPr>
          <w:spacing w:val="-10"/>
        </w:rPr>
        <w:t> </w:t>
      </w:r>
      <w:r>
        <w:rPr/>
        <w:t>from</w:t>
      </w:r>
      <w:r>
        <w:rPr>
          <w:spacing w:val="-9"/>
        </w:rPr>
        <w:t> </w:t>
      </w:r>
      <w:r>
        <w:rPr/>
        <w:t>Part</w:t>
      </w:r>
      <w:r>
        <w:rPr>
          <w:spacing w:val="-9"/>
        </w:rPr>
        <w:t> </w:t>
      </w:r>
      <w:r>
        <w:rPr/>
        <w:t>D</w:t>
      </w:r>
      <w:r>
        <w:rPr>
          <w:spacing w:val="-9"/>
        </w:rPr>
        <w:t> </w:t>
      </w:r>
      <w:r>
        <w:rPr/>
        <w:t>to</w:t>
      </w:r>
      <w:r>
        <w:rPr>
          <w:spacing w:val="-8"/>
        </w:rPr>
        <w:t> </w:t>
      </w:r>
      <w:r>
        <w:rPr/>
        <w:t>Part</w:t>
      </w:r>
      <w:r>
        <w:rPr>
          <w:spacing w:val="-9"/>
        </w:rPr>
        <w:t> </w:t>
      </w:r>
      <w:r>
        <w:rPr/>
        <w:t>B,</w:t>
      </w:r>
      <w:r>
        <w:rPr>
          <w:spacing w:val="-8"/>
        </w:rPr>
        <w:t> </w:t>
      </w:r>
      <w:r>
        <w:rPr/>
        <w:t>MA</w:t>
      </w:r>
      <w:r>
        <w:rPr>
          <w:spacing w:val="-8"/>
        </w:rPr>
        <w:t> </w:t>
      </w:r>
      <w:r>
        <w:rPr/>
        <w:t>plans</w:t>
      </w:r>
      <w:r>
        <w:rPr>
          <w:spacing w:val="-9"/>
        </w:rPr>
        <w:t> </w:t>
      </w:r>
      <w:r>
        <w:rPr/>
        <w:t>are</w:t>
      </w:r>
      <w:r>
        <w:rPr>
          <w:spacing w:val="-7"/>
        </w:rPr>
        <w:t> </w:t>
      </w:r>
      <w:r>
        <w:rPr/>
        <w:t>now</w:t>
      </w:r>
      <w:r>
        <w:rPr>
          <w:spacing w:val="-7"/>
        </w:rPr>
        <w:t> </w:t>
      </w:r>
      <w:r>
        <w:rPr/>
        <w:t>financially</w:t>
      </w:r>
      <w:r>
        <w:rPr>
          <w:spacing w:val="-7"/>
        </w:rPr>
        <w:t> </w:t>
      </w:r>
      <w:r>
        <w:rPr/>
        <w:t>responsible</w:t>
      </w:r>
      <w:r>
        <w:rPr>
          <w:spacing w:val="-7"/>
        </w:rPr>
        <w:t> </w:t>
      </w:r>
      <w:r>
        <w:rPr/>
        <w:t>for</w:t>
      </w:r>
      <w:r>
        <w:rPr>
          <w:spacing w:val="-9"/>
        </w:rPr>
        <w:t> </w:t>
      </w:r>
      <w:r>
        <w:rPr/>
        <w:t>paying dialysis</w:t>
      </w:r>
      <w:r>
        <w:rPr>
          <w:spacing w:val="-7"/>
        </w:rPr>
        <w:t> </w:t>
      </w:r>
      <w:r>
        <w:rPr/>
        <w:t>facilities</w:t>
      </w:r>
      <w:r>
        <w:rPr>
          <w:spacing w:val="-7"/>
        </w:rPr>
        <w:t> </w:t>
      </w:r>
      <w:r>
        <w:rPr/>
        <w:t>for</w:t>
      </w:r>
      <w:r>
        <w:rPr>
          <w:spacing w:val="-9"/>
        </w:rPr>
        <w:t> </w:t>
      </w:r>
      <w:r>
        <w:rPr/>
        <w:t>calcimimetic</w:t>
      </w:r>
      <w:r>
        <w:rPr>
          <w:spacing w:val="-5"/>
        </w:rPr>
        <w:t> </w:t>
      </w:r>
      <w:r>
        <w:rPr/>
        <w:t>drugs</w:t>
      </w:r>
      <w:r>
        <w:rPr>
          <w:spacing w:val="-7"/>
        </w:rPr>
        <w:t> </w:t>
      </w:r>
      <w:r>
        <w:rPr/>
        <w:t>under</w:t>
      </w:r>
      <w:r>
        <w:rPr>
          <w:spacing w:val="-7"/>
        </w:rPr>
        <w:t> </w:t>
      </w:r>
      <w:r>
        <w:rPr/>
        <w:t>Part</w:t>
      </w:r>
      <w:r>
        <w:rPr>
          <w:spacing w:val="-9"/>
        </w:rPr>
        <w:t> </w:t>
      </w:r>
      <w:r>
        <w:rPr/>
        <w:t>C.</w:t>
      </w:r>
      <w:r>
        <w:rPr>
          <w:spacing w:val="-8"/>
        </w:rPr>
        <w:t> </w:t>
      </w:r>
      <w:r>
        <w:rPr/>
        <w:t>It</w:t>
      </w:r>
      <w:r>
        <w:rPr>
          <w:spacing w:val="-6"/>
        </w:rPr>
        <w:t> </w:t>
      </w:r>
      <w:r>
        <w:rPr/>
        <w:t>is</w:t>
      </w:r>
      <w:r>
        <w:rPr>
          <w:spacing w:val="-7"/>
        </w:rPr>
        <w:t> </w:t>
      </w:r>
      <w:r>
        <w:rPr/>
        <w:t>our</w:t>
      </w:r>
      <w:r>
        <w:rPr>
          <w:spacing w:val="-7"/>
        </w:rPr>
        <w:t> </w:t>
      </w:r>
      <w:r>
        <w:rPr/>
        <w:t>understanding</w:t>
      </w:r>
      <w:r>
        <w:rPr>
          <w:spacing w:val="-5"/>
        </w:rPr>
        <w:t> </w:t>
      </w:r>
      <w:r>
        <w:rPr/>
        <w:t>that</w:t>
      </w:r>
      <w:r>
        <w:rPr>
          <w:spacing w:val="-6"/>
        </w:rPr>
        <w:t> </w:t>
      </w:r>
      <w:r>
        <w:rPr/>
        <w:t>during</w:t>
      </w:r>
      <w:r>
        <w:rPr>
          <w:spacing w:val="-5"/>
        </w:rPr>
        <w:t> </w:t>
      </w:r>
      <w:r>
        <w:rPr/>
        <w:t>a</w:t>
      </w:r>
      <w:r>
        <w:rPr>
          <w:spacing w:val="-7"/>
        </w:rPr>
        <w:t> </w:t>
      </w:r>
      <w:r>
        <w:rPr/>
        <w:t>conference call</w:t>
      </w:r>
      <w:r>
        <w:rPr>
          <w:spacing w:val="-15"/>
        </w:rPr>
        <w:t> </w:t>
      </w:r>
      <w:r>
        <w:rPr/>
        <w:t>with</w:t>
      </w:r>
      <w:r>
        <w:rPr>
          <w:spacing w:val="-15"/>
        </w:rPr>
        <w:t> </w:t>
      </w:r>
      <w:r>
        <w:rPr/>
        <w:t>MA</w:t>
      </w:r>
      <w:r>
        <w:rPr>
          <w:spacing w:val="-15"/>
        </w:rPr>
        <w:t> </w:t>
      </w:r>
      <w:r>
        <w:rPr/>
        <w:t>plan</w:t>
      </w:r>
      <w:r>
        <w:rPr>
          <w:spacing w:val="-15"/>
        </w:rPr>
        <w:t> </w:t>
      </w:r>
      <w:r>
        <w:rPr/>
        <w:t>representatives,</w:t>
      </w:r>
      <w:r>
        <w:rPr>
          <w:spacing w:val="-15"/>
        </w:rPr>
        <w:t> </w:t>
      </w:r>
      <w:r>
        <w:rPr/>
        <w:t>CMS</w:t>
      </w:r>
      <w:r>
        <w:rPr>
          <w:spacing w:val="-15"/>
        </w:rPr>
        <w:t> </w:t>
      </w:r>
      <w:r>
        <w:rPr/>
        <w:t>has</w:t>
      </w:r>
      <w:r>
        <w:rPr>
          <w:spacing w:val="-16"/>
        </w:rPr>
        <w:t> </w:t>
      </w:r>
      <w:r>
        <w:rPr/>
        <w:t>instructed</w:t>
      </w:r>
      <w:r>
        <w:rPr>
          <w:spacing w:val="-15"/>
        </w:rPr>
        <w:t> </w:t>
      </w:r>
      <w:r>
        <w:rPr/>
        <w:t>MA</w:t>
      </w:r>
      <w:r>
        <w:rPr>
          <w:spacing w:val="-15"/>
        </w:rPr>
        <w:t> </w:t>
      </w:r>
      <w:r>
        <w:rPr/>
        <w:t>organizations</w:t>
      </w:r>
      <w:r>
        <w:rPr>
          <w:spacing w:val="-16"/>
        </w:rPr>
        <w:t> </w:t>
      </w:r>
      <w:r>
        <w:rPr/>
        <w:t>to</w:t>
      </w:r>
      <w:r>
        <w:rPr>
          <w:spacing w:val="-15"/>
        </w:rPr>
        <w:t> </w:t>
      </w:r>
      <w:r>
        <w:rPr/>
        <w:t>include</w:t>
      </w:r>
      <w:r>
        <w:rPr>
          <w:spacing w:val="-15"/>
        </w:rPr>
        <w:t> </w:t>
      </w:r>
      <w:r>
        <w:rPr/>
        <w:t>these</w:t>
      </w:r>
      <w:r>
        <w:rPr>
          <w:spacing w:val="-15"/>
        </w:rPr>
        <w:t> </w:t>
      </w:r>
      <w:r>
        <w:rPr/>
        <w:t>costs</w:t>
      </w:r>
      <w:r>
        <w:rPr>
          <w:spacing w:val="-16"/>
        </w:rPr>
        <w:t> </w:t>
      </w:r>
      <w:r>
        <w:rPr/>
        <w:t>in</w:t>
      </w:r>
      <w:r>
        <w:rPr>
          <w:spacing w:val="-15"/>
        </w:rPr>
        <w:t> </w:t>
      </w:r>
      <w:r>
        <w:rPr/>
        <w:t>their 2019 bids. To ensure the even application of coverage and reimbursement requirements across MA plans,</w:t>
      </w:r>
      <w:r>
        <w:rPr>
          <w:spacing w:val="-9"/>
        </w:rPr>
        <w:t> </w:t>
      </w:r>
      <w:r>
        <w:rPr/>
        <w:t>DaVita</w:t>
      </w:r>
      <w:r>
        <w:rPr>
          <w:spacing w:val="-8"/>
        </w:rPr>
        <w:t> </w:t>
      </w:r>
      <w:r>
        <w:rPr/>
        <w:t>along</w:t>
      </w:r>
      <w:r>
        <w:rPr>
          <w:spacing w:val="-9"/>
        </w:rPr>
        <w:t> </w:t>
      </w:r>
      <w:r>
        <w:rPr/>
        <w:t>with</w:t>
      </w:r>
      <w:r>
        <w:rPr>
          <w:spacing w:val="-9"/>
        </w:rPr>
        <w:t> </w:t>
      </w:r>
      <w:r>
        <w:rPr/>
        <w:t>several</w:t>
      </w:r>
      <w:r>
        <w:rPr>
          <w:spacing w:val="-9"/>
        </w:rPr>
        <w:t> </w:t>
      </w:r>
      <w:r>
        <w:rPr/>
        <w:t>other</w:t>
      </w:r>
      <w:r>
        <w:rPr>
          <w:spacing w:val="-10"/>
        </w:rPr>
        <w:t> </w:t>
      </w:r>
      <w:r>
        <w:rPr/>
        <w:t>stakeholders</w:t>
      </w:r>
      <w:r>
        <w:rPr>
          <w:spacing w:val="-10"/>
        </w:rPr>
        <w:t> </w:t>
      </w:r>
      <w:r>
        <w:rPr/>
        <w:t>on</w:t>
      </w:r>
      <w:r>
        <w:rPr>
          <w:spacing w:val="-9"/>
        </w:rPr>
        <w:t> </w:t>
      </w:r>
      <w:r>
        <w:rPr/>
        <w:t>multiple</w:t>
      </w:r>
      <w:r>
        <w:rPr>
          <w:spacing w:val="-8"/>
        </w:rPr>
        <w:t> </w:t>
      </w:r>
      <w:r>
        <w:rPr/>
        <w:t>occasions</w:t>
      </w:r>
      <w:r>
        <w:rPr>
          <w:spacing w:val="-10"/>
        </w:rPr>
        <w:t> </w:t>
      </w:r>
      <w:r>
        <w:rPr/>
        <w:t>have</w:t>
      </w:r>
      <w:r>
        <w:rPr>
          <w:spacing w:val="-8"/>
        </w:rPr>
        <w:t> </w:t>
      </w:r>
      <w:r>
        <w:rPr/>
        <w:t>respectfully</w:t>
      </w:r>
      <w:r>
        <w:rPr>
          <w:spacing w:val="-8"/>
        </w:rPr>
        <w:t> </w:t>
      </w:r>
      <w:r>
        <w:rPr/>
        <w:t>requested that CMS provide definitive policy guidance on this issue. In finalizing the 2018 ESRD Prospective Payment</w:t>
      </w:r>
      <w:r>
        <w:rPr>
          <w:spacing w:val="-8"/>
        </w:rPr>
        <w:t> </w:t>
      </w:r>
      <w:r>
        <w:rPr/>
        <w:t>System</w:t>
      </w:r>
      <w:r>
        <w:rPr>
          <w:spacing w:val="-8"/>
        </w:rPr>
        <w:t> </w:t>
      </w:r>
      <w:r>
        <w:rPr/>
        <w:t>(PPS)</w:t>
      </w:r>
      <w:r>
        <w:rPr>
          <w:spacing w:val="-6"/>
        </w:rPr>
        <w:t> </w:t>
      </w:r>
      <w:r>
        <w:rPr/>
        <w:t>rule</w:t>
      </w:r>
      <w:r>
        <w:rPr>
          <w:spacing w:val="-6"/>
        </w:rPr>
        <w:t> </w:t>
      </w:r>
      <w:r>
        <w:rPr/>
        <w:t>last</w:t>
      </w:r>
      <w:r>
        <w:rPr>
          <w:spacing w:val="-8"/>
        </w:rPr>
        <w:t> </w:t>
      </w:r>
      <w:r>
        <w:rPr/>
        <w:t>November,</w:t>
      </w:r>
      <w:r>
        <w:rPr>
          <w:spacing w:val="-7"/>
        </w:rPr>
        <w:t> </w:t>
      </w:r>
      <w:r>
        <w:rPr/>
        <w:t>CMS</w:t>
      </w:r>
      <w:r>
        <w:rPr>
          <w:spacing w:val="-7"/>
        </w:rPr>
        <w:t> </w:t>
      </w:r>
      <w:r>
        <w:rPr/>
        <w:t>noted</w:t>
      </w:r>
      <w:r>
        <w:rPr>
          <w:spacing w:val="-7"/>
        </w:rPr>
        <w:t> </w:t>
      </w:r>
      <w:r>
        <w:rPr/>
        <w:t>it</w:t>
      </w:r>
      <w:r>
        <w:rPr>
          <w:spacing w:val="-8"/>
        </w:rPr>
        <w:t> </w:t>
      </w:r>
      <w:r>
        <w:rPr/>
        <w:t>received</w:t>
      </w:r>
      <w:r>
        <w:rPr>
          <w:spacing w:val="-7"/>
        </w:rPr>
        <w:t> </w:t>
      </w:r>
      <w:r>
        <w:rPr/>
        <w:t>comments</w:t>
      </w:r>
      <w:r>
        <w:rPr>
          <w:spacing w:val="-6"/>
        </w:rPr>
        <w:t> </w:t>
      </w:r>
      <w:r>
        <w:rPr/>
        <w:t>on</w:t>
      </w:r>
      <w:r>
        <w:rPr>
          <w:spacing w:val="-7"/>
        </w:rPr>
        <w:t> </w:t>
      </w:r>
      <w:r>
        <w:rPr/>
        <w:t>this</w:t>
      </w:r>
      <w:r>
        <w:rPr>
          <w:spacing w:val="-6"/>
        </w:rPr>
        <w:t> </w:t>
      </w:r>
      <w:r>
        <w:rPr/>
        <w:t>topic</w:t>
      </w:r>
      <w:r>
        <w:rPr>
          <w:spacing w:val="-6"/>
        </w:rPr>
        <w:t> </w:t>
      </w:r>
      <w:r>
        <w:rPr/>
        <w:t>and</w:t>
      </w:r>
      <w:r>
        <w:rPr>
          <w:spacing w:val="-7"/>
        </w:rPr>
        <w:t> </w:t>
      </w:r>
      <w:r>
        <w:rPr/>
        <w:t>stated its intent to issue guidance “soon.” DaVita was hopeful that CMS would take the opportunity presented by the 2019 MA Advance and Final Notice process to follow through on that intent. We urge CMS not to delay any longer to avoid compromising beneficiaries’ access to these important medicines</w:t>
      </w:r>
      <w:r>
        <w:rPr>
          <w:spacing w:val="-8"/>
        </w:rPr>
        <w:t> </w:t>
      </w:r>
      <w:r>
        <w:rPr/>
        <w:t>and</w:t>
      </w:r>
      <w:r>
        <w:rPr>
          <w:spacing w:val="-9"/>
        </w:rPr>
        <w:t> </w:t>
      </w:r>
      <w:r>
        <w:rPr/>
        <w:t>creating</w:t>
      </w:r>
      <w:r>
        <w:rPr>
          <w:spacing w:val="-9"/>
        </w:rPr>
        <w:t> </w:t>
      </w:r>
      <w:r>
        <w:rPr/>
        <w:t>any</w:t>
      </w:r>
      <w:r>
        <w:rPr>
          <w:spacing w:val="-6"/>
        </w:rPr>
        <w:t> </w:t>
      </w:r>
      <w:r>
        <w:rPr/>
        <w:t>unnecessary</w:t>
      </w:r>
      <w:r>
        <w:rPr>
          <w:spacing w:val="-6"/>
        </w:rPr>
        <w:t> </w:t>
      </w:r>
      <w:r>
        <w:rPr/>
        <w:t>confusion</w:t>
      </w:r>
      <w:r>
        <w:rPr>
          <w:spacing w:val="-7"/>
        </w:rPr>
        <w:t> </w:t>
      </w:r>
      <w:r>
        <w:rPr/>
        <w:t>among</w:t>
      </w:r>
      <w:r>
        <w:rPr>
          <w:spacing w:val="-6"/>
        </w:rPr>
        <w:t> </w:t>
      </w:r>
      <w:r>
        <w:rPr/>
        <w:t>MA</w:t>
      </w:r>
      <w:r>
        <w:rPr>
          <w:spacing w:val="-6"/>
        </w:rPr>
        <w:t> </w:t>
      </w:r>
      <w:r>
        <w:rPr/>
        <w:t>plans</w:t>
      </w:r>
      <w:r>
        <w:rPr>
          <w:spacing w:val="-8"/>
        </w:rPr>
        <w:t> </w:t>
      </w:r>
      <w:r>
        <w:rPr/>
        <w:t>and</w:t>
      </w:r>
      <w:r>
        <w:rPr>
          <w:spacing w:val="-7"/>
        </w:rPr>
        <w:t> </w:t>
      </w:r>
      <w:r>
        <w:rPr/>
        <w:t>dialysis</w:t>
      </w:r>
      <w:r>
        <w:rPr>
          <w:spacing w:val="-8"/>
        </w:rPr>
        <w:t> </w:t>
      </w:r>
      <w:r>
        <w:rPr/>
        <w:t>providers.</w:t>
      </w:r>
      <w:r>
        <w:rPr>
          <w:spacing w:val="-4"/>
        </w:rPr>
        <w:t> </w:t>
      </w:r>
      <w:r>
        <w:rPr/>
        <w:t>Below</w:t>
      </w:r>
      <w:r>
        <w:rPr>
          <w:spacing w:val="-6"/>
        </w:rPr>
        <w:t> </w:t>
      </w:r>
      <w:r>
        <w:rPr/>
        <w:t>we reiterate our recommendations submitted in previous comment</w:t>
      </w:r>
      <w:r>
        <w:rPr>
          <w:spacing w:val="-39"/>
        </w:rPr>
        <w:t> </w:t>
      </w:r>
      <w:r>
        <w:rPr/>
        <w:t>letters.</w:t>
      </w:r>
    </w:p>
    <w:p>
      <w:pPr>
        <w:pStyle w:val="BodyText"/>
        <w:spacing w:before="10"/>
        <w:rPr>
          <w:sz w:val="25"/>
        </w:rPr>
      </w:pPr>
    </w:p>
    <w:p>
      <w:pPr>
        <w:pStyle w:val="ListParagraph"/>
        <w:numPr>
          <w:ilvl w:val="1"/>
          <w:numId w:val="4"/>
        </w:numPr>
        <w:tabs>
          <w:tab w:pos="660" w:val="left" w:leader="none"/>
        </w:tabs>
        <w:spacing w:line="259" w:lineRule="auto" w:before="0" w:after="0"/>
        <w:ind w:left="660" w:right="114" w:hanging="360"/>
        <w:jc w:val="both"/>
        <w:rPr>
          <w:sz w:val="24"/>
        </w:rPr>
      </w:pPr>
      <w:r>
        <w:rPr>
          <w:b/>
          <w:sz w:val="24"/>
        </w:rPr>
        <w:t>Revisit and Reissue the 2011 Guidance Regarding ESRD-Related Drugs and MA Plan Coverage and Payment Obligations. </w:t>
      </w:r>
      <w:r>
        <w:rPr>
          <w:sz w:val="24"/>
        </w:rPr>
        <w:t>As a general rule, MA plans </w:t>
      </w:r>
      <w:r>
        <w:rPr>
          <w:sz w:val="24"/>
          <w:u w:val="single"/>
        </w:rPr>
        <w:t>are not required </w:t>
      </w:r>
      <w:r>
        <w:rPr>
          <w:sz w:val="24"/>
        </w:rPr>
        <w:t>to pay dialysis</w:t>
      </w:r>
      <w:r>
        <w:rPr>
          <w:spacing w:val="-9"/>
          <w:sz w:val="24"/>
        </w:rPr>
        <w:t> </w:t>
      </w:r>
      <w:r>
        <w:rPr>
          <w:sz w:val="24"/>
        </w:rPr>
        <w:t>facilities</w:t>
      </w:r>
      <w:r>
        <w:rPr>
          <w:spacing w:val="-9"/>
          <w:sz w:val="24"/>
        </w:rPr>
        <w:t> </w:t>
      </w:r>
      <w:r>
        <w:rPr>
          <w:sz w:val="24"/>
        </w:rPr>
        <w:t>in</w:t>
      </w:r>
      <w:r>
        <w:rPr>
          <w:spacing w:val="-11"/>
          <w:sz w:val="24"/>
        </w:rPr>
        <w:t> </w:t>
      </w:r>
      <w:r>
        <w:rPr>
          <w:sz w:val="24"/>
        </w:rPr>
        <w:t>accordance</w:t>
      </w:r>
      <w:r>
        <w:rPr>
          <w:spacing w:val="-10"/>
          <w:sz w:val="24"/>
        </w:rPr>
        <w:t> </w:t>
      </w:r>
      <w:r>
        <w:rPr>
          <w:sz w:val="24"/>
        </w:rPr>
        <w:t>with</w:t>
      </w:r>
      <w:r>
        <w:rPr>
          <w:spacing w:val="-8"/>
          <w:sz w:val="24"/>
        </w:rPr>
        <w:t> </w:t>
      </w:r>
      <w:r>
        <w:rPr>
          <w:sz w:val="24"/>
        </w:rPr>
        <w:t>the</w:t>
      </w:r>
      <w:r>
        <w:rPr>
          <w:spacing w:val="-10"/>
          <w:sz w:val="24"/>
        </w:rPr>
        <w:t> </w:t>
      </w:r>
      <w:r>
        <w:rPr>
          <w:sz w:val="24"/>
        </w:rPr>
        <w:t>ERSD</w:t>
      </w:r>
      <w:r>
        <w:rPr>
          <w:spacing w:val="-9"/>
          <w:sz w:val="24"/>
        </w:rPr>
        <w:t> </w:t>
      </w:r>
      <w:r>
        <w:rPr>
          <w:sz w:val="24"/>
        </w:rPr>
        <w:t>PPS</w:t>
      </w:r>
      <w:r>
        <w:rPr>
          <w:spacing w:val="-10"/>
          <w:sz w:val="24"/>
        </w:rPr>
        <w:t> </w:t>
      </w:r>
      <w:r>
        <w:rPr>
          <w:sz w:val="24"/>
        </w:rPr>
        <w:t>methodology,</w:t>
      </w:r>
      <w:r>
        <w:rPr>
          <w:spacing w:val="-8"/>
          <w:sz w:val="24"/>
        </w:rPr>
        <w:t> </w:t>
      </w:r>
      <w:r>
        <w:rPr>
          <w:sz w:val="24"/>
        </w:rPr>
        <w:t>but</w:t>
      </w:r>
      <w:r>
        <w:rPr>
          <w:spacing w:val="-9"/>
          <w:sz w:val="24"/>
        </w:rPr>
        <w:t> </w:t>
      </w:r>
      <w:r>
        <w:rPr>
          <w:sz w:val="24"/>
        </w:rPr>
        <w:t>they</w:t>
      </w:r>
      <w:r>
        <w:rPr>
          <w:spacing w:val="-7"/>
          <w:sz w:val="24"/>
        </w:rPr>
        <w:t> </w:t>
      </w:r>
      <w:r>
        <w:rPr>
          <w:sz w:val="24"/>
          <w:u w:val="single"/>
        </w:rPr>
        <w:t>are</w:t>
      </w:r>
      <w:r>
        <w:rPr>
          <w:spacing w:val="-10"/>
          <w:sz w:val="24"/>
          <w:u w:val="single"/>
        </w:rPr>
        <w:t> </w:t>
      </w:r>
      <w:r>
        <w:rPr>
          <w:sz w:val="24"/>
          <w:u w:val="single"/>
        </w:rPr>
        <w:t>required</w:t>
      </w:r>
      <w:r>
        <w:rPr>
          <w:spacing w:val="-8"/>
          <w:sz w:val="24"/>
          <w:u w:val="single"/>
        </w:rPr>
        <w:t> </w:t>
      </w:r>
      <w:r>
        <w:rPr>
          <w:sz w:val="24"/>
        </w:rPr>
        <w:t>to</w:t>
      </w:r>
      <w:r>
        <w:rPr>
          <w:spacing w:val="-8"/>
          <w:sz w:val="24"/>
        </w:rPr>
        <w:t> </w:t>
      </w:r>
      <w:r>
        <w:rPr>
          <w:sz w:val="24"/>
        </w:rPr>
        <w:t>cover and pay for the full scope of benefits offered under Parts A and </w:t>
      </w:r>
      <w:r>
        <w:rPr>
          <w:spacing w:val="4"/>
          <w:sz w:val="24"/>
        </w:rPr>
        <w:t>B.</w:t>
      </w:r>
      <w:hyperlink w:history="true" w:anchor="_bookmark1">
        <w:r>
          <w:rPr>
            <w:spacing w:val="4"/>
            <w:position w:val="9"/>
            <w:sz w:val="14"/>
          </w:rPr>
          <w:t>2</w:t>
        </w:r>
      </w:hyperlink>
      <w:r>
        <w:rPr>
          <w:spacing w:val="4"/>
          <w:position w:val="9"/>
          <w:sz w:val="14"/>
        </w:rPr>
        <w:t> </w:t>
      </w:r>
      <w:r>
        <w:rPr>
          <w:sz w:val="24"/>
        </w:rPr>
        <w:t>This means that when an ESRD-related drug transitions from coverage under Part D as an oral-only drug to coverage under</w:t>
      </w:r>
      <w:r>
        <w:rPr>
          <w:spacing w:val="-12"/>
          <w:sz w:val="24"/>
        </w:rPr>
        <w:t> </w:t>
      </w:r>
      <w:r>
        <w:rPr>
          <w:sz w:val="24"/>
        </w:rPr>
        <w:t>Part</w:t>
      </w:r>
      <w:r>
        <w:rPr>
          <w:spacing w:val="-11"/>
          <w:sz w:val="24"/>
        </w:rPr>
        <w:t> </w:t>
      </w:r>
      <w:r>
        <w:rPr>
          <w:sz w:val="24"/>
        </w:rPr>
        <w:t>B</w:t>
      </w:r>
      <w:r>
        <w:rPr>
          <w:spacing w:val="-12"/>
          <w:sz w:val="24"/>
        </w:rPr>
        <w:t> </w:t>
      </w:r>
      <w:r>
        <w:rPr>
          <w:sz w:val="24"/>
        </w:rPr>
        <w:t>with</w:t>
      </w:r>
      <w:r>
        <w:rPr>
          <w:spacing w:val="-11"/>
          <w:sz w:val="24"/>
        </w:rPr>
        <w:t> </w:t>
      </w:r>
      <w:r>
        <w:rPr>
          <w:sz w:val="24"/>
        </w:rPr>
        <w:t>both</w:t>
      </w:r>
      <w:r>
        <w:rPr>
          <w:spacing w:val="-11"/>
          <w:sz w:val="24"/>
        </w:rPr>
        <w:t> </w:t>
      </w:r>
      <w:r>
        <w:rPr>
          <w:sz w:val="24"/>
        </w:rPr>
        <w:t>oral</w:t>
      </w:r>
      <w:r>
        <w:rPr>
          <w:spacing w:val="-10"/>
          <w:sz w:val="24"/>
        </w:rPr>
        <w:t> </w:t>
      </w:r>
      <w:r>
        <w:rPr>
          <w:sz w:val="24"/>
        </w:rPr>
        <w:t>and</w:t>
      </w:r>
      <w:r>
        <w:rPr>
          <w:spacing w:val="-11"/>
          <w:sz w:val="24"/>
        </w:rPr>
        <w:t> </w:t>
      </w:r>
      <w:r>
        <w:rPr>
          <w:sz w:val="24"/>
        </w:rPr>
        <w:t>IV</w:t>
      </w:r>
      <w:r>
        <w:rPr>
          <w:spacing w:val="-10"/>
          <w:sz w:val="24"/>
        </w:rPr>
        <w:t> </w:t>
      </w:r>
      <w:r>
        <w:rPr>
          <w:sz w:val="24"/>
        </w:rPr>
        <w:t>forms,</w:t>
      </w:r>
      <w:r>
        <w:rPr>
          <w:spacing w:val="-10"/>
          <w:sz w:val="24"/>
        </w:rPr>
        <w:t> </w:t>
      </w:r>
      <w:r>
        <w:rPr>
          <w:sz w:val="24"/>
        </w:rPr>
        <w:t>the</w:t>
      </w:r>
      <w:r>
        <w:rPr>
          <w:spacing w:val="-10"/>
          <w:sz w:val="24"/>
        </w:rPr>
        <w:t> </w:t>
      </w:r>
      <w:r>
        <w:rPr>
          <w:sz w:val="24"/>
        </w:rPr>
        <w:t>MA</w:t>
      </w:r>
      <w:r>
        <w:rPr>
          <w:spacing w:val="-10"/>
          <w:sz w:val="24"/>
        </w:rPr>
        <w:t> </w:t>
      </w:r>
      <w:r>
        <w:rPr>
          <w:sz w:val="24"/>
        </w:rPr>
        <w:t>plan</w:t>
      </w:r>
      <w:r>
        <w:rPr>
          <w:spacing w:val="-11"/>
          <w:sz w:val="24"/>
        </w:rPr>
        <w:t> </w:t>
      </w:r>
      <w:r>
        <w:rPr>
          <w:sz w:val="24"/>
        </w:rPr>
        <w:t>must</w:t>
      </w:r>
      <w:r>
        <w:rPr>
          <w:spacing w:val="-11"/>
          <w:sz w:val="24"/>
        </w:rPr>
        <w:t> </w:t>
      </w:r>
      <w:r>
        <w:rPr>
          <w:sz w:val="24"/>
        </w:rPr>
        <w:t>assume</w:t>
      </w:r>
      <w:r>
        <w:rPr>
          <w:spacing w:val="-10"/>
          <w:sz w:val="24"/>
        </w:rPr>
        <w:t> </w:t>
      </w:r>
      <w:r>
        <w:rPr>
          <w:sz w:val="24"/>
        </w:rPr>
        <w:t>responsibility</w:t>
      </w:r>
      <w:r>
        <w:rPr>
          <w:spacing w:val="-10"/>
          <w:sz w:val="24"/>
        </w:rPr>
        <w:t> </w:t>
      </w:r>
      <w:r>
        <w:rPr>
          <w:sz w:val="24"/>
        </w:rPr>
        <w:t>for</w:t>
      </w:r>
      <w:r>
        <w:rPr>
          <w:spacing w:val="-12"/>
          <w:sz w:val="24"/>
        </w:rPr>
        <w:t> </w:t>
      </w:r>
      <w:r>
        <w:rPr>
          <w:sz w:val="24"/>
        </w:rPr>
        <w:t>coverage and payment of that drug under Part C. CMS reiterated the regulatory requirements</w:t>
      </w:r>
      <w:hyperlink w:history="true" w:anchor="_bookmark2">
        <w:r>
          <w:rPr>
            <w:position w:val="9"/>
            <w:sz w:val="14"/>
          </w:rPr>
          <w:t>3</w:t>
        </w:r>
      </w:hyperlink>
      <w:r>
        <w:rPr>
          <w:position w:val="9"/>
          <w:sz w:val="14"/>
        </w:rPr>
        <w:t> </w:t>
      </w:r>
      <w:r>
        <w:rPr>
          <w:sz w:val="24"/>
        </w:rPr>
        <w:t>in its 2011 sub-regulatory guidance,</w:t>
      </w:r>
      <w:r>
        <w:rPr>
          <w:spacing w:val="-16"/>
          <w:sz w:val="24"/>
        </w:rPr>
        <w:t> </w:t>
      </w:r>
      <w:r>
        <w:rPr>
          <w:sz w:val="24"/>
        </w:rPr>
        <w:t>stating:</w:t>
      </w:r>
    </w:p>
    <w:p>
      <w:pPr>
        <w:pStyle w:val="BodyText"/>
        <w:spacing w:before="9"/>
        <w:rPr>
          <w:sz w:val="25"/>
        </w:rPr>
      </w:pPr>
    </w:p>
    <w:p>
      <w:pPr>
        <w:spacing w:line="256" w:lineRule="auto" w:before="1"/>
        <w:ind w:left="659" w:right="115" w:firstLine="0"/>
        <w:jc w:val="both"/>
        <w:rPr>
          <w:sz w:val="14"/>
        </w:rPr>
      </w:pPr>
      <w:r>
        <w:rPr>
          <w:i/>
          <w:sz w:val="24"/>
        </w:rPr>
        <w:t>This change in the original Medicare payment for renal dialysis services also represents a change in coverage for </w:t>
      </w:r>
      <w:r>
        <w:rPr>
          <w:i/>
          <w:sz w:val="24"/>
        </w:rPr>
        <w:t>ESRD-related</w:t>
      </w:r>
      <w:r>
        <w:rPr>
          <w:i/>
          <w:spacing w:val="-5"/>
          <w:sz w:val="24"/>
        </w:rPr>
        <w:t> </w:t>
      </w:r>
      <w:r>
        <w:rPr>
          <w:i/>
          <w:sz w:val="24"/>
        </w:rPr>
        <w:t>drugs</w:t>
      </w:r>
      <w:r>
        <w:rPr>
          <w:i/>
          <w:spacing w:val="-4"/>
          <w:sz w:val="24"/>
        </w:rPr>
        <w:t> </w:t>
      </w:r>
      <w:r>
        <w:rPr>
          <w:i/>
          <w:sz w:val="24"/>
        </w:rPr>
        <w:t>from</w:t>
      </w:r>
      <w:r>
        <w:rPr>
          <w:i/>
          <w:spacing w:val="-2"/>
          <w:sz w:val="24"/>
        </w:rPr>
        <w:t> </w:t>
      </w:r>
      <w:r>
        <w:rPr>
          <w:i/>
          <w:sz w:val="24"/>
        </w:rPr>
        <w:t>Part</w:t>
      </w:r>
      <w:r>
        <w:rPr>
          <w:i/>
          <w:spacing w:val="-3"/>
          <w:sz w:val="24"/>
        </w:rPr>
        <w:t> </w:t>
      </w:r>
      <w:r>
        <w:rPr>
          <w:i/>
          <w:sz w:val="24"/>
        </w:rPr>
        <w:t>D</w:t>
      </w:r>
      <w:r>
        <w:rPr>
          <w:i/>
          <w:spacing w:val="-3"/>
          <w:sz w:val="24"/>
        </w:rPr>
        <w:t> </w:t>
      </w:r>
      <w:r>
        <w:rPr>
          <w:i/>
          <w:sz w:val="24"/>
        </w:rPr>
        <w:t>to</w:t>
      </w:r>
      <w:r>
        <w:rPr>
          <w:i/>
          <w:spacing w:val="-4"/>
          <w:sz w:val="24"/>
        </w:rPr>
        <w:t> </w:t>
      </w:r>
      <w:r>
        <w:rPr>
          <w:i/>
          <w:sz w:val="24"/>
        </w:rPr>
        <w:t>B…[meaning]</w:t>
      </w:r>
      <w:r>
        <w:rPr>
          <w:i/>
          <w:spacing w:val="-4"/>
          <w:sz w:val="24"/>
        </w:rPr>
        <w:t> </w:t>
      </w:r>
      <w:r>
        <w:rPr>
          <w:i/>
          <w:sz w:val="24"/>
        </w:rPr>
        <w:t>that</w:t>
      </w:r>
      <w:r>
        <w:rPr>
          <w:i/>
          <w:spacing w:val="-6"/>
          <w:sz w:val="24"/>
        </w:rPr>
        <w:t> </w:t>
      </w:r>
      <w:r>
        <w:rPr>
          <w:i/>
          <w:sz w:val="24"/>
        </w:rPr>
        <w:t>ESRD-related</w:t>
      </w:r>
      <w:r>
        <w:rPr>
          <w:i/>
          <w:spacing w:val="-5"/>
          <w:sz w:val="24"/>
        </w:rPr>
        <w:t> </w:t>
      </w:r>
      <w:r>
        <w:rPr>
          <w:i/>
          <w:sz w:val="24"/>
        </w:rPr>
        <w:t>drugs</w:t>
      </w:r>
      <w:r>
        <w:rPr>
          <w:i/>
          <w:spacing w:val="-4"/>
          <w:sz w:val="24"/>
        </w:rPr>
        <w:t> </w:t>
      </w:r>
      <w:r>
        <w:rPr>
          <w:i/>
          <w:sz w:val="24"/>
        </w:rPr>
        <w:t>now</w:t>
      </w:r>
      <w:r>
        <w:rPr>
          <w:i/>
          <w:spacing w:val="-4"/>
          <w:sz w:val="24"/>
        </w:rPr>
        <w:t> </w:t>
      </w:r>
      <w:r>
        <w:rPr>
          <w:i/>
          <w:sz w:val="24"/>
        </w:rPr>
        <w:t>covered</w:t>
      </w:r>
      <w:r>
        <w:rPr>
          <w:i/>
          <w:spacing w:val="-3"/>
          <w:sz w:val="24"/>
        </w:rPr>
        <w:t> </w:t>
      </w:r>
      <w:r>
        <w:rPr>
          <w:i/>
          <w:sz w:val="24"/>
        </w:rPr>
        <w:t>under</w:t>
      </w:r>
      <w:r>
        <w:rPr>
          <w:i/>
          <w:spacing w:val="-4"/>
          <w:sz w:val="24"/>
        </w:rPr>
        <w:t> </w:t>
      </w:r>
      <w:r>
        <w:rPr>
          <w:i/>
          <w:sz w:val="24"/>
        </w:rPr>
        <w:t>Part</w:t>
      </w:r>
      <w:r>
        <w:rPr>
          <w:i/>
          <w:spacing w:val="-3"/>
          <w:sz w:val="24"/>
        </w:rPr>
        <w:t> </w:t>
      </w:r>
      <w:r>
        <w:rPr>
          <w:i/>
          <w:sz w:val="24"/>
        </w:rPr>
        <w:t>B</w:t>
      </w:r>
      <w:r>
        <w:rPr>
          <w:i/>
          <w:spacing w:val="-6"/>
          <w:sz w:val="24"/>
        </w:rPr>
        <w:t> </w:t>
      </w:r>
      <w:r>
        <w:rPr>
          <w:i/>
          <w:sz w:val="24"/>
        </w:rPr>
        <w:t>must be covered under the Part C portion of [the MA-PD plan’s] bid, rather than the Part D portion..</w:t>
      </w:r>
      <w:r>
        <w:rPr>
          <w:i/>
          <w:spacing w:val="-29"/>
          <w:sz w:val="24"/>
        </w:rPr>
        <w:t> </w:t>
      </w:r>
      <w:hyperlink w:history="true" w:anchor="_bookmark3">
        <w:r>
          <w:rPr>
            <w:position w:val="9"/>
            <w:sz w:val="14"/>
          </w:rPr>
          <w:t>4</w:t>
        </w:r>
      </w:hyperlink>
    </w:p>
    <w:p>
      <w:pPr>
        <w:pStyle w:val="BodyText"/>
        <w:spacing w:before="5"/>
        <w:rPr>
          <w:sz w:val="21"/>
        </w:rPr>
      </w:pPr>
    </w:p>
    <w:p>
      <w:pPr>
        <w:pStyle w:val="BodyText"/>
        <w:spacing w:line="256" w:lineRule="auto"/>
        <w:ind w:left="660" w:right="116"/>
        <w:jc w:val="both"/>
        <w:rPr>
          <w:sz w:val="14"/>
        </w:rPr>
      </w:pPr>
      <w:r>
        <w:rPr/>
        <w:t>With oral and IV calcimimetics covered under Part B as of January 2018, the failure of an MA plan to acknowledge and pay for these drugs under Part C would violate CMS’s regulations.</w:t>
      </w:r>
      <w:hyperlink w:history="true" w:anchor="_bookmark4">
        <w:r>
          <w:rPr>
            <w:position w:val="9"/>
            <w:sz w:val="14"/>
          </w:rPr>
          <w:t>5</w:t>
        </w:r>
      </w:hyperlink>
      <w:r>
        <w:rPr>
          <w:position w:val="9"/>
          <w:sz w:val="14"/>
        </w:rPr>
        <w:t> </w:t>
      </w:r>
      <w:r>
        <w:rPr/>
        <w:t>It also would violate CMS’s standard MA contract provisions, which reiterate the MA plan’s obligation to pay for all basic benefits offered under Parts A and B.</w:t>
      </w:r>
      <w:hyperlink w:history="true" w:anchor="_bookmark5">
        <w:r>
          <w:rPr>
            <w:position w:val="9"/>
            <w:sz w:val="14"/>
          </w:rPr>
          <w:t>6</w:t>
        </w:r>
      </w:hyperlink>
    </w:p>
    <w:p>
      <w:pPr>
        <w:pStyle w:val="BodyText"/>
        <w:spacing w:before="1"/>
        <w:rPr>
          <w:sz w:val="26"/>
        </w:rPr>
      </w:pPr>
    </w:p>
    <w:p>
      <w:pPr>
        <w:pStyle w:val="BodyText"/>
        <w:spacing w:line="259" w:lineRule="auto"/>
        <w:ind w:left="660" w:right="114"/>
        <w:jc w:val="both"/>
      </w:pPr>
      <w:r>
        <w:rPr/>
        <w:t>Calcimimetics</w:t>
      </w:r>
      <w:r>
        <w:rPr>
          <w:spacing w:val="-19"/>
        </w:rPr>
        <w:t> </w:t>
      </w:r>
      <w:r>
        <w:rPr/>
        <w:t>represent</w:t>
      </w:r>
      <w:r>
        <w:rPr>
          <w:spacing w:val="-18"/>
        </w:rPr>
        <w:t> </w:t>
      </w:r>
      <w:r>
        <w:rPr/>
        <w:t>a</w:t>
      </w:r>
      <w:r>
        <w:rPr>
          <w:spacing w:val="-16"/>
        </w:rPr>
        <w:t> </w:t>
      </w:r>
      <w:r>
        <w:rPr/>
        <w:t>critical</w:t>
      </w:r>
      <w:r>
        <w:rPr>
          <w:spacing w:val="-18"/>
        </w:rPr>
        <w:t> </w:t>
      </w:r>
      <w:r>
        <w:rPr/>
        <w:t>element</w:t>
      </w:r>
      <w:r>
        <w:rPr>
          <w:spacing w:val="-18"/>
        </w:rPr>
        <w:t> </w:t>
      </w:r>
      <w:r>
        <w:rPr/>
        <w:t>of</w:t>
      </w:r>
      <w:r>
        <w:rPr>
          <w:spacing w:val="-19"/>
        </w:rPr>
        <w:t> </w:t>
      </w:r>
      <w:r>
        <w:rPr/>
        <w:t>dialysis</w:t>
      </w:r>
      <w:r>
        <w:rPr>
          <w:spacing w:val="-17"/>
        </w:rPr>
        <w:t> </w:t>
      </w:r>
      <w:r>
        <w:rPr/>
        <w:t>treatment</w:t>
      </w:r>
      <w:r>
        <w:rPr>
          <w:spacing w:val="-18"/>
        </w:rPr>
        <w:t> </w:t>
      </w:r>
      <w:r>
        <w:rPr/>
        <w:t>and</w:t>
      </w:r>
      <w:r>
        <w:rPr>
          <w:spacing w:val="-18"/>
        </w:rPr>
        <w:t> </w:t>
      </w:r>
      <w:r>
        <w:rPr/>
        <w:t>are</w:t>
      </w:r>
      <w:r>
        <w:rPr>
          <w:spacing w:val="-17"/>
        </w:rPr>
        <w:t> </w:t>
      </w:r>
      <w:r>
        <w:rPr/>
        <w:t>materially</w:t>
      </w:r>
      <w:r>
        <w:rPr>
          <w:spacing w:val="-17"/>
        </w:rPr>
        <w:t> </w:t>
      </w:r>
      <w:r>
        <w:rPr/>
        <w:t>more</w:t>
      </w:r>
      <w:r>
        <w:rPr>
          <w:spacing w:val="-17"/>
        </w:rPr>
        <w:t> </w:t>
      </w:r>
      <w:r>
        <w:rPr/>
        <w:t>expensive than other ESRD-related drugs that previously have transitioned from Part D to Part B coverage.</w:t>
      </w:r>
      <w:r>
        <w:rPr>
          <w:spacing w:val="-19"/>
        </w:rPr>
        <w:t> </w:t>
      </w:r>
      <w:r>
        <w:rPr/>
        <w:t>CMS</w:t>
      </w:r>
      <w:r>
        <w:rPr>
          <w:spacing w:val="-17"/>
        </w:rPr>
        <w:t> </w:t>
      </w:r>
      <w:r>
        <w:rPr/>
        <w:t>should</w:t>
      </w:r>
      <w:r>
        <w:rPr>
          <w:spacing w:val="-17"/>
        </w:rPr>
        <w:t> </w:t>
      </w:r>
      <w:r>
        <w:rPr/>
        <w:t>issue</w:t>
      </w:r>
      <w:r>
        <w:rPr>
          <w:spacing w:val="-16"/>
        </w:rPr>
        <w:t> </w:t>
      </w:r>
      <w:r>
        <w:rPr/>
        <w:t>written</w:t>
      </w:r>
      <w:r>
        <w:rPr>
          <w:spacing w:val="-17"/>
        </w:rPr>
        <w:t> </w:t>
      </w:r>
      <w:r>
        <w:rPr/>
        <w:t>guidance</w:t>
      </w:r>
      <w:r>
        <w:rPr>
          <w:spacing w:val="-16"/>
        </w:rPr>
        <w:t> </w:t>
      </w:r>
      <w:r>
        <w:rPr/>
        <w:t>to</w:t>
      </w:r>
      <w:r>
        <w:rPr>
          <w:spacing w:val="-17"/>
        </w:rPr>
        <w:t> </w:t>
      </w:r>
      <w:r>
        <w:rPr/>
        <w:t>MA</w:t>
      </w:r>
      <w:r>
        <w:rPr>
          <w:spacing w:val="-16"/>
        </w:rPr>
        <w:t> </w:t>
      </w:r>
      <w:r>
        <w:rPr/>
        <w:t>plans</w:t>
      </w:r>
      <w:r>
        <w:rPr>
          <w:spacing w:val="-18"/>
        </w:rPr>
        <w:t> </w:t>
      </w:r>
      <w:r>
        <w:rPr/>
        <w:t>now</w:t>
      </w:r>
      <w:r>
        <w:rPr>
          <w:spacing w:val="-16"/>
        </w:rPr>
        <w:t> </w:t>
      </w:r>
      <w:r>
        <w:rPr/>
        <w:t>reminding</w:t>
      </w:r>
      <w:r>
        <w:rPr>
          <w:spacing w:val="-16"/>
        </w:rPr>
        <w:t> </w:t>
      </w:r>
      <w:r>
        <w:rPr/>
        <w:t>them</w:t>
      </w:r>
      <w:r>
        <w:rPr>
          <w:spacing w:val="-15"/>
        </w:rPr>
        <w:t> </w:t>
      </w:r>
      <w:r>
        <w:rPr/>
        <w:t>of</w:t>
      </w:r>
      <w:r>
        <w:rPr>
          <w:spacing w:val="-18"/>
        </w:rPr>
        <w:t> </w:t>
      </w:r>
      <w:r>
        <w:rPr/>
        <w:t>their</w:t>
      </w:r>
      <w:r>
        <w:rPr>
          <w:spacing w:val="-15"/>
        </w:rPr>
        <w:t> </w:t>
      </w:r>
      <w:r>
        <w:rPr/>
        <w:t>financial obligation for oral and IV calcimimetics. As part of that written guidance, CMS should clearly express its expectation that MA plans provide fair and adequate reimbursement to dialysis facilities for the calcimimetic</w:t>
      </w:r>
      <w:r>
        <w:rPr>
          <w:spacing w:val="-19"/>
        </w:rPr>
        <w:t> </w:t>
      </w:r>
      <w:r>
        <w:rPr/>
        <w:t>drugs.</w:t>
      </w:r>
    </w:p>
    <w:p>
      <w:pPr>
        <w:pStyle w:val="BodyText"/>
        <w:spacing w:before="9"/>
        <w:rPr>
          <w:sz w:val="25"/>
        </w:rPr>
      </w:pPr>
    </w:p>
    <w:p>
      <w:pPr>
        <w:pStyle w:val="ListParagraph"/>
        <w:numPr>
          <w:ilvl w:val="1"/>
          <w:numId w:val="4"/>
        </w:numPr>
        <w:tabs>
          <w:tab w:pos="660" w:val="left" w:leader="none"/>
        </w:tabs>
        <w:spacing w:line="259" w:lineRule="auto" w:before="1" w:after="0"/>
        <w:ind w:left="660" w:right="115" w:hanging="360"/>
        <w:jc w:val="both"/>
        <w:rPr>
          <w:sz w:val="24"/>
        </w:rPr>
      </w:pPr>
      <w:r>
        <w:rPr>
          <w:b/>
          <w:sz w:val="24"/>
        </w:rPr>
        <w:t>Adjust Payments to MA Plans to Account for Financial Responsibility for Calcimimetics. </w:t>
      </w:r>
      <w:r>
        <w:rPr>
          <w:sz w:val="24"/>
        </w:rPr>
        <w:t>Given that CMS uses historical Parts A and B data, the 2019 MA benchmarks will</w:t>
      </w:r>
      <w:r>
        <w:rPr>
          <w:spacing w:val="46"/>
          <w:sz w:val="24"/>
        </w:rPr>
        <w:t> </w:t>
      </w:r>
      <w:r>
        <w:rPr>
          <w:sz w:val="24"/>
        </w:rPr>
        <w:t>not</w:t>
      </w:r>
      <w:r>
        <w:rPr>
          <w:spacing w:val="46"/>
          <w:sz w:val="24"/>
        </w:rPr>
        <w:t> </w:t>
      </w:r>
      <w:r>
        <w:rPr>
          <w:sz w:val="24"/>
        </w:rPr>
        <w:t>reflect</w:t>
      </w:r>
      <w:r>
        <w:rPr>
          <w:spacing w:val="46"/>
          <w:sz w:val="24"/>
        </w:rPr>
        <w:t> </w:t>
      </w:r>
      <w:r>
        <w:rPr>
          <w:sz w:val="24"/>
        </w:rPr>
        <w:t>spending</w:t>
      </w:r>
      <w:r>
        <w:rPr>
          <w:spacing w:val="46"/>
          <w:sz w:val="24"/>
        </w:rPr>
        <w:t> </w:t>
      </w:r>
      <w:r>
        <w:rPr>
          <w:sz w:val="24"/>
        </w:rPr>
        <w:t>on</w:t>
      </w:r>
      <w:r>
        <w:rPr>
          <w:spacing w:val="46"/>
          <w:sz w:val="24"/>
        </w:rPr>
        <w:t> </w:t>
      </w:r>
      <w:r>
        <w:rPr>
          <w:sz w:val="24"/>
        </w:rPr>
        <w:t>these</w:t>
      </w:r>
      <w:r>
        <w:rPr>
          <w:spacing w:val="47"/>
          <w:sz w:val="24"/>
        </w:rPr>
        <w:t> </w:t>
      </w:r>
      <w:r>
        <w:rPr>
          <w:sz w:val="24"/>
        </w:rPr>
        <w:t>calcimimetics.</w:t>
      </w:r>
      <w:r>
        <w:rPr>
          <w:spacing w:val="44"/>
          <w:sz w:val="24"/>
        </w:rPr>
        <w:t> </w:t>
      </w:r>
      <w:r>
        <w:rPr>
          <w:sz w:val="24"/>
        </w:rPr>
        <w:t>Although</w:t>
      </w:r>
      <w:r>
        <w:rPr>
          <w:spacing w:val="46"/>
          <w:sz w:val="24"/>
        </w:rPr>
        <w:t> </w:t>
      </w:r>
      <w:r>
        <w:rPr>
          <w:sz w:val="24"/>
        </w:rPr>
        <w:t>we</w:t>
      </w:r>
      <w:r>
        <w:rPr>
          <w:spacing w:val="47"/>
          <w:sz w:val="24"/>
        </w:rPr>
        <w:t> </w:t>
      </w:r>
      <w:r>
        <w:rPr>
          <w:sz w:val="24"/>
        </w:rPr>
        <w:t>understand</w:t>
      </w:r>
      <w:r>
        <w:rPr>
          <w:spacing w:val="46"/>
          <w:sz w:val="24"/>
        </w:rPr>
        <w:t> </w:t>
      </w:r>
      <w:r>
        <w:rPr>
          <w:sz w:val="24"/>
        </w:rPr>
        <w:t>that</w:t>
      </w:r>
      <w:r>
        <w:rPr>
          <w:spacing w:val="46"/>
          <w:sz w:val="24"/>
        </w:rPr>
        <w:t> </w:t>
      </w:r>
      <w:r>
        <w:rPr>
          <w:sz w:val="24"/>
        </w:rPr>
        <w:t>eventually,</w:t>
      </w:r>
    </w:p>
    <w:p>
      <w:pPr>
        <w:pStyle w:val="BodyText"/>
        <w:spacing w:before="2"/>
        <w:rPr>
          <w:sz w:val="15"/>
        </w:rPr>
      </w:pPr>
      <w:r>
        <w:rPr/>
        <w:pict>
          <v:line style="position:absolute;mso-position-horizontal-relative:page;mso-position-vertical-relative:paragraph;z-index:1168;mso-wrap-distance-left:0;mso-wrap-distance-right:0" from="72pt,10.886047pt" to="216pt,10.886047pt" stroked="true" strokeweight=".72pt" strokecolor="#000000">
            <v:stroke dashstyle="solid"/>
            <w10:wrap type="topAndBottom"/>
          </v:line>
        </w:pict>
      </w:r>
    </w:p>
    <w:p>
      <w:pPr>
        <w:spacing w:before="72"/>
        <w:ind w:left="335" w:right="0" w:firstLine="0"/>
        <w:jc w:val="left"/>
        <w:rPr>
          <w:sz w:val="20"/>
        </w:rPr>
      </w:pPr>
      <w:bookmarkStart w:name="_bookmark1" w:id="3"/>
      <w:bookmarkEnd w:id="3"/>
      <w:r>
        <w:rPr/>
      </w:r>
      <w:r>
        <w:rPr>
          <w:position w:val="5"/>
          <w:sz w:val="13"/>
        </w:rPr>
        <w:t>2 </w:t>
      </w:r>
      <w:r>
        <w:rPr>
          <w:sz w:val="20"/>
        </w:rPr>
        <w:t>42 C.F.R. §§ 422.100(c), 422.101(a).</w:t>
      </w:r>
    </w:p>
    <w:p>
      <w:pPr>
        <w:spacing w:line="224" w:lineRule="exact" w:before="0"/>
        <w:ind w:left="335" w:right="0" w:firstLine="0"/>
        <w:jc w:val="left"/>
        <w:rPr>
          <w:sz w:val="20"/>
        </w:rPr>
      </w:pPr>
      <w:bookmarkStart w:name="_bookmark2" w:id="4"/>
      <w:bookmarkEnd w:id="4"/>
      <w:r>
        <w:rPr/>
      </w:r>
      <w:r>
        <w:rPr>
          <w:position w:val="5"/>
          <w:sz w:val="13"/>
        </w:rPr>
        <w:t>3 </w:t>
      </w:r>
      <w:r>
        <w:rPr>
          <w:sz w:val="20"/>
        </w:rPr>
        <w:t>42 C.F.R. §§ 422.109(b).</w:t>
      </w:r>
    </w:p>
    <w:p>
      <w:pPr>
        <w:spacing w:before="0"/>
        <w:ind w:left="119" w:right="208" w:firstLine="216"/>
        <w:jc w:val="left"/>
        <w:rPr>
          <w:sz w:val="20"/>
        </w:rPr>
      </w:pPr>
      <w:bookmarkStart w:name="_bookmark3" w:id="5"/>
      <w:bookmarkEnd w:id="5"/>
      <w:r>
        <w:rPr/>
      </w:r>
      <w:r>
        <w:rPr>
          <w:position w:val="5"/>
          <w:sz w:val="13"/>
        </w:rPr>
        <w:t>4 </w:t>
      </w:r>
      <w:r>
        <w:rPr>
          <w:sz w:val="20"/>
        </w:rPr>
        <w:t>CMS Health Plan Management System (HPMS) Guidance: </w:t>
      </w:r>
      <w:r>
        <w:rPr>
          <w:i/>
          <w:sz w:val="20"/>
        </w:rPr>
        <w:t>Clarification of Exclusion of Part D Payment for Drugs Included </w:t>
      </w:r>
      <w:r>
        <w:rPr>
          <w:i/>
          <w:sz w:val="20"/>
        </w:rPr>
        <w:t>in the End-Stage Renal Disease Prospective Payment </w:t>
      </w:r>
      <w:r>
        <w:rPr>
          <w:sz w:val="20"/>
        </w:rPr>
        <w:t>(May 5, 2011).</w:t>
      </w:r>
    </w:p>
    <w:p>
      <w:pPr>
        <w:spacing w:before="2"/>
        <w:ind w:left="335" w:right="0" w:firstLine="0"/>
        <w:jc w:val="left"/>
        <w:rPr>
          <w:sz w:val="20"/>
        </w:rPr>
      </w:pPr>
      <w:bookmarkStart w:name="_bookmark4" w:id="6"/>
      <w:bookmarkEnd w:id="6"/>
      <w:r>
        <w:rPr/>
      </w:r>
      <w:r>
        <w:rPr>
          <w:position w:val="5"/>
          <w:sz w:val="13"/>
        </w:rPr>
        <w:t>5 </w:t>
      </w:r>
      <w:r>
        <w:rPr>
          <w:i/>
          <w:sz w:val="20"/>
        </w:rPr>
        <w:t>Id</w:t>
      </w:r>
      <w:r>
        <w:rPr>
          <w:sz w:val="20"/>
        </w:rPr>
        <w:t>.</w:t>
      </w:r>
    </w:p>
    <w:p>
      <w:pPr>
        <w:spacing w:before="0"/>
        <w:ind w:left="307" w:right="0" w:firstLine="0"/>
        <w:jc w:val="left"/>
        <w:rPr>
          <w:sz w:val="20"/>
        </w:rPr>
      </w:pPr>
      <w:bookmarkStart w:name="_bookmark5" w:id="7"/>
      <w:bookmarkEnd w:id="7"/>
      <w:r>
        <w:rPr/>
      </w:r>
      <w:r>
        <w:rPr>
          <w:position w:val="5"/>
          <w:sz w:val="13"/>
        </w:rPr>
        <w:t>6 </w:t>
      </w:r>
      <w:r>
        <w:rPr>
          <w:sz w:val="20"/>
        </w:rPr>
        <w:t>42 C.F.R. § 422.504(a)(3)(i); Medicare Managed Care Manual, Ch. 11, § 100.1.</w:t>
      </w:r>
    </w:p>
    <w:p>
      <w:pPr>
        <w:spacing w:after="0"/>
        <w:jc w:val="left"/>
        <w:rPr>
          <w:sz w:val="20"/>
        </w:rPr>
        <w:sectPr>
          <w:footerReference w:type="default" r:id="rId14"/>
          <w:pgSz w:w="12240" w:h="15840"/>
          <w:pgMar w:footer="705" w:header="0" w:top="640" w:bottom="900" w:left="1320" w:right="1320"/>
          <w:pgNumType w:start="11"/>
        </w:sectPr>
      </w:pPr>
    </w:p>
    <w:p>
      <w:pPr>
        <w:pStyle w:val="BodyText"/>
        <w:spacing w:line="259" w:lineRule="auto" w:before="79"/>
        <w:ind w:left="659" w:right="114"/>
        <w:jc w:val="both"/>
      </w:pPr>
      <w:r>
        <w:rPr/>
        <w:t>expenditures on calcimimetics will be incorporated into the MA benchmark calculations, these drugs are among the costliest drugs that have shifted from Part D to Part B. As such, the lag time presents unique and significant challenges. For example, CMS already directly pays a substantial portion of calcimimetics’ costs since many beneficiaries who take them reach Part D’s</w:t>
      </w:r>
      <w:r>
        <w:rPr>
          <w:spacing w:val="-13"/>
        </w:rPr>
        <w:t> </w:t>
      </w:r>
      <w:r>
        <w:rPr/>
        <w:t>catastrophic</w:t>
      </w:r>
      <w:r>
        <w:rPr>
          <w:spacing w:val="-11"/>
        </w:rPr>
        <w:t> </w:t>
      </w:r>
      <w:r>
        <w:rPr/>
        <w:t>coverage</w:t>
      </w:r>
      <w:r>
        <w:rPr>
          <w:spacing w:val="-13"/>
        </w:rPr>
        <w:t> </w:t>
      </w:r>
      <w:r>
        <w:rPr/>
        <w:t>threshold.</w:t>
      </w:r>
      <w:r>
        <w:rPr>
          <w:spacing w:val="-11"/>
        </w:rPr>
        <w:t> </w:t>
      </w:r>
      <w:r>
        <w:rPr/>
        <w:t>In</w:t>
      </w:r>
      <w:r>
        <w:rPr>
          <w:spacing w:val="-12"/>
        </w:rPr>
        <w:t> </w:t>
      </w:r>
      <w:r>
        <w:rPr/>
        <w:t>contrast,</w:t>
      </w:r>
      <w:r>
        <w:rPr>
          <w:spacing w:val="-9"/>
        </w:rPr>
        <w:t> </w:t>
      </w:r>
      <w:r>
        <w:rPr/>
        <w:t>MA</w:t>
      </w:r>
      <w:r>
        <w:rPr>
          <w:spacing w:val="-11"/>
        </w:rPr>
        <w:t> </w:t>
      </w:r>
      <w:r>
        <w:rPr/>
        <w:t>plans</w:t>
      </w:r>
      <w:r>
        <w:rPr>
          <w:spacing w:val="-13"/>
        </w:rPr>
        <w:t> </w:t>
      </w:r>
      <w:r>
        <w:rPr/>
        <w:t>bear</w:t>
      </w:r>
      <w:r>
        <w:rPr>
          <w:spacing w:val="-13"/>
        </w:rPr>
        <w:t> </w:t>
      </w:r>
      <w:r>
        <w:rPr/>
        <w:t>full</w:t>
      </w:r>
      <w:r>
        <w:rPr>
          <w:spacing w:val="-11"/>
        </w:rPr>
        <w:t> </w:t>
      </w:r>
      <w:r>
        <w:rPr/>
        <w:t>fiscal</w:t>
      </w:r>
      <w:r>
        <w:rPr>
          <w:spacing w:val="-11"/>
        </w:rPr>
        <w:t> </w:t>
      </w:r>
      <w:r>
        <w:rPr/>
        <w:t>responsibility</w:t>
      </w:r>
      <w:r>
        <w:rPr>
          <w:spacing w:val="-11"/>
        </w:rPr>
        <w:t> </w:t>
      </w:r>
      <w:r>
        <w:rPr/>
        <w:t>for</w:t>
      </w:r>
      <w:r>
        <w:rPr>
          <w:spacing w:val="-13"/>
        </w:rPr>
        <w:t> </w:t>
      </w:r>
      <w:r>
        <w:rPr/>
        <w:t>Part B drugs. Depending on several factors, these circumstances may or may not present a financial hardship for MA plans. For example, the shift in the oral drug’s coverage may have less impact on larger MA plans and those with fewer ESRD enrollees; however, the impact on MA ESRD C-SNPs will be</w:t>
      </w:r>
      <w:r>
        <w:rPr>
          <w:spacing w:val="-13"/>
        </w:rPr>
        <w:t> </w:t>
      </w:r>
      <w:r>
        <w:rPr/>
        <w:t>substantial.</w:t>
      </w:r>
    </w:p>
    <w:p>
      <w:pPr>
        <w:pStyle w:val="BodyText"/>
        <w:spacing w:before="9"/>
        <w:rPr>
          <w:sz w:val="25"/>
        </w:rPr>
      </w:pPr>
    </w:p>
    <w:p>
      <w:pPr>
        <w:pStyle w:val="BodyText"/>
        <w:spacing w:line="256" w:lineRule="auto"/>
        <w:ind w:left="660" w:right="114"/>
        <w:jc w:val="both"/>
        <w:rPr>
          <w:sz w:val="14"/>
        </w:rPr>
      </w:pPr>
      <w:r>
        <w:rPr/>
        <w:t>Under current law, CMS must adjust MA capitation rates or make other payment adjustments to</w:t>
      </w:r>
      <w:r>
        <w:rPr>
          <w:spacing w:val="-8"/>
        </w:rPr>
        <w:t> </w:t>
      </w:r>
      <w:r>
        <w:rPr/>
        <w:t>account</w:t>
      </w:r>
      <w:r>
        <w:rPr>
          <w:spacing w:val="-9"/>
        </w:rPr>
        <w:t> </w:t>
      </w:r>
      <w:r>
        <w:rPr/>
        <w:t>for</w:t>
      </w:r>
      <w:r>
        <w:rPr>
          <w:spacing w:val="-9"/>
        </w:rPr>
        <w:t> </w:t>
      </w:r>
      <w:r>
        <w:rPr/>
        <w:t>newly-covered</w:t>
      </w:r>
      <w:r>
        <w:rPr>
          <w:spacing w:val="-8"/>
        </w:rPr>
        <w:t> </w:t>
      </w:r>
      <w:r>
        <w:rPr/>
        <w:t>items</w:t>
      </w:r>
      <w:r>
        <w:rPr>
          <w:spacing w:val="-9"/>
        </w:rPr>
        <w:t> </w:t>
      </w:r>
      <w:r>
        <w:rPr/>
        <w:t>and</w:t>
      </w:r>
      <w:r>
        <w:rPr>
          <w:spacing w:val="-6"/>
        </w:rPr>
        <w:t> </w:t>
      </w:r>
      <w:r>
        <w:rPr/>
        <w:t>services</w:t>
      </w:r>
      <w:r>
        <w:rPr>
          <w:spacing w:val="-9"/>
        </w:rPr>
        <w:t> </w:t>
      </w:r>
      <w:r>
        <w:rPr/>
        <w:t>under</w:t>
      </w:r>
      <w:r>
        <w:rPr>
          <w:spacing w:val="-9"/>
        </w:rPr>
        <w:t> </w:t>
      </w:r>
      <w:r>
        <w:rPr/>
        <w:t>a</w:t>
      </w:r>
      <w:r>
        <w:rPr>
          <w:spacing w:val="-7"/>
        </w:rPr>
        <w:t> </w:t>
      </w:r>
      <w:r>
        <w:rPr/>
        <w:t>National</w:t>
      </w:r>
      <w:r>
        <w:rPr>
          <w:spacing w:val="-8"/>
        </w:rPr>
        <w:t> </w:t>
      </w:r>
      <w:r>
        <w:rPr/>
        <w:t>Coverage</w:t>
      </w:r>
      <w:r>
        <w:rPr>
          <w:spacing w:val="-7"/>
        </w:rPr>
        <w:t> </w:t>
      </w:r>
      <w:r>
        <w:rPr/>
        <w:t>Determination</w:t>
      </w:r>
      <w:r>
        <w:rPr>
          <w:spacing w:val="-8"/>
        </w:rPr>
        <w:t> </w:t>
      </w:r>
      <w:r>
        <w:rPr/>
        <w:t>or</w:t>
      </w:r>
      <w:r>
        <w:rPr>
          <w:spacing w:val="-9"/>
        </w:rPr>
        <w:t> </w:t>
      </w:r>
      <w:r>
        <w:rPr/>
        <w:t>a legislative change in benefits when the item or service represents a significant cost.</w:t>
      </w:r>
      <w:hyperlink w:history="true" w:anchor="_bookmark6">
        <w:r>
          <w:rPr>
            <w:position w:val="9"/>
            <w:sz w:val="14"/>
          </w:rPr>
          <w:t>7</w:t>
        </w:r>
      </w:hyperlink>
      <w:r>
        <w:rPr>
          <w:position w:val="9"/>
          <w:sz w:val="14"/>
        </w:rPr>
        <w:t>,</w:t>
      </w:r>
      <w:hyperlink w:history="true" w:anchor="_bookmark7">
        <w:r>
          <w:rPr>
            <w:position w:val="9"/>
            <w:sz w:val="14"/>
          </w:rPr>
          <w:t>8</w:t>
        </w:r>
      </w:hyperlink>
      <w:r>
        <w:rPr>
          <w:position w:val="9"/>
          <w:sz w:val="14"/>
        </w:rPr>
        <w:t> </w:t>
      </w:r>
      <w:r>
        <w:rPr/>
        <w:t>If an item or service meets the significant cost threshold, then the MA plan does not have to assume risk for</w:t>
      </w:r>
      <w:r>
        <w:rPr>
          <w:spacing w:val="-8"/>
        </w:rPr>
        <w:t> </w:t>
      </w:r>
      <w:r>
        <w:rPr/>
        <w:t>the</w:t>
      </w:r>
      <w:r>
        <w:rPr>
          <w:spacing w:val="-7"/>
        </w:rPr>
        <w:t> </w:t>
      </w:r>
      <w:r>
        <w:rPr/>
        <w:t>costs</w:t>
      </w:r>
      <w:r>
        <w:rPr>
          <w:spacing w:val="-8"/>
        </w:rPr>
        <w:t> </w:t>
      </w:r>
      <w:r>
        <w:rPr/>
        <w:t>of</w:t>
      </w:r>
      <w:r>
        <w:rPr>
          <w:spacing w:val="-8"/>
        </w:rPr>
        <w:t> </w:t>
      </w:r>
      <w:r>
        <w:rPr/>
        <w:t>that</w:t>
      </w:r>
      <w:r>
        <w:rPr>
          <w:spacing w:val="-8"/>
        </w:rPr>
        <w:t> </w:t>
      </w:r>
      <w:r>
        <w:rPr/>
        <w:t>item</w:t>
      </w:r>
      <w:r>
        <w:rPr>
          <w:spacing w:val="-6"/>
        </w:rPr>
        <w:t> </w:t>
      </w:r>
      <w:r>
        <w:rPr/>
        <w:t>until</w:t>
      </w:r>
      <w:r>
        <w:rPr>
          <w:spacing w:val="-7"/>
        </w:rPr>
        <w:t> </w:t>
      </w:r>
      <w:r>
        <w:rPr/>
        <w:t>CMS</w:t>
      </w:r>
      <w:r>
        <w:rPr>
          <w:spacing w:val="-7"/>
        </w:rPr>
        <w:t> </w:t>
      </w:r>
      <w:r>
        <w:rPr/>
        <w:t>appropriately</w:t>
      </w:r>
      <w:r>
        <w:rPr>
          <w:spacing w:val="-7"/>
        </w:rPr>
        <w:t> </w:t>
      </w:r>
      <w:r>
        <w:rPr/>
        <w:t>adjusts</w:t>
      </w:r>
      <w:r>
        <w:rPr>
          <w:spacing w:val="-8"/>
        </w:rPr>
        <w:t> </w:t>
      </w:r>
      <w:r>
        <w:rPr/>
        <w:t>its</w:t>
      </w:r>
      <w:r>
        <w:rPr>
          <w:spacing w:val="-8"/>
        </w:rPr>
        <w:t> </w:t>
      </w:r>
      <w:r>
        <w:rPr/>
        <w:t>capitated</w:t>
      </w:r>
      <w:r>
        <w:rPr>
          <w:spacing w:val="-7"/>
        </w:rPr>
        <w:t> </w:t>
      </w:r>
      <w:r>
        <w:rPr/>
        <w:t>payments</w:t>
      </w:r>
      <w:r>
        <w:rPr>
          <w:spacing w:val="-8"/>
        </w:rPr>
        <w:t> </w:t>
      </w:r>
      <w:r>
        <w:rPr/>
        <w:t>to</w:t>
      </w:r>
      <w:r>
        <w:rPr>
          <w:spacing w:val="-7"/>
        </w:rPr>
        <w:t> </w:t>
      </w:r>
      <w:r>
        <w:rPr/>
        <w:t>the</w:t>
      </w:r>
      <w:r>
        <w:rPr>
          <w:spacing w:val="-7"/>
        </w:rPr>
        <w:t> </w:t>
      </w:r>
      <w:r>
        <w:rPr/>
        <w:t>MA</w:t>
      </w:r>
      <w:r>
        <w:rPr>
          <w:spacing w:val="-7"/>
        </w:rPr>
        <w:t> </w:t>
      </w:r>
      <w:r>
        <w:rPr/>
        <w:t>plan to</w:t>
      </w:r>
      <w:r>
        <w:rPr>
          <w:spacing w:val="-13"/>
        </w:rPr>
        <w:t> </w:t>
      </w:r>
      <w:r>
        <w:rPr/>
        <w:t>account</w:t>
      </w:r>
      <w:r>
        <w:rPr>
          <w:spacing w:val="-16"/>
        </w:rPr>
        <w:t> </w:t>
      </w:r>
      <w:r>
        <w:rPr/>
        <w:t>for</w:t>
      </w:r>
      <w:r>
        <w:rPr>
          <w:spacing w:val="-14"/>
        </w:rPr>
        <w:t> </w:t>
      </w:r>
      <w:r>
        <w:rPr/>
        <w:t>the</w:t>
      </w:r>
      <w:r>
        <w:rPr>
          <w:spacing w:val="-12"/>
        </w:rPr>
        <w:t> </w:t>
      </w:r>
      <w:r>
        <w:rPr/>
        <w:t>cost,</w:t>
      </w:r>
      <w:r>
        <w:rPr>
          <w:spacing w:val="-13"/>
        </w:rPr>
        <w:t> </w:t>
      </w:r>
      <w:r>
        <w:rPr/>
        <w:t>likely</w:t>
      </w:r>
      <w:r>
        <w:rPr>
          <w:spacing w:val="-12"/>
        </w:rPr>
        <w:t> </w:t>
      </w:r>
      <w:r>
        <w:rPr/>
        <w:t>in</w:t>
      </w:r>
      <w:r>
        <w:rPr>
          <w:spacing w:val="-16"/>
        </w:rPr>
        <w:t> </w:t>
      </w:r>
      <w:r>
        <w:rPr/>
        <w:t>the</w:t>
      </w:r>
      <w:r>
        <w:rPr>
          <w:spacing w:val="-12"/>
        </w:rPr>
        <w:t> </w:t>
      </w:r>
      <w:r>
        <w:rPr/>
        <w:t>next</w:t>
      </w:r>
      <w:r>
        <w:rPr>
          <w:spacing w:val="-13"/>
        </w:rPr>
        <w:t> </w:t>
      </w:r>
      <w:r>
        <w:rPr/>
        <w:t>fiscal</w:t>
      </w:r>
      <w:r>
        <w:rPr>
          <w:spacing w:val="-15"/>
        </w:rPr>
        <w:t> </w:t>
      </w:r>
      <w:r>
        <w:rPr/>
        <w:t>year.</w:t>
      </w:r>
      <w:hyperlink w:history="true" w:anchor="_bookmark8">
        <w:r>
          <w:rPr>
            <w:position w:val="9"/>
            <w:sz w:val="14"/>
          </w:rPr>
          <w:t>9</w:t>
        </w:r>
      </w:hyperlink>
      <w:r>
        <w:rPr>
          <w:spacing w:val="18"/>
          <w:position w:val="9"/>
          <w:sz w:val="14"/>
        </w:rPr>
        <w:t> </w:t>
      </w:r>
      <w:r>
        <w:rPr/>
        <w:t>Instead,</w:t>
      </w:r>
      <w:r>
        <w:rPr>
          <w:spacing w:val="-13"/>
        </w:rPr>
        <w:t> </w:t>
      </w:r>
      <w:r>
        <w:rPr/>
        <w:t>in</w:t>
      </w:r>
      <w:r>
        <w:rPr>
          <w:spacing w:val="-13"/>
        </w:rPr>
        <w:t> </w:t>
      </w:r>
      <w:r>
        <w:rPr/>
        <w:t>such</w:t>
      </w:r>
      <w:r>
        <w:rPr>
          <w:spacing w:val="-13"/>
        </w:rPr>
        <w:t> </w:t>
      </w:r>
      <w:r>
        <w:rPr/>
        <w:t>circumstances,</w:t>
      </w:r>
      <w:r>
        <w:rPr>
          <w:spacing w:val="-13"/>
        </w:rPr>
        <w:t> </w:t>
      </w:r>
      <w:r>
        <w:rPr/>
        <w:t>the</w:t>
      </w:r>
      <w:r>
        <w:rPr>
          <w:spacing w:val="-12"/>
        </w:rPr>
        <w:t> </w:t>
      </w:r>
      <w:r>
        <w:rPr/>
        <w:t>supplier furnishing the item receives payment directly from the </w:t>
      </w:r>
      <w:r>
        <w:rPr>
          <w:i/>
        </w:rPr>
        <w:t>Medicare fee-for-service contractor </w:t>
      </w:r>
      <w:r>
        <w:rPr/>
        <w:t>under “original Medicare payment rules, methods, and</w:t>
      </w:r>
      <w:r>
        <w:rPr>
          <w:spacing w:val="-23"/>
        </w:rPr>
        <w:t> </w:t>
      </w:r>
      <w:r>
        <w:rPr/>
        <w:t>requirements.”</w:t>
      </w:r>
      <w:hyperlink w:history="true" w:anchor="_bookmark9">
        <w:r>
          <w:rPr>
            <w:position w:val="9"/>
            <w:sz w:val="14"/>
          </w:rPr>
          <w:t>10</w:t>
        </w:r>
      </w:hyperlink>
    </w:p>
    <w:p>
      <w:pPr>
        <w:pStyle w:val="BodyText"/>
        <w:rPr>
          <w:sz w:val="26"/>
        </w:rPr>
      </w:pPr>
    </w:p>
    <w:p>
      <w:pPr>
        <w:pStyle w:val="BodyText"/>
        <w:spacing w:line="259" w:lineRule="auto"/>
        <w:ind w:left="660" w:right="114"/>
        <w:jc w:val="both"/>
      </w:pPr>
      <w:r>
        <w:rPr/>
        <w:t>Although we do not know the complete details of CMS’s methodology, based on available information on drug costs and national average per capita costs, we believe the significant cost threshold will be met. Even if that threshold is not met, given the unique circumstances, CMS should explore other avenues of authority to provide supplemental payments to MA plans for calcimimetics. Applying a payment adjustment will ensure that cost considerations do not influence</w:t>
      </w:r>
      <w:r>
        <w:rPr>
          <w:spacing w:val="-5"/>
        </w:rPr>
        <w:t> </w:t>
      </w:r>
      <w:r>
        <w:rPr/>
        <w:t>MA</w:t>
      </w:r>
      <w:r>
        <w:rPr>
          <w:spacing w:val="-5"/>
        </w:rPr>
        <w:t> </w:t>
      </w:r>
      <w:r>
        <w:rPr/>
        <w:t>enrollees’</w:t>
      </w:r>
      <w:r>
        <w:rPr>
          <w:spacing w:val="-5"/>
        </w:rPr>
        <w:t> </w:t>
      </w:r>
      <w:r>
        <w:rPr/>
        <w:t>access</w:t>
      </w:r>
      <w:r>
        <w:rPr>
          <w:spacing w:val="-6"/>
        </w:rPr>
        <w:t> </w:t>
      </w:r>
      <w:r>
        <w:rPr/>
        <w:t>to</w:t>
      </w:r>
      <w:r>
        <w:rPr>
          <w:spacing w:val="-5"/>
        </w:rPr>
        <w:t> </w:t>
      </w:r>
      <w:r>
        <w:rPr/>
        <w:t>these</w:t>
      </w:r>
      <w:r>
        <w:rPr>
          <w:spacing w:val="-5"/>
        </w:rPr>
        <w:t> </w:t>
      </w:r>
      <w:r>
        <w:rPr/>
        <w:t>important</w:t>
      </w:r>
      <w:r>
        <w:rPr>
          <w:spacing w:val="-5"/>
        </w:rPr>
        <w:t> </w:t>
      </w:r>
      <w:r>
        <w:rPr/>
        <w:t>drugs</w:t>
      </w:r>
      <w:r>
        <w:rPr>
          <w:spacing w:val="-6"/>
        </w:rPr>
        <w:t> </w:t>
      </w:r>
      <w:r>
        <w:rPr/>
        <w:t>or</w:t>
      </w:r>
      <w:r>
        <w:rPr>
          <w:spacing w:val="-4"/>
        </w:rPr>
        <w:t> </w:t>
      </w:r>
      <w:r>
        <w:rPr/>
        <w:t>limit</w:t>
      </w:r>
      <w:r>
        <w:rPr>
          <w:spacing w:val="-5"/>
        </w:rPr>
        <w:t> </w:t>
      </w:r>
      <w:r>
        <w:rPr/>
        <w:t>their</w:t>
      </w:r>
      <w:r>
        <w:rPr>
          <w:spacing w:val="-6"/>
        </w:rPr>
        <w:t> </w:t>
      </w:r>
      <w:r>
        <w:rPr/>
        <w:t>ability</w:t>
      </w:r>
      <w:r>
        <w:rPr>
          <w:spacing w:val="-5"/>
        </w:rPr>
        <w:t> </w:t>
      </w:r>
      <w:r>
        <w:rPr/>
        <w:t>to</w:t>
      </w:r>
      <w:r>
        <w:rPr>
          <w:spacing w:val="-5"/>
        </w:rPr>
        <w:t> </w:t>
      </w:r>
      <w:r>
        <w:rPr/>
        <w:t>avail</w:t>
      </w:r>
      <w:r>
        <w:rPr>
          <w:spacing w:val="-5"/>
        </w:rPr>
        <w:t> </w:t>
      </w:r>
      <w:r>
        <w:rPr/>
        <w:t>themselves of a Medicare coverage choice that best meets their</w:t>
      </w:r>
      <w:r>
        <w:rPr>
          <w:spacing w:val="-32"/>
        </w:rPr>
        <w:t> </w:t>
      </w:r>
      <w:r>
        <w:rPr/>
        <w:t>needs.</w:t>
      </w:r>
    </w:p>
    <w:p>
      <w:pPr>
        <w:pStyle w:val="BodyText"/>
        <w:spacing w:before="5"/>
        <w:rPr>
          <w:sz w:val="25"/>
        </w:rPr>
      </w:pPr>
    </w:p>
    <w:p>
      <w:pPr>
        <w:pStyle w:val="Heading1"/>
        <w:numPr>
          <w:ilvl w:val="0"/>
          <w:numId w:val="3"/>
        </w:numPr>
        <w:tabs>
          <w:tab w:pos="839" w:val="left" w:leader="none"/>
          <w:tab w:pos="840" w:val="left" w:leader="none"/>
        </w:tabs>
        <w:spacing w:line="259" w:lineRule="auto" w:before="0" w:after="0"/>
        <w:ind w:left="840" w:right="117" w:hanging="720"/>
        <w:jc w:val="left"/>
      </w:pPr>
      <w:r>
        <w:rPr/>
        <w:t>Incorporation</w:t>
      </w:r>
      <w:r>
        <w:rPr>
          <w:spacing w:val="-9"/>
        </w:rPr>
        <w:t> </w:t>
      </w:r>
      <w:r>
        <w:rPr/>
        <w:t>of</w:t>
      </w:r>
      <w:r>
        <w:rPr>
          <w:spacing w:val="-9"/>
        </w:rPr>
        <w:t> </w:t>
      </w:r>
      <w:r>
        <w:rPr/>
        <w:t>21</w:t>
      </w:r>
      <w:r>
        <w:rPr>
          <w:position w:val="9"/>
          <w:sz w:val="14"/>
        </w:rPr>
        <w:t>st</w:t>
      </w:r>
      <w:r>
        <w:rPr>
          <w:spacing w:val="-6"/>
          <w:position w:val="9"/>
          <w:sz w:val="14"/>
        </w:rPr>
        <w:t> </w:t>
      </w:r>
      <w:r>
        <w:rPr/>
        <w:t>Century</w:t>
      </w:r>
      <w:r>
        <w:rPr>
          <w:spacing w:val="-9"/>
        </w:rPr>
        <w:t> </w:t>
      </w:r>
      <w:r>
        <w:rPr/>
        <w:t>Cures</w:t>
      </w:r>
      <w:r>
        <w:rPr>
          <w:spacing w:val="-8"/>
        </w:rPr>
        <w:t> </w:t>
      </w:r>
      <w:r>
        <w:rPr/>
        <w:t>Act</w:t>
      </w:r>
      <w:r>
        <w:rPr>
          <w:spacing w:val="-9"/>
        </w:rPr>
        <w:t> </w:t>
      </w:r>
      <w:r>
        <w:rPr/>
        <w:t>(P.L.</w:t>
      </w:r>
      <w:r>
        <w:rPr>
          <w:spacing w:val="-9"/>
        </w:rPr>
        <w:t> </w:t>
      </w:r>
      <w:r>
        <w:rPr/>
        <w:t>114-255)</w:t>
      </w:r>
      <w:r>
        <w:rPr>
          <w:spacing w:val="-9"/>
        </w:rPr>
        <w:t> </w:t>
      </w:r>
      <w:r>
        <w:rPr/>
        <w:t>Policies</w:t>
      </w:r>
      <w:r>
        <w:rPr>
          <w:spacing w:val="-8"/>
        </w:rPr>
        <w:t> </w:t>
      </w:r>
      <w:r>
        <w:rPr/>
        <w:t>and</w:t>
      </w:r>
      <w:r>
        <w:rPr>
          <w:spacing w:val="-9"/>
        </w:rPr>
        <w:t> </w:t>
      </w:r>
      <w:r>
        <w:rPr/>
        <w:t>Other</w:t>
      </w:r>
      <w:r>
        <w:rPr>
          <w:spacing w:val="-9"/>
        </w:rPr>
        <w:t> </w:t>
      </w:r>
      <w:r>
        <w:rPr/>
        <w:t>Updates</w:t>
      </w:r>
      <w:r>
        <w:rPr>
          <w:spacing w:val="-8"/>
        </w:rPr>
        <w:t> </w:t>
      </w:r>
      <w:r>
        <w:rPr/>
        <w:t>into the CMS-HCC Risk Adjustment</w:t>
      </w:r>
      <w:r>
        <w:rPr>
          <w:spacing w:val="-17"/>
        </w:rPr>
        <w:t> </w:t>
      </w:r>
      <w:r>
        <w:rPr/>
        <w:t>Model</w:t>
      </w:r>
    </w:p>
    <w:p>
      <w:pPr>
        <w:pStyle w:val="BodyText"/>
        <w:spacing w:before="5"/>
        <w:rPr>
          <w:b/>
          <w:sz w:val="25"/>
        </w:rPr>
      </w:pPr>
    </w:p>
    <w:p>
      <w:pPr>
        <w:pStyle w:val="BodyText"/>
        <w:spacing w:line="259" w:lineRule="auto"/>
        <w:ind w:left="120" w:right="114"/>
        <w:jc w:val="both"/>
      </w:pPr>
      <w:r>
        <w:rPr/>
        <w:t>The 21</w:t>
      </w:r>
      <w:r>
        <w:rPr>
          <w:position w:val="9"/>
          <w:sz w:val="14"/>
        </w:rPr>
        <w:t>st </w:t>
      </w:r>
      <w:r>
        <w:rPr/>
        <w:t>Century Cures Act (P.L. 114-255) requires CMS to improve the CMS-HCC risk adjustment model in 2019 and subsequent years. Specifically, the law directs CMS to: (1) evaluate the impact of including additional diagnoses related to mental health, substance abuse, and the severity of chronic kidney disease (CKD); (2) account and adjust for a beneficiary’s total number of diseases and conditions;</w:t>
      </w:r>
      <w:r>
        <w:rPr>
          <w:spacing w:val="-4"/>
        </w:rPr>
        <w:t> </w:t>
      </w:r>
      <w:r>
        <w:rPr/>
        <w:t>and</w:t>
      </w:r>
      <w:r>
        <w:rPr>
          <w:spacing w:val="-4"/>
        </w:rPr>
        <w:t> </w:t>
      </w:r>
      <w:r>
        <w:rPr/>
        <w:t>(3)</w:t>
      </w:r>
      <w:r>
        <w:rPr>
          <w:spacing w:val="-5"/>
        </w:rPr>
        <w:t> </w:t>
      </w:r>
      <w:r>
        <w:rPr/>
        <w:t>phase-in</w:t>
      </w:r>
      <w:r>
        <w:rPr>
          <w:spacing w:val="-5"/>
        </w:rPr>
        <w:t> </w:t>
      </w:r>
      <w:r>
        <w:rPr/>
        <w:t>risk</w:t>
      </w:r>
      <w:r>
        <w:rPr>
          <w:spacing w:val="-4"/>
        </w:rPr>
        <w:t> </w:t>
      </w:r>
      <w:r>
        <w:rPr/>
        <w:t>adjustment</w:t>
      </w:r>
      <w:r>
        <w:rPr>
          <w:spacing w:val="-5"/>
        </w:rPr>
        <w:t> </w:t>
      </w:r>
      <w:r>
        <w:rPr/>
        <w:t>model</w:t>
      </w:r>
      <w:r>
        <w:rPr>
          <w:spacing w:val="-7"/>
        </w:rPr>
        <w:t> </w:t>
      </w:r>
      <w:r>
        <w:rPr/>
        <w:t>changes</w:t>
      </w:r>
      <w:r>
        <w:rPr>
          <w:spacing w:val="-6"/>
        </w:rPr>
        <w:t> </w:t>
      </w:r>
      <w:r>
        <w:rPr/>
        <w:t>over</w:t>
      </w:r>
      <w:r>
        <w:rPr>
          <w:spacing w:val="-8"/>
        </w:rPr>
        <w:t> </w:t>
      </w:r>
      <w:r>
        <w:rPr/>
        <w:t>a</w:t>
      </w:r>
      <w:r>
        <w:rPr>
          <w:spacing w:val="-4"/>
        </w:rPr>
        <w:t> </w:t>
      </w:r>
      <w:r>
        <w:rPr/>
        <w:t>three-year</w:t>
      </w:r>
      <w:r>
        <w:rPr>
          <w:spacing w:val="-5"/>
        </w:rPr>
        <w:t> </w:t>
      </w:r>
      <w:r>
        <w:rPr/>
        <w:t>period.</w:t>
      </w:r>
      <w:r>
        <w:rPr>
          <w:spacing w:val="-4"/>
        </w:rPr>
        <w:t> </w:t>
      </w:r>
      <w:r>
        <w:rPr/>
        <w:t>To</w:t>
      </w:r>
      <w:r>
        <w:rPr>
          <w:spacing w:val="-5"/>
        </w:rPr>
        <w:t> </w:t>
      </w:r>
      <w:r>
        <w:rPr/>
        <w:t>comply</w:t>
      </w:r>
      <w:r>
        <w:rPr>
          <w:spacing w:val="-6"/>
        </w:rPr>
        <w:t> </w:t>
      </w:r>
      <w:r>
        <w:rPr/>
        <w:t>with the law, CMS has proposed adding four HCCs, including HCC 138 (CKD Moderate Stage 3); incorporating</w:t>
      </w:r>
      <w:r>
        <w:rPr>
          <w:spacing w:val="-4"/>
        </w:rPr>
        <w:t> </w:t>
      </w:r>
      <w:r>
        <w:rPr/>
        <w:t>select</w:t>
      </w:r>
      <w:r>
        <w:rPr>
          <w:spacing w:val="-5"/>
        </w:rPr>
        <w:t> </w:t>
      </w:r>
      <w:r>
        <w:rPr/>
        <w:t>drug</w:t>
      </w:r>
      <w:r>
        <w:rPr>
          <w:spacing w:val="-4"/>
        </w:rPr>
        <w:t> </w:t>
      </w:r>
      <w:r>
        <w:rPr/>
        <w:t>and</w:t>
      </w:r>
      <w:r>
        <w:rPr>
          <w:spacing w:val="-5"/>
        </w:rPr>
        <w:t> </w:t>
      </w:r>
      <w:r>
        <w:rPr/>
        <w:t>alcohol</w:t>
      </w:r>
      <w:r>
        <w:rPr>
          <w:spacing w:val="-5"/>
        </w:rPr>
        <w:t> </w:t>
      </w:r>
      <w:r>
        <w:rPr/>
        <w:t>poisoning</w:t>
      </w:r>
      <w:r>
        <w:rPr>
          <w:spacing w:val="-4"/>
        </w:rPr>
        <w:t> </w:t>
      </w:r>
      <w:r>
        <w:rPr/>
        <w:t>codes</w:t>
      </w:r>
      <w:r>
        <w:rPr>
          <w:spacing w:val="-6"/>
        </w:rPr>
        <w:t> </w:t>
      </w:r>
      <w:r>
        <w:rPr/>
        <w:t>into</w:t>
      </w:r>
      <w:r>
        <w:rPr>
          <w:spacing w:val="-5"/>
        </w:rPr>
        <w:t> </w:t>
      </w:r>
      <w:r>
        <w:rPr/>
        <w:t>an</w:t>
      </w:r>
      <w:r>
        <w:rPr>
          <w:spacing w:val="-5"/>
        </w:rPr>
        <w:t> </w:t>
      </w:r>
      <w:r>
        <w:rPr/>
        <w:t>existing</w:t>
      </w:r>
      <w:r>
        <w:rPr>
          <w:spacing w:val="-4"/>
        </w:rPr>
        <w:t> </w:t>
      </w:r>
      <w:r>
        <w:rPr/>
        <w:t>HCC</w:t>
      </w:r>
      <w:r>
        <w:rPr>
          <w:spacing w:val="-4"/>
        </w:rPr>
        <w:t> </w:t>
      </w:r>
      <w:r>
        <w:rPr/>
        <w:t>to</w:t>
      </w:r>
      <w:r>
        <w:rPr>
          <w:spacing w:val="-5"/>
        </w:rPr>
        <w:t> </w:t>
      </w:r>
      <w:r>
        <w:rPr/>
        <w:t>create</w:t>
      </w:r>
      <w:r>
        <w:rPr>
          <w:spacing w:val="-4"/>
        </w:rPr>
        <w:t> </w:t>
      </w:r>
      <w:r>
        <w:rPr/>
        <w:t>a</w:t>
      </w:r>
      <w:r>
        <w:rPr>
          <w:spacing w:val="-4"/>
        </w:rPr>
        <w:t> </w:t>
      </w:r>
      <w:r>
        <w:rPr/>
        <w:t>new</w:t>
      </w:r>
      <w:r>
        <w:rPr>
          <w:spacing w:val="-4"/>
        </w:rPr>
        <w:t> </w:t>
      </w:r>
      <w:r>
        <w:rPr/>
        <w:t>HCC</w:t>
      </w:r>
      <w:r>
        <w:rPr>
          <w:spacing w:val="-4"/>
        </w:rPr>
        <w:t> </w:t>
      </w:r>
      <w:r>
        <w:rPr/>
        <w:t>55; and</w:t>
      </w:r>
      <w:r>
        <w:rPr>
          <w:spacing w:val="-13"/>
        </w:rPr>
        <w:t> </w:t>
      </w:r>
      <w:r>
        <w:rPr/>
        <w:t>introducing</w:t>
      </w:r>
      <w:r>
        <w:rPr>
          <w:spacing w:val="-13"/>
        </w:rPr>
        <w:t> </w:t>
      </w:r>
      <w:r>
        <w:rPr/>
        <w:t>a</w:t>
      </w:r>
      <w:r>
        <w:rPr>
          <w:spacing w:val="-12"/>
        </w:rPr>
        <w:t> </w:t>
      </w:r>
      <w:r>
        <w:rPr/>
        <w:t>new</w:t>
      </w:r>
      <w:r>
        <w:rPr>
          <w:spacing w:val="-12"/>
        </w:rPr>
        <w:t> </w:t>
      </w:r>
      <w:r>
        <w:rPr/>
        <w:t>factor</w:t>
      </w:r>
      <w:r>
        <w:rPr>
          <w:spacing w:val="-14"/>
        </w:rPr>
        <w:t> </w:t>
      </w:r>
      <w:r>
        <w:rPr/>
        <w:t>into</w:t>
      </w:r>
      <w:r>
        <w:rPr>
          <w:spacing w:val="-13"/>
        </w:rPr>
        <w:t> </w:t>
      </w:r>
      <w:r>
        <w:rPr/>
        <w:t>the</w:t>
      </w:r>
      <w:r>
        <w:rPr>
          <w:spacing w:val="-10"/>
        </w:rPr>
        <w:t> </w:t>
      </w:r>
      <w:r>
        <w:rPr/>
        <w:t>six</w:t>
      </w:r>
      <w:r>
        <w:rPr>
          <w:spacing w:val="-13"/>
        </w:rPr>
        <w:t> </w:t>
      </w:r>
      <w:r>
        <w:rPr/>
        <w:t>community</w:t>
      </w:r>
      <w:r>
        <w:rPr>
          <w:spacing w:val="-10"/>
        </w:rPr>
        <w:t> </w:t>
      </w:r>
      <w:r>
        <w:rPr/>
        <w:t>and</w:t>
      </w:r>
      <w:r>
        <w:rPr>
          <w:spacing w:val="-13"/>
        </w:rPr>
        <w:t> </w:t>
      </w:r>
      <w:r>
        <w:rPr/>
        <w:t>single</w:t>
      </w:r>
      <w:r>
        <w:rPr>
          <w:spacing w:val="-12"/>
        </w:rPr>
        <w:t> </w:t>
      </w:r>
      <w:r>
        <w:rPr/>
        <w:t>long</w:t>
      </w:r>
      <w:r>
        <w:rPr>
          <w:spacing w:val="-13"/>
        </w:rPr>
        <w:t> </w:t>
      </w:r>
      <w:r>
        <w:rPr/>
        <w:t>term</w:t>
      </w:r>
      <w:r>
        <w:rPr>
          <w:spacing w:val="-13"/>
        </w:rPr>
        <w:t> </w:t>
      </w:r>
      <w:r>
        <w:rPr/>
        <w:t>institutional</w:t>
      </w:r>
      <w:r>
        <w:rPr>
          <w:spacing w:val="-13"/>
        </w:rPr>
        <w:t> </w:t>
      </w:r>
      <w:r>
        <w:rPr/>
        <w:t>(LTI)</w:t>
      </w:r>
      <w:r>
        <w:rPr>
          <w:spacing w:val="-11"/>
        </w:rPr>
        <w:t> </w:t>
      </w:r>
      <w:r>
        <w:rPr/>
        <w:t>segments to account for a beneficiary’s number of conditions. CMS also has proposed updating the years used to calibrate the CMS-HCC model and applying the same approach used to filter encounter data records</w:t>
      </w:r>
      <w:r>
        <w:rPr>
          <w:spacing w:val="-18"/>
        </w:rPr>
        <w:t> </w:t>
      </w:r>
      <w:r>
        <w:rPr/>
        <w:t>in</w:t>
      </w:r>
      <w:r>
        <w:rPr>
          <w:spacing w:val="-17"/>
        </w:rPr>
        <w:t> </w:t>
      </w:r>
      <w:r>
        <w:rPr/>
        <w:t>selecting</w:t>
      </w:r>
      <w:r>
        <w:rPr>
          <w:spacing w:val="-16"/>
        </w:rPr>
        <w:t> </w:t>
      </w:r>
      <w:r>
        <w:rPr/>
        <w:t>2014</w:t>
      </w:r>
      <w:r>
        <w:rPr>
          <w:spacing w:val="-16"/>
        </w:rPr>
        <w:t> </w:t>
      </w:r>
      <w:r>
        <w:rPr/>
        <w:t>diagnoses</w:t>
      </w:r>
      <w:r>
        <w:rPr>
          <w:spacing w:val="-18"/>
        </w:rPr>
        <w:t> </w:t>
      </w:r>
      <w:r>
        <w:rPr/>
        <w:t>for</w:t>
      </w:r>
      <w:r>
        <w:rPr>
          <w:spacing w:val="-17"/>
        </w:rPr>
        <w:t> </w:t>
      </w:r>
      <w:r>
        <w:rPr/>
        <w:t>the</w:t>
      </w:r>
      <w:r>
        <w:rPr>
          <w:spacing w:val="-16"/>
        </w:rPr>
        <w:t> </w:t>
      </w:r>
      <w:r>
        <w:rPr/>
        <w:t>calibration</w:t>
      </w:r>
      <w:r>
        <w:rPr>
          <w:spacing w:val="-17"/>
        </w:rPr>
        <w:t> </w:t>
      </w:r>
      <w:r>
        <w:rPr/>
        <w:t>and</w:t>
      </w:r>
      <w:r>
        <w:rPr>
          <w:spacing w:val="-16"/>
        </w:rPr>
        <w:t> </w:t>
      </w:r>
      <w:r>
        <w:rPr/>
        <w:t>increasing</w:t>
      </w:r>
      <w:r>
        <w:rPr>
          <w:spacing w:val="-16"/>
        </w:rPr>
        <w:t> </w:t>
      </w:r>
      <w:r>
        <w:rPr/>
        <w:t>the</w:t>
      </w:r>
      <w:r>
        <w:rPr>
          <w:spacing w:val="-16"/>
        </w:rPr>
        <w:t> </w:t>
      </w:r>
      <w:r>
        <w:rPr/>
        <w:t>encounter</w:t>
      </w:r>
      <w:r>
        <w:rPr>
          <w:spacing w:val="-17"/>
        </w:rPr>
        <w:t> </w:t>
      </w:r>
      <w:r>
        <w:rPr/>
        <w:t>data-based</w:t>
      </w:r>
      <w:r>
        <w:rPr>
          <w:spacing w:val="-16"/>
        </w:rPr>
        <w:t> </w:t>
      </w:r>
      <w:r>
        <w:rPr/>
        <w:t>portion of beneficiary risk scores to 25 percent in</w:t>
      </w:r>
      <w:r>
        <w:rPr>
          <w:spacing w:val="-22"/>
        </w:rPr>
        <w:t> </w:t>
      </w:r>
      <w:r>
        <w:rPr/>
        <w:t>2019.</w:t>
      </w:r>
    </w:p>
    <w:p>
      <w:pPr>
        <w:pStyle w:val="BodyText"/>
        <w:rPr>
          <w:sz w:val="20"/>
        </w:rPr>
      </w:pPr>
    </w:p>
    <w:p>
      <w:pPr>
        <w:pStyle w:val="BodyText"/>
        <w:rPr>
          <w:sz w:val="20"/>
        </w:rPr>
      </w:pPr>
    </w:p>
    <w:p>
      <w:pPr>
        <w:pStyle w:val="BodyText"/>
        <w:spacing w:before="6"/>
        <w:rPr>
          <w:sz w:val="16"/>
        </w:rPr>
      </w:pPr>
      <w:r>
        <w:rPr/>
        <w:pict>
          <v:line style="position:absolute;mso-position-horizontal-relative:page;mso-position-vertical-relative:paragraph;z-index:1192;mso-wrap-distance-left:0;mso-wrap-distance-right:0" from="72pt,11.624458pt" to="216pt,11.624458pt" stroked="true" strokeweight=".72pt" strokecolor="#000000">
            <v:stroke dashstyle="solid"/>
            <w10:wrap type="topAndBottom"/>
          </v:line>
        </w:pict>
      </w:r>
    </w:p>
    <w:p>
      <w:pPr>
        <w:spacing w:line="224" w:lineRule="exact" w:before="72"/>
        <w:ind w:left="307" w:right="0" w:firstLine="0"/>
        <w:jc w:val="left"/>
        <w:rPr>
          <w:sz w:val="20"/>
        </w:rPr>
      </w:pPr>
      <w:bookmarkStart w:name="_bookmark6" w:id="8"/>
      <w:bookmarkEnd w:id="8"/>
      <w:r>
        <w:rPr/>
      </w:r>
      <w:r>
        <w:rPr>
          <w:position w:val="5"/>
          <w:sz w:val="13"/>
        </w:rPr>
        <w:t>7 </w:t>
      </w:r>
      <w:r>
        <w:rPr>
          <w:i/>
          <w:sz w:val="20"/>
        </w:rPr>
        <w:t>See, </w:t>
      </w:r>
      <w:r>
        <w:rPr>
          <w:sz w:val="20"/>
        </w:rPr>
        <w:t>42 U.S.C. § 1395w-23(c)(7); 42 C.F.R. § 422.308(g); 42 C.F.R. § 422.109; Medicare Managed Care Manual, Ch. 8,</w:t>
      </w:r>
    </w:p>
    <w:p>
      <w:pPr>
        <w:spacing w:line="224" w:lineRule="exact" w:before="0"/>
        <w:ind w:left="119" w:right="0" w:firstLine="0"/>
        <w:jc w:val="left"/>
        <w:rPr>
          <w:sz w:val="20"/>
        </w:rPr>
      </w:pPr>
      <w:r>
        <w:rPr>
          <w:sz w:val="20"/>
        </w:rPr>
        <w:t>§ 40.4; Medicare Managed Care Manual, Ch. 4, § 90.3.</w:t>
      </w:r>
    </w:p>
    <w:p>
      <w:pPr>
        <w:spacing w:before="0"/>
        <w:ind w:left="307" w:right="0" w:firstLine="0"/>
        <w:jc w:val="left"/>
        <w:rPr>
          <w:sz w:val="20"/>
        </w:rPr>
      </w:pPr>
      <w:bookmarkStart w:name="_bookmark7" w:id="9"/>
      <w:bookmarkEnd w:id="9"/>
      <w:r>
        <w:rPr/>
      </w:r>
      <w:r>
        <w:rPr>
          <w:position w:val="5"/>
          <w:sz w:val="13"/>
        </w:rPr>
        <w:t>8 </w:t>
      </w:r>
      <w:r>
        <w:rPr>
          <w:sz w:val="20"/>
        </w:rPr>
        <w:t>42 C.F.R. § 422.109(a).</w:t>
      </w:r>
    </w:p>
    <w:p>
      <w:pPr>
        <w:spacing w:before="0"/>
        <w:ind w:left="307" w:right="0" w:firstLine="0"/>
        <w:jc w:val="left"/>
        <w:rPr>
          <w:sz w:val="20"/>
        </w:rPr>
      </w:pPr>
      <w:bookmarkStart w:name="_bookmark8" w:id="10"/>
      <w:bookmarkEnd w:id="10"/>
      <w:r>
        <w:rPr/>
      </w:r>
      <w:r>
        <w:rPr>
          <w:position w:val="5"/>
          <w:sz w:val="13"/>
        </w:rPr>
        <w:t>9 </w:t>
      </w:r>
      <w:r>
        <w:rPr>
          <w:sz w:val="20"/>
        </w:rPr>
        <w:t>42 C.F.R. § 422.109(b) and (c).</w:t>
      </w:r>
    </w:p>
    <w:p>
      <w:pPr>
        <w:spacing w:before="0"/>
        <w:ind w:left="307" w:right="0" w:firstLine="0"/>
        <w:jc w:val="left"/>
        <w:rPr>
          <w:sz w:val="20"/>
        </w:rPr>
      </w:pPr>
      <w:bookmarkStart w:name="_bookmark9" w:id="11"/>
      <w:bookmarkEnd w:id="11"/>
      <w:r>
        <w:rPr/>
      </w:r>
      <w:r>
        <w:rPr>
          <w:position w:val="5"/>
          <w:sz w:val="13"/>
        </w:rPr>
        <w:t>10 </w:t>
      </w:r>
      <w:r>
        <w:rPr>
          <w:i/>
          <w:sz w:val="20"/>
        </w:rPr>
        <w:t>Id</w:t>
      </w:r>
      <w:r>
        <w:rPr>
          <w:sz w:val="20"/>
        </w:rPr>
        <w:t>. at § 422.109(c)(1).</w:t>
      </w:r>
    </w:p>
    <w:p>
      <w:pPr>
        <w:spacing w:after="0"/>
        <w:jc w:val="left"/>
        <w:rPr>
          <w:sz w:val="20"/>
        </w:rPr>
        <w:sectPr>
          <w:pgSz w:w="12240" w:h="15840"/>
          <w:pgMar w:header="0" w:footer="705" w:top="640" w:bottom="900" w:left="1320" w:right="1320"/>
        </w:sectPr>
      </w:pPr>
    </w:p>
    <w:p>
      <w:pPr>
        <w:pStyle w:val="Heading1"/>
        <w:spacing w:before="79"/>
        <w:ind w:left="3279" w:right="3299"/>
      </w:pPr>
      <w:r>
        <w:rPr/>
        <w:t>Comment/Recommendation</w:t>
      </w:r>
    </w:p>
    <w:p>
      <w:pPr>
        <w:pStyle w:val="BodyText"/>
        <w:spacing w:before="8"/>
        <w:rPr>
          <w:b/>
          <w:sz w:val="27"/>
        </w:rPr>
      </w:pPr>
    </w:p>
    <w:p>
      <w:pPr>
        <w:pStyle w:val="BodyText"/>
        <w:spacing w:line="259" w:lineRule="auto" w:before="1"/>
        <w:ind w:left="100" w:right="113"/>
        <w:jc w:val="both"/>
      </w:pPr>
      <w:r>
        <w:rPr/>
        <w:t>DaVita wholeheartedly agrees that risk adjustment is central to the MA program’s success. Although the CMS-HCC model represents a vast improvement over prior demographic-only models, there is room to augment its predictive ability. We appreciate CMS’s previous efforts to address the model’s shortcomings and strongly support moving forward in incorporating additional mental health and substance abuse diagnoses and restoring HCC 138 (CKD Moderate Stage 3) next year. However, as explained in our comments below, we have concerns regarding the implementation timeline for the proposed payment condition count model and increase in the encounter data-based portion of beneficiary risk scores.</w:t>
      </w:r>
    </w:p>
    <w:p>
      <w:pPr>
        <w:pStyle w:val="BodyText"/>
        <w:spacing w:before="8"/>
        <w:rPr>
          <w:sz w:val="25"/>
        </w:rPr>
      </w:pPr>
    </w:p>
    <w:p>
      <w:pPr>
        <w:pStyle w:val="ListParagraph"/>
        <w:numPr>
          <w:ilvl w:val="1"/>
          <w:numId w:val="3"/>
        </w:numPr>
        <w:tabs>
          <w:tab w:pos="640" w:val="left" w:leader="none"/>
        </w:tabs>
        <w:spacing w:line="259" w:lineRule="auto" w:before="0" w:after="0"/>
        <w:ind w:left="640" w:right="114" w:hanging="360"/>
        <w:jc w:val="both"/>
        <w:rPr>
          <w:sz w:val="24"/>
        </w:rPr>
      </w:pPr>
      <w:r>
        <w:rPr>
          <w:b/>
          <w:sz w:val="24"/>
        </w:rPr>
        <w:t>Implementation of Payment Condition Count Model: </w:t>
      </w:r>
      <w:r>
        <w:rPr>
          <w:sz w:val="24"/>
        </w:rPr>
        <w:t>DaVita appreciates the thorough explanation</w:t>
      </w:r>
      <w:r>
        <w:rPr>
          <w:spacing w:val="-6"/>
          <w:sz w:val="24"/>
        </w:rPr>
        <w:t> </w:t>
      </w:r>
      <w:r>
        <w:rPr>
          <w:sz w:val="24"/>
        </w:rPr>
        <w:t>of</w:t>
      </w:r>
      <w:r>
        <w:rPr>
          <w:spacing w:val="-7"/>
          <w:sz w:val="24"/>
        </w:rPr>
        <w:t> </w:t>
      </w:r>
      <w:r>
        <w:rPr>
          <w:sz w:val="24"/>
        </w:rPr>
        <w:t>the</w:t>
      </w:r>
      <w:r>
        <w:rPr>
          <w:spacing w:val="-5"/>
          <w:sz w:val="24"/>
        </w:rPr>
        <w:t> </w:t>
      </w:r>
      <w:r>
        <w:rPr>
          <w:sz w:val="24"/>
        </w:rPr>
        <w:t>analysis</w:t>
      </w:r>
      <w:r>
        <w:rPr>
          <w:spacing w:val="-7"/>
          <w:sz w:val="24"/>
        </w:rPr>
        <w:t> </w:t>
      </w:r>
      <w:r>
        <w:rPr>
          <w:sz w:val="24"/>
        </w:rPr>
        <w:t>that</w:t>
      </w:r>
      <w:r>
        <w:rPr>
          <w:spacing w:val="-6"/>
          <w:sz w:val="24"/>
        </w:rPr>
        <w:t> </w:t>
      </w:r>
      <w:r>
        <w:rPr>
          <w:sz w:val="24"/>
        </w:rPr>
        <w:t>CMS</w:t>
      </w:r>
      <w:r>
        <w:rPr>
          <w:spacing w:val="-6"/>
          <w:sz w:val="24"/>
        </w:rPr>
        <w:t> </w:t>
      </w:r>
      <w:r>
        <w:rPr>
          <w:sz w:val="24"/>
        </w:rPr>
        <w:t>undertook</w:t>
      </w:r>
      <w:r>
        <w:rPr>
          <w:spacing w:val="-3"/>
          <w:sz w:val="24"/>
        </w:rPr>
        <w:t> </w:t>
      </w:r>
      <w:r>
        <w:rPr>
          <w:sz w:val="24"/>
        </w:rPr>
        <w:t>in</w:t>
      </w:r>
      <w:r>
        <w:rPr>
          <w:spacing w:val="-6"/>
          <w:sz w:val="24"/>
        </w:rPr>
        <w:t> </w:t>
      </w:r>
      <w:r>
        <w:rPr>
          <w:sz w:val="24"/>
        </w:rPr>
        <w:t>developing</w:t>
      </w:r>
      <w:r>
        <w:rPr>
          <w:spacing w:val="-5"/>
          <w:sz w:val="24"/>
        </w:rPr>
        <w:t> </w:t>
      </w:r>
      <w:r>
        <w:rPr>
          <w:sz w:val="24"/>
        </w:rPr>
        <w:t>the</w:t>
      </w:r>
      <w:r>
        <w:rPr>
          <w:spacing w:val="-5"/>
          <w:sz w:val="24"/>
        </w:rPr>
        <w:t> </w:t>
      </w:r>
      <w:r>
        <w:rPr>
          <w:sz w:val="24"/>
        </w:rPr>
        <w:t>proposed</w:t>
      </w:r>
      <w:r>
        <w:rPr>
          <w:spacing w:val="-6"/>
          <w:sz w:val="24"/>
        </w:rPr>
        <w:t> </w:t>
      </w:r>
      <w:r>
        <w:rPr>
          <w:sz w:val="24"/>
        </w:rPr>
        <w:t>payment</w:t>
      </w:r>
      <w:r>
        <w:rPr>
          <w:spacing w:val="-6"/>
          <w:sz w:val="24"/>
        </w:rPr>
        <w:t> </w:t>
      </w:r>
      <w:r>
        <w:rPr>
          <w:sz w:val="24"/>
        </w:rPr>
        <w:t>condition count model. Although we understand that CMS has shared information with MA plans, they may need additional time and CMS feedback to fully assess the model’s impact. CMS’s plan to use encounter data in developing the payment condition count portions of beneficiary risk scores introduces another level of uncertainty for MA plans. As CMS noted in the Advance Notice,</w:t>
      </w:r>
      <w:r>
        <w:rPr>
          <w:spacing w:val="-9"/>
          <w:sz w:val="24"/>
        </w:rPr>
        <w:t> </w:t>
      </w:r>
      <w:r>
        <w:rPr>
          <w:sz w:val="24"/>
        </w:rPr>
        <w:t>the</w:t>
      </w:r>
      <w:r>
        <w:rPr>
          <w:spacing w:val="-11"/>
          <w:sz w:val="24"/>
        </w:rPr>
        <w:t> </w:t>
      </w:r>
      <w:r>
        <w:rPr>
          <w:sz w:val="24"/>
        </w:rPr>
        <w:t>statute</w:t>
      </w:r>
      <w:r>
        <w:rPr>
          <w:spacing w:val="-8"/>
          <w:sz w:val="24"/>
        </w:rPr>
        <w:t> </w:t>
      </w:r>
      <w:r>
        <w:rPr>
          <w:sz w:val="24"/>
        </w:rPr>
        <w:t>provides</w:t>
      </w:r>
      <w:r>
        <w:rPr>
          <w:spacing w:val="-10"/>
          <w:sz w:val="24"/>
        </w:rPr>
        <w:t> </w:t>
      </w:r>
      <w:r>
        <w:rPr>
          <w:sz w:val="24"/>
        </w:rPr>
        <w:t>for</w:t>
      </w:r>
      <w:r>
        <w:rPr>
          <w:spacing w:val="-10"/>
          <w:sz w:val="24"/>
        </w:rPr>
        <w:t> </w:t>
      </w:r>
      <w:r>
        <w:rPr>
          <w:sz w:val="24"/>
        </w:rPr>
        <w:t>a</w:t>
      </w:r>
      <w:r>
        <w:rPr>
          <w:spacing w:val="-8"/>
          <w:sz w:val="24"/>
        </w:rPr>
        <w:t> </w:t>
      </w:r>
      <w:r>
        <w:rPr>
          <w:sz w:val="24"/>
        </w:rPr>
        <w:t>three-year</w:t>
      </w:r>
      <w:r>
        <w:rPr>
          <w:spacing w:val="-10"/>
          <w:sz w:val="24"/>
        </w:rPr>
        <w:t> </w:t>
      </w:r>
      <w:r>
        <w:rPr>
          <w:sz w:val="24"/>
        </w:rPr>
        <w:t>phase-in</w:t>
      </w:r>
      <w:r>
        <w:rPr>
          <w:spacing w:val="-9"/>
          <w:sz w:val="24"/>
        </w:rPr>
        <w:t> </w:t>
      </w:r>
      <w:r>
        <w:rPr>
          <w:sz w:val="24"/>
        </w:rPr>
        <w:t>of</w:t>
      </w:r>
      <w:r>
        <w:rPr>
          <w:spacing w:val="-10"/>
          <w:sz w:val="24"/>
        </w:rPr>
        <w:t> </w:t>
      </w:r>
      <w:r>
        <w:rPr>
          <w:sz w:val="24"/>
        </w:rPr>
        <w:t>the</w:t>
      </w:r>
      <w:r>
        <w:rPr>
          <w:spacing w:val="-8"/>
          <w:sz w:val="24"/>
        </w:rPr>
        <w:t> </w:t>
      </w:r>
      <w:r>
        <w:rPr>
          <w:sz w:val="24"/>
        </w:rPr>
        <w:t>risk</w:t>
      </w:r>
      <w:r>
        <w:rPr>
          <w:spacing w:val="-9"/>
          <w:sz w:val="24"/>
        </w:rPr>
        <w:t> </w:t>
      </w:r>
      <w:r>
        <w:rPr>
          <w:sz w:val="24"/>
        </w:rPr>
        <w:t>adjustment</w:t>
      </w:r>
      <w:r>
        <w:rPr>
          <w:spacing w:val="-10"/>
          <w:sz w:val="24"/>
        </w:rPr>
        <w:t> </w:t>
      </w:r>
      <w:r>
        <w:rPr>
          <w:sz w:val="24"/>
        </w:rPr>
        <w:t>model</w:t>
      </w:r>
      <w:r>
        <w:rPr>
          <w:spacing w:val="-9"/>
          <w:sz w:val="24"/>
        </w:rPr>
        <w:t> </w:t>
      </w:r>
      <w:r>
        <w:rPr>
          <w:sz w:val="24"/>
        </w:rPr>
        <w:t>changes</w:t>
      </w:r>
      <w:r>
        <w:rPr>
          <w:spacing w:val="-10"/>
          <w:sz w:val="24"/>
        </w:rPr>
        <w:t> </w:t>
      </w:r>
      <w:r>
        <w:rPr>
          <w:sz w:val="24"/>
        </w:rPr>
        <w:t>over a four-year period. We agree with CMS’s interpretation that the statute affords the opportunity to use the 2019 Advance Notice to collect and process comments and reconsider options for 2020. We urge CMS to consider adopting that</w:t>
      </w:r>
      <w:r>
        <w:rPr>
          <w:spacing w:val="-22"/>
          <w:sz w:val="24"/>
        </w:rPr>
        <w:t> </w:t>
      </w:r>
      <w:r>
        <w:rPr>
          <w:sz w:val="24"/>
        </w:rPr>
        <w:t>approach.</w:t>
      </w:r>
    </w:p>
    <w:p>
      <w:pPr>
        <w:pStyle w:val="BodyText"/>
        <w:spacing w:before="10"/>
        <w:rPr>
          <w:sz w:val="25"/>
        </w:rPr>
      </w:pPr>
    </w:p>
    <w:p>
      <w:pPr>
        <w:pStyle w:val="ListParagraph"/>
        <w:numPr>
          <w:ilvl w:val="1"/>
          <w:numId w:val="3"/>
        </w:numPr>
        <w:tabs>
          <w:tab w:pos="640" w:val="left" w:leader="none"/>
        </w:tabs>
        <w:spacing w:line="259" w:lineRule="auto" w:before="0" w:after="0"/>
        <w:ind w:left="640" w:right="116" w:hanging="360"/>
        <w:jc w:val="both"/>
        <w:rPr>
          <w:sz w:val="24"/>
        </w:rPr>
      </w:pPr>
      <w:r>
        <w:rPr>
          <w:b/>
          <w:sz w:val="24"/>
        </w:rPr>
        <w:t>Use of Encounter Data Payment System (EDPS) in Determining Risk Scores: </w:t>
      </w:r>
      <w:r>
        <w:rPr>
          <w:sz w:val="24"/>
        </w:rPr>
        <w:t>DaVita remains</w:t>
      </w:r>
      <w:r>
        <w:rPr>
          <w:spacing w:val="-18"/>
          <w:sz w:val="24"/>
        </w:rPr>
        <w:t> </w:t>
      </w:r>
      <w:r>
        <w:rPr>
          <w:sz w:val="24"/>
        </w:rPr>
        <w:t>concerned</w:t>
      </w:r>
      <w:r>
        <w:rPr>
          <w:spacing w:val="-18"/>
          <w:sz w:val="24"/>
        </w:rPr>
        <w:t> </w:t>
      </w:r>
      <w:r>
        <w:rPr>
          <w:sz w:val="24"/>
        </w:rPr>
        <w:t>about</w:t>
      </w:r>
      <w:r>
        <w:rPr>
          <w:spacing w:val="-18"/>
          <w:sz w:val="24"/>
        </w:rPr>
        <w:t> </w:t>
      </w:r>
      <w:r>
        <w:rPr>
          <w:sz w:val="24"/>
        </w:rPr>
        <w:t>CMS’s</w:t>
      </w:r>
      <w:r>
        <w:rPr>
          <w:spacing w:val="-18"/>
          <w:sz w:val="24"/>
        </w:rPr>
        <w:t> </w:t>
      </w:r>
      <w:r>
        <w:rPr>
          <w:sz w:val="24"/>
        </w:rPr>
        <w:t>decision</w:t>
      </w:r>
      <w:r>
        <w:rPr>
          <w:spacing w:val="-18"/>
          <w:sz w:val="24"/>
        </w:rPr>
        <w:t> </w:t>
      </w:r>
      <w:r>
        <w:rPr>
          <w:sz w:val="24"/>
        </w:rPr>
        <w:t>to</w:t>
      </w:r>
      <w:r>
        <w:rPr>
          <w:spacing w:val="-18"/>
          <w:sz w:val="24"/>
        </w:rPr>
        <w:t> </w:t>
      </w:r>
      <w:r>
        <w:rPr>
          <w:sz w:val="24"/>
        </w:rPr>
        <w:t>move</w:t>
      </w:r>
      <w:r>
        <w:rPr>
          <w:spacing w:val="-17"/>
          <w:sz w:val="24"/>
        </w:rPr>
        <w:t> </w:t>
      </w:r>
      <w:r>
        <w:rPr>
          <w:sz w:val="24"/>
        </w:rPr>
        <w:t>forward</w:t>
      </w:r>
      <w:r>
        <w:rPr>
          <w:spacing w:val="-18"/>
          <w:sz w:val="24"/>
        </w:rPr>
        <w:t> </w:t>
      </w:r>
      <w:r>
        <w:rPr>
          <w:sz w:val="24"/>
        </w:rPr>
        <w:t>in</w:t>
      </w:r>
      <w:r>
        <w:rPr>
          <w:spacing w:val="-18"/>
          <w:sz w:val="24"/>
        </w:rPr>
        <w:t> </w:t>
      </w:r>
      <w:r>
        <w:rPr>
          <w:sz w:val="24"/>
        </w:rPr>
        <w:t>using</w:t>
      </w:r>
      <w:r>
        <w:rPr>
          <w:spacing w:val="-17"/>
          <w:sz w:val="24"/>
        </w:rPr>
        <w:t> </w:t>
      </w:r>
      <w:r>
        <w:rPr>
          <w:sz w:val="24"/>
        </w:rPr>
        <w:t>encounter</w:t>
      </w:r>
      <w:r>
        <w:rPr>
          <w:spacing w:val="-16"/>
          <w:sz w:val="24"/>
        </w:rPr>
        <w:t> </w:t>
      </w:r>
      <w:r>
        <w:rPr>
          <w:sz w:val="24"/>
        </w:rPr>
        <w:t>data</w:t>
      </w:r>
      <w:r>
        <w:rPr>
          <w:spacing w:val="-17"/>
          <w:sz w:val="24"/>
        </w:rPr>
        <w:t> </w:t>
      </w:r>
      <w:r>
        <w:rPr>
          <w:sz w:val="24"/>
        </w:rPr>
        <w:t>as</w:t>
      </w:r>
      <w:r>
        <w:rPr>
          <w:spacing w:val="-18"/>
          <w:sz w:val="24"/>
        </w:rPr>
        <w:t> </w:t>
      </w:r>
      <w:r>
        <w:rPr>
          <w:sz w:val="24"/>
        </w:rPr>
        <w:t>a</w:t>
      </w:r>
      <w:r>
        <w:rPr>
          <w:spacing w:val="-17"/>
          <w:sz w:val="24"/>
        </w:rPr>
        <w:t> </w:t>
      </w:r>
      <w:r>
        <w:rPr>
          <w:sz w:val="24"/>
        </w:rPr>
        <w:t>diagnosis source to calculate beneficiary risk scores. As expressed in our comments on prior Advance Notices,</w:t>
      </w:r>
      <w:r>
        <w:rPr>
          <w:spacing w:val="-10"/>
          <w:sz w:val="24"/>
        </w:rPr>
        <w:t> </w:t>
      </w:r>
      <w:r>
        <w:rPr>
          <w:sz w:val="24"/>
        </w:rPr>
        <w:t>the</w:t>
      </w:r>
      <w:r>
        <w:rPr>
          <w:spacing w:val="-10"/>
          <w:sz w:val="24"/>
        </w:rPr>
        <w:t> </w:t>
      </w:r>
      <w:r>
        <w:rPr>
          <w:sz w:val="24"/>
        </w:rPr>
        <w:t>collection</w:t>
      </w:r>
      <w:r>
        <w:rPr>
          <w:spacing w:val="-11"/>
          <w:sz w:val="24"/>
        </w:rPr>
        <w:t> </w:t>
      </w:r>
      <w:r>
        <w:rPr>
          <w:sz w:val="24"/>
        </w:rPr>
        <w:t>and</w:t>
      </w:r>
      <w:r>
        <w:rPr>
          <w:spacing w:val="-11"/>
          <w:sz w:val="24"/>
        </w:rPr>
        <w:t> </w:t>
      </w:r>
      <w:r>
        <w:rPr>
          <w:sz w:val="24"/>
        </w:rPr>
        <w:t>submission</w:t>
      </w:r>
      <w:r>
        <w:rPr>
          <w:spacing w:val="-11"/>
          <w:sz w:val="24"/>
        </w:rPr>
        <w:t> </w:t>
      </w:r>
      <w:r>
        <w:rPr>
          <w:sz w:val="24"/>
        </w:rPr>
        <w:t>of</w:t>
      </w:r>
      <w:r>
        <w:rPr>
          <w:spacing w:val="-11"/>
          <w:sz w:val="24"/>
        </w:rPr>
        <w:t> </w:t>
      </w:r>
      <w:r>
        <w:rPr>
          <w:sz w:val="24"/>
        </w:rPr>
        <w:t>encounter</w:t>
      </w:r>
      <w:r>
        <w:rPr>
          <w:spacing w:val="-12"/>
          <w:sz w:val="24"/>
        </w:rPr>
        <w:t> </w:t>
      </w:r>
      <w:r>
        <w:rPr>
          <w:sz w:val="24"/>
        </w:rPr>
        <w:t>data</w:t>
      </w:r>
      <w:r>
        <w:rPr>
          <w:spacing w:val="-10"/>
          <w:sz w:val="24"/>
        </w:rPr>
        <w:t> </w:t>
      </w:r>
      <w:r>
        <w:rPr>
          <w:sz w:val="24"/>
        </w:rPr>
        <w:t>runs</w:t>
      </w:r>
      <w:r>
        <w:rPr>
          <w:spacing w:val="-12"/>
          <w:sz w:val="24"/>
        </w:rPr>
        <w:t> </w:t>
      </w:r>
      <w:r>
        <w:rPr>
          <w:sz w:val="24"/>
        </w:rPr>
        <w:t>counter</w:t>
      </w:r>
      <w:r>
        <w:rPr>
          <w:spacing w:val="-12"/>
          <w:sz w:val="24"/>
        </w:rPr>
        <w:t> </w:t>
      </w:r>
      <w:r>
        <w:rPr>
          <w:sz w:val="24"/>
        </w:rPr>
        <w:t>to</w:t>
      </w:r>
      <w:r>
        <w:rPr>
          <w:spacing w:val="-11"/>
          <w:sz w:val="24"/>
        </w:rPr>
        <w:t> </w:t>
      </w:r>
      <w:r>
        <w:rPr>
          <w:sz w:val="24"/>
        </w:rPr>
        <w:t>the</w:t>
      </w:r>
      <w:r>
        <w:rPr>
          <w:spacing w:val="-10"/>
          <w:sz w:val="24"/>
        </w:rPr>
        <w:t> </w:t>
      </w:r>
      <w:r>
        <w:rPr>
          <w:sz w:val="24"/>
        </w:rPr>
        <w:t>goals</w:t>
      </w:r>
      <w:r>
        <w:rPr>
          <w:spacing w:val="-12"/>
          <w:sz w:val="24"/>
        </w:rPr>
        <w:t> </w:t>
      </w:r>
      <w:r>
        <w:rPr>
          <w:sz w:val="24"/>
        </w:rPr>
        <w:t>of</w:t>
      </w:r>
      <w:r>
        <w:rPr>
          <w:spacing w:val="-11"/>
          <w:sz w:val="24"/>
        </w:rPr>
        <w:t> </w:t>
      </w:r>
      <w:r>
        <w:rPr>
          <w:sz w:val="24"/>
        </w:rPr>
        <w:t>risk-based payment methodologies. Rather than affording providers the opportunity to focus on care delivery and effective disease management, encounter data reporting forces them back into a FFS payment paradigm. More disconcerting, encounter data fail to capture the breadth of services and activities, such as development and implementation of personalized care plans, which</w:t>
      </w:r>
      <w:r>
        <w:rPr>
          <w:spacing w:val="-4"/>
          <w:sz w:val="24"/>
        </w:rPr>
        <w:t> </w:t>
      </w:r>
      <w:r>
        <w:rPr>
          <w:sz w:val="24"/>
        </w:rPr>
        <w:t>providers</w:t>
      </w:r>
      <w:r>
        <w:rPr>
          <w:spacing w:val="-5"/>
          <w:sz w:val="24"/>
        </w:rPr>
        <w:t> </w:t>
      </w:r>
      <w:r>
        <w:rPr>
          <w:sz w:val="24"/>
        </w:rPr>
        <w:t>in</w:t>
      </w:r>
      <w:r>
        <w:rPr>
          <w:spacing w:val="-6"/>
          <w:sz w:val="24"/>
        </w:rPr>
        <w:t> </w:t>
      </w:r>
      <w:r>
        <w:rPr>
          <w:sz w:val="24"/>
        </w:rPr>
        <w:t>integrated</w:t>
      </w:r>
      <w:r>
        <w:rPr>
          <w:spacing w:val="-3"/>
          <w:sz w:val="24"/>
        </w:rPr>
        <w:t> </w:t>
      </w:r>
      <w:r>
        <w:rPr>
          <w:sz w:val="24"/>
        </w:rPr>
        <w:t>care</w:t>
      </w:r>
      <w:r>
        <w:rPr>
          <w:spacing w:val="-5"/>
          <w:sz w:val="24"/>
        </w:rPr>
        <w:t> </w:t>
      </w:r>
      <w:r>
        <w:rPr>
          <w:sz w:val="24"/>
        </w:rPr>
        <w:t>models</w:t>
      </w:r>
      <w:r>
        <w:rPr>
          <w:spacing w:val="-7"/>
          <w:sz w:val="24"/>
        </w:rPr>
        <w:t> </w:t>
      </w:r>
      <w:r>
        <w:rPr>
          <w:sz w:val="24"/>
        </w:rPr>
        <w:t>apply</w:t>
      </w:r>
      <w:r>
        <w:rPr>
          <w:spacing w:val="-3"/>
          <w:sz w:val="24"/>
        </w:rPr>
        <w:t> </w:t>
      </w:r>
      <w:r>
        <w:rPr>
          <w:sz w:val="24"/>
        </w:rPr>
        <w:t>to</w:t>
      </w:r>
      <w:r>
        <w:rPr>
          <w:spacing w:val="-6"/>
          <w:sz w:val="24"/>
        </w:rPr>
        <w:t> </w:t>
      </w:r>
      <w:r>
        <w:rPr>
          <w:sz w:val="24"/>
        </w:rPr>
        <w:t>help</w:t>
      </w:r>
      <w:r>
        <w:rPr>
          <w:spacing w:val="-4"/>
          <w:sz w:val="24"/>
        </w:rPr>
        <w:t> </w:t>
      </w:r>
      <w:r>
        <w:rPr>
          <w:sz w:val="24"/>
        </w:rPr>
        <w:t>patients</w:t>
      </w:r>
      <w:r>
        <w:rPr>
          <w:spacing w:val="-5"/>
          <w:sz w:val="24"/>
        </w:rPr>
        <w:t> </w:t>
      </w:r>
      <w:r>
        <w:rPr>
          <w:sz w:val="24"/>
        </w:rPr>
        <w:t>reach</w:t>
      </w:r>
      <w:r>
        <w:rPr>
          <w:spacing w:val="-4"/>
          <w:sz w:val="24"/>
        </w:rPr>
        <w:t> </w:t>
      </w:r>
      <w:r>
        <w:rPr>
          <w:sz w:val="24"/>
        </w:rPr>
        <w:t>their</w:t>
      </w:r>
      <w:r>
        <w:rPr>
          <w:spacing w:val="-4"/>
          <w:sz w:val="24"/>
        </w:rPr>
        <w:t> </w:t>
      </w:r>
      <w:r>
        <w:rPr>
          <w:sz w:val="24"/>
        </w:rPr>
        <w:t>treatment</w:t>
      </w:r>
      <w:r>
        <w:rPr>
          <w:spacing w:val="-4"/>
          <w:sz w:val="24"/>
        </w:rPr>
        <w:t> </w:t>
      </w:r>
      <w:r>
        <w:rPr>
          <w:sz w:val="24"/>
        </w:rPr>
        <w:t>goals.</w:t>
      </w:r>
      <w:r>
        <w:rPr>
          <w:spacing w:val="-6"/>
          <w:sz w:val="24"/>
        </w:rPr>
        <w:t> </w:t>
      </w:r>
      <w:r>
        <w:rPr>
          <w:sz w:val="24"/>
        </w:rPr>
        <w:t>As a</w:t>
      </w:r>
      <w:r>
        <w:rPr>
          <w:spacing w:val="-8"/>
          <w:sz w:val="24"/>
        </w:rPr>
        <w:t> </w:t>
      </w:r>
      <w:r>
        <w:rPr>
          <w:sz w:val="24"/>
        </w:rPr>
        <w:t>result,</w:t>
      </w:r>
      <w:r>
        <w:rPr>
          <w:spacing w:val="-8"/>
          <w:sz w:val="24"/>
        </w:rPr>
        <w:t> </w:t>
      </w:r>
      <w:r>
        <w:rPr>
          <w:sz w:val="24"/>
        </w:rPr>
        <w:t>using</w:t>
      </w:r>
      <w:r>
        <w:rPr>
          <w:spacing w:val="-8"/>
          <w:sz w:val="24"/>
        </w:rPr>
        <w:t> </w:t>
      </w:r>
      <w:r>
        <w:rPr>
          <w:sz w:val="24"/>
        </w:rPr>
        <w:t>encounter</w:t>
      </w:r>
      <w:r>
        <w:rPr>
          <w:spacing w:val="-9"/>
          <w:sz w:val="24"/>
        </w:rPr>
        <w:t> </w:t>
      </w:r>
      <w:r>
        <w:rPr>
          <w:sz w:val="24"/>
        </w:rPr>
        <w:t>data</w:t>
      </w:r>
      <w:r>
        <w:rPr>
          <w:spacing w:val="-8"/>
          <w:sz w:val="24"/>
        </w:rPr>
        <w:t> </w:t>
      </w:r>
      <w:r>
        <w:rPr>
          <w:sz w:val="24"/>
        </w:rPr>
        <w:t>for</w:t>
      </w:r>
      <w:r>
        <w:rPr>
          <w:spacing w:val="-9"/>
          <w:sz w:val="24"/>
        </w:rPr>
        <w:t> </w:t>
      </w:r>
      <w:r>
        <w:rPr>
          <w:sz w:val="24"/>
        </w:rPr>
        <w:t>payment</w:t>
      </w:r>
      <w:r>
        <w:rPr>
          <w:spacing w:val="-9"/>
          <w:sz w:val="24"/>
        </w:rPr>
        <w:t> </w:t>
      </w:r>
      <w:r>
        <w:rPr>
          <w:sz w:val="24"/>
        </w:rPr>
        <w:t>purposes</w:t>
      </w:r>
      <w:r>
        <w:rPr>
          <w:spacing w:val="-8"/>
          <w:sz w:val="24"/>
        </w:rPr>
        <w:t> </w:t>
      </w:r>
      <w:r>
        <w:rPr>
          <w:sz w:val="24"/>
        </w:rPr>
        <w:t>will</w:t>
      </w:r>
      <w:r>
        <w:rPr>
          <w:spacing w:val="-8"/>
          <w:sz w:val="24"/>
        </w:rPr>
        <w:t> </w:t>
      </w:r>
      <w:r>
        <w:rPr>
          <w:sz w:val="24"/>
        </w:rPr>
        <w:t>undervalue</w:t>
      </w:r>
      <w:r>
        <w:rPr>
          <w:spacing w:val="-10"/>
          <w:sz w:val="24"/>
        </w:rPr>
        <w:t> </w:t>
      </w:r>
      <w:r>
        <w:rPr>
          <w:sz w:val="24"/>
        </w:rPr>
        <w:t>and</w:t>
      </w:r>
      <w:r>
        <w:rPr>
          <w:spacing w:val="-8"/>
          <w:sz w:val="24"/>
        </w:rPr>
        <w:t> </w:t>
      </w:r>
      <w:r>
        <w:rPr>
          <w:sz w:val="24"/>
        </w:rPr>
        <w:t>undercompensate</w:t>
      </w:r>
      <w:r>
        <w:rPr>
          <w:spacing w:val="-8"/>
          <w:sz w:val="24"/>
        </w:rPr>
        <w:t> </w:t>
      </w:r>
      <w:r>
        <w:rPr>
          <w:sz w:val="24"/>
        </w:rPr>
        <w:t>care.</w:t>
      </w:r>
    </w:p>
    <w:p>
      <w:pPr>
        <w:pStyle w:val="BodyText"/>
        <w:spacing w:before="7"/>
        <w:rPr>
          <w:sz w:val="25"/>
        </w:rPr>
      </w:pPr>
    </w:p>
    <w:p>
      <w:pPr>
        <w:pStyle w:val="BodyText"/>
        <w:spacing w:line="259" w:lineRule="auto"/>
        <w:ind w:left="640" w:right="115"/>
        <w:jc w:val="both"/>
      </w:pPr>
      <w:r>
        <w:rPr/>
        <w:t>In addition, although some improvement in encounter data’s completeness and reliability may have</w:t>
      </w:r>
      <w:r>
        <w:rPr>
          <w:spacing w:val="-6"/>
        </w:rPr>
        <w:t> </w:t>
      </w:r>
      <w:r>
        <w:rPr/>
        <w:t>been</w:t>
      </w:r>
      <w:r>
        <w:rPr>
          <w:spacing w:val="-7"/>
        </w:rPr>
        <w:t> </w:t>
      </w:r>
      <w:r>
        <w:rPr/>
        <w:t>achieved</w:t>
      </w:r>
      <w:r>
        <w:rPr>
          <w:spacing w:val="-7"/>
        </w:rPr>
        <w:t> </w:t>
      </w:r>
      <w:r>
        <w:rPr/>
        <w:t>since</w:t>
      </w:r>
      <w:r>
        <w:rPr>
          <w:spacing w:val="-6"/>
        </w:rPr>
        <w:t> </w:t>
      </w:r>
      <w:r>
        <w:rPr/>
        <w:t>its</w:t>
      </w:r>
      <w:r>
        <w:rPr>
          <w:spacing w:val="-8"/>
        </w:rPr>
        <w:t> </w:t>
      </w:r>
      <w:r>
        <w:rPr/>
        <w:t>first</w:t>
      </w:r>
      <w:r>
        <w:rPr>
          <w:spacing w:val="-8"/>
        </w:rPr>
        <w:t> </w:t>
      </w:r>
      <w:r>
        <w:rPr/>
        <w:t>use,</w:t>
      </w:r>
      <w:r>
        <w:rPr>
          <w:spacing w:val="-7"/>
        </w:rPr>
        <w:t> </w:t>
      </w:r>
      <w:r>
        <w:rPr/>
        <w:t>we</w:t>
      </w:r>
      <w:r>
        <w:rPr>
          <w:spacing w:val="-6"/>
        </w:rPr>
        <w:t> </w:t>
      </w:r>
      <w:r>
        <w:rPr/>
        <w:t>question</w:t>
      </w:r>
      <w:r>
        <w:rPr>
          <w:spacing w:val="-7"/>
        </w:rPr>
        <w:t> </w:t>
      </w:r>
      <w:r>
        <w:rPr/>
        <w:t>that</w:t>
      </w:r>
      <w:r>
        <w:rPr>
          <w:spacing w:val="-8"/>
        </w:rPr>
        <w:t> </w:t>
      </w:r>
      <w:r>
        <w:rPr/>
        <w:t>it</w:t>
      </w:r>
      <w:r>
        <w:rPr>
          <w:spacing w:val="-8"/>
        </w:rPr>
        <w:t> </w:t>
      </w:r>
      <w:r>
        <w:rPr/>
        <w:t>is</w:t>
      </w:r>
      <w:r>
        <w:rPr>
          <w:spacing w:val="-8"/>
        </w:rPr>
        <w:t> </w:t>
      </w:r>
      <w:r>
        <w:rPr/>
        <w:t>sufficient</w:t>
      </w:r>
      <w:r>
        <w:rPr>
          <w:spacing w:val="-8"/>
        </w:rPr>
        <w:t> </w:t>
      </w:r>
      <w:r>
        <w:rPr/>
        <w:t>to</w:t>
      </w:r>
      <w:r>
        <w:rPr>
          <w:spacing w:val="-7"/>
        </w:rPr>
        <w:t> </w:t>
      </w:r>
      <w:r>
        <w:rPr/>
        <w:t>warrant</w:t>
      </w:r>
      <w:r>
        <w:rPr>
          <w:spacing w:val="-8"/>
        </w:rPr>
        <w:t> </w:t>
      </w:r>
      <w:r>
        <w:rPr/>
        <w:t>a</w:t>
      </w:r>
      <w:r>
        <w:rPr>
          <w:spacing w:val="-6"/>
        </w:rPr>
        <w:t> </w:t>
      </w:r>
      <w:r>
        <w:rPr/>
        <w:t>10-percentage point</w:t>
      </w:r>
      <w:r>
        <w:rPr>
          <w:spacing w:val="-19"/>
        </w:rPr>
        <w:t> </w:t>
      </w:r>
      <w:r>
        <w:rPr/>
        <w:t>increase</w:t>
      </w:r>
      <w:r>
        <w:rPr>
          <w:spacing w:val="-18"/>
        </w:rPr>
        <w:t> </w:t>
      </w:r>
      <w:r>
        <w:rPr/>
        <w:t>in</w:t>
      </w:r>
      <w:r>
        <w:rPr>
          <w:spacing w:val="-19"/>
        </w:rPr>
        <w:t> </w:t>
      </w:r>
      <w:r>
        <w:rPr/>
        <w:t>the</w:t>
      </w:r>
      <w:r>
        <w:rPr>
          <w:spacing w:val="-20"/>
        </w:rPr>
        <w:t> </w:t>
      </w:r>
      <w:r>
        <w:rPr/>
        <w:t>EDPS-based</w:t>
      </w:r>
      <w:r>
        <w:rPr>
          <w:spacing w:val="-19"/>
        </w:rPr>
        <w:t> </w:t>
      </w:r>
      <w:r>
        <w:rPr/>
        <w:t>portion</w:t>
      </w:r>
      <w:r>
        <w:rPr>
          <w:spacing w:val="-19"/>
        </w:rPr>
        <w:t> </w:t>
      </w:r>
      <w:r>
        <w:rPr/>
        <w:t>of</w:t>
      </w:r>
      <w:r>
        <w:rPr>
          <w:spacing w:val="-20"/>
        </w:rPr>
        <w:t> </w:t>
      </w:r>
      <w:r>
        <w:rPr/>
        <w:t>beneficiary</w:t>
      </w:r>
      <w:r>
        <w:rPr>
          <w:spacing w:val="-18"/>
        </w:rPr>
        <w:t> </w:t>
      </w:r>
      <w:r>
        <w:rPr/>
        <w:t>risk</w:t>
      </w:r>
      <w:r>
        <w:rPr>
          <w:spacing w:val="-19"/>
        </w:rPr>
        <w:t> </w:t>
      </w:r>
      <w:r>
        <w:rPr/>
        <w:t>scores.</w:t>
      </w:r>
      <w:r>
        <w:rPr>
          <w:spacing w:val="-19"/>
        </w:rPr>
        <w:t> </w:t>
      </w:r>
      <w:r>
        <w:rPr/>
        <w:t>The</w:t>
      </w:r>
      <w:r>
        <w:rPr>
          <w:spacing w:val="-18"/>
        </w:rPr>
        <w:t> </w:t>
      </w:r>
      <w:r>
        <w:rPr/>
        <w:t>fact</w:t>
      </w:r>
      <w:r>
        <w:rPr>
          <w:spacing w:val="-19"/>
        </w:rPr>
        <w:t> </w:t>
      </w:r>
      <w:r>
        <w:rPr/>
        <w:t>that</w:t>
      </w:r>
      <w:r>
        <w:rPr>
          <w:spacing w:val="-19"/>
        </w:rPr>
        <w:t> </w:t>
      </w:r>
      <w:r>
        <w:rPr/>
        <w:t>CMS</w:t>
      </w:r>
      <w:r>
        <w:rPr>
          <w:spacing w:val="-19"/>
        </w:rPr>
        <w:t> </w:t>
      </w:r>
      <w:r>
        <w:rPr/>
        <w:t>proposed supplementing encounter data with inpatient diagnoses obtained from RAPS data underscores our concerns about the overall completeness of encounter</w:t>
      </w:r>
      <w:r>
        <w:rPr>
          <w:spacing w:val="-37"/>
        </w:rPr>
        <w:t> </w:t>
      </w:r>
      <w:r>
        <w:rPr/>
        <w:t>data.</w:t>
      </w:r>
    </w:p>
    <w:p>
      <w:pPr>
        <w:pStyle w:val="BodyText"/>
        <w:spacing w:before="9"/>
        <w:rPr>
          <w:sz w:val="25"/>
        </w:rPr>
      </w:pPr>
    </w:p>
    <w:p>
      <w:pPr>
        <w:pStyle w:val="BodyText"/>
        <w:spacing w:line="259" w:lineRule="auto"/>
        <w:ind w:left="640" w:right="115"/>
        <w:jc w:val="both"/>
      </w:pPr>
      <w:r>
        <w:rPr/>
        <w:t>Given</w:t>
      </w:r>
      <w:r>
        <w:rPr>
          <w:spacing w:val="-14"/>
        </w:rPr>
        <w:t> </w:t>
      </w:r>
      <w:r>
        <w:rPr/>
        <w:t>the</w:t>
      </w:r>
      <w:r>
        <w:rPr>
          <w:spacing w:val="-13"/>
        </w:rPr>
        <w:t> </w:t>
      </w:r>
      <w:r>
        <w:rPr/>
        <w:t>other</w:t>
      </w:r>
      <w:r>
        <w:rPr>
          <w:spacing w:val="-15"/>
        </w:rPr>
        <w:t> </w:t>
      </w:r>
      <w:r>
        <w:rPr/>
        <w:t>risk</w:t>
      </w:r>
      <w:r>
        <w:rPr>
          <w:spacing w:val="-14"/>
        </w:rPr>
        <w:t> </w:t>
      </w:r>
      <w:r>
        <w:rPr/>
        <w:t>adjustment</w:t>
      </w:r>
      <w:r>
        <w:rPr>
          <w:spacing w:val="-14"/>
        </w:rPr>
        <w:t> </w:t>
      </w:r>
      <w:r>
        <w:rPr/>
        <w:t>model</w:t>
      </w:r>
      <w:r>
        <w:rPr>
          <w:spacing w:val="-14"/>
        </w:rPr>
        <w:t> </w:t>
      </w:r>
      <w:r>
        <w:rPr/>
        <w:t>proposed</w:t>
      </w:r>
      <w:r>
        <w:rPr>
          <w:spacing w:val="-14"/>
        </w:rPr>
        <w:t> </w:t>
      </w:r>
      <w:r>
        <w:rPr/>
        <w:t>changes,</w:t>
      </w:r>
      <w:r>
        <w:rPr>
          <w:spacing w:val="-14"/>
        </w:rPr>
        <w:t> </w:t>
      </w:r>
      <w:r>
        <w:rPr/>
        <w:t>along</w:t>
      </w:r>
      <w:r>
        <w:rPr>
          <w:spacing w:val="-14"/>
        </w:rPr>
        <w:t> </w:t>
      </w:r>
      <w:r>
        <w:rPr/>
        <w:t>with</w:t>
      </w:r>
      <w:r>
        <w:rPr>
          <w:spacing w:val="-14"/>
        </w:rPr>
        <w:t> </w:t>
      </w:r>
      <w:r>
        <w:rPr/>
        <w:t>the</w:t>
      </w:r>
      <w:r>
        <w:rPr>
          <w:spacing w:val="-13"/>
        </w:rPr>
        <w:t> </w:t>
      </w:r>
      <w:r>
        <w:rPr/>
        <w:t>demonstrated</w:t>
      </w:r>
      <w:r>
        <w:rPr>
          <w:spacing w:val="-14"/>
        </w:rPr>
        <w:t> </w:t>
      </w:r>
      <w:r>
        <w:rPr/>
        <w:t>negative impact</w:t>
      </w:r>
      <w:r>
        <w:rPr>
          <w:spacing w:val="-11"/>
        </w:rPr>
        <w:t> </w:t>
      </w:r>
      <w:r>
        <w:rPr/>
        <w:t>that</w:t>
      </w:r>
      <w:r>
        <w:rPr>
          <w:spacing w:val="-11"/>
        </w:rPr>
        <w:t> </w:t>
      </w:r>
      <w:r>
        <w:rPr/>
        <w:t>EDPS</w:t>
      </w:r>
      <w:r>
        <w:rPr>
          <w:spacing w:val="-10"/>
        </w:rPr>
        <w:t> </w:t>
      </w:r>
      <w:r>
        <w:rPr/>
        <w:t>has</w:t>
      </w:r>
      <w:r>
        <w:rPr>
          <w:spacing w:val="-12"/>
        </w:rPr>
        <w:t> </w:t>
      </w:r>
      <w:r>
        <w:rPr/>
        <w:t>on</w:t>
      </w:r>
      <w:r>
        <w:rPr>
          <w:spacing w:val="-6"/>
        </w:rPr>
        <w:t> </w:t>
      </w:r>
      <w:r>
        <w:rPr/>
        <w:t>risk</w:t>
      </w:r>
      <w:r>
        <w:rPr>
          <w:spacing w:val="-8"/>
        </w:rPr>
        <w:t> </w:t>
      </w:r>
      <w:r>
        <w:rPr/>
        <w:t>scores</w:t>
      </w:r>
      <w:r>
        <w:rPr>
          <w:spacing w:val="-12"/>
        </w:rPr>
        <w:t> </w:t>
      </w:r>
      <w:r>
        <w:rPr/>
        <w:t>and</w:t>
      </w:r>
      <w:r>
        <w:rPr>
          <w:spacing w:val="-11"/>
        </w:rPr>
        <w:t> </w:t>
      </w:r>
      <w:r>
        <w:rPr/>
        <w:t>payments,</w:t>
      </w:r>
      <w:r>
        <w:rPr>
          <w:spacing w:val="-8"/>
        </w:rPr>
        <w:t> </w:t>
      </w:r>
      <w:r>
        <w:rPr/>
        <w:t>we</w:t>
      </w:r>
      <w:r>
        <w:rPr>
          <w:spacing w:val="-10"/>
        </w:rPr>
        <w:t> </w:t>
      </w:r>
      <w:r>
        <w:rPr/>
        <w:t>reiterate</w:t>
      </w:r>
      <w:r>
        <w:rPr>
          <w:spacing w:val="-10"/>
        </w:rPr>
        <w:t> </w:t>
      </w:r>
      <w:r>
        <w:rPr/>
        <w:t>our</w:t>
      </w:r>
      <w:r>
        <w:rPr>
          <w:spacing w:val="-12"/>
        </w:rPr>
        <w:t> </w:t>
      </w:r>
      <w:r>
        <w:rPr/>
        <w:t>recommendation</w:t>
      </w:r>
      <w:r>
        <w:rPr>
          <w:spacing w:val="-11"/>
        </w:rPr>
        <w:t> </w:t>
      </w:r>
      <w:r>
        <w:rPr/>
        <w:t>that</w:t>
      </w:r>
      <w:r>
        <w:rPr>
          <w:spacing w:val="-11"/>
        </w:rPr>
        <w:t> </w:t>
      </w:r>
      <w:r>
        <w:rPr/>
        <w:t>CMS hold the 2018 EDPS and risk adjustment payment system (RAPS) blend percentages constant indefinitely. CMS also should develop a uniform industry-wide adjustment – applied retrospectively to years 2016 to 2018 and then prospectively – to offset the inappropriately reduced MA payments that result from the use of encounter</w:t>
      </w:r>
      <w:r>
        <w:rPr>
          <w:spacing w:val="-31"/>
        </w:rPr>
        <w:t> </w:t>
      </w:r>
      <w:r>
        <w:rPr/>
        <w:t>data.</w:t>
      </w:r>
    </w:p>
    <w:p>
      <w:pPr>
        <w:spacing w:after="0" w:line="259" w:lineRule="auto"/>
        <w:jc w:val="both"/>
        <w:sectPr>
          <w:pgSz w:w="12240" w:h="15840"/>
          <w:pgMar w:header="0" w:footer="705" w:top="640" w:bottom="920" w:left="1340" w:right="1320"/>
        </w:sectPr>
      </w:pPr>
    </w:p>
    <w:p>
      <w:pPr>
        <w:spacing w:before="90"/>
        <w:ind w:left="3501" w:right="0" w:firstLine="0"/>
        <w:jc w:val="left"/>
        <w:rPr>
          <w:b/>
          <w:sz w:val="19"/>
        </w:rPr>
      </w:pPr>
      <w:r>
        <w:rPr>
          <w:b/>
          <w:sz w:val="24"/>
          <w:u w:val="single"/>
        </w:rPr>
        <w:t>D</w:t>
      </w:r>
      <w:r>
        <w:rPr>
          <w:b/>
          <w:sz w:val="19"/>
          <w:u w:val="single"/>
        </w:rPr>
        <w:t>RAFT </w:t>
      </w:r>
      <w:r>
        <w:rPr>
          <w:b/>
          <w:sz w:val="24"/>
          <w:u w:val="single"/>
        </w:rPr>
        <w:t>C</w:t>
      </w:r>
      <w:r>
        <w:rPr>
          <w:b/>
          <w:sz w:val="19"/>
          <w:u w:val="single"/>
        </w:rPr>
        <w:t>ALL </w:t>
      </w:r>
      <w:r>
        <w:rPr>
          <w:b/>
          <w:sz w:val="24"/>
          <w:u w:val="single"/>
        </w:rPr>
        <w:t>L</w:t>
      </w:r>
      <w:r>
        <w:rPr>
          <w:b/>
          <w:sz w:val="19"/>
          <w:u w:val="single"/>
        </w:rPr>
        <w:t>ETTER </w:t>
      </w:r>
      <w:r>
        <w:rPr>
          <w:b/>
          <w:sz w:val="24"/>
          <w:u w:val="single"/>
        </w:rPr>
        <w:t>P</w:t>
      </w:r>
      <w:r>
        <w:rPr>
          <w:b/>
          <w:sz w:val="19"/>
          <w:u w:val="single"/>
        </w:rPr>
        <w:t>ROPOSALS</w:t>
      </w:r>
    </w:p>
    <w:p>
      <w:pPr>
        <w:pStyle w:val="BodyText"/>
        <w:spacing w:before="10"/>
        <w:rPr>
          <w:b/>
          <w:sz w:val="18"/>
        </w:rPr>
      </w:pPr>
    </w:p>
    <w:p>
      <w:pPr>
        <w:pStyle w:val="Heading1"/>
        <w:numPr>
          <w:ilvl w:val="0"/>
          <w:numId w:val="5"/>
        </w:numPr>
        <w:tabs>
          <w:tab w:pos="840" w:val="left" w:leader="none"/>
        </w:tabs>
        <w:spacing w:line="240" w:lineRule="auto" w:before="100" w:after="0"/>
        <w:ind w:left="840" w:right="0" w:hanging="720"/>
        <w:jc w:val="both"/>
      </w:pPr>
      <w:r>
        <w:rPr/>
        <w:t>Medicare Advantage Uniformity</w:t>
      </w:r>
      <w:r>
        <w:rPr>
          <w:spacing w:val="-21"/>
        </w:rPr>
        <w:t> </w:t>
      </w:r>
      <w:r>
        <w:rPr/>
        <w:t>Flexibility</w:t>
      </w:r>
    </w:p>
    <w:p>
      <w:pPr>
        <w:pStyle w:val="BodyText"/>
        <w:spacing w:before="8"/>
        <w:rPr>
          <w:b/>
          <w:sz w:val="27"/>
        </w:rPr>
      </w:pPr>
    </w:p>
    <w:p>
      <w:pPr>
        <w:pStyle w:val="BodyText"/>
        <w:spacing w:line="259" w:lineRule="auto"/>
        <w:ind w:left="119" w:right="114"/>
        <w:jc w:val="both"/>
      </w:pPr>
      <w:r>
        <w:rPr/>
        <w:t>In</w:t>
      </w:r>
      <w:r>
        <w:rPr>
          <w:spacing w:val="-6"/>
        </w:rPr>
        <w:t> </w:t>
      </w:r>
      <w:r>
        <w:rPr/>
        <w:t>the</w:t>
      </w:r>
      <w:r>
        <w:rPr>
          <w:spacing w:val="-6"/>
        </w:rPr>
        <w:t> </w:t>
      </w:r>
      <w:r>
        <w:rPr/>
        <w:t>November</w:t>
      </w:r>
      <w:r>
        <w:rPr>
          <w:spacing w:val="-7"/>
        </w:rPr>
        <w:t> </w:t>
      </w:r>
      <w:r>
        <w:rPr/>
        <w:t>2017</w:t>
      </w:r>
      <w:r>
        <w:rPr>
          <w:spacing w:val="-6"/>
        </w:rPr>
        <w:t> </w:t>
      </w:r>
      <w:r>
        <w:rPr/>
        <w:t>MA</w:t>
      </w:r>
      <w:r>
        <w:rPr>
          <w:spacing w:val="-6"/>
        </w:rPr>
        <w:t> </w:t>
      </w:r>
      <w:r>
        <w:rPr/>
        <w:t>proposed</w:t>
      </w:r>
      <w:r>
        <w:rPr>
          <w:spacing w:val="-6"/>
        </w:rPr>
        <w:t> </w:t>
      </w:r>
      <w:r>
        <w:rPr/>
        <w:t>rule</w:t>
      </w:r>
      <w:r>
        <w:rPr>
          <w:spacing w:val="-6"/>
        </w:rPr>
        <w:t> </w:t>
      </w:r>
      <w:r>
        <w:rPr/>
        <w:t>(MA</w:t>
      </w:r>
      <w:r>
        <w:rPr>
          <w:spacing w:val="-6"/>
        </w:rPr>
        <w:t> </w:t>
      </w:r>
      <w:r>
        <w:rPr/>
        <w:t>proposed</w:t>
      </w:r>
      <w:r>
        <w:rPr>
          <w:spacing w:val="-6"/>
        </w:rPr>
        <w:t> </w:t>
      </w:r>
      <w:r>
        <w:rPr/>
        <w:t>rule),</w:t>
      </w:r>
      <w:r>
        <w:rPr>
          <w:spacing w:val="-6"/>
        </w:rPr>
        <w:t> </w:t>
      </w:r>
      <w:r>
        <w:rPr/>
        <w:t>CMS</w:t>
      </w:r>
      <w:r>
        <w:rPr>
          <w:spacing w:val="-6"/>
        </w:rPr>
        <w:t> </w:t>
      </w:r>
      <w:r>
        <w:rPr/>
        <w:t>described</w:t>
      </w:r>
      <w:r>
        <w:rPr>
          <w:spacing w:val="-6"/>
        </w:rPr>
        <w:t> </w:t>
      </w:r>
      <w:r>
        <w:rPr/>
        <w:t>its</w:t>
      </w:r>
      <w:r>
        <w:rPr>
          <w:spacing w:val="-7"/>
        </w:rPr>
        <w:t> </w:t>
      </w:r>
      <w:r>
        <w:rPr/>
        <w:t>determination</w:t>
      </w:r>
      <w:r>
        <w:rPr>
          <w:spacing w:val="-6"/>
        </w:rPr>
        <w:t> </w:t>
      </w:r>
      <w:r>
        <w:rPr/>
        <w:t>that providing access to services tied to health status or a disease state coincides with statutory and regulatory benefit uniformity provisions. CMS stated that it was considering issuing guidance for the 2019 contract year clarifying an MA plan’s ability to offer medically vulnerable beneficiaries targeted supplemental</w:t>
      </w:r>
      <w:r>
        <w:rPr>
          <w:spacing w:val="-13"/>
        </w:rPr>
        <w:t> </w:t>
      </w:r>
      <w:r>
        <w:rPr/>
        <w:t>benefits,</w:t>
      </w:r>
      <w:r>
        <w:rPr>
          <w:spacing w:val="-13"/>
        </w:rPr>
        <w:t> </w:t>
      </w:r>
      <w:r>
        <w:rPr/>
        <w:t>provided</w:t>
      </w:r>
      <w:r>
        <w:rPr>
          <w:spacing w:val="-13"/>
        </w:rPr>
        <w:t> </w:t>
      </w:r>
      <w:r>
        <w:rPr/>
        <w:t>the</w:t>
      </w:r>
      <w:r>
        <w:rPr>
          <w:spacing w:val="-12"/>
        </w:rPr>
        <w:t> </w:t>
      </w:r>
      <w:r>
        <w:rPr/>
        <w:t>beneficiaries</w:t>
      </w:r>
      <w:r>
        <w:rPr>
          <w:spacing w:val="-14"/>
        </w:rPr>
        <w:t> </w:t>
      </w:r>
      <w:r>
        <w:rPr/>
        <w:t>meet</w:t>
      </w:r>
      <w:r>
        <w:rPr>
          <w:spacing w:val="-13"/>
        </w:rPr>
        <w:t> </w:t>
      </w:r>
      <w:r>
        <w:rPr/>
        <w:t>specific</w:t>
      </w:r>
      <w:r>
        <w:rPr>
          <w:spacing w:val="-12"/>
        </w:rPr>
        <w:t> </w:t>
      </w:r>
      <w:r>
        <w:rPr/>
        <w:t>medical</w:t>
      </w:r>
      <w:r>
        <w:rPr>
          <w:spacing w:val="-15"/>
        </w:rPr>
        <w:t> </w:t>
      </w:r>
      <w:r>
        <w:rPr/>
        <w:t>criteria</w:t>
      </w:r>
      <w:r>
        <w:rPr>
          <w:spacing w:val="-12"/>
        </w:rPr>
        <w:t> </w:t>
      </w:r>
      <w:r>
        <w:rPr/>
        <w:t>and</w:t>
      </w:r>
      <w:r>
        <w:rPr>
          <w:spacing w:val="-13"/>
        </w:rPr>
        <w:t> </w:t>
      </w:r>
      <w:r>
        <w:rPr/>
        <w:t>the</w:t>
      </w:r>
      <w:r>
        <w:rPr>
          <w:spacing w:val="-12"/>
        </w:rPr>
        <w:t> </w:t>
      </w:r>
      <w:r>
        <w:rPr/>
        <w:t>MA</w:t>
      </w:r>
      <w:r>
        <w:rPr>
          <w:spacing w:val="-12"/>
        </w:rPr>
        <w:t> </w:t>
      </w:r>
      <w:r>
        <w:rPr/>
        <w:t>plan</w:t>
      </w:r>
      <w:r>
        <w:rPr>
          <w:spacing w:val="-13"/>
        </w:rPr>
        <w:t> </w:t>
      </w:r>
      <w:r>
        <w:rPr/>
        <w:t>treats all similarly situated beneficiaries in the same manner. The 2019 draft Call Letter reiterates the policy presented in the MA proposed rule and states CMS’s intent to establish a mailbox following issuance of the Final Call Letter, such that MA plans can pose questions regarding the design and offering of targeted supplemental</w:t>
      </w:r>
      <w:r>
        <w:rPr>
          <w:spacing w:val="-18"/>
        </w:rPr>
        <w:t> </w:t>
      </w:r>
      <w:r>
        <w:rPr/>
        <w:t>benefits.</w:t>
      </w:r>
    </w:p>
    <w:p>
      <w:pPr>
        <w:pStyle w:val="BodyText"/>
        <w:spacing w:before="9"/>
        <w:rPr>
          <w:sz w:val="25"/>
        </w:rPr>
      </w:pPr>
    </w:p>
    <w:p>
      <w:pPr>
        <w:pStyle w:val="Heading1"/>
        <w:ind w:left="3299" w:right="3300"/>
      </w:pPr>
      <w:r>
        <w:rPr/>
        <w:t>Comment/Recommendation</w:t>
      </w:r>
    </w:p>
    <w:p>
      <w:pPr>
        <w:pStyle w:val="BodyText"/>
        <w:spacing w:line="259" w:lineRule="auto" w:before="22"/>
        <w:ind w:left="119" w:right="114"/>
        <w:jc w:val="both"/>
      </w:pPr>
      <w:r>
        <w:rPr/>
        <w:t>As stated in our comment letter on the MA proposed rule, DaVita agrees that condition-specific benefits, such as additional preventive services and lower cost sharing, hold great promise for improving outcomes and value for beneficiaries and Medicare. We support adoption of Value-Based Insurance Design (VBID) principles under MA; however, implementing a revised uniformity requirement in the upcoming contract year raises important timing and other practical issues. For example, in the press release accompanying the MA proposed rule, CMS stated it would provide operational details of the policy in the call letter. We understand that CMS currently is reviewing comments and finalizing the MA proposed rule, which may have precluded its ability to provide additional information in the draft Call Letter. That said, since the proposed policy departs significantly</w:t>
      </w:r>
      <w:r>
        <w:rPr>
          <w:spacing w:val="-13"/>
        </w:rPr>
        <w:t> </w:t>
      </w:r>
      <w:r>
        <w:rPr/>
        <w:t>from</w:t>
      </w:r>
      <w:r>
        <w:rPr>
          <w:spacing w:val="-14"/>
        </w:rPr>
        <w:t> </w:t>
      </w:r>
      <w:r>
        <w:rPr/>
        <w:t>the</w:t>
      </w:r>
      <w:r>
        <w:rPr>
          <w:spacing w:val="-13"/>
        </w:rPr>
        <w:t> </w:t>
      </w:r>
      <w:r>
        <w:rPr/>
        <w:t>current,</w:t>
      </w:r>
      <w:r>
        <w:rPr>
          <w:spacing w:val="-14"/>
        </w:rPr>
        <w:t> </w:t>
      </w:r>
      <w:r>
        <w:rPr/>
        <w:t>long-standing</w:t>
      </w:r>
      <w:r>
        <w:rPr>
          <w:spacing w:val="-14"/>
        </w:rPr>
        <w:t> </w:t>
      </w:r>
      <w:r>
        <w:rPr/>
        <w:t>interpretation,</w:t>
      </w:r>
      <w:r>
        <w:rPr>
          <w:spacing w:val="-14"/>
        </w:rPr>
        <w:t> </w:t>
      </w:r>
      <w:r>
        <w:rPr/>
        <w:t>we</w:t>
      </w:r>
      <w:r>
        <w:rPr>
          <w:spacing w:val="-16"/>
        </w:rPr>
        <w:t> </w:t>
      </w:r>
      <w:r>
        <w:rPr/>
        <w:t>are</w:t>
      </w:r>
      <w:r>
        <w:rPr>
          <w:spacing w:val="-16"/>
        </w:rPr>
        <w:t> </w:t>
      </w:r>
      <w:r>
        <w:rPr/>
        <w:t>concerned</w:t>
      </w:r>
      <w:r>
        <w:rPr>
          <w:spacing w:val="-16"/>
        </w:rPr>
        <w:t> </w:t>
      </w:r>
      <w:r>
        <w:rPr/>
        <w:t>that</w:t>
      </w:r>
      <w:r>
        <w:rPr>
          <w:spacing w:val="-14"/>
        </w:rPr>
        <w:t> </w:t>
      </w:r>
      <w:r>
        <w:rPr/>
        <w:t>MA</w:t>
      </w:r>
      <w:r>
        <w:rPr>
          <w:spacing w:val="-13"/>
        </w:rPr>
        <w:t> </w:t>
      </w:r>
      <w:r>
        <w:rPr/>
        <w:t>plans</w:t>
      </w:r>
      <w:r>
        <w:rPr>
          <w:spacing w:val="-15"/>
        </w:rPr>
        <w:t> </w:t>
      </w:r>
      <w:r>
        <w:rPr/>
        <w:t>and</w:t>
      </w:r>
      <w:r>
        <w:rPr>
          <w:spacing w:val="-16"/>
        </w:rPr>
        <w:t> </w:t>
      </w:r>
      <w:r>
        <w:rPr/>
        <w:t>other stakeholders will have little opportunity to process the operational guidance prior to its implementation next year. Moreover, it is unclear how the proposed policy interacts with Section 50322</w:t>
      </w:r>
      <w:r>
        <w:rPr>
          <w:spacing w:val="-15"/>
        </w:rPr>
        <w:t> </w:t>
      </w:r>
      <w:r>
        <w:rPr/>
        <w:t>of</w:t>
      </w:r>
      <w:r>
        <w:rPr>
          <w:spacing w:val="-16"/>
        </w:rPr>
        <w:t> </w:t>
      </w:r>
      <w:r>
        <w:rPr/>
        <w:t>the</w:t>
      </w:r>
      <w:r>
        <w:rPr>
          <w:spacing w:val="-15"/>
        </w:rPr>
        <w:t> </w:t>
      </w:r>
      <w:r>
        <w:rPr/>
        <w:t>Bipartisan</w:t>
      </w:r>
      <w:r>
        <w:rPr>
          <w:spacing w:val="-16"/>
        </w:rPr>
        <w:t> </w:t>
      </w:r>
      <w:r>
        <w:rPr/>
        <w:t>Budget</w:t>
      </w:r>
      <w:r>
        <w:rPr>
          <w:spacing w:val="-16"/>
        </w:rPr>
        <w:t> </w:t>
      </w:r>
      <w:r>
        <w:rPr/>
        <w:t>Act</w:t>
      </w:r>
      <w:r>
        <w:rPr>
          <w:spacing w:val="-16"/>
        </w:rPr>
        <w:t> </w:t>
      </w:r>
      <w:r>
        <w:rPr/>
        <w:t>(BBA)</w:t>
      </w:r>
      <w:r>
        <w:rPr>
          <w:spacing w:val="-16"/>
        </w:rPr>
        <w:t> </w:t>
      </w:r>
      <w:r>
        <w:rPr/>
        <w:t>of</w:t>
      </w:r>
      <w:r>
        <w:rPr>
          <w:spacing w:val="-16"/>
        </w:rPr>
        <w:t> </w:t>
      </w:r>
      <w:r>
        <w:rPr/>
        <w:t>2018</w:t>
      </w:r>
      <w:r>
        <w:rPr>
          <w:spacing w:val="-15"/>
        </w:rPr>
        <w:t> </w:t>
      </w:r>
      <w:r>
        <w:rPr/>
        <w:t>(P.L.</w:t>
      </w:r>
      <w:r>
        <w:rPr>
          <w:spacing w:val="-15"/>
        </w:rPr>
        <w:t> </w:t>
      </w:r>
      <w:r>
        <w:rPr/>
        <w:t>115-123),</w:t>
      </w:r>
      <w:r>
        <w:rPr>
          <w:spacing w:val="-15"/>
        </w:rPr>
        <w:t> </w:t>
      </w:r>
      <w:r>
        <w:rPr/>
        <w:t>which</w:t>
      </w:r>
      <w:r>
        <w:rPr>
          <w:spacing w:val="-18"/>
        </w:rPr>
        <w:t> </w:t>
      </w:r>
      <w:r>
        <w:rPr/>
        <w:t>appears</w:t>
      </w:r>
      <w:r>
        <w:rPr>
          <w:spacing w:val="-17"/>
        </w:rPr>
        <w:t> </w:t>
      </w:r>
      <w:r>
        <w:rPr/>
        <w:t>to</w:t>
      </w:r>
      <w:r>
        <w:rPr>
          <w:spacing w:val="-16"/>
        </w:rPr>
        <w:t> </w:t>
      </w:r>
      <w:r>
        <w:rPr/>
        <w:t>establish</w:t>
      </w:r>
      <w:r>
        <w:rPr>
          <w:spacing w:val="-16"/>
        </w:rPr>
        <w:t> </w:t>
      </w:r>
      <w:r>
        <w:rPr/>
        <w:t>authority to</w:t>
      </w:r>
      <w:r>
        <w:rPr>
          <w:spacing w:val="-13"/>
        </w:rPr>
        <w:t> </w:t>
      </w:r>
      <w:r>
        <w:rPr/>
        <w:t>waive</w:t>
      </w:r>
      <w:r>
        <w:rPr>
          <w:spacing w:val="-12"/>
        </w:rPr>
        <w:t> </w:t>
      </w:r>
      <w:r>
        <w:rPr/>
        <w:t>the</w:t>
      </w:r>
      <w:r>
        <w:rPr>
          <w:spacing w:val="-12"/>
        </w:rPr>
        <w:t> </w:t>
      </w:r>
      <w:r>
        <w:rPr/>
        <w:t>uniformity</w:t>
      </w:r>
      <w:r>
        <w:rPr>
          <w:spacing w:val="-12"/>
        </w:rPr>
        <w:t> </w:t>
      </w:r>
      <w:r>
        <w:rPr/>
        <w:t>requirement</w:t>
      </w:r>
      <w:r>
        <w:rPr>
          <w:spacing w:val="-13"/>
        </w:rPr>
        <w:t> </w:t>
      </w:r>
      <w:r>
        <w:rPr/>
        <w:t>when</w:t>
      </w:r>
      <w:r>
        <w:rPr>
          <w:spacing w:val="-13"/>
        </w:rPr>
        <w:t> </w:t>
      </w:r>
      <w:r>
        <w:rPr/>
        <w:t>offering</w:t>
      </w:r>
      <w:r>
        <w:rPr>
          <w:spacing w:val="-13"/>
        </w:rPr>
        <w:t> </w:t>
      </w:r>
      <w:r>
        <w:rPr/>
        <w:t>chronic</w:t>
      </w:r>
      <w:r>
        <w:rPr>
          <w:spacing w:val="-12"/>
        </w:rPr>
        <w:t> </w:t>
      </w:r>
      <w:r>
        <w:rPr/>
        <w:t>condition-tailored</w:t>
      </w:r>
      <w:r>
        <w:rPr>
          <w:spacing w:val="-11"/>
        </w:rPr>
        <w:t> </w:t>
      </w:r>
      <w:r>
        <w:rPr/>
        <w:t>benefits</w:t>
      </w:r>
      <w:r>
        <w:rPr>
          <w:spacing w:val="-14"/>
        </w:rPr>
        <w:t> </w:t>
      </w:r>
      <w:r>
        <w:rPr/>
        <w:t>beginning</w:t>
      </w:r>
      <w:r>
        <w:rPr>
          <w:spacing w:val="-13"/>
        </w:rPr>
        <w:t> </w:t>
      </w:r>
      <w:r>
        <w:rPr/>
        <w:t>with the 2020 plan</w:t>
      </w:r>
      <w:r>
        <w:rPr>
          <w:spacing w:val="-7"/>
        </w:rPr>
        <w:t> </w:t>
      </w:r>
      <w:r>
        <w:rPr/>
        <w:t>year.</w:t>
      </w:r>
    </w:p>
    <w:p>
      <w:pPr>
        <w:pStyle w:val="BodyText"/>
        <w:spacing w:before="10"/>
        <w:rPr>
          <w:sz w:val="25"/>
        </w:rPr>
      </w:pPr>
    </w:p>
    <w:p>
      <w:pPr>
        <w:pStyle w:val="BodyText"/>
        <w:spacing w:line="259" w:lineRule="auto"/>
        <w:ind w:left="119" w:right="115"/>
        <w:jc w:val="both"/>
      </w:pPr>
      <w:r>
        <w:rPr/>
        <w:t>Pending</w:t>
      </w:r>
      <w:r>
        <w:rPr>
          <w:spacing w:val="-3"/>
        </w:rPr>
        <w:t> </w:t>
      </w:r>
      <w:r>
        <w:rPr/>
        <w:t>resolution</w:t>
      </w:r>
      <w:r>
        <w:rPr>
          <w:spacing w:val="-3"/>
        </w:rPr>
        <w:t> </w:t>
      </w:r>
      <w:r>
        <w:rPr/>
        <w:t>of</w:t>
      </w:r>
      <w:r>
        <w:rPr>
          <w:spacing w:val="-4"/>
        </w:rPr>
        <w:t> </w:t>
      </w:r>
      <w:r>
        <w:rPr/>
        <w:t>that</w:t>
      </w:r>
      <w:r>
        <w:rPr>
          <w:spacing w:val="-4"/>
        </w:rPr>
        <w:t> </w:t>
      </w:r>
      <w:r>
        <w:rPr/>
        <w:t>issue,</w:t>
      </w:r>
      <w:r>
        <w:rPr>
          <w:spacing w:val="-3"/>
        </w:rPr>
        <w:t> </w:t>
      </w:r>
      <w:r>
        <w:rPr/>
        <w:t>we</w:t>
      </w:r>
      <w:r>
        <w:rPr>
          <w:spacing w:val="-3"/>
        </w:rPr>
        <w:t> </w:t>
      </w:r>
      <w:r>
        <w:rPr/>
        <w:t>urge</w:t>
      </w:r>
      <w:r>
        <w:rPr>
          <w:spacing w:val="-5"/>
        </w:rPr>
        <w:t> </w:t>
      </w:r>
      <w:r>
        <w:rPr/>
        <w:t>CMS</w:t>
      </w:r>
      <w:r>
        <w:rPr>
          <w:spacing w:val="-3"/>
        </w:rPr>
        <w:t> </w:t>
      </w:r>
      <w:r>
        <w:rPr/>
        <w:t>to</w:t>
      </w:r>
      <w:r>
        <w:rPr>
          <w:spacing w:val="-4"/>
        </w:rPr>
        <w:t> </w:t>
      </w:r>
      <w:r>
        <w:rPr/>
        <w:t>consider</w:t>
      </w:r>
      <w:r>
        <w:rPr>
          <w:spacing w:val="-4"/>
        </w:rPr>
        <w:t> </w:t>
      </w:r>
      <w:r>
        <w:rPr/>
        <w:t>a</w:t>
      </w:r>
      <w:r>
        <w:rPr>
          <w:spacing w:val="-3"/>
        </w:rPr>
        <w:t> </w:t>
      </w:r>
      <w:r>
        <w:rPr/>
        <w:t>measured</w:t>
      </w:r>
      <w:r>
        <w:rPr>
          <w:spacing w:val="-3"/>
        </w:rPr>
        <w:t> </w:t>
      </w:r>
      <w:r>
        <w:rPr/>
        <w:t>approach</w:t>
      </w:r>
      <w:r>
        <w:rPr>
          <w:spacing w:val="-4"/>
        </w:rPr>
        <w:t> </w:t>
      </w:r>
      <w:r>
        <w:rPr/>
        <w:t>in</w:t>
      </w:r>
      <w:r>
        <w:rPr>
          <w:spacing w:val="-4"/>
        </w:rPr>
        <w:t> </w:t>
      </w:r>
      <w:r>
        <w:rPr/>
        <w:t>implementing</w:t>
      </w:r>
      <w:r>
        <w:rPr>
          <w:spacing w:val="-5"/>
        </w:rPr>
        <w:t> </w:t>
      </w:r>
      <w:r>
        <w:rPr/>
        <w:t>the policy</w:t>
      </w:r>
      <w:r>
        <w:rPr>
          <w:spacing w:val="-4"/>
        </w:rPr>
        <w:t> </w:t>
      </w:r>
      <w:r>
        <w:rPr/>
        <w:t>by</w:t>
      </w:r>
      <w:r>
        <w:rPr>
          <w:spacing w:val="-4"/>
        </w:rPr>
        <w:t> </w:t>
      </w:r>
      <w:r>
        <w:rPr/>
        <w:t>setting</w:t>
      </w:r>
      <w:r>
        <w:rPr>
          <w:spacing w:val="-5"/>
        </w:rPr>
        <w:t> </w:t>
      </w:r>
      <w:r>
        <w:rPr/>
        <w:t>initial</w:t>
      </w:r>
      <w:r>
        <w:rPr>
          <w:spacing w:val="-4"/>
        </w:rPr>
        <w:t> </w:t>
      </w:r>
      <w:r>
        <w:rPr/>
        <w:t>limits</w:t>
      </w:r>
      <w:r>
        <w:rPr>
          <w:spacing w:val="-5"/>
        </w:rPr>
        <w:t> </w:t>
      </w:r>
      <w:r>
        <w:rPr/>
        <w:t>on</w:t>
      </w:r>
      <w:r>
        <w:rPr>
          <w:spacing w:val="-4"/>
        </w:rPr>
        <w:t> </w:t>
      </w:r>
      <w:r>
        <w:rPr/>
        <w:t>the</w:t>
      </w:r>
      <w:r>
        <w:rPr>
          <w:spacing w:val="-4"/>
        </w:rPr>
        <w:t> </w:t>
      </w:r>
      <w:r>
        <w:rPr/>
        <w:t>number</w:t>
      </w:r>
      <w:r>
        <w:rPr>
          <w:spacing w:val="-4"/>
        </w:rPr>
        <w:t> </w:t>
      </w:r>
      <w:r>
        <w:rPr/>
        <w:t>of</w:t>
      </w:r>
      <w:r>
        <w:rPr>
          <w:spacing w:val="-4"/>
        </w:rPr>
        <w:t> </w:t>
      </w:r>
      <w:r>
        <w:rPr/>
        <w:t>targeted</w:t>
      </w:r>
      <w:r>
        <w:rPr>
          <w:spacing w:val="-4"/>
        </w:rPr>
        <w:t> </w:t>
      </w:r>
      <w:r>
        <w:rPr/>
        <w:t>conditions</w:t>
      </w:r>
      <w:r>
        <w:rPr>
          <w:spacing w:val="-5"/>
        </w:rPr>
        <w:t> </w:t>
      </w:r>
      <w:r>
        <w:rPr/>
        <w:t>and</w:t>
      </w:r>
      <w:r>
        <w:rPr>
          <w:spacing w:val="-4"/>
        </w:rPr>
        <w:t> </w:t>
      </w:r>
      <w:r>
        <w:rPr/>
        <w:t>tailored</w:t>
      </w:r>
      <w:r>
        <w:rPr>
          <w:spacing w:val="-4"/>
        </w:rPr>
        <w:t> </w:t>
      </w:r>
      <w:r>
        <w:rPr/>
        <w:t>benefit</w:t>
      </w:r>
      <w:r>
        <w:rPr>
          <w:spacing w:val="-4"/>
        </w:rPr>
        <w:t> </w:t>
      </w:r>
      <w:r>
        <w:rPr/>
        <w:t>packages</w:t>
      </w:r>
      <w:r>
        <w:rPr>
          <w:spacing w:val="-5"/>
        </w:rPr>
        <w:t> </w:t>
      </w:r>
      <w:r>
        <w:rPr/>
        <w:t>that an</w:t>
      </w:r>
      <w:r>
        <w:rPr>
          <w:spacing w:val="-6"/>
        </w:rPr>
        <w:t> </w:t>
      </w:r>
      <w:r>
        <w:rPr/>
        <w:t>MA</w:t>
      </w:r>
      <w:r>
        <w:rPr>
          <w:spacing w:val="-5"/>
        </w:rPr>
        <w:t> </w:t>
      </w:r>
      <w:r>
        <w:rPr/>
        <w:t>plan</w:t>
      </w:r>
      <w:r>
        <w:rPr>
          <w:spacing w:val="-6"/>
        </w:rPr>
        <w:t> </w:t>
      </w:r>
      <w:r>
        <w:rPr/>
        <w:t>can</w:t>
      </w:r>
      <w:r>
        <w:rPr>
          <w:spacing w:val="-6"/>
        </w:rPr>
        <w:t> </w:t>
      </w:r>
      <w:r>
        <w:rPr/>
        <w:t>offer.</w:t>
      </w:r>
      <w:r>
        <w:rPr>
          <w:spacing w:val="-6"/>
        </w:rPr>
        <w:t> </w:t>
      </w:r>
      <w:r>
        <w:rPr/>
        <w:t>As</w:t>
      </w:r>
      <w:r>
        <w:rPr>
          <w:spacing w:val="-6"/>
        </w:rPr>
        <w:t> </w:t>
      </w:r>
      <w:r>
        <w:rPr/>
        <w:t>MA</w:t>
      </w:r>
      <w:r>
        <w:rPr>
          <w:spacing w:val="-5"/>
        </w:rPr>
        <w:t> </w:t>
      </w:r>
      <w:r>
        <w:rPr/>
        <w:t>plans</w:t>
      </w:r>
      <w:r>
        <w:rPr>
          <w:spacing w:val="-6"/>
        </w:rPr>
        <w:t> </w:t>
      </w:r>
      <w:r>
        <w:rPr/>
        <w:t>and</w:t>
      </w:r>
      <w:r>
        <w:rPr>
          <w:spacing w:val="-6"/>
        </w:rPr>
        <w:t> </w:t>
      </w:r>
      <w:r>
        <w:rPr/>
        <w:t>CMS</w:t>
      </w:r>
      <w:r>
        <w:rPr>
          <w:spacing w:val="-6"/>
        </w:rPr>
        <w:t> </w:t>
      </w:r>
      <w:r>
        <w:rPr/>
        <w:t>gain</w:t>
      </w:r>
      <w:r>
        <w:rPr>
          <w:spacing w:val="-7"/>
        </w:rPr>
        <w:t> </w:t>
      </w:r>
      <w:r>
        <w:rPr/>
        <w:t>more</w:t>
      </w:r>
      <w:r>
        <w:rPr>
          <w:spacing w:val="-5"/>
        </w:rPr>
        <w:t> </w:t>
      </w:r>
      <w:r>
        <w:rPr/>
        <w:t>experience</w:t>
      </w:r>
      <w:r>
        <w:rPr>
          <w:spacing w:val="-6"/>
        </w:rPr>
        <w:t> </w:t>
      </w:r>
      <w:r>
        <w:rPr/>
        <w:t>with</w:t>
      </w:r>
      <w:r>
        <w:rPr>
          <w:spacing w:val="-6"/>
        </w:rPr>
        <w:t> </w:t>
      </w:r>
      <w:r>
        <w:rPr/>
        <w:t>a</w:t>
      </w:r>
      <w:r>
        <w:rPr>
          <w:spacing w:val="-6"/>
        </w:rPr>
        <w:t> </w:t>
      </w:r>
      <w:r>
        <w:rPr/>
        <w:t>condition-specific</w:t>
      </w:r>
      <w:r>
        <w:rPr>
          <w:spacing w:val="-5"/>
        </w:rPr>
        <w:t> </w:t>
      </w:r>
      <w:r>
        <w:rPr/>
        <w:t>tailored benefits policy, CMS could revisit those limits. In addition, the draft Call Letter reiterates the MA proposed</w:t>
      </w:r>
      <w:r>
        <w:rPr>
          <w:spacing w:val="-15"/>
        </w:rPr>
        <w:t> </w:t>
      </w:r>
      <w:r>
        <w:rPr/>
        <w:t>rule’s</w:t>
      </w:r>
      <w:r>
        <w:rPr>
          <w:spacing w:val="-14"/>
        </w:rPr>
        <w:t> </w:t>
      </w:r>
      <w:r>
        <w:rPr/>
        <w:t>language</w:t>
      </w:r>
      <w:r>
        <w:rPr>
          <w:spacing w:val="-15"/>
        </w:rPr>
        <w:t> </w:t>
      </w:r>
      <w:r>
        <w:rPr/>
        <w:t>that</w:t>
      </w:r>
      <w:r>
        <w:rPr>
          <w:spacing w:val="-16"/>
        </w:rPr>
        <w:t> </w:t>
      </w:r>
      <w:r>
        <w:rPr/>
        <w:t>would</w:t>
      </w:r>
      <w:r>
        <w:rPr>
          <w:spacing w:val="-15"/>
        </w:rPr>
        <w:t> </w:t>
      </w:r>
      <w:r>
        <w:rPr/>
        <w:t>require</w:t>
      </w:r>
      <w:r>
        <w:rPr>
          <w:spacing w:val="-15"/>
        </w:rPr>
        <w:t> </w:t>
      </w:r>
      <w:r>
        <w:rPr/>
        <w:t>MA</w:t>
      </w:r>
      <w:r>
        <w:rPr>
          <w:spacing w:val="-15"/>
        </w:rPr>
        <w:t> </w:t>
      </w:r>
      <w:r>
        <w:rPr/>
        <w:t>plans</w:t>
      </w:r>
      <w:r>
        <w:rPr>
          <w:spacing w:val="-17"/>
        </w:rPr>
        <w:t> </w:t>
      </w:r>
      <w:r>
        <w:rPr/>
        <w:t>to</w:t>
      </w:r>
      <w:r>
        <w:rPr>
          <w:spacing w:val="-13"/>
        </w:rPr>
        <w:t> </w:t>
      </w:r>
      <w:r>
        <w:rPr/>
        <w:t>use</w:t>
      </w:r>
      <w:r>
        <w:rPr>
          <w:spacing w:val="-15"/>
        </w:rPr>
        <w:t> </w:t>
      </w:r>
      <w:r>
        <w:rPr/>
        <w:t>objective</w:t>
      </w:r>
      <w:r>
        <w:rPr>
          <w:spacing w:val="-15"/>
        </w:rPr>
        <w:t> </w:t>
      </w:r>
      <w:r>
        <w:rPr/>
        <w:t>and</w:t>
      </w:r>
      <w:r>
        <w:rPr>
          <w:spacing w:val="-15"/>
        </w:rPr>
        <w:t> </w:t>
      </w:r>
      <w:r>
        <w:rPr/>
        <w:t>measurable</w:t>
      </w:r>
      <w:r>
        <w:rPr>
          <w:spacing w:val="-15"/>
        </w:rPr>
        <w:t> </w:t>
      </w:r>
      <w:r>
        <w:rPr/>
        <w:t>medical</w:t>
      </w:r>
      <w:r>
        <w:rPr>
          <w:spacing w:val="-15"/>
        </w:rPr>
        <w:t> </w:t>
      </w:r>
      <w:r>
        <w:rPr/>
        <w:t>criteria to identify eligible beneficiaries. The operational guidance should clarify the party responsible for establishing the criteria. Initially applying CMS-defined criteria, as done under the MA VBID demonstration, would support consistent and fair practices among all MA plans. At the same time, CMS could expand the conditions for which CMS-criteria currently exist to ensure that MA plans throughout the country can align conditions selected for targeted benefits with the needs of their enrollees.</w:t>
      </w:r>
      <w:r>
        <w:rPr>
          <w:spacing w:val="-3"/>
        </w:rPr>
        <w:t> </w:t>
      </w:r>
      <w:r>
        <w:rPr/>
        <w:t>CMS</w:t>
      </w:r>
      <w:r>
        <w:rPr>
          <w:spacing w:val="-6"/>
        </w:rPr>
        <w:t> </w:t>
      </w:r>
      <w:r>
        <w:rPr/>
        <w:t>could</w:t>
      </w:r>
      <w:r>
        <w:rPr>
          <w:spacing w:val="-3"/>
        </w:rPr>
        <w:t> </w:t>
      </w:r>
      <w:r>
        <w:rPr/>
        <w:t>subsequently</w:t>
      </w:r>
      <w:r>
        <w:rPr>
          <w:spacing w:val="-5"/>
        </w:rPr>
        <w:t> </w:t>
      </w:r>
      <w:r>
        <w:rPr/>
        <w:t>allow</w:t>
      </w:r>
      <w:r>
        <w:rPr>
          <w:spacing w:val="-5"/>
        </w:rPr>
        <w:t> </w:t>
      </w:r>
      <w:r>
        <w:rPr/>
        <w:t>MA</w:t>
      </w:r>
      <w:r>
        <w:rPr>
          <w:spacing w:val="-3"/>
        </w:rPr>
        <w:t> </w:t>
      </w:r>
      <w:r>
        <w:rPr/>
        <w:t>plans</w:t>
      </w:r>
      <w:r>
        <w:rPr>
          <w:spacing w:val="-5"/>
        </w:rPr>
        <w:t> </w:t>
      </w:r>
      <w:r>
        <w:rPr/>
        <w:t>to</w:t>
      </w:r>
      <w:r>
        <w:rPr>
          <w:spacing w:val="-4"/>
        </w:rPr>
        <w:t> </w:t>
      </w:r>
      <w:r>
        <w:rPr/>
        <w:t>develop</w:t>
      </w:r>
      <w:r>
        <w:rPr>
          <w:spacing w:val="-6"/>
        </w:rPr>
        <w:t> </w:t>
      </w:r>
      <w:r>
        <w:rPr/>
        <w:t>and</w:t>
      </w:r>
      <w:r>
        <w:rPr>
          <w:spacing w:val="-6"/>
        </w:rPr>
        <w:t> </w:t>
      </w:r>
      <w:r>
        <w:rPr/>
        <w:t>apply</w:t>
      </w:r>
      <w:r>
        <w:rPr>
          <w:spacing w:val="-5"/>
        </w:rPr>
        <w:t> </w:t>
      </w:r>
      <w:r>
        <w:rPr/>
        <w:t>their</w:t>
      </w:r>
      <w:r>
        <w:rPr>
          <w:spacing w:val="-7"/>
        </w:rPr>
        <w:t> </w:t>
      </w:r>
      <w:r>
        <w:rPr/>
        <w:t>own</w:t>
      </w:r>
      <w:r>
        <w:rPr>
          <w:spacing w:val="-4"/>
        </w:rPr>
        <w:t> </w:t>
      </w:r>
      <w:r>
        <w:rPr/>
        <w:t>criteria</w:t>
      </w:r>
      <w:r>
        <w:rPr>
          <w:spacing w:val="-5"/>
        </w:rPr>
        <w:t> </w:t>
      </w:r>
      <w:r>
        <w:rPr/>
        <w:t>and</w:t>
      </w:r>
      <w:r>
        <w:rPr>
          <w:spacing w:val="-3"/>
        </w:rPr>
        <w:t> </w:t>
      </w:r>
      <w:r>
        <w:rPr/>
        <w:t>select other</w:t>
      </w:r>
      <w:r>
        <w:rPr>
          <w:spacing w:val="-15"/>
        </w:rPr>
        <w:t> </w:t>
      </w:r>
      <w:r>
        <w:rPr/>
        <w:t>conditions</w:t>
      </w:r>
      <w:r>
        <w:rPr>
          <w:spacing w:val="-15"/>
        </w:rPr>
        <w:t> </w:t>
      </w:r>
      <w:r>
        <w:rPr/>
        <w:t>to</w:t>
      </w:r>
      <w:r>
        <w:rPr>
          <w:spacing w:val="-14"/>
        </w:rPr>
        <w:t> </w:t>
      </w:r>
      <w:r>
        <w:rPr/>
        <w:t>target.</w:t>
      </w:r>
      <w:r>
        <w:rPr>
          <w:spacing w:val="-16"/>
        </w:rPr>
        <w:t> </w:t>
      </w:r>
      <w:r>
        <w:rPr/>
        <w:t>Any</w:t>
      </w:r>
      <w:r>
        <w:rPr>
          <w:spacing w:val="-13"/>
        </w:rPr>
        <w:t> </w:t>
      </w:r>
      <w:r>
        <w:rPr/>
        <w:t>plan-developed</w:t>
      </w:r>
      <w:r>
        <w:rPr>
          <w:spacing w:val="-16"/>
        </w:rPr>
        <w:t> </w:t>
      </w:r>
      <w:r>
        <w:rPr/>
        <w:t>criteria</w:t>
      </w:r>
      <w:r>
        <w:rPr>
          <w:spacing w:val="-13"/>
        </w:rPr>
        <w:t> </w:t>
      </w:r>
      <w:r>
        <w:rPr/>
        <w:t>applied</w:t>
      </w:r>
      <w:r>
        <w:rPr>
          <w:spacing w:val="-14"/>
        </w:rPr>
        <w:t> </w:t>
      </w:r>
      <w:r>
        <w:rPr/>
        <w:t>under</w:t>
      </w:r>
      <w:r>
        <w:rPr>
          <w:spacing w:val="-17"/>
        </w:rPr>
        <w:t> </w:t>
      </w:r>
      <w:r>
        <w:rPr/>
        <w:t>a</w:t>
      </w:r>
      <w:r>
        <w:rPr>
          <w:spacing w:val="-13"/>
        </w:rPr>
        <w:t> </w:t>
      </w:r>
      <w:r>
        <w:rPr/>
        <w:t>revised</w:t>
      </w:r>
      <w:r>
        <w:rPr>
          <w:spacing w:val="-16"/>
        </w:rPr>
        <w:t> </w:t>
      </w:r>
      <w:r>
        <w:rPr/>
        <w:t>uniformity</w:t>
      </w:r>
      <w:r>
        <w:rPr>
          <w:spacing w:val="-13"/>
        </w:rPr>
        <w:t> </w:t>
      </w:r>
      <w:r>
        <w:rPr/>
        <w:t>requirement also must comply with clear CMS guidelines on acceptable data</w:t>
      </w:r>
      <w:r>
        <w:rPr>
          <w:spacing w:val="-34"/>
        </w:rPr>
        <w:t> </w:t>
      </w:r>
      <w:r>
        <w:rPr/>
        <w:t>sources.</w:t>
      </w:r>
    </w:p>
    <w:p>
      <w:pPr>
        <w:pStyle w:val="BodyText"/>
        <w:spacing w:before="10"/>
        <w:rPr>
          <w:sz w:val="25"/>
        </w:rPr>
      </w:pPr>
    </w:p>
    <w:p>
      <w:pPr>
        <w:pStyle w:val="BodyText"/>
        <w:spacing w:line="259" w:lineRule="auto"/>
        <w:ind w:left="119" w:right="114"/>
        <w:jc w:val="both"/>
      </w:pPr>
      <w:r>
        <w:rPr/>
        <w:t>In addition, CMS should consider the interactions between a revised uniformity policy and other proposals, such as those to allow variations in benefits by service area segments and eliminate the</w:t>
      </w:r>
    </w:p>
    <w:p>
      <w:pPr>
        <w:spacing w:after="0" w:line="259" w:lineRule="auto"/>
        <w:jc w:val="both"/>
        <w:sectPr>
          <w:pgSz w:w="12240" w:h="15840"/>
          <w:pgMar w:header="0" w:footer="705" w:top="920" w:bottom="920" w:left="1320" w:right="1320"/>
        </w:sectPr>
      </w:pPr>
    </w:p>
    <w:p>
      <w:pPr>
        <w:pStyle w:val="BodyText"/>
        <w:spacing w:line="259" w:lineRule="auto" w:before="79"/>
        <w:ind w:left="119" w:right="114"/>
        <w:jc w:val="both"/>
      </w:pPr>
      <w:r>
        <w:rPr/>
        <w:t>meaningful difference standard. Although CMS does not expect a significant increase in the number of MA plans should it finalize the policies, MA plan designs will undoubtedly become more complex through their combined effect. As a result, along with current protocols, such as attestation requirements and in-depth benefits’ reviews, the operational guidance must clearly delineate CMS’s strategies to ensure that MA plans do not use network designs and other plan features to introduce subtle forms of discrimination.</w:t>
      </w:r>
    </w:p>
    <w:p>
      <w:pPr>
        <w:pStyle w:val="BodyText"/>
        <w:spacing w:before="9"/>
        <w:rPr>
          <w:sz w:val="25"/>
        </w:rPr>
      </w:pPr>
    </w:p>
    <w:p>
      <w:pPr>
        <w:pStyle w:val="BodyText"/>
        <w:spacing w:line="259" w:lineRule="auto"/>
        <w:ind w:left="119" w:right="114"/>
        <w:jc w:val="both"/>
      </w:pPr>
      <w:r>
        <w:rPr/>
        <w:t>For example, as CMS knows well, MA plans in recent years have been narrowing their provider networks, which, by undermining long-standing provider relationships, can be problematic for beneficiaries with a chronic illness. DaVita welcomes CMS’s recently announced plans to conduct triennial</w:t>
      </w:r>
      <w:r>
        <w:rPr>
          <w:spacing w:val="-15"/>
        </w:rPr>
        <w:t> </w:t>
      </w:r>
      <w:r>
        <w:rPr/>
        <w:t>network</w:t>
      </w:r>
      <w:r>
        <w:rPr>
          <w:spacing w:val="-15"/>
        </w:rPr>
        <w:t> </w:t>
      </w:r>
      <w:r>
        <w:rPr/>
        <w:t>reviews</w:t>
      </w:r>
      <w:r>
        <w:rPr>
          <w:spacing w:val="-19"/>
        </w:rPr>
        <w:t> </w:t>
      </w:r>
      <w:r>
        <w:rPr/>
        <w:t>and</w:t>
      </w:r>
      <w:r>
        <w:rPr>
          <w:spacing w:val="-15"/>
        </w:rPr>
        <w:t> </w:t>
      </w:r>
      <w:r>
        <w:rPr/>
        <w:t>is</w:t>
      </w:r>
      <w:r>
        <w:rPr>
          <w:spacing w:val="-17"/>
        </w:rPr>
        <w:t> </w:t>
      </w:r>
      <w:r>
        <w:rPr/>
        <w:t>hopeful</w:t>
      </w:r>
      <w:r>
        <w:rPr>
          <w:spacing w:val="-15"/>
        </w:rPr>
        <w:t> </w:t>
      </w:r>
      <w:r>
        <w:rPr/>
        <w:t>the</w:t>
      </w:r>
      <w:r>
        <w:rPr>
          <w:spacing w:val="-15"/>
        </w:rPr>
        <w:t> </w:t>
      </w:r>
      <w:r>
        <w:rPr/>
        <w:t>process</w:t>
      </w:r>
      <w:r>
        <w:rPr>
          <w:spacing w:val="-14"/>
        </w:rPr>
        <w:t> </w:t>
      </w:r>
      <w:r>
        <w:rPr/>
        <w:t>will</w:t>
      </w:r>
      <w:r>
        <w:rPr>
          <w:spacing w:val="-15"/>
        </w:rPr>
        <w:t> </w:t>
      </w:r>
      <w:r>
        <w:rPr/>
        <w:t>spur</w:t>
      </w:r>
      <w:r>
        <w:rPr>
          <w:spacing w:val="-16"/>
        </w:rPr>
        <w:t> </w:t>
      </w:r>
      <w:r>
        <w:rPr/>
        <w:t>MA</w:t>
      </w:r>
      <w:r>
        <w:rPr>
          <w:spacing w:val="-15"/>
        </w:rPr>
        <w:t> </w:t>
      </w:r>
      <w:r>
        <w:rPr/>
        <w:t>organizations</w:t>
      </w:r>
      <w:r>
        <w:rPr>
          <w:spacing w:val="-17"/>
        </w:rPr>
        <w:t> </w:t>
      </w:r>
      <w:r>
        <w:rPr/>
        <w:t>to</w:t>
      </w:r>
      <w:r>
        <w:rPr>
          <w:spacing w:val="-16"/>
        </w:rPr>
        <w:t> </w:t>
      </w:r>
      <w:r>
        <w:rPr/>
        <w:t>rectify</w:t>
      </w:r>
      <w:r>
        <w:rPr>
          <w:spacing w:val="-15"/>
        </w:rPr>
        <w:t> </w:t>
      </w:r>
      <w:r>
        <w:rPr/>
        <w:t>any</w:t>
      </w:r>
      <w:r>
        <w:rPr>
          <w:spacing w:val="-15"/>
        </w:rPr>
        <w:t> </w:t>
      </w:r>
      <w:r>
        <w:rPr/>
        <w:t>provider network and directory deficiencies. In our view, the potential for discrimination under a revised uniformity requirement – whether intentional or not – warrants subjecting provider networks under MA plans offering condition-specific benefits to a higher level of scrutiny on an annual basis. In addition to the Government Accountability Office (GAO) study included in Section 50322 of the BBA of 2018, CMS also could consider conducting and releasing an analysis its own analysis of condition-specific plans that identifies best practices and allows stakeholders to understand their impact</w:t>
      </w:r>
      <w:r>
        <w:rPr>
          <w:spacing w:val="-19"/>
        </w:rPr>
        <w:t> </w:t>
      </w:r>
      <w:r>
        <w:rPr/>
        <w:t>on</w:t>
      </w:r>
      <w:r>
        <w:rPr>
          <w:spacing w:val="-19"/>
        </w:rPr>
        <w:t> </w:t>
      </w:r>
      <w:r>
        <w:rPr/>
        <w:t>quality,</w:t>
      </w:r>
      <w:r>
        <w:rPr>
          <w:spacing w:val="-19"/>
        </w:rPr>
        <w:t> </w:t>
      </w:r>
      <w:r>
        <w:rPr/>
        <w:t>beneficiary</w:t>
      </w:r>
      <w:r>
        <w:rPr>
          <w:spacing w:val="-18"/>
        </w:rPr>
        <w:t> </w:t>
      </w:r>
      <w:r>
        <w:rPr/>
        <w:t>satisfaction,</w:t>
      </w:r>
      <w:r>
        <w:rPr>
          <w:spacing w:val="-19"/>
        </w:rPr>
        <w:t> </w:t>
      </w:r>
      <w:r>
        <w:rPr/>
        <w:t>and</w:t>
      </w:r>
      <w:r>
        <w:rPr>
          <w:spacing w:val="-19"/>
        </w:rPr>
        <w:t> </w:t>
      </w:r>
      <w:r>
        <w:rPr/>
        <w:t>access</w:t>
      </w:r>
      <w:r>
        <w:rPr>
          <w:spacing w:val="-20"/>
        </w:rPr>
        <w:t> </w:t>
      </w:r>
      <w:r>
        <w:rPr/>
        <w:t>to</w:t>
      </w:r>
      <w:r>
        <w:rPr>
          <w:spacing w:val="-19"/>
        </w:rPr>
        <w:t> </w:t>
      </w:r>
      <w:r>
        <w:rPr/>
        <w:t>providers.</w:t>
      </w:r>
      <w:r>
        <w:rPr>
          <w:spacing w:val="-19"/>
        </w:rPr>
        <w:t> </w:t>
      </w:r>
      <w:r>
        <w:rPr/>
        <w:t>Finally,</w:t>
      </w:r>
      <w:r>
        <w:rPr>
          <w:spacing w:val="-19"/>
        </w:rPr>
        <w:t> </w:t>
      </w:r>
      <w:r>
        <w:rPr/>
        <w:t>in</w:t>
      </w:r>
      <w:r>
        <w:rPr>
          <w:spacing w:val="-19"/>
        </w:rPr>
        <w:t> </w:t>
      </w:r>
      <w:r>
        <w:rPr/>
        <w:t>the</w:t>
      </w:r>
      <w:r>
        <w:rPr>
          <w:spacing w:val="-18"/>
        </w:rPr>
        <w:t> </w:t>
      </w:r>
      <w:r>
        <w:rPr/>
        <w:t>spirit</w:t>
      </w:r>
      <w:r>
        <w:rPr>
          <w:spacing w:val="-19"/>
        </w:rPr>
        <w:t> </w:t>
      </w:r>
      <w:r>
        <w:rPr/>
        <w:t>of</w:t>
      </w:r>
      <w:r>
        <w:rPr>
          <w:spacing w:val="-20"/>
        </w:rPr>
        <w:t> </w:t>
      </w:r>
      <w:r>
        <w:rPr/>
        <w:t>transparency, CMS</w:t>
      </w:r>
      <w:r>
        <w:rPr>
          <w:spacing w:val="-12"/>
        </w:rPr>
        <w:t> </w:t>
      </w:r>
      <w:r>
        <w:rPr/>
        <w:t>should</w:t>
      </w:r>
      <w:r>
        <w:rPr>
          <w:spacing w:val="-12"/>
        </w:rPr>
        <w:t> </w:t>
      </w:r>
      <w:r>
        <w:rPr/>
        <w:t>develop</w:t>
      </w:r>
      <w:r>
        <w:rPr>
          <w:spacing w:val="-12"/>
        </w:rPr>
        <w:t> </w:t>
      </w:r>
      <w:r>
        <w:rPr/>
        <w:t>and</w:t>
      </w:r>
      <w:r>
        <w:rPr>
          <w:spacing w:val="-12"/>
        </w:rPr>
        <w:t> </w:t>
      </w:r>
      <w:r>
        <w:rPr/>
        <w:t>issue</w:t>
      </w:r>
      <w:r>
        <w:rPr>
          <w:spacing w:val="-11"/>
        </w:rPr>
        <w:t> </w:t>
      </w:r>
      <w:r>
        <w:rPr/>
        <w:t>a</w:t>
      </w:r>
      <w:r>
        <w:rPr>
          <w:spacing w:val="-11"/>
        </w:rPr>
        <w:t> </w:t>
      </w:r>
      <w:r>
        <w:rPr/>
        <w:t>frequently</w:t>
      </w:r>
      <w:r>
        <w:rPr>
          <w:spacing w:val="-11"/>
        </w:rPr>
        <w:t> </w:t>
      </w:r>
      <w:r>
        <w:rPr/>
        <w:t>asked</w:t>
      </w:r>
      <w:r>
        <w:rPr>
          <w:spacing w:val="-12"/>
        </w:rPr>
        <w:t> </w:t>
      </w:r>
      <w:r>
        <w:rPr/>
        <w:t>questions</w:t>
      </w:r>
      <w:r>
        <w:rPr>
          <w:spacing w:val="-13"/>
        </w:rPr>
        <w:t> </w:t>
      </w:r>
      <w:r>
        <w:rPr/>
        <w:t>(FAQs)</w:t>
      </w:r>
      <w:r>
        <w:rPr>
          <w:spacing w:val="-11"/>
        </w:rPr>
        <w:t> </w:t>
      </w:r>
      <w:r>
        <w:rPr/>
        <w:t>document</w:t>
      </w:r>
      <w:r>
        <w:rPr>
          <w:spacing w:val="-11"/>
        </w:rPr>
        <w:t> </w:t>
      </w:r>
      <w:r>
        <w:rPr/>
        <w:t>based</w:t>
      </w:r>
      <w:r>
        <w:rPr>
          <w:spacing w:val="-12"/>
        </w:rPr>
        <w:t> </w:t>
      </w:r>
      <w:r>
        <w:rPr/>
        <w:t>on</w:t>
      </w:r>
      <w:r>
        <w:rPr>
          <w:spacing w:val="-12"/>
        </w:rPr>
        <w:t> </w:t>
      </w:r>
      <w:r>
        <w:rPr/>
        <w:t>the</w:t>
      </w:r>
      <w:r>
        <w:rPr>
          <w:spacing w:val="-11"/>
        </w:rPr>
        <w:t> </w:t>
      </w:r>
      <w:r>
        <w:rPr/>
        <w:t>questions about</w:t>
      </w:r>
      <w:r>
        <w:rPr>
          <w:spacing w:val="-16"/>
        </w:rPr>
        <w:t> </w:t>
      </w:r>
      <w:r>
        <w:rPr/>
        <w:t>tailored</w:t>
      </w:r>
      <w:r>
        <w:rPr>
          <w:spacing w:val="-15"/>
        </w:rPr>
        <w:t> </w:t>
      </w:r>
      <w:r>
        <w:rPr/>
        <w:t>benefits</w:t>
      </w:r>
      <w:r>
        <w:rPr>
          <w:spacing w:val="-17"/>
        </w:rPr>
        <w:t> </w:t>
      </w:r>
      <w:r>
        <w:rPr/>
        <w:t>submitted</w:t>
      </w:r>
      <w:r>
        <w:rPr>
          <w:spacing w:val="-15"/>
        </w:rPr>
        <w:t> </w:t>
      </w:r>
      <w:r>
        <w:rPr/>
        <w:t>by</w:t>
      </w:r>
      <w:r>
        <w:rPr>
          <w:spacing w:val="-15"/>
        </w:rPr>
        <w:t> </w:t>
      </w:r>
      <w:r>
        <w:rPr/>
        <w:t>MA</w:t>
      </w:r>
      <w:r>
        <w:rPr>
          <w:spacing w:val="-15"/>
        </w:rPr>
        <w:t> </w:t>
      </w:r>
      <w:r>
        <w:rPr/>
        <w:t>plans</w:t>
      </w:r>
      <w:r>
        <w:rPr>
          <w:spacing w:val="-17"/>
        </w:rPr>
        <w:t> </w:t>
      </w:r>
      <w:r>
        <w:rPr/>
        <w:t>to</w:t>
      </w:r>
      <w:r>
        <w:rPr>
          <w:spacing w:val="-16"/>
        </w:rPr>
        <w:t> </w:t>
      </w:r>
      <w:r>
        <w:rPr/>
        <w:t>the</w:t>
      </w:r>
      <w:r>
        <w:rPr>
          <w:spacing w:val="-15"/>
        </w:rPr>
        <w:t> </w:t>
      </w:r>
      <w:r>
        <w:rPr/>
        <w:t>mailbox</w:t>
      </w:r>
      <w:r>
        <w:rPr>
          <w:spacing w:val="-15"/>
        </w:rPr>
        <w:t> </w:t>
      </w:r>
      <w:r>
        <w:rPr/>
        <w:t>that</w:t>
      </w:r>
      <w:r>
        <w:rPr>
          <w:spacing w:val="-16"/>
        </w:rPr>
        <w:t> </w:t>
      </w:r>
      <w:r>
        <w:rPr/>
        <w:t>CMS</w:t>
      </w:r>
      <w:r>
        <w:rPr>
          <w:spacing w:val="-15"/>
        </w:rPr>
        <w:t> </w:t>
      </w:r>
      <w:r>
        <w:rPr/>
        <w:t>will</w:t>
      </w:r>
      <w:r>
        <w:rPr>
          <w:spacing w:val="-15"/>
        </w:rPr>
        <w:t> </w:t>
      </w:r>
      <w:r>
        <w:rPr/>
        <w:t>establish</w:t>
      </w:r>
      <w:r>
        <w:rPr>
          <w:spacing w:val="-16"/>
        </w:rPr>
        <w:t> </w:t>
      </w:r>
      <w:r>
        <w:rPr/>
        <w:t>for</w:t>
      </w:r>
      <w:r>
        <w:rPr>
          <w:spacing w:val="-16"/>
        </w:rPr>
        <w:t> </w:t>
      </w:r>
      <w:r>
        <w:rPr/>
        <w:t>that</w:t>
      </w:r>
      <w:r>
        <w:rPr>
          <w:spacing w:val="-16"/>
        </w:rPr>
        <w:t> </w:t>
      </w:r>
      <w:r>
        <w:rPr/>
        <w:t>purpose.</w:t>
      </w:r>
    </w:p>
    <w:p>
      <w:pPr>
        <w:pStyle w:val="BodyText"/>
        <w:spacing w:before="10"/>
        <w:rPr>
          <w:sz w:val="23"/>
        </w:rPr>
      </w:pPr>
    </w:p>
    <w:p>
      <w:pPr>
        <w:pStyle w:val="Heading1"/>
        <w:numPr>
          <w:ilvl w:val="0"/>
          <w:numId w:val="5"/>
        </w:numPr>
        <w:tabs>
          <w:tab w:pos="840" w:val="left" w:leader="none"/>
        </w:tabs>
        <w:spacing w:line="240" w:lineRule="auto" w:before="0" w:after="0"/>
        <w:ind w:left="840" w:right="0" w:hanging="720"/>
        <w:jc w:val="both"/>
      </w:pPr>
      <w:r>
        <w:rPr/>
        <w:t>Segment Benefits</w:t>
      </w:r>
      <w:r>
        <w:rPr>
          <w:spacing w:val="-15"/>
        </w:rPr>
        <w:t> </w:t>
      </w:r>
      <w:r>
        <w:rPr/>
        <w:t>Flexibility</w:t>
      </w:r>
    </w:p>
    <w:p>
      <w:pPr>
        <w:pStyle w:val="BodyText"/>
        <w:spacing w:before="6"/>
        <w:rPr>
          <w:b/>
          <w:sz w:val="27"/>
        </w:rPr>
      </w:pPr>
    </w:p>
    <w:p>
      <w:pPr>
        <w:pStyle w:val="BodyText"/>
        <w:spacing w:line="259" w:lineRule="auto"/>
        <w:ind w:left="120" w:right="115"/>
        <w:jc w:val="both"/>
      </w:pPr>
      <w:r>
        <w:rPr/>
        <w:t>CMS currently interprets the statute to permit variations in premiums and cost sharing amounts by service</w:t>
      </w:r>
      <w:r>
        <w:rPr>
          <w:spacing w:val="-15"/>
        </w:rPr>
        <w:t> </w:t>
      </w:r>
      <w:r>
        <w:rPr/>
        <w:t>area</w:t>
      </w:r>
      <w:r>
        <w:rPr>
          <w:spacing w:val="-15"/>
        </w:rPr>
        <w:t> </w:t>
      </w:r>
      <w:r>
        <w:rPr/>
        <w:t>segment</w:t>
      </w:r>
      <w:r>
        <w:rPr>
          <w:spacing w:val="-16"/>
        </w:rPr>
        <w:t> </w:t>
      </w:r>
      <w:r>
        <w:rPr/>
        <w:t>(i.e.,</w:t>
      </w:r>
      <w:r>
        <w:rPr>
          <w:spacing w:val="-18"/>
        </w:rPr>
        <w:t> </w:t>
      </w:r>
      <w:r>
        <w:rPr/>
        <w:t>a</w:t>
      </w:r>
      <w:r>
        <w:rPr>
          <w:spacing w:val="-17"/>
        </w:rPr>
        <w:t> </w:t>
      </w:r>
      <w:r>
        <w:rPr/>
        <w:t>county)</w:t>
      </w:r>
      <w:r>
        <w:rPr>
          <w:spacing w:val="-16"/>
        </w:rPr>
        <w:t> </w:t>
      </w:r>
      <w:r>
        <w:rPr/>
        <w:t>if</w:t>
      </w:r>
      <w:r>
        <w:rPr>
          <w:spacing w:val="-16"/>
        </w:rPr>
        <w:t> </w:t>
      </w:r>
      <w:r>
        <w:rPr/>
        <w:t>the</w:t>
      </w:r>
      <w:r>
        <w:rPr>
          <w:spacing w:val="-15"/>
        </w:rPr>
        <w:t> </w:t>
      </w:r>
      <w:r>
        <w:rPr/>
        <w:t>variations</w:t>
      </w:r>
      <w:r>
        <w:rPr>
          <w:spacing w:val="-17"/>
        </w:rPr>
        <w:t> </w:t>
      </w:r>
      <w:r>
        <w:rPr/>
        <w:t>are</w:t>
      </w:r>
      <w:r>
        <w:rPr>
          <w:spacing w:val="-15"/>
        </w:rPr>
        <w:t> </w:t>
      </w:r>
      <w:r>
        <w:rPr/>
        <w:t>uniform</w:t>
      </w:r>
      <w:r>
        <w:rPr>
          <w:spacing w:val="-16"/>
        </w:rPr>
        <w:t> </w:t>
      </w:r>
      <w:r>
        <w:rPr/>
        <w:t>throughout</w:t>
      </w:r>
      <w:r>
        <w:rPr>
          <w:spacing w:val="-16"/>
        </w:rPr>
        <w:t> </w:t>
      </w:r>
      <w:r>
        <w:rPr/>
        <w:t>each</w:t>
      </w:r>
      <w:r>
        <w:rPr>
          <w:spacing w:val="-16"/>
        </w:rPr>
        <w:t> </w:t>
      </w:r>
      <w:r>
        <w:rPr/>
        <w:t>service</w:t>
      </w:r>
      <w:r>
        <w:rPr>
          <w:spacing w:val="-15"/>
        </w:rPr>
        <w:t> </w:t>
      </w:r>
      <w:r>
        <w:rPr/>
        <w:t>area</w:t>
      </w:r>
      <w:r>
        <w:rPr>
          <w:spacing w:val="-15"/>
        </w:rPr>
        <w:t> </w:t>
      </w:r>
      <w:r>
        <w:rPr/>
        <w:t>segment. CMS</w:t>
      </w:r>
      <w:r>
        <w:rPr>
          <w:spacing w:val="-6"/>
        </w:rPr>
        <w:t> </w:t>
      </w:r>
      <w:r>
        <w:rPr/>
        <w:t>is</w:t>
      </w:r>
      <w:r>
        <w:rPr>
          <w:spacing w:val="-7"/>
        </w:rPr>
        <w:t> </w:t>
      </w:r>
      <w:r>
        <w:rPr/>
        <w:t>revising</w:t>
      </w:r>
      <w:r>
        <w:rPr>
          <w:spacing w:val="-5"/>
        </w:rPr>
        <w:t> </w:t>
      </w:r>
      <w:r>
        <w:rPr/>
        <w:t>its</w:t>
      </w:r>
      <w:r>
        <w:rPr>
          <w:spacing w:val="-7"/>
        </w:rPr>
        <w:t> </w:t>
      </w:r>
      <w:r>
        <w:rPr/>
        <w:t>interpretation</w:t>
      </w:r>
      <w:r>
        <w:rPr>
          <w:spacing w:val="-6"/>
        </w:rPr>
        <w:t> </w:t>
      </w:r>
      <w:r>
        <w:rPr/>
        <w:t>such</w:t>
      </w:r>
      <w:r>
        <w:rPr>
          <w:spacing w:val="-6"/>
        </w:rPr>
        <w:t> </w:t>
      </w:r>
      <w:r>
        <w:rPr/>
        <w:t>that</w:t>
      </w:r>
      <w:r>
        <w:rPr>
          <w:spacing w:val="-6"/>
        </w:rPr>
        <w:t> </w:t>
      </w:r>
      <w:r>
        <w:rPr/>
        <w:t>MA</w:t>
      </w:r>
      <w:r>
        <w:rPr>
          <w:spacing w:val="-5"/>
        </w:rPr>
        <w:t> </w:t>
      </w:r>
      <w:r>
        <w:rPr/>
        <w:t>plans</w:t>
      </w:r>
      <w:r>
        <w:rPr>
          <w:spacing w:val="-7"/>
        </w:rPr>
        <w:t> </w:t>
      </w:r>
      <w:r>
        <w:rPr/>
        <w:t>could</w:t>
      </w:r>
      <w:r>
        <w:rPr>
          <w:spacing w:val="-6"/>
        </w:rPr>
        <w:t> </w:t>
      </w:r>
      <w:r>
        <w:rPr/>
        <w:t>vary</w:t>
      </w:r>
      <w:r>
        <w:rPr>
          <w:spacing w:val="-5"/>
        </w:rPr>
        <w:t> </w:t>
      </w:r>
      <w:r>
        <w:rPr/>
        <w:t>supplemental</w:t>
      </w:r>
      <w:r>
        <w:rPr>
          <w:spacing w:val="-8"/>
        </w:rPr>
        <w:t> </w:t>
      </w:r>
      <w:r>
        <w:rPr/>
        <w:t>benefits,</w:t>
      </w:r>
      <w:r>
        <w:rPr>
          <w:spacing w:val="-6"/>
        </w:rPr>
        <w:t> </w:t>
      </w:r>
      <w:r>
        <w:rPr/>
        <w:t>in</w:t>
      </w:r>
      <w:r>
        <w:rPr>
          <w:spacing w:val="-6"/>
        </w:rPr>
        <w:t> </w:t>
      </w:r>
      <w:r>
        <w:rPr/>
        <w:t>addition</w:t>
      </w:r>
      <w:r>
        <w:rPr>
          <w:spacing w:val="-6"/>
        </w:rPr>
        <w:t> </w:t>
      </w:r>
      <w:r>
        <w:rPr/>
        <w:t>to premiums and cost sharing amounts, by</w:t>
      </w:r>
      <w:r>
        <w:rPr>
          <w:spacing w:val="-26"/>
        </w:rPr>
        <w:t> </w:t>
      </w:r>
      <w:r>
        <w:rPr/>
        <w:t>segment.</w:t>
      </w:r>
    </w:p>
    <w:p>
      <w:pPr>
        <w:pStyle w:val="BodyText"/>
        <w:spacing w:before="7"/>
        <w:rPr>
          <w:sz w:val="25"/>
        </w:rPr>
      </w:pPr>
    </w:p>
    <w:p>
      <w:pPr>
        <w:pStyle w:val="Heading1"/>
        <w:ind w:left="3299" w:right="3300"/>
      </w:pPr>
      <w:r>
        <w:rPr/>
        <w:t>Comment/Recommendation</w:t>
      </w:r>
    </w:p>
    <w:p>
      <w:pPr>
        <w:pStyle w:val="BodyText"/>
        <w:spacing w:before="3"/>
        <w:rPr>
          <w:b/>
          <w:sz w:val="23"/>
        </w:rPr>
      </w:pPr>
    </w:p>
    <w:p>
      <w:pPr>
        <w:pStyle w:val="BodyText"/>
        <w:spacing w:line="259" w:lineRule="auto"/>
        <w:ind w:left="119" w:right="114"/>
        <w:jc w:val="both"/>
      </w:pPr>
      <w:r>
        <w:rPr/>
        <w:t>The current segmentation policy has expanded beneficiaries’ coverage options, particularly in service areas with wide variation in county benchmarks. The policy also affords CMS and MA organizations a</w:t>
      </w:r>
      <w:r>
        <w:rPr>
          <w:spacing w:val="-12"/>
        </w:rPr>
        <w:t> </w:t>
      </w:r>
      <w:r>
        <w:rPr/>
        <w:t>level</w:t>
      </w:r>
      <w:r>
        <w:rPr>
          <w:spacing w:val="-13"/>
        </w:rPr>
        <w:t> </w:t>
      </w:r>
      <w:r>
        <w:rPr/>
        <w:t>of</w:t>
      </w:r>
      <w:r>
        <w:rPr>
          <w:spacing w:val="-16"/>
        </w:rPr>
        <w:t> </w:t>
      </w:r>
      <w:r>
        <w:rPr/>
        <w:t>administrative</w:t>
      </w:r>
      <w:r>
        <w:rPr>
          <w:spacing w:val="-12"/>
        </w:rPr>
        <w:t> </w:t>
      </w:r>
      <w:r>
        <w:rPr/>
        <w:t>simplicity.</w:t>
      </w:r>
      <w:r>
        <w:rPr>
          <w:spacing w:val="-13"/>
        </w:rPr>
        <w:t> </w:t>
      </w:r>
      <w:r>
        <w:rPr/>
        <w:t>DaVita</w:t>
      </w:r>
      <w:r>
        <w:rPr>
          <w:spacing w:val="-12"/>
        </w:rPr>
        <w:t> </w:t>
      </w:r>
      <w:r>
        <w:rPr/>
        <w:t>agrees</w:t>
      </w:r>
      <w:r>
        <w:rPr>
          <w:spacing w:val="-14"/>
        </w:rPr>
        <w:t> </w:t>
      </w:r>
      <w:r>
        <w:rPr/>
        <w:t>that</w:t>
      </w:r>
      <w:r>
        <w:rPr>
          <w:spacing w:val="-13"/>
        </w:rPr>
        <w:t> </w:t>
      </w:r>
      <w:r>
        <w:rPr/>
        <w:t>additional</w:t>
      </w:r>
      <w:r>
        <w:rPr>
          <w:spacing w:val="-13"/>
        </w:rPr>
        <w:t> </w:t>
      </w:r>
      <w:r>
        <w:rPr/>
        <w:t>benefit</w:t>
      </w:r>
      <w:r>
        <w:rPr>
          <w:spacing w:val="-13"/>
        </w:rPr>
        <w:t> </w:t>
      </w:r>
      <w:r>
        <w:rPr/>
        <w:t>design</w:t>
      </w:r>
      <w:r>
        <w:rPr>
          <w:spacing w:val="-13"/>
        </w:rPr>
        <w:t> </w:t>
      </w:r>
      <w:r>
        <w:rPr/>
        <w:t>flexibility</w:t>
      </w:r>
      <w:r>
        <w:rPr>
          <w:spacing w:val="-12"/>
        </w:rPr>
        <w:t> </w:t>
      </w:r>
      <w:r>
        <w:rPr/>
        <w:t>can</w:t>
      </w:r>
      <w:r>
        <w:rPr>
          <w:spacing w:val="-13"/>
        </w:rPr>
        <w:t> </w:t>
      </w:r>
      <w:r>
        <w:rPr/>
        <w:t>help</w:t>
      </w:r>
      <w:r>
        <w:rPr>
          <w:spacing w:val="-13"/>
        </w:rPr>
        <w:t> </w:t>
      </w:r>
      <w:r>
        <w:rPr/>
        <w:t>MA plans</w:t>
      </w:r>
      <w:r>
        <w:rPr>
          <w:spacing w:val="-19"/>
        </w:rPr>
        <w:t> </w:t>
      </w:r>
      <w:r>
        <w:rPr/>
        <w:t>better</w:t>
      </w:r>
      <w:r>
        <w:rPr>
          <w:spacing w:val="-19"/>
        </w:rPr>
        <w:t> </w:t>
      </w:r>
      <w:r>
        <w:rPr/>
        <w:t>meet</w:t>
      </w:r>
      <w:r>
        <w:rPr>
          <w:spacing w:val="-18"/>
        </w:rPr>
        <w:t> </w:t>
      </w:r>
      <w:r>
        <w:rPr/>
        <w:t>their</w:t>
      </w:r>
      <w:r>
        <w:rPr>
          <w:spacing w:val="-19"/>
        </w:rPr>
        <w:t> </w:t>
      </w:r>
      <w:r>
        <w:rPr/>
        <w:t>enrollees’</w:t>
      </w:r>
      <w:r>
        <w:rPr>
          <w:spacing w:val="-18"/>
        </w:rPr>
        <w:t> </w:t>
      </w:r>
      <w:r>
        <w:rPr/>
        <w:t>needs;</w:t>
      </w:r>
      <w:r>
        <w:rPr>
          <w:spacing w:val="-18"/>
        </w:rPr>
        <w:t> </w:t>
      </w:r>
      <w:r>
        <w:rPr/>
        <w:t>however,</w:t>
      </w:r>
      <w:r>
        <w:rPr>
          <w:spacing w:val="-18"/>
        </w:rPr>
        <w:t> </w:t>
      </w:r>
      <w:r>
        <w:rPr/>
        <w:t>as</w:t>
      </w:r>
      <w:r>
        <w:rPr>
          <w:spacing w:val="-19"/>
        </w:rPr>
        <w:t> </w:t>
      </w:r>
      <w:r>
        <w:rPr/>
        <w:t>we</w:t>
      </w:r>
      <w:r>
        <w:rPr>
          <w:spacing w:val="-17"/>
        </w:rPr>
        <w:t> </w:t>
      </w:r>
      <w:r>
        <w:rPr/>
        <w:t>expressed</w:t>
      </w:r>
      <w:r>
        <w:rPr>
          <w:spacing w:val="-18"/>
        </w:rPr>
        <w:t> </w:t>
      </w:r>
      <w:r>
        <w:rPr/>
        <w:t>in</w:t>
      </w:r>
      <w:r>
        <w:rPr>
          <w:spacing w:val="-18"/>
        </w:rPr>
        <w:t> </w:t>
      </w:r>
      <w:r>
        <w:rPr/>
        <w:t>our</w:t>
      </w:r>
      <w:r>
        <w:rPr>
          <w:spacing w:val="-16"/>
        </w:rPr>
        <w:t> </w:t>
      </w:r>
      <w:r>
        <w:rPr/>
        <w:t>response</w:t>
      </w:r>
      <w:r>
        <w:rPr>
          <w:spacing w:val="-17"/>
        </w:rPr>
        <w:t> </w:t>
      </w:r>
      <w:r>
        <w:rPr/>
        <w:t>to</w:t>
      </w:r>
      <w:r>
        <w:rPr>
          <w:spacing w:val="-18"/>
        </w:rPr>
        <w:t> </w:t>
      </w:r>
      <w:r>
        <w:rPr/>
        <w:t>the</w:t>
      </w:r>
      <w:r>
        <w:rPr>
          <w:spacing w:val="-15"/>
        </w:rPr>
        <w:t> </w:t>
      </w:r>
      <w:r>
        <w:rPr/>
        <w:t>MA</w:t>
      </w:r>
      <w:r>
        <w:rPr>
          <w:spacing w:val="-17"/>
        </w:rPr>
        <w:t> </w:t>
      </w:r>
      <w:r>
        <w:rPr/>
        <w:t>proposed rule,</w:t>
      </w:r>
      <w:r>
        <w:rPr>
          <w:spacing w:val="-15"/>
        </w:rPr>
        <w:t> </w:t>
      </w:r>
      <w:r>
        <w:rPr/>
        <w:t>the</w:t>
      </w:r>
      <w:r>
        <w:rPr>
          <w:spacing w:val="-15"/>
        </w:rPr>
        <w:t> </w:t>
      </w:r>
      <w:r>
        <w:rPr/>
        <w:t>revised</w:t>
      </w:r>
      <w:r>
        <w:rPr>
          <w:spacing w:val="-15"/>
        </w:rPr>
        <w:t> </w:t>
      </w:r>
      <w:r>
        <w:rPr/>
        <w:t>interpretation</w:t>
      </w:r>
      <w:r>
        <w:rPr>
          <w:spacing w:val="-15"/>
        </w:rPr>
        <w:t> </w:t>
      </w:r>
      <w:r>
        <w:rPr/>
        <w:t>seems</w:t>
      </w:r>
      <w:r>
        <w:rPr>
          <w:spacing w:val="-17"/>
        </w:rPr>
        <w:t> </w:t>
      </w:r>
      <w:r>
        <w:rPr/>
        <w:t>to</w:t>
      </w:r>
      <w:r>
        <w:rPr>
          <w:spacing w:val="-16"/>
        </w:rPr>
        <w:t> </w:t>
      </w:r>
      <w:r>
        <w:rPr/>
        <w:t>go</w:t>
      </w:r>
      <w:r>
        <w:rPr>
          <w:spacing w:val="-16"/>
        </w:rPr>
        <w:t> </w:t>
      </w:r>
      <w:r>
        <w:rPr/>
        <w:t>far</w:t>
      </w:r>
      <w:r>
        <w:rPr>
          <w:spacing w:val="-16"/>
        </w:rPr>
        <w:t> </w:t>
      </w:r>
      <w:r>
        <w:rPr/>
        <w:t>beyond</w:t>
      </w:r>
      <w:r>
        <w:rPr>
          <w:spacing w:val="-15"/>
        </w:rPr>
        <w:t> </w:t>
      </w:r>
      <w:r>
        <w:rPr/>
        <w:t>the</w:t>
      </w:r>
      <w:r>
        <w:rPr>
          <w:spacing w:val="-15"/>
        </w:rPr>
        <w:t> </w:t>
      </w:r>
      <w:r>
        <w:rPr/>
        <w:t>current</w:t>
      </w:r>
      <w:r>
        <w:rPr>
          <w:spacing w:val="-16"/>
        </w:rPr>
        <w:t> </w:t>
      </w:r>
      <w:r>
        <w:rPr/>
        <w:t>policy’s</w:t>
      </w:r>
      <w:r>
        <w:rPr>
          <w:spacing w:val="-17"/>
        </w:rPr>
        <w:t> </w:t>
      </w:r>
      <w:r>
        <w:rPr/>
        <w:t>intent</w:t>
      </w:r>
      <w:r>
        <w:rPr>
          <w:spacing w:val="-16"/>
        </w:rPr>
        <w:t> </w:t>
      </w:r>
      <w:r>
        <w:rPr/>
        <w:t>to</w:t>
      </w:r>
      <w:r>
        <w:rPr>
          <w:spacing w:val="-16"/>
        </w:rPr>
        <w:t> </w:t>
      </w:r>
      <w:r>
        <w:rPr/>
        <w:t>enhance</w:t>
      </w:r>
      <w:r>
        <w:rPr>
          <w:spacing w:val="-15"/>
        </w:rPr>
        <w:t> </w:t>
      </w:r>
      <w:r>
        <w:rPr/>
        <w:t>MA</w:t>
      </w:r>
      <w:r>
        <w:rPr>
          <w:spacing w:val="-17"/>
        </w:rPr>
        <w:t> </w:t>
      </w:r>
      <w:r>
        <w:rPr/>
        <w:t>plans’ ability to align their costs with payments. In effect, the revised policy appears to permit MA organizations</w:t>
      </w:r>
      <w:r>
        <w:rPr>
          <w:spacing w:val="-10"/>
        </w:rPr>
        <w:t> </w:t>
      </w:r>
      <w:r>
        <w:rPr/>
        <w:t>to</w:t>
      </w:r>
      <w:r>
        <w:rPr>
          <w:spacing w:val="-9"/>
        </w:rPr>
        <w:t> </w:t>
      </w:r>
      <w:r>
        <w:rPr/>
        <w:t>use</w:t>
      </w:r>
      <w:r>
        <w:rPr>
          <w:spacing w:val="-8"/>
        </w:rPr>
        <w:t> </w:t>
      </w:r>
      <w:r>
        <w:rPr/>
        <w:t>the</w:t>
      </w:r>
      <w:r>
        <w:rPr>
          <w:spacing w:val="-8"/>
        </w:rPr>
        <w:t> </w:t>
      </w:r>
      <w:r>
        <w:rPr/>
        <w:t>service</w:t>
      </w:r>
      <w:r>
        <w:rPr>
          <w:spacing w:val="-8"/>
        </w:rPr>
        <w:t> </w:t>
      </w:r>
      <w:r>
        <w:rPr/>
        <w:t>area</w:t>
      </w:r>
      <w:r>
        <w:rPr>
          <w:spacing w:val="-8"/>
        </w:rPr>
        <w:t> </w:t>
      </w:r>
      <w:r>
        <w:rPr/>
        <w:t>segmentation</w:t>
      </w:r>
      <w:r>
        <w:rPr>
          <w:spacing w:val="-9"/>
        </w:rPr>
        <w:t> </w:t>
      </w:r>
      <w:r>
        <w:rPr/>
        <w:t>process</w:t>
      </w:r>
      <w:r>
        <w:rPr>
          <w:spacing w:val="-10"/>
        </w:rPr>
        <w:t> </w:t>
      </w:r>
      <w:r>
        <w:rPr/>
        <w:t>to</w:t>
      </w:r>
      <w:r>
        <w:rPr>
          <w:spacing w:val="-9"/>
        </w:rPr>
        <w:t> </w:t>
      </w:r>
      <w:r>
        <w:rPr/>
        <w:t>establish</w:t>
      </w:r>
      <w:r>
        <w:rPr>
          <w:spacing w:val="-9"/>
        </w:rPr>
        <w:t> </w:t>
      </w:r>
      <w:r>
        <w:rPr/>
        <w:t>county-level</w:t>
      </w:r>
      <w:r>
        <w:rPr>
          <w:spacing w:val="-9"/>
        </w:rPr>
        <w:t> </w:t>
      </w:r>
      <w:r>
        <w:rPr/>
        <w:t>plans.</w:t>
      </w:r>
      <w:r>
        <w:rPr>
          <w:spacing w:val="-9"/>
        </w:rPr>
        <w:t> </w:t>
      </w:r>
      <w:r>
        <w:rPr/>
        <w:t>Neither</w:t>
      </w:r>
      <w:r>
        <w:rPr>
          <w:spacing w:val="-10"/>
        </w:rPr>
        <w:t> </w:t>
      </w:r>
      <w:r>
        <w:rPr/>
        <w:t>the MA</w:t>
      </w:r>
      <w:r>
        <w:rPr>
          <w:spacing w:val="-9"/>
        </w:rPr>
        <w:t> </w:t>
      </w:r>
      <w:r>
        <w:rPr/>
        <w:t>proposed</w:t>
      </w:r>
      <w:r>
        <w:rPr>
          <w:spacing w:val="-9"/>
        </w:rPr>
        <w:t> </w:t>
      </w:r>
      <w:r>
        <w:rPr/>
        <w:t>rule</w:t>
      </w:r>
      <w:r>
        <w:rPr>
          <w:spacing w:val="-8"/>
        </w:rPr>
        <w:t> </w:t>
      </w:r>
      <w:r>
        <w:rPr/>
        <w:t>nor</w:t>
      </w:r>
      <w:r>
        <w:rPr>
          <w:spacing w:val="-10"/>
        </w:rPr>
        <w:t> </w:t>
      </w:r>
      <w:r>
        <w:rPr/>
        <w:t>draft</w:t>
      </w:r>
      <w:r>
        <w:rPr>
          <w:spacing w:val="-10"/>
        </w:rPr>
        <w:t> </w:t>
      </w:r>
      <w:r>
        <w:rPr/>
        <w:t>Call</w:t>
      </w:r>
      <w:r>
        <w:rPr>
          <w:spacing w:val="-9"/>
        </w:rPr>
        <w:t> </w:t>
      </w:r>
      <w:r>
        <w:rPr/>
        <w:t>Letter</w:t>
      </w:r>
      <w:r>
        <w:rPr>
          <w:spacing w:val="-13"/>
        </w:rPr>
        <w:t> </w:t>
      </w:r>
      <w:r>
        <w:rPr/>
        <w:t>address</w:t>
      </w:r>
      <w:r>
        <w:rPr>
          <w:spacing w:val="-10"/>
        </w:rPr>
        <w:t> </w:t>
      </w:r>
      <w:r>
        <w:rPr/>
        <w:t>the</w:t>
      </w:r>
      <w:r>
        <w:rPr>
          <w:spacing w:val="-8"/>
        </w:rPr>
        <w:t> </w:t>
      </w:r>
      <w:r>
        <w:rPr/>
        <w:t>intersection</w:t>
      </w:r>
      <w:r>
        <w:rPr>
          <w:spacing w:val="-9"/>
        </w:rPr>
        <w:t> </w:t>
      </w:r>
      <w:r>
        <w:rPr/>
        <w:t>between</w:t>
      </w:r>
      <w:r>
        <w:rPr>
          <w:spacing w:val="-12"/>
        </w:rPr>
        <w:t> </w:t>
      </w:r>
      <w:r>
        <w:rPr/>
        <w:t>CMS’s</w:t>
      </w:r>
      <w:r>
        <w:rPr>
          <w:spacing w:val="-10"/>
        </w:rPr>
        <w:t> </w:t>
      </w:r>
      <w:r>
        <w:rPr/>
        <w:t>revised</w:t>
      </w:r>
      <w:r>
        <w:rPr>
          <w:spacing w:val="-9"/>
        </w:rPr>
        <w:t> </w:t>
      </w:r>
      <w:r>
        <w:rPr/>
        <w:t>interpretation and</w:t>
      </w:r>
      <w:r>
        <w:rPr>
          <w:spacing w:val="-11"/>
        </w:rPr>
        <w:t> </w:t>
      </w:r>
      <w:r>
        <w:rPr/>
        <w:t>other</w:t>
      </w:r>
      <w:r>
        <w:rPr>
          <w:spacing w:val="-12"/>
        </w:rPr>
        <w:t> </w:t>
      </w:r>
      <w:r>
        <w:rPr/>
        <w:t>policies,</w:t>
      </w:r>
      <w:r>
        <w:rPr>
          <w:spacing w:val="-10"/>
        </w:rPr>
        <w:t> </w:t>
      </w:r>
      <w:r>
        <w:rPr/>
        <w:t>such</w:t>
      </w:r>
      <w:r>
        <w:rPr>
          <w:spacing w:val="-11"/>
        </w:rPr>
        <w:t> </w:t>
      </w:r>
      <w:r>
        <w:rPr/>
        <w:t>as</w:t>
      </w:r>
      <w:r>
        <w:rPr>
          <w:spacing w:val="-9"/>
        </w:rPr>
        <w:t> </w:t>
      </w:r>
      <w:r>
        <w:rPr/>
        <w:t>determinations</w:t>
      </w:r>
      <w:r>
        <w:rPr>
          <w:spacing w:val="-12"/>
        </w:rPr>
        <w:t> </w:t>
      </w:r>
      <w:r>
        <w:rPr/>
        <w:t>of</w:t>
      </w:r>
      <w:r>
        <w:rPr>
          <w:spacing w:val="-11"/>
        </w:rPr>
        <w:t> </w:t>
      </w:r>
      <w:r>
        <w:rPr/>
        <w:t>low</w:t>
      </w:r>
      <w:r>
        <w:rPr>
          <w:spacing w:val="-10"/>
        </w:rPr>
        <w:t> </w:t>
      </w:r>
      <w:r>
        <w:rPr/>
        <w:t>enrollment</w:t>
      </w:r>
      <w:r>
        <w:rPr>
          <w:spacing w:val="-11"/>
        </w:rPr>
        <w:t> </w:t>
      </w:r>
      <w:r>
        <w:rPr/>
        <w:t>or</w:t>
      </w:r>
      <w:r>
        <w:rPr>
          <w:spacing w:val="-12"/>
        </w:rPr>
        <w:t> </w:t>
      </w:r>
      <w:r>
        <w:rPr/>
        <w:t>cross-walking</w:t>
      </w:r>
      <w:r>
        <w:rPr>
          <w:spacing w:val="-10"/>
        </w:rPr>
        <w:t> </w:t>
      </w:r>
      <w:r>
        <w:rPr/>
        <w:t>enrollment</w:t>
      </w:r>
      <w:r>
        <w:rPr>
          <w:spacing w:val="-11"/>
        </w:rPr>
        <w:t> </w:t>
      </w:r>
      <w:r>
        <w:rPr/>
        <w:t>when</w:t>
      </w:r>
      <w:r>
        <w:rPr>
          <w:spacing w:val="-11"/>
        </w:rPr>
        <w:t> </w:t>
      </w:r>
      <w:r>
        <w:rPr/>
        <w:t>a</w:t>
      </w:r>
      <w:r>
        <w:rPr>
          <w:spacing w:val="-10"/>
        </w:rPr>
        <w:t> </w:t>
      </w:r>
      <w:r>
        <w:rPr/>
        <w:t>plan is</w:t>
      </w:r>
      <w:r>
        <w:rPr>
          <w:spacing w:val="-5"/>
        </w:rPr>
        <w:t> </w:t>
      </w:r>
      <w:r>
        <w:rPr/>
        <w:t>segmented.</w:t>
      </w:r>
      <w:r>
        <w:rPr>
          <w:spacing w:val="-3"/>
        </w:rPr>
        <w:t> </w:t>
      </w:r>
      <w:r>
        <w:rPr/>
        <w:t>If</w:t>
      </w:r>
      <w:r>
        <w:rPr>
          <w:spacing w:val="-4"/>
        </w:rPr>
        <w:t> </w:t>
      </w:r>
      <w:r>
        <w:rPr/>
        <w:t>benefits</w:t>
      </w:r>
      <w:r>
        <w:rPr>
          <w:spacing w:val="-5"/>
        </w:rPr>
        <w:t> </w:t>
      </w:r>
      <w:r>
        <w:rPr/>
        <w:t>differ</w:t>
      </w:r>
      <w:r>
        <w:rPr>
          <w:spacing w:val="-4"/>
        </w:rPr>
        <w:t> </w:t>
      </w:r>
      <w:r>
        <w:rPr/>
        <w:t>by</w:t>
      </w:r>
      <w:r>
        <w:rPr>
          <w:spacing w:val="-3"/>
        </w:rPr>
        <w:t> </w:t>
      </w:r>
      <w:r>
        <w:rPr/>
        <w:t>segment,</w:t>
      </w:r>
      <w:r>
        <w:rPr>
          <w:spacing w:val="-3"/>
        </w:rPr>
        <w:t> </w:t>
      </w:r>
      <w:r>
        <w:rPr/>
        <w:t>it</w:t>
      </w:r>
      <w:r>
        <w:rPr>
          <w:spacing w:val="-4"/>
        </w:rPr>
        <w:t> </w:t>
      </w:r>
      <w:r>
        <w:rPr/>
        <w:t>is</w:t>
      </w:r>
      <w:r>
        <w:rPr>
          <w:spacing w:val="-5"/>
        </w:rPr>
        <w:t> </w:t>
      </w:r>
      <w:r>
        <w:rPr/>
        <w:t>unclear</w:t>
      </w:r>
      <w:r>
        <w:rPr>
          <w:spacing w:val="-4"/>
        </w:rPr>
        <w:t> </w:t>
      </w:r>
      <w:r>
        <w:rPr/>
        <w:t>how</w:t>
      </w:r>
      <w:r>
        <w:rPr>
          <w:spacing w:val="-3"/>
        </w:rPr>
        <w:t> </w:t>
      </w:r>
      <w:r>
        <w:rPr/>
        <w:t>and</w:t>
      </w:r>
      <w:r>
        <w:rPr>
          <w:spacing w:val="-3"/>
        </w:rPr>
        <w:t> </w:t>
      </w:r>
      <w:r>
        <w:rPr/>
        <w:t>if</w:t>
      </w:r>
      <w:r>
        <w:rPr>
          <w:spacing w:val="-4"/>
        </w:rPr>
        <w:t> </w:t>
      </w:r>
      <w:r>
        <w:rPr/>
        <w:t>these</w:t>
      </w:r>
      <w:r>
        <w:rPr>
          <w:spacing w:val="-3"/>
        </w:rPr>
        <w:t> </w:t>
      </w:r>
      <w:r>
        <w:rPr/>
        <w:t>policies</w:t>
      </w:r>
      <w:r>
        <w:rPr>
          <w:spacing w:val="-5"/>
        </w:rPr>
        <w:t> </w:t>
      </w:r>
      <w:r>
        <w:rPr/>
        <w:t>should</w:t>
      </w:r>
      <w:r>
        <w:rPr>
          <w:spacing w:val="-3"/>
        </w:rPr>
        <w:t> </w:t>
      </w:r>
      <w:r>
        <w:rPr/>
        <w:t>apply.</w:t>
      </w:r>
    </w:p>
    <w:p>
      <w:pPr>
        <w:pStyle w:val="BodyText"/>
        <w:spacing w:before="7"/>
        <w:rPr>
          <w:sz w:val="25"/>
        </w:rPr>
      </w:pPr>
    </w:p>
    <w:p>
      <w:pPr>
        <w:pStyle w:val="Heading1"/>
        <w:numPr>
          <w:ilvl w:val="0"/>
          <w:numId w:val="5"/>
        </w:numPr>
        <w:tabs>
          <w:tab w:pos="840" w:val="left" w:leader="none"/>
        </w:tabs>
        <w:spacing w:line="240" w:lineRule="auto" w:before="0" w:after="0"/>
        <w:ind w:left="840" w:right="0" w:hanging="720"/>
        <w:jc w:val="both"/>
      </w:pPr>
      <w:r>
        <w:rPr/>
        <w:t>Meaningful Differences in MA Bid Submissions and Bid</w:t>
      </w:r>
      <w:r>
        <w:rPr>
          <w:spacing w:val="-25"/>
        </w:rPr>
        <w:t> </w:t>
      </w:r>
      <w:r>
        <w:rPr/>
        <w:t>Review</w:t>
      </w:r>
    </w:p>
    <w:p>
      <w:pPr>
        <w:pStyle w:val="BodyText"/>
        <w:spacing w:before="9"/>
        <w:rPr>
          <w:b/>
          <w:sz w:val="27"/>
        </w:rPr>
      </w:pPr>
    </w:p>
    <w:p>
      <w:pPr>
        <w:pStyle w:val="BodyText"/>
        <w:spacing w:line="259" w:lineRule="auto"/>
        <w:ind w:left="120" w:right="115"/>
        <w:jc w:val="both"/>
      </w:pPr>
      <w:r>
        <w:rPr/>
        <w:t>MA organizations may submit – and CMS will approve – bids for multiple plans in the same area under the same contract only if those plans differ substantially from one another based on CMS’s annual meaningful difference evaluation standard. The draft Call Letter reiterates CMS’s intent to discontinue the meaningful difference requirement beginning with the 2019 contract year MA bid submissions, which it first described in the MA proposed rule.</w:t>
      </w:r>
    </w:p>
    <w:p>
      <w:pPr>
        <w:spacing w:after="0" w:line="259" w:lineRule="auto"/>
        <w:jc w:val="both"/>
        <w:sectPr>
          <w:pgSz w:w="12240" w:h="15840"/>
          <w:pgMar w:header="0" w:footer="705" w:top="640" w:bottom="920" w:left="1320" w:right="1320"/>
        </w:sectPr>
      </w:pPr>
    </w:p>
    <w:p>
      <w:pPr>
        <w:pStyle w:val="Heading1"/>
        <w:spacing w:before="90"/>
        <w:ind w:left="3299" w:right="3300"/>
      </w:pPr>
      <w:r>
        <w:rPr/>
        <w:t>Comment/Recommendation</w:t>
      </w:r>
    </w:p>
    <w:p>
      <w:pPr>
        <w:pStyle w:val="BodyText"/>
        <w:spacing w:before="9"/>
        <w:rPr>
          <w:b/>
          <w:sz w:val="27"/>
        </w:rPr>
      </w:pPr>
    </w:p>
    <w:p>
      <w:pPr>
        <w:pStyle w:val="BodyText"/>
        <w:spacing w:line="259" w:lineRule="auto"/>
        <w:ind w:left="119" w:right="114"/>
        <w:jc w:val="both"/>
      </w:pPr>
      <w:r>
        <w:rPr/>
        <w:t>As we stated in our comments on the proposed MA rule, we are not completely confident that wholesale</w:t>
      </w:r>
      <w:r>
        <w:rPr>
          <w:spacing w:val="-16"/>
        </w:rPr>
        <w:t> </w:t>
      </w:r>
      <w:r>
        <w:rPr/>
        <w:t>elimination</w:t>
      </w:r>
      <w:r>
        <w:rPr>
          <w:spacing w:val="-17"/>
        </w:rPr>
        <w:t> </w:t>
      </w:r>
      <w:r>
        <w:rPr/>
        <w:t>of</w:t>
      </w:r>
      <w:r>
        <w:rPr>
          <w:spacing w:val="-15"/>
        </w:rPr>
        <w:t> </w:t>
      </w:r>
      <w:r>
        <w:rPr/>
        <w:t>the</w:t>
      </w:r>
      <w:r>
        <w:rPr>
          <w:spacing w:val="-13"/>
        </w:rPr>
        <w:t> </w:t>
      </w:r>
      <w:r>
        <w:rPr/>
        <w:t>meaningful</w:t>
      </w:r>
      <w:r>
        <w:rPr>
          <w:spacing w:val="-14"/>
        </w:rPr>
        <w:t> </w:t>
      </w:r>
      <w:r>
        <w:rPr/>
        <w:t>difference</w:t>
      </w:r>
      <w:r>
        <w:rPr>
          <w:spacing w:val="-16"/>
        </w:rPr>
        <w:t> </w:t>
      </w:r>
      <w:r>
        <w:rPr/>
        <w:t>rule</w:t>
      </w:r>
      <w:r>
        <w:rPr>
          <w:spacing w:val="-13"/>
        </w:rPr>
        <w:t> </w:t>
      </w:r>
      <w:r>
        <w:rPr/>
        <w:t>is</w:t>
      </w:r>
      <w:r>
        <w:rPr>
          <w:spacing w:val="-15"/>
        </w:rPr>
        <w:t> </w:t>
      </w:r>
      <w:r>
        <w:rPr/>
        <w:t>prudent,</w:t>
      </w:r>
      <w:r>
        <w:rPr>
          <w:spacing w:val="-16"/>
        </w:rPr>
        <w:t> </w:t>
      </w:r>
      <w:r>
        <w:rPr/>
        <w:t>especially</w:t>
      </w:r>
      <w:r>
        <w:rPr>
          <w:spacing w:val="-13"/>
        </w:rPr>
        <w:t> </w:t>
      </w:r>
      <w:r>
        <w:rPr/>
        <w:t>given</w:t>
      </w:r>
      <w:r>
        <w:rPr>
          <w:spacing w:val="-14"/>
        </w:rPr>
        <w:t> </w:t>
      </w:r>
      <w:r>
        <w:rPr/>
        <w:t>the</w:t>
      </w:r>
      <w:r>
        <w:rPr>
          <w:spacing w:val="-13"/>
        </w:rPr>
        <w:t> </w:t>
      </w:r>
      <w:r>
        <w:rPr/>
        <w:t>other</w:t>
      </w:r>
      <w:r>
        <w:rPr>
          <w:spacing w:val="-15"/>
        </w:rPr>
        <w:t> </w:t>
      </w:r>
      <w:r>
        <w:rPr/>
        <w:t>proposed changes</w:t>
      </w:r>
      <w:r>
        <w:rPr>
          <w:spacing w:val="-7"/>
        </w:rPr>
        <w:t> </w:t>
      </w:r>
      <w:r>
        <w:rPr/>
        <w:t>to</w:t>
      </w:r>
      <w:r>
        <w:rPr>
          <w:spacing w:val="-6"/>
        </w:rPr>
        <w:t> </w:t>
      </w:r>
      <w:r>
        <w:rPr/>
        <w:t>benefit</w:t>
      </w:r>
      <w:r>
        <w:rPr>
          <w:spacing w:val="-6"/>
        </w:rPr>
        <w:t> </w:t>
      </w:r>
      <w:r>
        <w:rPr/>
        <w:t>flexibility</w:t>
      </w:r>
      <w:r>
        <w:rPr>
          <w:spacing w:val="-5"/>
        </w:rPr>
        <w:t> </w:t>
      </w:r>
      <w:r>
        <w:rPr/>
        <w:t>rules.</w:t>
      </w:r>
      <w:r>
        <w:rPr>
          <w:spacing w:val="-6"/>
        </w:rPr>
        <w:t> </w:t>
      </w:r>
      <w:r>
        <w:rPr/>
        <w:t>As</w:t>
      </w:r>
      <w:r>
        <w:rPr>
          <w:spacing w:val="-7"/>
        </w:rPr>
        <w:t> </w:t>
      </w:r>
      <w:r>
        <w:rPr/>
        <w:t>CMS</w:t>
      </w:r>
      <w:r>
        <w:rPr>
          <w:spacing w:val="-6"/>
        </w:rPr>
        <w:t> </w:t>
      </w:r>
      <w:r>
        <w:rPr/>
        <w:t>noted</w:t>
      </w:r>
      <w:r>
        <w:rPr>
          <w:spacing w:val="-6"/>
        </w:rPr>
        <w:t> </w:t>
      </w:r>
      <w:r>
        <w:rPr/>
        <w:t>in</w:t>
      </w:r>
      <w:r>
        <w:rPr>
          <w:spacing w:val="-11"/>
        </w:rPr>
        <w:t> </w:t>
      </w:r>
      <w:r>
        <w:rPr/>
        <w:t>the</w:t>
      </w:r>
      <w:r>
        <w:rPr>
          <w:spacing w:val="-5"/>
        </w:rPr>
        <w:t> </w:t>
      </w:r>
      <w:r>
        <w:rPr/>
        <w:t>MA</w:t>
      </w:r>
      <w:r>
        <w:rPr>
          <w:spacing w:val="-5"/>
        </w:rPr>
        <w:t> </w:t>
      </w:r>
      <w:r>
        <w:rPr/>
        <w:t>proposed</w:t>
      </w:r>
      <w:r>
        <w:rPr>
          <w:spacing w:val="-6"/>
        </w:rPr>
        <w:t> </w:t>
      </w:r>
      <w:r>
        <w:rPr/>
        <w:t>rule,</w:t>
      </w:r>
      <w:r>
        <w:rPr>
          <w:spacing w:val="-6"/>
        </w:rPr>
        <w:t> </w:t>
      </w:r>
      <w:r>
        <w:rPr/>
        <w:t>many</w:t>
      </w:r>
      <w:r>
        <w:rPr>
          <w:spacing w:val="-5"/>
        </w:rPr>
        <w:t> </w:t>
      </w:r>
      <w:r>
        <w:rPr/>
        <w:t>beneficiaries</w:t>
      </w:r>
      <w:r>
        <w:rPr>
          <w:spacing w:val="-7"/>
        </w:rPr>
        <w:t> </w:t>
      </w:r>
      <w:r>
        <w:rPr/>
        <w:t>find</w:t>
      </w:r>
      <w:r>
        <w:rPr>
          <w:spacing w:val="-6"/>
        </w:rPr>
        <w:t> </w:t>
      </w:r>
      <w:r>
        <w:rPr/>
        <w:t>it challenging to assess their coverage options. When faced with multiple options, some beneficiaries may become so overwhelmed that they simply give up and forgo a coverage choice that better meets their needs. Although the out-of-pocket cost (OOPC) model does not capture all plan aspects, the current meaningful difference standard helps many beneficiaries narrow their choices, allowing them to</w:t>
      </w:r>
      <w:r>
        <w:rPr>
          <w:spacing w:val="-13"/>
        </w:rPr>
        <w:t> </w:t>
      </w:r>
      <w:r>
        <w:rPr/>
        <w:t>spend</w:t>
      </w:r>
      <w:r>
        <w:rPr>
          <w:spacing w:val="-13"/>
        </w:rPr>
        <w:t> </w:t>
      </w:r>
      <w:r>
        <w:rPr/>
        <w:t>more</w:t>
      </w:r>
      <w:r>
        <w:rPr>
          <w:spacing w:val="-13"/>
        </w:rPr>
        <w:t> </w:t>
      </w:r>
      <w:r>
        <w:rPr/>
        <w:t>time</w:t>
      </w:r>
      <w:r>
        <w:rPr>
          <w:spacing w:val="-13"/>
        </w:rPr>
        <w:t> </w:t>
      </w:r>
      <w:r>
        <w:rPr/>
        <w:t>reviewing</w:t>
      </w:r>
      <w:r>
        <w:rPr>
          <w:spacing w:val="-13"/>
        </w:rPr>
        <w:t> </w:t>
      </w:r>
      <w:r>
        <w:rPr/>
        <w:t>other</w:t>
      </w:r>
      <w:r>
        <w:rPr>
          <w:spacing w:val="-14"/>
        </w:rPr>
        <w:t> </w:t>
      </w:r>
      <w:r>
        <w:rPr/>
        <w:t>plan</w:t>
      </w:r>
      <w:r>
        <w:rPr>
          <w:spacing w:val="-13"/>
        </w:rPr>
        <w:t> </w:t>
      </w:r>
      <w:r>
        <w:rPr/>
        <w:t>features,</w:t>
      </w:r>
      <w:r>
        <w:rPr>
          <w:spacing w:val="-13"/>
        </w:rPr>
        <w:t> </w:t>
      </w:r>
      <w:r>
        <w:rPr/>
        <w:t>such</w:t>
      </w:r>
      <w:r>
        <w:rPr>
          <w:spacing w:val="-13"/>
        </w:rPr>
        <w:t> </w:t>
      </w:r>
      <w:r>
        <w:rPr/>
        <w:t>as</w:t>
      </w:r>
      <w:r>
        <w:rPr>
          <w:spacing w:val="-14"/>
        </w:rPr>
        <w:t> </w:t>
      </w:r>
      <w:r>
        <w:rPr/>
        <w:t>provider</w:t>
      </w:r>
      <w:r>
        <w:rPr>
          <w:spacing w:val="-14"/>
        </w:rPr>
        <w:t> </w:t>
      </w:r>
      <w:r>
        <w:rPr/>
        <w:t>networks</w:t>
      </w:r>
      <w:r>
        <w:rPr>
          <w:spacing w:val="-14"/>
        </w:rPr>
        <w:t> </w:t>
      </w:r>
      <w:r>
        <w:rPr/>
        <w:t>and</w:t>
      </w:r>
      <w:r>
        <w:rPr>
          <w:spacing w:val="-13"/>
        </w:rPr>
        <w:t> </w:t>
      </w:r>
      <w:r>
        <w:rPr/>
        <w:t>coverage</w:t>
      </w:r>
      <w:r>
        <w:rPr>
          <w:spacing w:val="-15"/>
        </w:rPr>
        <w:t> </w:t>
      </w:r>
      <w:r>
        <w:rPr/>
        <w:t>conditions. A thorough understanding of these features is important to making informed coverage decisions, particularly for beneficiaries with chronic conditions. We encourage CMS to retain the current standard and explore other avenues, such the Medicare Payment Advisory Commission’s (MedPAC) recommendation to allow MA plans that fail to meet the OOPC threshold to demonstrate a meaningful difference by submitting other supporting</w:t>
      </w:r>
      <w:r>
        <w:rPr>
          <w:spacing w:val="-29"/>
        </w:rPr>
        <w:t> </w:t>
      </w:r>
      <w:r>
        <w:rPr/>
        <w:t>materials.</w:t>
      </w:r>
    </w:p>
    <w:p>
      <w:pPr>
        <w:pStyle w:val="BodyText"/>
        <w:spacing w:before="9"/>
        <w:rPr>
          <w:sz w:val="25"/>
        </w:rPr>
      </w:pPr>
    </w:p>
    <w:p>
      <w:pPr>
        <w:pStyle w:val="Heading1"/>
        <w:numPr>
          <w:ilvl w:val="0"/>
          <w:numId w:val="5"/>
        </w:numPr>
        <w:tabs>
          <w:tab w:pos="839" w:val="left" w:leader="none"/>
          <w:tab w:pos="840" w:val="left" w:leader="none"/>
        </w:tabs>
        <w:spacing w:line="240" w:lineRule="auto" w:before="1" w:after="0"/>
        <w:ind w:left="840" w:right="0" w:hanging="720"/>
        <w:jc w:val="left"/>
      </w:pPr>
      <w:r>
        <w:rPr/>
        <w:t>Health Related Supplemental</w:t>
      </w:r>
      <w:r>
        <w:rPr>
          <w:spacing w:val="-19"/>
        </w:rPr>
        <w:t> </w:t>
      </w:r>
      <w:r>
        <w:rPr/>
        <w:t>Benefits</w:t>
      </w:r>
    </w:p>
    <w:p>
      <w:pPr>
        <w:pStyle w:val="BodyText"/>
        <w:spacing w:before="9"/>
        <w:rPr>
          <w:b/>
          <w:sz w:val="27"/>
        </w:rPr>
      </w:pPr>
    </w:p>
    <w:p>
      <w:pPr>
        <w:pStyle w:val="BodyText"/>
        <w:spacing w:line="259" w:lineRule="auto"/>
        <w:ind w:left="119" w:right="115"/>
        <w:jc w:val="both"/>
      </w:pPr>
      <w:r>
        <w:rPr/>
        <w:t>Current rules define a supplemental health care benefit as an item or service: (1) not covered by Original Medicare; (2) that is primarily health-related; and (3) for which the MA plan must incur a non-zero</w:t>
      </w:r>
      <w:r>
        <w:rPr>
          <w:spacing w:val="-6"/>
        </w:rPr>
        <w:t> </w:t>
      </w:r>
      <w:r>
        <w:rPr/>
        <w:t>medical</w:t>
      </w:r>
      <w:r>
        <w:rPr>
          <w:spacing w:val="-6"/>
        </w:rPr>
        <w:t> </w:t>
      </w:r>
      <w:r>
        <w:rPr/>
        <w:t>cost.</w:t>
      </w:r>
      <w:r>
        <w:rPr>
          <w:spacing w:val="-6"/>
        </w:rPr>
        <w:t> </w:t>
      </w:r>
      <w:r>
        <w:rPr/>
        <w:t>To</w:t>
      </w:r>
      <w:r>
        <w:rPr>
          <w:spacing w:val="-6"/>
        </w:rPr>
        <w:t> </w:t>
      </w:r>
      <w:r>
        <w:rPr/>
        <w:t>meet</w:t>
      </w:r>
      <w:r>
        <w:rPr>
          <w:spacing w:val="-6"/>
        </w:rPr>
        <w:t> </w:t>
      </w:r>
      <w:r>
        <w:rPr/>
        <w:t>the</w:t>
      </w:r>
      <w:r>
        <w:rPr>
          <w:spacing w:val="-6"/>
        </w:rPr>
        <w:t> </w:t>
      </w:r>
      <w:r>
        <w:rPr/>
        <w:t>primarily</w:t>
      </w:r>
      <w:r>
        <w:rPr>
          <w:spacing w:val="-6"/>
        </w:rPr>
        <w:t> </w:t>
      </w:r>
      <w:r>
        <w:rPr/>
        <w:t>health-related</w:t>
      </w:r>
      <w:r>
        <w:rPr>
          <w:spacing w:val="-6"/>
        </w:rPr>
        <w:t> </w:t>
      </w:r>
      <w:r>
        <w:rPr/>
        <w:t>standard,</w:t>
      </w:r>
      <w:r>
        <w:rPr>
          <w:spacing w:val="-6"/>
        </w:rPr>
        <w:t> </w:t>
      </w:r>
      <w:r>
        <w:rPr/>
        <w:t>the</w:t>
      </w:r>
      <w:r>
        <w:rPr>
          <w:spacing w:val="-6"/>
        </w:rPr>
        <w:t> </w:t>
      </w:r>
      <w:r>
        <w:rPr/>
        <w:t>primary</w:t>
      </w:r>
      <w:r>
        <w:rPr>
          <w:spacing w:val="-6"/>
        </w:rPr>
        <w:t> </w:t>
      </w:r>
      <w:r>
        <w:rPr/>
        <w:t>purpose</w:t>
      </w:r>
      <w:r>
        <w:rPr>
          <w:spacing w:val="-6"/>
        </w:rPr>
        <w:t> </w:t>
      </w:r>
      <w:r>
        <w:rPr/>
        <w:t>of</w:t>
      </w:r>
      <w:r>
        <w:rPr>
          <w:spacing w:val="-7"/>
        </w:rPr>
        <w:t> </w:t>
      </w:r>
      <w:r>
        <w:rPr/>
        <w:t>an</w:t>
      </w:r>
      <w:r>
        <w:rPr>
          <w:spacing w:val="-6"/>
        </w:rPr>
        <w:t> </w:t>
      </w:r>
      <w:r>
        <w:rPr/>
        <w:t>item or service must be to prevent, cure, or diminish an illness or injury. CMS has not previously allowed an item or service to be eligible for coverage as a supplemental benefit if its primary purpose is daily maintenance. In the draft Call Letter, CMS announced its intent to expand the scope of the primarily health-related supplemental benefit standard such that an item or service must diagnose, prevent, or treat an illness or injury; compensate for physical impairments; act to ameliorate the functional/psychological impact of injuries or health conditions; or reduce avoidable emergency or healthcare</w:t>
      </w:r>
      <w:r>
        <w:rPr>
          <w:spacing w:val="-11"/>
        </w:rPr>
        <w:t> </w:t>
      </w:r>
      <w:r>
        <w:rPr/>
        <w:t>utilization.</w:t>
      </w:r>
    </w:p>
    <w:p>
      <w:pPr>
        <w:pStyle w:val="BodyText"/>
        <w:spacing w:before="9"/>
        <w:rPr>
          <w:sz w:val="25"/>
        </w:rPr>
      </w:pPr>
    </w:p>
    <w:p>
      <w:pPr>
        <w:pStyle w:val="Heading1"/>
        <w:ind w:left="3299" w:right="3300"/>
      </w:pPr>
      <w:r>
        <w:rPr/>
        <w:t>Comment/Recommendation</w:t>
      </w:r>
    </w:p>
    <w:p>
      <w:pPr>
        <w:pStyle w:val="BodyText"/>
        <w:spacing w:before="8"/>
        <w:rPr>
          <w:b/>
          <w:sz w:val="27"/>
        </w:rPr>
      </w:pPr>
    </w:p>
    <w:p>
      <w:pPr>
        <w:pStyle w:val="BodyText"/>
        <w:spacing w:line="259" w:lineRule="auto"/>
        <w:ind w:left="119" w:right="225"/>
      </w:pPr>
      <w:r>
        <w:rPr/>
        <w:t>DaVita appreciates CMS’s decision to broaden the primarily health-related supplemental benefits standard. This reinterpretation better aligns with the wide body of research demonstrating the value of items and services that do not meet the current standard in helping beneficiaries maintain their health. As CMS knows, beneficiaries with ESRD often experience a number of comorbidities.</w:t>
      </w:r>
    </w:p>
    <w:p>
      <w:pPr>
        <w:pStyle w:val="BodyText"/>
        <w:spacing w:line="259" w:lineRule="auto"/>
        <w:ind w:left="119" w:right="357"/>
      </w:pPr>
      <w:r>
        <w:rPr/>
        <w:t>Managing or preventing these comorbidities depends on a several factors, including monitoring weight gain and loss to assess fluid retention. Like the fall prevention device example cited in the draft Call Letter, providing an ESRD patient with an in-home scale can have a significant, positive impact on their health outcomes.</w:t>
      </w:r>
    </w:p>
    <w:p>
      <w:pPr>
        <w:pStyle w:val="BodyText"/>
        <w:spacing w:before="9"/>
        <w:rPr>
          <w:sz w:val="25"/>
        </w:rPr>
      </w:pPr>
    </w:p>
    <w:p>
      <w:pPr>
        <w:pStyle w:val="BodyText"/>
        <w:spacing w:line="259" w:lineRule="auto" w:before="1"/>
        <w:ind w:left="120" w:right="104"/>
      </w:pPr>
      <w:r>
        <w:rPr/>
        <w:t>CMS currently permits MA plans to cover scales for enrollees with congestive heart failure (CHF) and liver disease under the dual purpose policy for over-the-counter (OTC) items and services. We encourage CMS to extend that policy to scales provided to ESRD patients. In addition, we recommend that CMS finalize the revised primarily-health related standard, which will afford MA plans another avenue to ensure that they can design and offer supplemental benefits that meet their enrollees’ needs. In doing so, we urge CMS not to create significant administrative barriers that make it challenging for MA plans to offer, and beneficiaries to take advantage of, benefits covered under</w:t>
      </w:r>
    </w:p>
    <w:p>
      <w:pPr>
        <w:spacing w:after="0" w:line="259" w:lineRule="auto"/>
        <w:sectPr>
          <w:pgSz w:w="12240" w:h="15840"/>
          <w:pgMar w:header="0" w:footer="705" w:top="920" w:bottom="920" w:left="1320" w:right="1320"/>
        </w:sectPr>
      </w:pPr>
    </w:p>
    <w:p>
      <w:pPr>
        <w:pStyle w:val="BodyText"/>
        <w:spacing w:line="259" w:lineRule="auto" w:before="79"/>
        <w:ind w:left="100" w:right="128"/>
      </w:pPr>
      <w:r>
        <w:rPr/>
        <w:t>the revised standard. For example, under the dual purpose requirements for an OTC item or service, the item or service can be purchased after a provider and beneficiary discuss the purchase or satisfy other requirements an MA plan may specify. This requirement can be met through a written note from, or verbal discussion with, the provider.</w:t>
      </w:r>
    </w:p>
    <w:p>
      <w:pPr>
        <w:pStyle w:val="BodyText"/>
        <w:spacing w:before="9"/>
        <w:rPr>
          <w:sz w:val="25"/>
        </w:rPr>
      </w:pPr>
    </w:p>
    <w:p>
      <w:pPr>
        <w:pStyle w:val="Heading1"/>
        <w:numPr>
          <w:ilvl w:val="0"/>
          <w:numId w:val="5"/>
        </w:numPr>
        <w:tabs>
          <w:tab w:pos="820" w:val="left" w:leader="none"/>
        </w:tabs>
        <w:spacing w:line="240" w:lineRule="auto" w:before="0" w:after="0"/>
        <w:ind w:left="820" w:right="0" w:hanging="720"/>
        <w:jc w:val="both"/>
      </w:pPr>
      <w:r>
        <w:rPr/>
        <w:t>Special Needs Plan (SNP)-Specific Networks Research and</w:t>
      </w:r>
      <w:r>
        <w:rPr>
          <w:spacing w:val="-25"/>
        </w:rPr>
        <w:t> </w:t>
      </w:r>
      <w:r>
        <w:rPr/>
        <w:t>Development</w:t>
      </w:r>
    </w:p>
    <w:p>
      <w:pPr>
        <w:pStyle w:val="BodyText"/>
        <w:spacing w:before="8"/>
        <w:rPr>
          <w:b/>
          <w:sz w:val="27"/>
        </w:rPr>
      </w:pPr>
    </w:p>
    <w:p>
      <w:pPr>
        <w:pStyle w:val="BodyText"/>
        <w:spacing w:line="259" w:lineRule="auto"/>
        <w:ind w:left="100" w:right="116"/>
        <w:jc w:val="both"/>
      </w:pPr>
      <w:r>
        <w:rPr/>
        <w:t>In the 2018 Final Call Letter, CMS announced plans to move forward in developing SNP-specific network adequacy evaluations. The 2019 draft Call Letter stated that CMS is continuing to examine the need for SNP-specific network adequacy evaluations.</w:t>
      </w:r>
    </w:p>
    <w:p>
      <w:pPr>
        <w:pStyle w:val="BodyText"/>
        <w:spacing w:before="7"/>
        <w:rPr>
          <w:sz w:val="25"/>
        </w:rPr>
      </w:pPr>
    </w:p>
    <w:p>
      <w:pPr>
        <w:pStyle w:val="Heading1"/>
        <w:ind w:left="3279" w:right="3298"/>
      </w:pPr>
      <w:r>
        <w:rPr/>
        <w:t>Comment/Recommendation</w:t>
      </w:r>
    </w:p>
    <w:p>
      <w:pPr>
        <w:pStyle w:val="BodyText"/>
        <w:spacing w:before="9"/>
        <w:rPr>
          <w:b/>
          <w:sz w:val="27"/>
        </w:rPr>
      </w:pPr>
    </w:p>
    <w:p>
      <w:pPr>
        <w:pStyle w:val="BodyText"/>
        <w:spacing w:line="259" w:lineRule="auto"/>
        <w:ind w:left="100" w:right="114"/>
        <w:jc w:val="both"/>
      </w:pPr>
      <w:r>
        <w:rPr/>
        <w:t>DaVita supports the development of SNP-specific network adequacy evaluations. As CMS knows, Congress authorized SNPs to allow plans to develop, apply, and focus their specific care delivery expertise in serving chronically ill and other vulnerable Medicare beneficiaries. Many patients with a chronic illness and those who are dual eligible often have long-standing provider relationships. They also often face barriers, including lack of transportation that can undermine their ability to adhere to treatment recommendations. Finally, their care often involves a team of providers who focus on the beneficiary’s primary condition as well as various comorbidities. For example, on a routine basis, a beneficiary with ESRD will likely see not only a nephrologist, but also a cardiologist, pulmonologist, and</w:t>
      </w:r>
      <w:r>
        <w:rPr>
          <w:spacing w:val="-12"/>
        </w:rPr>
        <w:t> </w:t>
      </w:r>
      <w:r>
        <w:rPr/>
        <w:t>vascular</w:t>
      </w:r>
      <w:r>
        <w:rPr>
          <w:spacing w:val="-13"/>
        </w:rPr>
        <w:t> </w:t>
      </w:r>
      <w:r>
        <w:rPr/>
        <w:t>surgeon.</w:t>
      </w:r>
      <w:r>
        <w:rPr>
          <w:spacing w:val="-11"/>
        </w:rPr>
        <w:t> </w:t>
      </w:r>
      <w:r>
        <w:rPr/>
        <w:t>Subjecting</w:t>
      </w:r>
      <w:r>
        <w:rPr>
          <w:spacing w:val="-11"/>
        </w:rPr>
        <w:t> </w:t>
      </w:r>
      <w:r>
        <w:rPr/>
        <w:t>SNPs</w:t>
      </w:r>
      <w:r>
        <w:rPr>
          <w:spacing w:val="-13"/>
        </w:rPr>
        <w:t> </w:t>
      </w:r>
      <w:r>
        <w:rPr/>
        <w:t>to</w:t>
      </w:r>
      <w:r>
        <w:rPr>
          <w:spacing w:val="-12"/>
        </w:rPr>
        <w:t> </w:t>
      </w:r>
      <w:r>
        <w:rPr/>
        <w:t>more</w:t>
      </w:r>
      <w:r>
        <w:rPr>
          <w:spacing w:val="-13"/>
        </w:rPr>
        <w:t> </w:t>
      </w:r>
      <w:r>
        <w:rPr/>
        <w:t>specific</w:t>
      </w:r>
      <w:r>
        <w:rPr>
          <w:spacing w:val="-11"/>
        </w:rPr>
        <w:t> </w:t>
      </w:r>
      <w:r>
        <w:rPr/>
        <w:t>network</w:t>
      </w:r>
      <w:r>
        <w:rPr>
          <w:spacing w:val="-14"/>
        </w:rPr>
        <w:t> </w:t>
      </w:r>
      <w:r>
        <w:rPr/>
        <w:t>adequacy</w:t>
      </w:r>
      <w:r>
        <w:rPr>
          <w:spacing w:val="-13"/>
        </w:rPr>
        <w:t> </w:t>
      </w:r>
      <w:r>
        <w:rPr/>
        <w:t>evaluations</w:t>
      </w:r>
      <w:r>
        <w:rPr>
          <w:spacing w:val="-13"/>
        </w:rPr>
        <w:t> </w:t>
      </w:r>
      <w:r>
        <w:rPr/>
        <w:t>will</w:t>
      </w:r>
      <w:r>
        <w:rPr>
          <w:spacing w:val="-14"/>
        </w:rPr>
        <w:t> </w:t>
      </w:r>
      <w:r>
        <w:rPr/>
        <w:t>ensure</w:t>
      </w:r>
      <w:r>
        <w:rPr>
          <w:spacing w:val="-11"/>
        </w:rPr>
        <w:t> </w:t>
      </w:r>
      <w:r>
        <w:rPr/>
        <w:t>that they continue to fulfill their promise in delivering high-quality care and more important, that the chronically</w:t>
      </w:r>
      <w:r>
        <w:rPr>
          <w:spacing w:val="-4"/>
        </w:rPr>
        <w:t> </w:t>
      </w:r>
      <w:r>
        <w:rPr/>
        <w:t>ill</w:t>
      </w:r>
      <w:r>
        <w:rPr>
          <w:spacing w:val="-4"/>
        </w:rPr>
        <w:t> </w:t>
      </w:r>
      <w:r>
        <w:rPr/>
        <w:t>and</w:t>
      </w:r>
      <w:r>
        <w:rPr>
          <w:spacing w:val="-4"/>
        </w:rPr>
        <w:t> </w:t>
      </w:r>
      <w:r>
        <w:rPr/>
        <w:t>vulnerable</w:t>
      </w:r>
      <w:r>
        <w:rPr>
          <w:spacing w:val="-4"/>
        </w:rPr>
        <w:t> </w:t>
      </w:r>
      <w:r>
        <w:rPr/>
        <w:t>beneficiaries</w:t>
      </w:r>
      <w:r>
        <w:rPr>
          <w:spacing w:val="-6"/>
        </w:rPr>
        <w:t> </w:t>
      </w:r>
      <w:r>
        <w:rPr/>
        <w:t>they</w:t>
      </w:r>
      <w:r>
        <w:rPr>
          <w:spacing w:val="-4"/>
        </w:rPr>
        <w:t> </w:t>
      </w:r>
      <w:r>
        <w:rPr/>
        <w:t>serve</w:t>
      </w:r>
      <w:r>
        <w:rPr>
          <w:spacing w:val="-4"/>
        </w:rPr>
        <w:t> </w:t>
      </w:r>
      <w:r>
        <w:rPr/>
        <w:t>have</w:t>
      </w:r>
      <w:r>
        <w:rPr>
          <w:spacing w:val="-4"/>
        </w:rPr>
        <w:t> </w:t>
      </w:r>
      <w:r>
        <w:rPr/>
        <w:t>good</w:t>
      </w:r>
      <w:r>
        <w:rPr>
          <w:spacing w:val="-7"/>
        </w:rPr>
        <w:t> </w:t>
      </w:r>
      <w:r>
        <w:rPr/>
        <w:t>access</w:t>
      </w:r>
      <w:r>
        <w:rPr>
          <w:spacing w:val="-6"/>
        </w:rPr>
        <w:t> </w:t>
      </w:r>
      <w:r>
        <w:rPr/>
        <w:t>to</w:t>
      </w:r>
      <w:r>
        <w:rPr>
          <w:spacing w:val="-5"/>
        </w:rPr>
        <w:t> </w:t>
      </w:r>
      <w:r>
        <w:rPr/>
        <w:t>high-value</w:t>
      </w:r>
      <w:r>
        <w:rPr>
          <w:spacing w:val="-4"/>
        </w:rPr>
        <w:t> </w:t>
      </w:r>
      <w:r>
        <w:rPr/>
        <w:t>providers.</w:t>
      </w:r>
    </w:p>
    <w:sectPr>
      <w:pgSz w:w="12240" w:h="15840"/>
      <w:pgMar w:header="0" w:footer="705" w:top="640" w:bottom="9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Calibri">
    <w:altName w:val="Calibri"/>
    <w:charset w:val="0"/>
    <w:family w:val="swiss"/>
    <w:pitch w:val="variable"/>
  </w:font>
  <w:font w:name="Garamond">
    <w:altName w:val="Garamond"/>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960022pt;margin-top:744.890015pt;width:9.050pt;height:12pt;mso-position-horizontal-relative:page;mso-position-vertical-relative:page;z-index:-20080"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w w:val="99"/>
                    <w:sz w:val="2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799988pt;margin-top:744.890015pt;width:12.1pt;height:12pt;mso-position-horizontal-relative:page;mso-position-vertical-relative:page;z-index:-20056" type="#_x0000_t202" filled="false" stroked="false">
          <v:textbox inset="0,0,0,0">
            <w:txbxContent>
              <w:p>
                <w:pPr>
                  <w:spacing w:line="223" w:lineRule="exact" w:before="0"/>
                  <w:ind w:left="20" w:right="0" w:firstLine="0"/>
                  <w:jc w:val="left"/>
                  <w:rPr>
                    <w:rFonts w:ascii="Calibri"/>
                    <w:sz w:val="20"/>
                  </w:rPr>
                </w:pPr>
                <w:r>
                  <w:rPr>
                    <w:rFonts w:ascii="Calibri"/>
                    <w:sz w:val="20"/>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799988pt;margin-top:744.890015pt;width:14.1pt;height:12pt;mso-position-horizontal-relative:page;mso-position-vertical-relative:page;z-index:-20032"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sz w:val="20"/>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Roman"/>
      <w:lvlText w:val="%1."/>
      <w:lvlJc w:val="left"/>
      <w:pPr>
        <w:ind w:left="840" w:hanging="720"/>
        <w:jc w:val="left"/>
      </w:pPr>
      <w:rPr>
        <w:rFonts w:hint="default" w:ascii="Garamond" w:hAnsi="Garamond" w:eastAsia="Garamond" w:cs="Garamond"/>
        <w:b/>
        <w:bCs/>
        <w:spacing w:val="-2"/>
        <w:w w:val="100"/>
        <w:sz w:val="24"/>
        <w:szCs w:val="24"/>
      </w:rPr>
    </w:lvl>
    <w:lvl w:ilvl="1">
      <w:start w:val="0"/>
      <w:numFmt w:val="bullet"/>
      <w:lvlText w:val="•"/>
      <w:lvlJc w:val="left"/>
      <w:pPr>
        <w:ind w:left="1716" w:hanging="720"/>
      </w:pPr>
      <w:rPr>
        <w:rFonts w:hint="default"/>
      </w:rPr>
    </w:lvl>
    <w:lvl w:ilvl="2">
      <w:start w:val="0"/>
      <w:numFmt w:val="bullet"/>
      <w:lvlText w:val="•"/>
      <w:lvlJc w:val="left"/>
      <w:pPr>
        <w:ind w:left="2592" w:hanging="720"/>
      </w:pPr>
      <w:rPr>
        <w:rFonts w:hint="default"/>
      </w:rPr>
    </w:lvl>
    <w:lvl w:ilvl="3">
      <w:start w:val="0"/>
      <w:numFmt w:val="bullet"/>
      <w:lvlText w:val="•"/>
      <w:lvlJc w:val="left"/>
      <w:pPr>
        <w:ind w:left="3468" w:hanging="720"/>
      </w:pPr>
      <w:rPr>
        <w:rFonts w:hint="default"/>
      </w:rPr>
    </w:lvl>
    <w:lvl w:ilvl="4">
      <w:start w:val="0"/>
      <w:numFmt w:val="bullet"/>
      <w:lvlText w:val="•"/>
      <w:lvlJc w:val="left"/>
      <w:pPr>
        <w:ind w:left="4344" w:hanging="720"/>
      </w:pPr>
      <w:rPr>
        <w:rFonts w:hint="default"/>
      </w:rPr>
    </w:lvl>
    <w:lvl w:ilvl="5">
      <w:start w:val="0"/>
      <w:numFmt w:val="bullet"/>
      <w:lvlText w:val="•"/>
      <w:lvlJc w:val="left"/>
      <w:pPr>
        <w:ind w:left="5220" w:hanging="720"/>
      </w:pPr>
      <w:rPr>
        <w:rFonts w:hint="default"/>
      </w:rPr>
    </w:lvl>
    <w:lvl w:ilvl="6">
      <w:start w:val="0"/>
      <w:numFmt w:val="bullet"/>
      <w:lvlText w:val="•"/>
      <w:lvlJc w:val="left"/>
      <w:pPr>
        <w:ind w:left="6096" w:hanging="720"/>
      </w:pPr>
      <w:rPr>
        <w:rFonts w:hint="default"/>
      </w:rPr>
    </w:lvl>
    <w:lvl w:ilvl="7">
      <w:start w:val="0"/>
      <w:numFmt w:val="bullet"/>
      <w:lvlText w:val="•"/>
      <w:lvlJc w:val="left"/>
      <w:pPr>
        <w:ind w:left="6972" w:hanging="720"/>
      </w:pPr>
      <w:rPr>
        <w:rFonts w:hint="default"/>
      </w:rPr>
    </w:lvl>
    <w:lvl w:ilvl="8">
      <w:start w:val="0"/>
      <w:numFmt w:val="bullet"/>
      <w:lvlText w:val="•"/>
      <w:lvlJc w:val="left"/>
      <w:pPr>
        <w:ind w:left="7848" w:hanging="720"/>
      </w:pPr>
      <w:rPr>
        <w:rFonts w:hint="default"/>
      </w:rPr>
    </w:lvl>
  </w:abstractNum>
  <w:abstractNum w:abstractNumId="3">
    <w:multiLevelType w:val="hybridMultilevel"/>
    <w:lvl w:ilvl="0">
      <w:start w:val="4"/>
      <w:numFmt w:val="upperRoman"/>
      <w:lvlText w:val="(%1)"/>
      <w:lvlJc w:val="left"/>
      <w:pPr>
        <w:ind w:left="100" w:hanging="447"/>
        <w:jc w:val="left"/>
      </w:pPr>
      <w:rPr>
        <w:rFonts w:hint="default" w:ascii="Garamond" w:hAnsi="Garamond" w:eastAsia="Garamond" w:cs="Garamond"/>
        <w:spacing w:val="-1"/>
        <w:w w:val="100"/>
        <w:sz w:val="24"/>
        <w:szCs w:val="24"/>
      </w:rPr>
    </w:lvl>
    <w:lvl w:ilvl="1">
      <w:start w:val="1"/>
      <w:numFmt w:val="decimal"/>
      <w:lvlText w:val="(%2)"/>
      <w:lvlJc w:val="left"/>
      <w:pPr>
        <w:ind w:left="660" w:hanging="360"/>
        <w:jc w:val="left"/>
      </w:pPr>
      <w:rPr>
        <w:rFonts w:hint="default" w:ascii="Garamond" w:hAnsi="Garamond" w:eastAsia="Garamond" w:cs="Garamond"/>
        <w:b/>
        <w:bCs/>
        <w:spacing w:val="-25"/>
        <w:w w:val="99"/>
        <w:sz w:val="24"/>
        <w:szCs w:val="24"/>
      </w:rPr>
    </w:lvl>
    <w:lvl w:ilvl="2">
      <w:start w:val="0"/>
      <w:numFmt w:val="bullet"/>
      <w:lvlText w:val="•"/>
      <w:lvlJc w:val="left"/>
      <w:pPr>
        <w:ind w:left="1651" w:hanging="360"/>
      </w:pPr>
      <w:rPr>
        <w:rFonts w:hint="default"/>
      </w:rPr>
    </w:lvl>
    <w:lvl w:ilvl="3">
      <w:start w:val="0"/>
      <w:numFmt w:val="bullet"/>
      <w:lvlText w:val="•"/>
      <w:lvlJc w:val="left"/>
      <w:pPr>
        <w:ind w:left="2642" w:hanging="360"/>
      </w:pPr>
      <w:rPr>
        <w:rFonts w:hint="default"/>
      </w:rPr>
    </w:lvl>
    <w:lvl w:ilvl="4">
      <w:start w:val="0"/>
      <w:numFmt w:val="bullet"/>
      <w:lvlText w:val="•"/>
      <w:lvlJc w:val="left"/>
      <w:pPr>
        <w:ind w:left="3633" w:hanging="360"/>
      </w:pPr>
      <w:rPr>
        <w:rFonts w:hint="default"/>
      </w:rPr>
    </w:lvl>
    <w:lvl w:ilvl="5">
      <w:start w:val="0"/>
      <w:numFmt w:val="bullet"/>
      <w:lvlText w:val="•"/>
      <w:lvlJc w:val="left"/>
      <w:pPr>
        <w:ind w:left="4624" w:hanging="360"/>
      </w:pPr>
      <w:rPr>
        <w:rFonts w:hint="default"/>
      </w:rPr>
    </w:lvl>
    <w:lvl w:ilvl="6">
      <w:start w:val="0"/>
      <w:numFmt w:val="bullet"/>
      <w:lvlText w:val="•"/>
      <w:lvlJc w:val="left"/>
      <w:pPr>
        <w:ind w:left="5615" w:hanging="360"/>
      </w:pPr>
      <w:rPr>
        <w:rFonts w:hint="default"/>
      </w:rPr>
    </w:lvl>
    <w:lvl w:ilvl="7">
      <w:start w:val="0"/>
      <w:numFmt w:val="bullet"/>
      <w:lvlText w:val="•"/>
      <w:lvlJc w:val="left"/>
      <w:pPr>
        <w:ind w:left="6606" w:hanging="360"/>
      </w:pPr>
      <w:rPr>
        <w:rFonts w:hint="default"/>
      </w:rPr>
    </w:lvl>
    <w:lvl w:ilvl="8">
      <w:start w:val="0"/>
      <w:numFmt w:val="bullet"/>
      <w:lvlText w:val="•"/>
      <w:lvlJc w:val="left"/>
      <w:pPr>
        <w:ind w:left="7597" w:hanging="360"/>
      </w:pPr>
      <w:rPr>
        <w:rFonts w:hint="default"/>
      </w:rPr>
    </w:lvl>
  </w:abstractNum>
  <w:abstractNum w:abstractNumId="2">
    <w:multiLevelType w:val="hybridMultilevel"/>
    <w:lvl w:ilvl="0">
      <w:start w:val="1"/>
      <w:numFmt w:val="upperRoman"/>
      <w:lvlText w:val="%1."/>
      <w:lvlJc w:val="left"/>
      <w:pPr>
        <w:ind w:left="840" w:hanging="720"/>
        <w:jc w:val="left"/>
      </w:pPr>
      <w:rPr>
        <w:rFonts w:hint="default" w:ascii="Garamond" w:hAnsi="Garamond" w:eastAsia="Garamond" w:cs="Garamond"/>
        <w:b/>
        <w:bCs/>
        <w:spacing w:val="-1"/>
        <w:w w:val="100"/>
        <w:sz w:val="24"/>
        <w:szCs w:val="24"/>
      </w:rPr>
    </w:lvl>
    <w:lvl w:ilvl="1">
      <w:start w:val="1"/>
      <w:numFmt w:val="decimal"/>
      <w:lvlText w:val="(%2)"/>
      <w:lvlJc w:val="left"/>
      <w:pPr>
        <w:ind w:left="640" w:hanging="360"/>
        <w:jc w:val="right"/>
      </w:pPr>
      <w:rPr>
        <w:rFonts w:hint="default" w:ascii="Garamond" w:hAnsi="Garamond" w:eastAsia="Garamond" w:cs="Garamond"/>
        <w:b/>
        <w:bCs/>
        <w:spacing w:val="-25"/>
        <w:w w:val="100"/>
        <w:sz w:val="24"/>
        <w:szCs w:val="24"/>
      </w:rPr>
    </w:lvl>
    <w:lvl w:ilvl="2">
      <w:start w:val="0"/>
      <w:numFmt w:val="bullet"/>
      <w:lvlText w:val="•"/>
      <w:lvlJc w:val="left"/>
      <w:pPr>
        <w:ind w:left="1811" w:hanging="360"/>
      </w:pPr>
      <w:rPr>
        <w:rFonts w:hint="default"/>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abstractNum w:abstractNumId="1">
    <w:multiLevelType w:val="hybridMultilevel"/>
    <w:lvl w:ilvl="0">
      <w:start w:val="0"/>
      <w:numFmt w:val="bullet"/>
      <w:lvlText w:val=""/>
      <w:lvlJc w:val="left"/>
      <w:pPr>
        <w:ind w:left="640" w:hanging="360"/>
      </w:pPr>
      <w:rPr>
        <w:rFonts w:hint="default" w:ascii="Symbol" w:hAnsi="Symbol" w:eastAsia="Symbol" w:cs="Symbol"/>
        <w:w w:val="100"/>
        <w:sz w:val="24"/>
        <w:szCs w:val="24"/>
      </w:rPr>
    </w:lvl>
    <w:lvl w:ilvl="1">
      <w:start w:val="0"/>
      <w:numFmt w:val="bullet"/>
      <w:lvlText w:val=""/>
      <w:lvlJc w:val="left"/>
      <w:pPr>
        <w:ind w:left="840" w:hanging="360"/>
      </w:pPr>
      <w:rPr>
        <w:rFonts w:hint="default" w:ascii="Symbol" w:hAnsi="Symbol" w:eastAsia="Symbol" w:cs="Symbol"/>
        <w:w w:val="100"/>
        <w:sz w:val="24"/>
        <w:szCs w:val="24"/>
      </w:rPr>
    </w:lvl>
    <w:lvl w:ilvl="2">
      <w:start w:val="0"/>
      <w:numFmt w:val="bullet"/>
      <w:lvlText w:val="•"/>
      <w:lvlJc w:val="left"/>
      <w:pPr>
        <w:ind w:left="1811" w:hanging="360"/>
      </w:pPr>
      <w:rPr>
        <w:rFonts w:hint="default"/>
      </w:rPr>
    </w:lvl>
    <w:lvl w:ilvl="3">
      <w:start w:val="0"/>
      <w:numFmt w:val="bullet"/>
      <w:lvlText w:val="•"/>
      <w:lvlJc w:val="left"/>
      <w:pPr>
        <w:ind w:left="2782" w:hanging="360"/>
      </w:pPr>
      <w:rPr>
        <w:rFonts w:hint="default"/>
      </w:rPr>
    </w:lvl>
    <w:lvl w:ilvl="4">
      <w:start w:val="0"/>
      <w:numFmt w:val="bullet"/>
      <w:lvlText w:val="•"/>
      <w:lvlJc w:val="left"/>
      <w:pPr>
        <w:ind w:left="3753" w:hanging="360"/>
      </w:pPr>
      <w:rPr>
        <w:rFonts w:hint="default"/>
      </w:rPr>
    </w:lvl>
    <w:lvl w:ilvl="5">
      <w:start w:val="0"/>
      <w:numFmt w:val="bullet"/>
      <w:lvlText w:val="•"/>
      <w:lvlJc w:val="left"/>
      <w:pPr>
        <w:ind w:left="4724" w:hanging="360"/>
      </w:pPr>
      <w:rPr>
        <w:rFonts w:hint="default"/>
      </w:rPr>
    </w:lvl>
    <w:lvl w:ilvl="6">
      <w:start w:val="0"/>
      <w:numFmt w:val="bullet"/>
      <w:lvlText w:val="•"/>
      <w:lvlJc w:val="left"/>
      <w:pPr>
        <w:ind w:left="5695" w:hanging="360"/>
      </w:pPr>
      <w:rPr>
        <w:rFonts w:hint="default"/>
      </w:rPr>
    </w:lvl>
    <w:lvl w:ilvl="7">
      <w:start w:val="0"/>
      <w:numFmt w:val="bullet"/>
      <w:lvlText w:val="•"/>
      <w:lvlJc w:val="left"/>
      <w:pPr>
        <w:ind w:left="6666" w:hanging="360"/>
      </w:pPr>
      <w:rPr>
        <w:rFonts w:hint="default"/>
      </w:rPr>
    </w:lvl>
    <w:lvl w:ilvl="8">
      <w:start w:val="0"/>
      <w:numFmt w:val="bullet"/>
      <w:lvlText w:val="•"/>
      <w:lvlJc w:val="left"/>
      <w:pPr>
        <w:ind w:left="7637" w:hanging="360"/>
      </w:pPr>
      <w:rPr>
        <w:rFonts w:hint="default"/>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rPr>
    </w:lvl>
    <w:lvl w:ilvl="1">
      <w:start w:val="0"/>
      <w:numFmt w:val="bullet"/>
      <w:lvlText w:val="•"/>
      <w:lvlJc w:val="left"/>
      <w:pPr>
        <w:ind w:left="1696" w:hanging="360"/>
      </w:pPr>
      <w:rPr>
        <w:rFonts w:hint="default"/>
      </w:rPr>
    </w:lvl>
    <w:lvl w:ilvl="2">
      <w:start w:val="0"/>
      <w:numFmt w:val="bullet"/>
      <w:lvlText w:val="•"/>
      <w:lvlJc w:val="left"/>
      <w:pPr>
        <w:ind w:left="2572" w:hanging="360"/>
      </w:pPr>
      <w:rPr>
        <w:rFonts w:hint="default"/>
      </w:rPr>
    </w:lvl>
    <w:lvl w:ilvl="3">
      <w:start w:val="0"/>
      <w:numFmt w:val="bullet"/>
      <w:lvlText w:val="•"/>
      <w:lvlJc w:val="left"/>
      <w:pPr>
        <w:ind w:left="3448" w:hanging="360"/>
      </w:pPr>
      <w:rPr>
        <w:rFonts w:hint="default"/>
      </w:rPr>
    </w:lvl>
    <w:lvl w:ilvl="4">
      <w:start w:val="0"/>
      <w:numFmt w:val="bullet"/>
      <w:lvlText w:val="•"/>
      <w:lvlJc w:val="left"/>
      <w:pPr>
        <w:ind w:left="4324" w:hanging="360"/>
      </w:pPr>
      <w:rPr>
        <w:rFonts w:hint="default"/>
      </w:rPr>
    </w:lvl>
    <w:lvl w:ilvl="5">
      <w:start w:val="0"/>
      <w:numFmt w:val="bullet"/>
      <w:lvlText w:val="•"/>
      <w:lvlJc w:val="left"/>
      <w:pPr>
        <w:ind w:left="5200" w:hanging="360"/>
      </w:pPr>
      <w:rPr>
        <w:rFonts w:hint="default"/>
      </w:rPr>
    </w:lvl>
    <w:lvl w:ilvl="6">
      <w:start w:val="0"/>
      <w:numFmt w:val="bullet"/>
      <w:lvlText w:val="•"/>
      <w:lvlJc w:val="left"/>
      <w:pPr>
        <w:ind w:left="6076"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828"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Heading1" w:type="paragraph">
    <w:name w:val="Heading 1"/>
    <w:basedOn w:val="Normal"/>
    <w:uiPriority w:val="1"/>
    <w:qFormat/>
    <w:pPr>
      <w:ind w:left="840"/>
      <w:jc w:val="center"/>
      <w:outlineLvl w:val="1"/>
    </w:pPr>
    <w:rPr>
      <w:rFonts w:ascii="Garamond" w:hAnsi="Garamond" w:eastAsia="Garamond" w:cs="Garamond"/>
      <w:b/>
      <w:bCs/>
      <w:sz w:val="24"/>
      <w:szCs w:val="24"/>
    </w:rPr>
  </w:style>
  <w:style w:styleId="ListParagraph" w:type="paragraph">
    <w:name w:val="List Paragraph"/>
    <w:basedOn w:val="Normal"/>
    <w:uiPriority w:val="1"/>
    <w:qFormat/>
    <w:pPr>
      <w:ind w:left="840" w:hanging="360"/>
      <w:jc w:val="both"/>
    </w:pPr>
    <w:rPr>
      <w:rFonts w:ascii="Garamond" w:hAnsi="Garamond" w:eastAsia="Garamond" w:cs="Garamond"/>
    </w:rPr>
  </w:style>
  <w:style w:styleId="TableParagraph" w:type="paragraph">
    <w:name w:val="Table Paragraph"/>
    <w:basedOn w:val="Normal"/>
    <w:uiPriority w:val="1"/>
    <w:qFormat/>
    <w:pPr>
      <w:spacing w:before="5"/>
      <w:jc w:val="center"/>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gambrohealthcare.com/" TargetMode="External"/><Relationship Id="rId7" Type="http://schemas.openxmlformats.org/officeDocument/2006/relationships/footer" Target="footer1.xml"/><Relationship Id="rId8" Type="http://schemas.openxmlformats.org/officeDocument/2006/relationships/hyperlink" Target="mailto:LeAnne.Zumwalt@davita.com"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Richardson</dc:creator>
  <dcterms:created xsi:type="dcterms:W3CDTF">2018-06-12T23:33:35Z</dcterms:created>
  <dcterms:modified xsi:type="dcterms:W3CDTF">2018-06-12T23:33:35Z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