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p>
    <w:p>
      <w:pPr>
        <w:pStyle w:val="Heading3"/>
        <w:spacing w:line="252" w:lineRule="exact"/>
        <w:ind w:left="1032"/>
        <w:rPr>
          <w:u w:val="none"/>
        </w:rPr>
      </w:pPr>
      <w:r>
        <w:rPr/>
        <w:drawing>
          <wp:anchor distT="0" distB="0" distL="0" distR="0" allowOverlap="1" layoutInCell="1" locked="0" behindDoc="0" simplePos="0" relativeHeight="1048">
            <wp:simplePos x="0" y="0"/>
            <wp:positionH relativeFrom="page">
              <wp:posOffset>140970</wp:posOffset>
            </wp:positionH>
            <wp:positionV relativeFrom="paragraph">
              <wp:posOffset>-1326520</wp:posOffset>
            </wp:positionV>
            <wp:extent cx="7631429" cy="1323975"/>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7631429" cy="1323975"/>
                    </a:xfrm>
                    <a:prstGeom prst="rect">
                      <a:avLst/>
                    </a:prstGeom>
                  </pic:spPr>
                </pic:pic>
              </a:graphicData>
            </a:graphic>
          </wp:anchor>
        </w:drawing>
      </w:r>
      <w:r>
        <w:rPr>
          <w:u w:val="none"/>
        </w:rPr>
        <w:t>Submitted electronically to </w:t>
      </w:r>
      <w:hyperlink r:id="rId7">
        <w:r>
          <w:rPr>
            <w:u w:val="thick"/>
          </w:rPr>
          <w:t>https://www.regulations.gov/</w:t>
        </w:r>
        <w:r>
          <w:rPr>
            <w:u w:val="none"/>
          </w:rPr>
          <w:t>,</w:t>
        </w:r>
      </w:hyperlink>
      <w:r>
        <w:rPr>
          <w:u w:val="none"/>
        </w:rPr>
        <w:t> Docket Number “CMS-2017-0163”</w:t>
      </w:r>
    </w:p>
    <w:p>
      <w:pPr>
        <w:spacing w:line="252" w:lineRule="exact" w:before="0"/>
        <w:ind w:left="1032" w:right="0" w:firstLine="0"/>
        <w:jc w:val="left"/>
        <w:rPr>
          <w:i/>
          <w:sz w:val="22"/>
        </w:rPr>
      </w:pPr>
      <w:r>
        <w:rPr>
          <w:i/>
          <w:sz w:val="22"/>
          <w:shd w:fill="FFFF00" w:color="auto" w:val="clear"/>
        </w:rPr>
        <w:t>Medicaid and Medicare Advantage Association of Puerto Rico: Comments and Proposals</w:t>
      </w:r>
    </w:p>
    <w:p>
      <w:pPr>
        <w:spacing w:before="2"/>
        <w:ind w:left="1032" w:right="0" w:firstLine="0"/>
        <w:jc w:val="left"/>
        <w:rPr>
          <w:i/>
          <w:sz w:val="22"/>
        </w:rPr>
      </w:pPr>
      <w:r>
        <w:rPr>
          <w:sz w:val="22"/>
        </w:rPr>
        <w:t>To the </w:t>
      </w:r>
      <w:r>
        <w:rPr>
          <w:i/>
          <w:sz w:val="22"/>
        </w:rPr>
        <w:t>CMS Part C &amp; D Advance Notice and Draft Call Letter 2019</w:t>
      </w:r>
    </w:p>
    <w:p>
      <w:pPr>
        <w:pStyle w:val="BodyText"/>
        <w:rPr>
          <w:i/>
        </w:rPr>
      </w:pPr>
    </w:p>
    <w:p>
      <w:pPr>
        <w:pStyle w:val="BodyText"/>
        <w:ind w:left="1032"/>
      </w:pPr>
      <w:r>
        <w:rPr/>
        <w:t>March 5, 2018</w:t>
      </w:r>
    </w:p>
    <w:p>
      <w:pPr>
        <w:pStyle w:val="BodyText"/>
        <w:spacing w:before="9"/>
        <w:rPr>
          <w:sz w:val="21"/>
        </w:rPr>
      </w:pPr>
    </w:p>
    <w:p>
      <w:pPr>
        <w:pStyle w:val="BodyText"/>
        <w:ind w:left="1032"/>
      </w:pPr>
      <w:r>
        <w:rPr/>
        <w:t>The Honorable Alex Azar</w:t>
      </w:r>
    </w:p>
    <w:p>
      <w:pPr>
        <w:pStyle w:val="BodyText"/>
        <w:spacing w:before="1"/>
        <w:ind w:left="1032" w:right="5490"/>
      </w:pPr>
      <w:r>
        <w:rPr/>
        <w:t>Secretary of the US Department of Health and Human Services 200 Independence Avenue, S.W. Washington, D.C. 20201</w:t>
      </w:r>
    </w:p>
    <w:p>
      <w:pPr>
        <w:pStyle w:val="BodyText"/>
      </w:pPr>
    </w:p>
    <w:p>
      <w:pPr>
        <w:pStyle w:val="BodyText"/>
        <w:spacing w:line="253" w:lineRule="exact"/>
        <w:ind w:left="1032"/>
      </w:pPr>
      <w:r>
        <w:rPr/>
        <w:t>cc/ Seema Verma, CMS Administrator</w:t>
      </w:r>
    </w:p>
    <w:p>
      <w:pPr>
        <w:pStyle w:val="BodyText"/>
        <w:ind w:left="1032"/>
      </w:pPr>
      <w:r>
        <w:rPr/>
        <w:t>Demetrios Kouzoukas, Principal Deputy Administrator for Medicare and Director</w:t>
      </w:r>
    </w:p>
    <w:p>
      <w:pPr>
        <w:pStyle w:val="BodyText"/>
        <w:spacing w:before="2"/>
        <w:ind w:left="1032"/>
      </w:pPr>
      <w:r>
        <w:rPr/>
        <w:t>Jennifer Wuggazer Lazio, F.S.A., M.A.A.A., Director of the Part C &amp; D Actuarial Group, OACT</w:t>
      </w:r>
    </w:p>
    <w:p>
      <w:pPr>
        <w:pStyle w:val="BodyText"/>
        <w:spacing w:before="8"/>
        <w:rPr>
          <w:sz w:val="18"/>
        </w:rPr>
      </w:pPr>
      <w:r>
        <w:rPr/>
        <w:pict>
          <v:shape style="position:absolute;margin-left:51.959999pt;margin-top:12.988608pt;width:508.2pt;height:57.75pt;mso-position-horizontal-relative:page;mso-position-vertical-relative:paragraph;z-index:0;mso-wrap-distance-left:0;mso-wrap-distance-right:0" type="#_x0000_t202" filled="true" fillcolor="#e1eed9" stroked="true" strokeweight=".47998pt" strokecolor="#000000">
            <v:textbox inset="0,0,0,0">
              <w:txbxContent>
                <w:p>
                  <w:pPr>
                    <w:spacing w:before="18"/>
                    <w:ind w:left="583" w:right="586" w:firstLine="0"/>
                    <w:jc w:val="center"/>
                    <w:rPr>
                      <w:b/>
                      <w:sz w:val="24"/>
                    </w:rPr>
                  </w:pPr>
                  <w:r>
                    <w:rPr>
                      <w:b/>
                      <w:sz w:val="24"/>
                    </w:rPr>
                    <w:t>Tangible Action is needed to implement urgent and critical policy adjustments to assure appropriate Medicare Advantage Puerto Rico funding for 2019 and beyond</w:t>
                  </w:r>
                </w:p>
                <w:p>
                  <w:pPr>
                    <w:spacing w:before="0"/>
                    <w:ind w:left="2004" w:right="2008" w:firstLine="0"/>
                    <w:jc w:val="center"/>
                    <w:rPr>
                      <w:b/>
                      <w:i/>
                      <w:sz w:val="24"/>
                    </w:rPr>
                  </w:pPr>
                  <w:r>
                    <w:rPr>
                      <w:b/>
                      <w:i/>
                      <w:color w:val="C00000"/>
                      <w:sz w:val="24"/>
                    </w:rPr>
                    <w:t>PR MA benchmarks were 24% below the US Average in 2011, </w:t>
                  </w:r>
                  <w:r>
                    <w:rPr>
                      <w:b/>
                      <w:i/>
                      <w:color w:val="C00000"/>
                      <w:sz w:val="24"/>
                    </w:rPr>
                    <w:t>Now they are 43% below the US average in 2018</w:t>
                  </w:r>
                </w:p>
              </w:txbxContent>
            </v:textbox>
            <v:fill type="solid"/>
            <v:stroke dashstyle="solid"/>
            <w10:wrap type="topAndBottom"/>
          </v:shape>
        </w:pict>
      </w:r>
    </w:p>
    <w:p>
      <w:pPr>
        <w:pStyle w:val="Heading2"/>
        <w:spacing w:line="276" w:lineRule="exact" w:before="61"/>
        <w:ind w:left="1032"/>
        <w:rPr>
          <w:u w:val="none"/>
        </w:rPr>
      </w:pPr>
      <w:r>
        <w:rPr>
          <w:u w:val="thick"/>
        </w:rPr>
        <w:t>Organization of This Submission Package</w:t>
      </w:r>
    </w:p>
    <w:p>
      <w:pPr>
        <w:pStyle w:val="BodyText"/>
        <w:ind w:left="1032" w:right="752"/>
      </w:pPr>
      <w:r>
        <w:rPr/>
        <w:t>As</w:t>
      </w:r>
      <w:r>
        <w:rPr>
          <w:spacing w:val="-6"/>
        </w:rPr>
        <w:t> </w:t>
      </w:r>
      <w:r>
        <w:rPr/>
        <w:t>comments</w:t>
      </w:r>
      <w:r>
        <w:rPr>
          <w:spacing w:val="-9"/>
        </w:rPr>
        <w:t> </w:t>
      </w:r>
      <w:r>
        <w:rPr/>
        <w:t>to</w:t>
      </w:r>
      <w:r>
        <w:rPr>
          <w:spacing w:val="-10"/>
        </w:rPr>
        <w:t> </w:t>
      </w:r>
      <w:r>
        <w:rPr/>
        <w:t>the</w:t>
      </w:r>
      <w:r>
        <w:rPr>
          <w:spacing w:val="-9"/>
        </w:rPr>
        <w:t> </w:t>
      </w:r>
      <w:r>
        <w:rPr/>
        <w:t>Advance</w:t>
      </w:r>
      <w:r>
        <w:rPr>
          <w:spacing w:val="-7"/>
        </w:rPr>
        <w:t> </w:t>
      </w:r>
      <w:r>
        <w:rPr/>
        <w:t>Notice</w:t>
      </w:r>
      <w:r>
        <w:rPr>
          <w:spacing w:val="-7"/>
        </w:rPr>
        <w:t> </w:t>
      </w:r>
      <w:r>
        <w:rPr/>
        <w:t>2019,</w:t>
      </w:r>
      <w:r>
        <w:rPr>
          <w:spacing w:val="-10"/>
        </w:rPr>
        <w:t> </w:t>
      </w:r>
      <w:r>
        <w:rPr/>
        <w:t>MMAPA</w:t>
      </w:r>
      <w:r>
        <w:rPr>
          <w:spacing w:val="-10"/>
        </w:rPr>
        <w:t> </w:t>
      </w:r>
      <w:r>
        <w:rPr/>
        <w:t>is</w:t>
      </w:r>
      <w:r>
        <w:rPr>
          <w:spacing w:val="-9"/>
        </w:rPr>
        <w:t> </w:t>
      </w:r>
      <w:r>
        <w:rPr/>
        <w:t>submitting</w:t>
      </w:r>
      <w:r>
        <w:rPr>
          <w:spacing w:val="-10"/>
        </w:rPr>
        <w:t> </w:t>
      </w:r>
      <w:r>
        <w:rPr/>
        <w:t>a</w:t>
      </w:r>
      <w:r>
        <w:rPr>
          <w:spacing w:val="-9"/>
        </w:rPr>
        <w:t> </w:t>
      </w:r>
      <w:r>
        <w:rPr/>
        <w:t>package</w:t>
      </w:r>
      <w:r>
        <w:rPr>
          <w:spacing w:val="-7"/>
        </w:rPr>
        <w:t> </w:t>
      </w:r>
      <w:r>
        <w:rPr/>
        <w:t>of</w:t>
      </w:r>
      <w:r>
        <w:rPr>
          <w:spacing w:val="-9"/>
        </w:rPr>
        <w:t> </w:t>
      </w:r>
      <w:r>
        <w:rPr/>
        <w:t>documents</w:t>
      </w:r>
      <w:r>
        <w:rPr>
          <w:spacing w:val="-6"/>
        </w:rPr>
        <w:t> </w:t>
      </w:r>
      <w:r>
        <w:rPr/>
        <w:t>that</w:t>
      </w:r>
      <w:r>
        <w:rPr>
          <w:spacing w:val="-8"/>
        </w:rPr>
        <w:t> </w:t>
      </w:r>
      <w:r>
        <w:rPr/>
        <w:t>we</w:t>
      </w:r>
      <w:r>
        <w:rPr>
          <w:spacing w:val="-9"/>
        </w:rPr>
        <w:t> </w:t>
      </w:r>
      <w:r>
        <w:rPr/>
        <w:t>are</w:t>
      </w:r>
      <w:r>
        <w:rPr>
          <w:spacing w:val="-7"/>
        </w:rPr>
        <w:t> </w:t>
      </w:r>
      <w:r>
        <w:rPr/>
        <w:t>requesting CMS to review in its totality and as parts to one overarching policy request.  The submission has 3 main</w:t>
      </w:r>
      <w:r>
        <w:rPr>
          <w:spacing w:val="-29"/>
        </w:rPr>
        <w:t> </w:t>
      </w:r>
      <w:r>
        <w:rPr/>
        <w:t>parts:</w:t>
      </w:r>
    </w:p>
    <w:p>
      <w:pPr>
        <w:pStyle w:val="Heading3"/>
        <w:numPr>
          <w:ilvl w:val="0"/>
          <w:numId w:val="1"/>
        </w:numPr>
        <w:tabs>
          <w:tab w:pos="1753" w:val="left" w:leader="none"/>
        </w:tabs>
        <w:spacing w:line="240" w:lineRule="auto" w:before="119" w:after="0"/>
        <w:ind w:left="1752" w:right="0" w:hanging="360"/>
        <w:jc w:val="left"/>
        <w:rPr>
          <w:u w:val="none"/>
        </w:rPr>
      </w:pPr>
      <w:r>
        <w:rPr>
          <w:u w:val="none"/>
        </w:rPr>
        <w:t>Main comment letter: Request for Administrative Action, Pages</w:t>
      </w:r>
      <w:r>
        <w:rPr>
          <w:spacing w:val="-17"/>
          <w:u w:val="none"/>
        </w:rPr>
        <w:t> </w:t>
      </w:r>
      <w:r>
        <w:rPr>
          <w:u w:val="none"/>
        </w:rPr>
        <w:t>2-7</w:t>
      </w:r>
    </w:p>
    <w:p>
      <w:pPr>
        <w:pStyle w:val="BodyText"/>
        <w:spacing w:line="259" w:lineRule="auto" w:before="18"/>
        <w:ind w:left="1752" w:right="752"/>
      </w:pPr>
      <w:r>
        <w:rPr/>
        <w:t>Main comments and proposals requesting a meaningful step from CMS t address the core issue of MA benchmarks in the 2019 Final Announcement and Call Letter.</w:t>
      </w:r>
    </w:p>
    <w:p>
      <w:pPr>
        <w:pStyle w:val="Heading3"/>
        <w:numPr>
          <w:ilvl w:val="0"/>
          <w:numId w:val="1"/>
        </w:numPr>
        <w:tabs>
          <w:tab w:pos="1753" w:val="left" w:leader="none"/>
        </w:tabs>
        <w:spacing w:line="240" w:lineRule="auto" w:before="174" w:after="0"/>
        <w:ind w:left="1752" w:right="0" w:hanging="360"/>
        <w:jc w:val="left"/>
        <w:rPr>
          <w:u w:val="none"/>
        </w:rPr>
      </w:pPr>
      <w:r>
        <w:rPr>
          <w:u w:val="thick"/>
        </w:rPr>
        <w:t>Addenda (Also part of this document, Page</w:t>
      </w:r>
      <w:r>
        <w:rPr>
          <w:spacing w:val="-9"/>
          <w:u w:val="thick"/>
        </w:rPr>
        <w:t> </w:t>
      </w:r>
      <w:r>
        <w:rPr>
          <w:u w:val="thick"/>
        </w:rPr>
        <w:t>8)</w:t>
      </w:r>
    </w:p>
    <w:p>
      <w:pPr>
        <w:pStyle w:val="BodyText"/>
        <w:spacing w:before="20"/>
        <w:ind w:left="1752"/>
      </w:pPr>
      <w:r>
        <w:rPr/>
        <w:t>Additional sections with more detail and analysis of particular points and proposals.</w:t>
      </w:r>
    </w:p>
    <w:p>
      <w:pPr>
        <w:pStyle w:val="ListParagraph"/>
        <w:numPr>
          <w:ilvl w:val="1"/>
          <w:numId w:val="1"/>
        </w:numPr>
        <w:tabs>
          <w:tab w:pos="2112" w:val="left" w:leader="none"/>
          <w:tab w:pos="2113" w:val="left" w:leader="none"/>
        </w:tabs>
        <w:spacing w:line="240" w:lineRule="auto" w:before="18" w:after="0"/>
        <w:ind w:left="2112" w:right="0" w:hanging="360"/>
        <w:jc w:val="left"/>
        <w:rPr>
          <w:sz w:val="22"/>
        </w:rPr>
      </w:pPr>
      <w:r>
        <w:rPr>
          <w:b/>
          <w:sz w:val="22"/>
        </w:rPr>
        <w:t>Section 1 </w:t>
      </w:r>
      <w:r>
        <w:rPr>
          <w:sz w:val="22"/>
        </w:rPr>
        <w:t>– Why are the current MA rates in Puerto Rico</w:t>
      </w:r>
      <w:r>
        <w:rPr>
          <w:spacing w:val="-14"/>
          <w:sz w:val="22"/>
        </w:rPr>
        <w:t> </w:t>
      </w:r>
      <w:r>
        <w:rPr>
          <w:sz w:val="22"/>
        </w:rPr>
        <w:t>wrong?</w:t>
      </w:r>
    </w:p>
    <w:p>
      <w:pPr>
        <w:pStyle w:val="ListParagraph"/>
        <w:numPr>
          <w:ilvl w:val="1"/>
          <w:numId w:val="1"/>
        </w:numPr>
        <w:tabs>
          <w:tab w:pos="2112" w:val="left" w:leader="none"/>
          <w:tab w:pos="2113" w:val="left" w:leader="none"/>
        </w:tabs>
        <w:spacing w:line="240" w:lineRule="auto" w:before="17" w:after="0"/>
        <w:ind w:left="2112" w:right="0" w:hanging="360"/>
        <w:jc w:val="left"/>
        <w:rPr>
          <w:sz w:val="22"/>
        </w:rPr>
      </w:pPr>
      <w:r>
        <w:rPr>
          <w:b/>
          <w:sz w:val="22"/>
        </w:rPr>
        <w:t>Section 2 </w:t>
      </w:r>
      <w:r>
        <w:rPr>
          <w:sz w:val="22"/>
        </w:rPr>
        <w:t>– What is our main policy proposal and</w:t>
      </w:r>
      <w:r>
        <w:rPr>
          <w:spacing w:val="-14"/>
          <w:sz w:val="22"/>
        </w:rPr>
        <w:t> </w:t>
      </w:r>
      <w:r>
        <w:rPr>
          <w:sz w:val="22"/>
        </w:rPr>
        <w:t>why?</w:t>
      </w:r>
    </w:p>
    <w:p>
      <w:pPr>
        <w:pStyle w:val="ListParagraph"/>
        <w:numPr>
          <w:ilvl w:val="1"/>
          <w:numId w:val="1"/>
        </w:numPr>
        <w:tabs>
          <w:tab w:pos="2112" w:val="left" w:leader="none"/>
          <w:tab w:pos="2113" w:val="left" w:leader="none"/>
        </w:tabs>
        <w:spacing w:line="240" w:lineRule="auto" w:before="20" w:after="0"/>
        <w:ind w:left="2112" w:right="0" w:hanging="360"/>
        <w:jc w:val="left"/>
        <w:rPr>
          <w:sz w:val="22"/>
        </w:rPr>
      </w:pPr>
      <w:r>
        <w:rPr>
          <w:b/>
          <w:sz w:val="22"/>
        </w:rPr>
        <w:t>Section 3 </w:t>
      </w:r>
      <w:r>
        <w:rPr>
          <w:sz w:val="22"/>
        </w:rPr>
        <w:t>– MA ESRD Benchmarks, a harmful outlier at the</w:t>
      </w:r>
      <w:r>
        <w:rPr>
          <w:spacing w:val="-15"/>
          <w:sz w:val="22"/>
        </w:rPr>
        <w:t> </w:t>
      </w:r>
      <w:r>
        <w:rPr>
          <w:sz w:val="22"/>
        </w:rPr>
        <w:t>bottom</w:t>
      </w:r>
    </w:p>
    <w:p>
      <w:pPr>
        <w:pStyle w:val="ListParagraph"/>
        <w:numPr>
          <w:ilvl w:val="1"/>
          <w:numId w:val="1"/>
        </w:numPr>
        <w:tabs>
          <w:tab w:pos="2112" w:val="left" w:leader="none"/>
          <w:tab w:pos="2113" w:val="left" w:leader="none"/>
        </w:tabs>
        <w:spacing w:line="240" w:lineRule="auto" w:before="18" w:after="0"/>
        <w:ind w:left="2112" w:right="0" w:hanging="360"/>
        <w:jc w:val="left"/>
        <w:rPr>
          <w:sz w:val="22"/>
        </w:rPr>
      </w:pPr>
      <w:r>
        <w:rPr>
          <w:b/>
          <w:sz w:val="22"/>
        </w:rPr>
        <w:t>Section 4 </w:t>
      </w:r>
      <w:r>
        <w:rPr>
          <w:sz w:val="22"/>
        </w:rPr>
        <w:t>– How is this proposal going to mitigate harmful impacts in our health care</w:t>
      </w:r>
      <w:r>
        <w:rPr>
          <w:spacing w:val="-34"/>
          <w:sz w:val="22"/>
        </w:rPr>
        <w:t> </w:t>
      </w:r>
      <w:r>
        <w:rPr>
          <w:sz w:val="22"/>
        </w:rPr>
        <w:t>system?</w:t>
      </w:r>
    </w:p>
    <w:p>
      <w:pPr>
        <w:pStyle w:val="ListParagraph"/>
        <w:numPr>
          <w:ilvl w:val="1"/>
          <w:numId w:val="1"/>
        </w:numPr>
        <w:tabs>
          <w:tab w:pos="2112" w:val="left" w:leader="none"/>
          <w:tab w:pos="2113" w:val="left" w:leader="none"/>
        </w:tabs>
        <w:spacing w:line="240" w:lineRule="auto" w:before="18" w:after="0"/>
        <w:ind w:left="2112" w:right="0" w:hanging="360"/>
        <w:jc w:val="left"/>
        <w:rPr>
          <w:sz w:val="22"/>
        </w:rPr>
      </w:pPr>
      <w:r>
        <w:rPr>
          <w:b/>
          <w:sz w:val="22"/>
        </w:rPr>
        <w:t>Section 5 </w:t>
      </w:r>
      <w:r>
        <w:rPr>
          <w:sz w:val="22"/>
        </w:rPr>
        <w:t>– Selected Quotes from Supporting</w:t>
      </w:r>
      <w:r>
        <w:rPr>
          <w:spacing w:val="-13"/>
          <w:sz w:val="22"/>
        </w:rPr>
        <w:t> </w:t>
      </w:r>
      <w:r>
        <w:rPr>
          <w:sz w:val="22"/>
        </w:rPr>
        <w:t>Documentation</w:t>
      </w:r>
    </w:p>
    <w:p>
      <w:pPr>
        <w:pStyle w:val="ListParagraph"/>
        <w:numPr>
          <w:ilvl w:val="0"/>
          <w:numId w:val="1"/>
        </w:numPr>
        <w:tabs>
          <w:tab w:pos="1753" w:val="left" w:leader="none"/>
        </w:tabs>
        <w:spacing w:line="240" w:lineRule="auto" w:before="195" w:after="0"/>
        <w:ind w:left="1752" w:right="0" w:hanging="360"/>
        <w:jc w:val="left"/>
        <w:rPr>
          <w:sz w:val="22"/>
        </w:rPr>
      </w:pPr>
      <w:r>
        <w:rPr>
          <w:b/>
          <w:sz w:val="22"/>
          <w:u w:val="thick"/>
        </w:rPr>
        <w:t>Appendix</w:t>
      </w:r>
      <w:r>
        <w:rPr>
          <w:b/>
          <w:sz w:val="22"/>
        </w:rPr>
        <w:t>: R</w:t>
      </w:r>
      <w:r>
        <w:rPr>
          <w:sz w:val="22"/>
        </w:rPr>
        <w:t>ecent studies, analysis and support letters as part of an appendix in separate</w:t>
      </w:r>
      <w:r>
        <w:rPr>
          <w:spacing w:val="-23"/>
          <w:sz w:val="22"/>
        </w:rPr>
        <w:t> </w:t>
      </w:r>
      <w:r>
        <w:rPr>
          <w:sz w:val="22"/>
        </w:rPr>
        <w:t>files.</w:t>
      </w:r>
    </w:p>
    <w:p>
      <w:pPr>
        <w:pStyle w:val="ListParagraph"/>
        <w:numPr>
          <w:ilvl w:val="1"/>
          <w:numId w:val="1"/>
        </w:numPr>
        <w:tabs>
          <w:tab w:pos="2112" w:val="left" w:leader="none"/>
          <w:tab w:pos="2113" w:val="left" w:leader="none"/>
        </w:tabs>
        <w:spacing w:line="240" w:lineRule="auto" w:before="19" w:after="0"/>
        <w:ind w:left="2112" w:right="0" w:hanging="360"/>
        <w:jc w:val="left"/>
        <w:rPr>
          <w:sz w:val="22"/>
        </w:rPr>
      </w:pPr>
      <w:r>
        <w:rPr>
          <w:sz w:val="22"/>
        </w:rPr>
        <w:t>Appendix 1 – The Moran Company: New Analysis of FFS Data from Puerto Rico, </w:t>
      </w:r>
      <w:r>
        <w:rPr>
          <w:sz w:val="22"/>
          <w:u w:val="single"/>
        </w:rPr>
        <w:t>Feb.</w:t>
      </w:r>
      <w:r>
        <w:rPr>
          <w:spacing w:val="-12"/>
          <w:sz w:val="22"/>
          <w:u w:val="single"/>
        </w:rPr>
        <w:t> </w:t>
      </w:r>
      <w:r>
        <w:rPr>
          <w:sz w:val="22"/>
          <w:u w:val="single"/>
        </w:rPr>
        <w:t>2018</w:t>
      </w:r>
    </w:p>
    <w:p>
      <w:pPr>
        <w:pStyle w:val="ListParagraph"/>
        <w:numPr>
          <w:ilvl w:val="1"/>
          <w:numId w:val="1"/>
        </w:numPr>
        <w:tabs>
          <w:tab w:pos="2112" w:val="left" w:leader="none"/>
          <w:tab w:pos="2113" w:val="left" w:leader="none"/>
        </w:tabs>
        <w:spacing w:line="240" w:lineRule="auto" w:before="18" w:after="0"/>
        <w:ind w:left="2112" w:right="0" w:hanging="360"/>
        <w:jc w:val="left"/>
        <w:rPr>
          <w:sz w:val="22"/>
        </w:rPr>
      </w:pPr>
      <w:r>
        <w:rPr>
          <w:sz w:val="22"/>
        </w:rPr>
        <w:t>Appendix 2 – Illustration of alternative AGA floor</w:t>
      </w:r>
      <w:r>
        <w:rPr>
          <w:spacing w:val="-20"/>
          <w:sz w:val="22"/>
        </w:rPr>
        <w:t> </w:t>
      </w:r>
      <w:r>
        <w:rPr>
          <w:sz w:val="22"/>
        </w:rPr>
        <w:t>options</w:t>
      </w:r>
    </w:p>
    <w:p>
      <w:pPr>
        <w:pStyle w:val="ListParagraph"/>
        <w:numPr>
          <w:ilvl w:val="1"/>
          <w:numId w:val="1"/>
        </w:numPr>
        <w:tabs>
          <w:tab w:pos="2112" w:val="left" w:leader="none"/>
          <w:tab w:pos="2113" w:val="left" w:leader="none"/>
        </w:tabs>
        <w:spacing w:line="240" w:lineRule="auto" w:before="19" w:after="0"/>
        <w:ind w:left="2112" w:right="0" w:hanging="360"/>
        <w:jc w:val="left"/>
        <w:rPr>
          <w:sz w:val="22"/>
        </w:rPr>
      </w:pPr>
      <w:r>
        <w:rPr>
          <w:sz w:val="22"/>
        </w:rPr>
        <w:t>Appendix 3 -  Milliman Analysis of Profit Margins of MA Plans in PR vs US Total, Jan.</w:t>
      </w:r>
      <w:r>
        <w:rPr>
          <w:spacing w:val="-19"/>
          <w:sz w:val="22"/>
        </w:rPr>
        <w:t> </w:t>
      </w:r>
      <w:r>
        <w:rPr>
          <w:sz w:val="22"/>
        </w:rPr>
        <w:t>2018</w:t>
      </w:r>
    </w:p>
    <w:p>
      <w:pPr>
        <w:pStyle w:val="ListParagraph"/>
        <w:numPr>
          <w:ilvl w:val="1"/>
          <w:numId w:val="1"/>
        </w:numPr>
        <w:tabs>
          <w:tab w:pos="2112" w:val="left" w:leader="none"/>
          <w:tab w:pos="2113" w:val="left" w:leader="none"/>
        </w:tabs>
        <w:spacing w:line="240" w:lineRule="auto" w:before="21" w:after="0"/>
        <w:ind w:left="2112" w:right="0" w:hanging="360"/>
        <w:jc w:val="left"/>
        <w:rPr>
          <w:sz w:val="22"/>
        </w:rPr>
      </w:pPr>
      <w:r>
        <w:rPr>
          <w:sz w:val="22"/>
        </w:rPr>
        <w:t>Appendix 4 – Letter from Governor of Puerto Rico to Acting HHS Secretary, Jan. 5,</w:t>
      </w:r>
      <w:r>
        <w:rPr>
          <w:spacing w:val="-25"/>
          <w:sz w:val="22"/>
        </w:rPr>
        <w:t> </w:t>
      </w:r>
      <w:r>
        <w:rPr>
          <w:sz w:val="22"/>
        </w:rPr>
        <w:t>2018</w:t>
      </w:r>
    </w:p>
    <w:p>
      <w:pPr>
        <w:pStyle w:val="ListParagraph"/>
        <w:numPr>
          <w:ilvl w:val="1"/>
          <w:numId w:val="1"/>
        </w:numPr>
        <w:tabs>
          <w:tab w:pos="2112" w:val="left" w:leader="none"/>
          <w:tab w:pos="2113" w:val="left" w:leader="none"/>
        </w:tabs>
        <w:spacing w:line="240" w:lineRule="auto" w:before="18" w:after="0"/>
        <w:ind w:left="2112" w:right="0" w:hanging="360"/>
        <w:jc w:val="left"/>
        <w:rPr>
          <w:sz w:val="22"/>
        </w:rPr>
      </w:pPr>
      <w:r>
        <w:rPr>
          <w:sz w:val="22"/>
        </w:rPr>
        <w:t>Appendix 5 – Letter from Congresswoman Gonzalez and US Representatives, Dec. 18,</w:t>
      </w:r>
      <w:r>
        <w:rPr>
          <w:spacing w:val="-19"/>
          <w:sz w:val="22"/>
        </w:rPr>
        <w:t> </w:t>
      </w:r>
      <w:r>
        <w:rPr>
          <w:sz w:val="22"/>
        </w:rPr>
        <w:t>2017</w:t>
      </w:r>
    </w:p>
    <w:p>
      <w:pPr>
        <w:pStyle w:val="ListParagraph"/>
        <w:numPr>
          <w:ilvl w:val="1"/>
          <w:numId w:val="1"/>
        </w:numPr>
        <w:tabs>
          <w:tab w:pos="2112" w:val="left" w:leader="none"/>
          <w:tab w:pos="2113" w:val="left" w:leader="none"/>
        </w:tabs>
        <w:spacing w:line="240" w:lineRule="auto" w:before="18" w:after="0"/>
        <w:ind w:left="2112" w:right="0" w:hanging="360"/>
        <w:jc w:val="left"/>
        <w:rPr>
          <w:sz w:val="22"/>
        </w:rPr>
      </w:pPr>
      <w:r>
        <w:rPr>
          <w:sz w:val="22"/>
        </w:rPr>
        <w:t>Appendix 6 – Letter from US Senators to HHS Secretary, Dec. 22,</w:t>
      </w:r>
      <w:r>
        <w:rPr>
          <w:spacing w:val="-21"/>
          <w:sz w:val="22"/>
        </w:rPr>
        <w:t> </w:t>
      </w:r>
      <w:r>
        <w:rPr>
          <w:sz w:val="22"/>
        </w:rPr>
        <w:t>2017</w:t>
      </w:r>
    </w:p>
    <w:p>
      <w:pPr>
        <w:pStyle w:val="ListParagraph"/>
        <w:numPr>
          <w:ilvl w:val="1"/>
          <w:numId w:val="1"/>
        </w:numPr>
        <w:tabs>
          <w:tab w:pos="2112" w:val="left" w:leader="none"/>
          <w:tab w:pos="2113" w:val="left" w:leader="none"/>
        </w:tabs>
        <w:spacing w:line="240" w:lineRule="auto" w:before="21" w:after="0"/>
        <w:ind w:left="2112" w:right="0" w:hanging="360"/>
        <w:jc w:val="left"/>
        <w:rPr>
          <w:sz w:val="22"/>
        </w:rPr>
      </w:pPr>
      <w:r>
        <w:rPr>
          <w:sz w:val="22"/>
        </w:rPr>
        <w:t>Appendix 7 – Letter to CMS, Demetrios Kouzoukas, Nov. 21,</w:t>
      </w:r>
      <w:r>
        <w:rPr>
          <w:spacing w:val="-15"/>
          <w:sz w:val="22"/>
        </w:rPr>
        <w:t> </w:t>
      </w:r>
      <w:r>
        <w:rPr>
          <w:sz w:val="22"/>
        </w:rPr>
        <w:t>2017</w:t>
      </w:r>
    </w:p>
    <w:p>
      <w:pPr>
        <w:pStyle w:val="ListParagraph"/>
        <w:numPr>
          <w:ilvl w:val="1"/>
          <w:numId w:val="1"/>
        </w:numPr>
        <w:tabs>
          <w:tab w:pos="2112" w:val="left" w:leader="none"/>
          <w:tab w:pos="2113" w:val="left" w:leader="none"/>
        </w:tabs>
        <w:spacing w:line="240" w:lineRule="auto" w:before="18" w:after="0"/>
        <w:ind w:left="2112" w:right="0" w:hanging="360"/>
        <w:jc w:val="left"/>
        <w:rPr>
          <w:sz w:val="22"/>
        </w:rPr>
      </w:pPr>
      <w:r>
        <w:rPr>
          <w:sz w:val="22"/>
        </w:rPr>
        <w:t>Appendix 8 – Emergency Letter to Seema Verma for Recovery Action with MA, Oct. 20,</w:t>
      </w:r>
      <w:r>
        <w:rPr>
          <w:spacing w:val="-23"/>
          <w:sz w:val="22"/>
        </w:rPr>
        <w:t> </w:t>
      </w:r>
      <w:r>
        <w:rPr>
          <w:sz w:val="22"/>
        </w:rPr>
        <w:t>2017</w:t>
      </w:r>
    </w:p>
    <w:p>
      <w:pPr>
        <w:pStyle w:val="ListParagraph"/>
        <w:numPr>
          <w:ilvl w:val="1"/>
          <w:numId w:val="1"/>
        </w:numPr>
        <w:tabs>
          <w:tab w:pos="2112" w:val="left" w:leader="none"/>
          <w:tab w:pos="2113" w:val="left" w:leader="none"/>
        </w:tabs>
        <w:spacing w:line="240" w:lineRule="auto" w:before="18" w:after="0"/>
        <w:ind w:left="2112" w:right="0" w:hanging="360"/>
        <w:jc w:val="left"/>
        <w:rPr>
          <w:sz w:val="22"/>
        </w:rPr>
      </w:pPr>
      <w:r>
        <w:rPr>
          <w:sz w:val="22"/>
        </w:rPr>
        <w:t>Appendix 9 -  Paper on History of Medicare Policy in</w:t>
      </w:r>
      <w:r>
        <w:rPr>
          <w:spacing w:val="-17"/>
          <w:sz w:val="22"/>
        </w:rPr>
        <w:t> </w:t>
      </w:r>
      <w:r>
        <w:rPr>
          <w:sz w:val="22"/>
        </w:rPr>
        <w:t>PR</w:t>
      </w:r>
    </w:p>
    <w:p>
      <w:pPr>
        <w:pStyle w:val="ListParagraph"/>
        <w:numPr>
          <w:ilvl w:val="1"/>
          <w:numId w:val="1"/>
        </w:numPr>
        <w:tabs>
          <w:tab w:pos="2112" w:val="left" w:leader="none"/>
          <w:tab w:pos="2113" w:val="left" w:leader="none"/>
        </w:tabs>
        <w:spacing w:line="240" w:lineRule="auto" w:before="21" w:after="0"/>
        <w:ind w:left="2112" w:right="0" w:hanging="360"/>
        <w:jc w:val="left"/>
        <w:rPr>
          <w:sz w:val="22"/>
        </w:rPr>
      </w:pPr>
      <w:r>
        <w:rPr>
          <w:sz w:val="22"/>
        </w:rPr>
        <w:t>Appendix 10 – Community Letter to HHS led by PR Chamber of Commerce, Dec. 8,</w:t>
      </w:r>
      <w:r>
        <w:rPr>
          <w:spacing w:val="-15"/>
          <w:sz w:val="22"/>
        </w:rPr>
        <w:t> </w:t>
      </w:r>
      <w:r>
        <w:rPr>
          <w:sz w:val="22"/>
        </w:rPr>
        <w:t>2017</w:t>
      </w:r>
    </w:p>
    <w:p>
      <w:pPr>
        <w:spacing w:after="0" w:line="240" w:lineRule="auto"/>
        <w:jc w:val="left"/>
        <w:rPr>
          <w:sz w:val="22"/>
        </w:rPr>
        <w:sectPr>
          <w:footerReference w:type="default" r:id="rId5"/>
          <w:type w:val="continuous"/>
          <w:pgSz w:w="12240" w:h="15840"/>
          <w:pgMar w:footer="1015" w:top="180" w:bottom="1200" w:left="120" w:right="0"/>
          <w:pgNumType w:start="1"/>
        </w:sectPr>
      </w:pPr>
    </w:p>
    <w:p>
      <w:pPr>
        <w:pStyle w:val="Heading2"/>
        <w:spacing w:before="60"/>
        <w:jc w:val="both"/>
        <w:rPr>
          <w:u w:val="none"/>
        </w:rPr>
      </w:pPr>
      <w:r>
        <w:rPr>
          <w:sz w:val="28"/>
          <w:u w:val="none"/>
        </w:rPr>
        <w:t>A. </w:t>
      </w:r>
      <w:r>
        <w:rPr>
          <w:u w:val="thick"/>
        </w:rPr>
        <w:t>Main Comment Letter: Request for Administrative Action</w:t>
      </w:r>
    </w:p>
    <w:p>
      <w:pPr>
        <w:pStyle w:val="BodyText"/>
        <w:spacing w:before="170"/>
        <w:ind w:left="112" w:right="107" w:firstLine="720"/>
        <w:jc w:val="both"/>
      </w:pPr>
      <w:r>
        <w:rPr>
          <w:b/>
          <w:i/>
        </w:rPr>
        <w:t>Widely supported policy proposal. </w:t>
      </w:r>
      <w:r>
        <w:rPr/>
        <w:t>Multiple community organizations, including the Medicaid and Medicare Advantage Products Association of Puerto Rico (MMAPA), have presented new proposals, evidence, and updated analysis in support of a meaningful positive adjustment in the Medicare Advantage (MA) rates for Puerto Rico counties in 2019. These include an “Emergency Letter” sent to CMS Administrator Verma on October</w:t>
      </w:r>
      <w:r>
        <w:rPr>
          <w:spacing w:val="-5"/>
        </w:rPr>
        <w:t> </w:t>
      </w:r>
      <w:r>
        <w:rPr/>
        <w:t>20</w:t>
      </w:r>
      <w:r>
        <w:rPr>
          <w:position w:val="8"/>
          <w:sz w:val="14"/>
        </w:rPr>
        <w:t>th</w:t>
      </w:r>
      <w:r>
        <w:rPr/>
        <w:t>,</w:t>
      </w:r>
      <w:r>
        <w:rPr>
          <w:spacing w:val="-6"/>
        </w:rPr>
        <w:t> </w:t>
      </w:r>
      <w:r>
        <w:rPr/>
        <w:t>2017</w:t>
      </w:r>
      <w:r>
        <w:rPr>
          <w:spacing w:val="-6"/>
        </w:rPr>
        <w:t> </w:t>
      </w:r>
      <w:r>
        <w:rPr/>
        <w:t>after</w:t>
      </w:r>
      <w:r>
        <w:rPr>
          <w:spacing w:val="-7"/>
        </w:rPr>
        <w:t> </w:t>
      </w:r>
      <w:r>
        <w:rPr/>
        <w:t>hurricane</w:t>
      </w:r>
      <w:r>
        <w:rPr>
          <w:spacing w:val="-8"/>
        </w:rPr>
        <w:t> </w:t>
      </w:r>
      <w:r>
        <w:rPr/>
        <w:t>Maria</w:t>
      </w:r>
      <w:r>
        <w:rPr>
          <w:spacing w:val="-6"/>
        </w:rPr>
        <w:t> </w:t>
      </w:r>
      <w:r>
        <w:rPr/>
        <w:t>hit</w:t>
      </w:r>
      <w:r>
        <w:rPr>
          <w:spacing w:val="-5"/>
        </w:rPr>
        <w:t> </w:t>
      </w:r>
      <w:r>
        <w:rPr/>
        <w:t>Puerto</w:t>
      </w:r>
      <w:r>
        <w:rPr>
          <w:spacing w:val="-6"/>
        </w:rPr>
        <w:t> </w:t>
      </w:r>
      <w:r>
        <w:rPr/>
        <w:t>Rico,</w:t>
      </w:r>
      <w:r>
        <w:rPr>
          <w:spacing w:val="-6"/>
        </w:rPr>
        <w:t> </w:t>
      </w:r>
      <w:r>
        <w:rPr/>
        <w:t>and</w:t>
      </w:r>
      <w:r>
        <w:rPr>
          <w:spacing w:val="-6"/>
        </w:rPr>
        <w:t> </w:t>
      </w:r>
      <w:r>
        <w:rPr/>
        <w:t>a</w:t>
      </w:r>
      <w:r>
        <w:rPr>
          <w:spacing w:val="-6"/>
        </w:rPr>
        <w:t> </w:t>
      </w:r>
      <w:r>
        <w:rPr/>
        <w:t>supporting</w:t>
      </w:r>
      <w:r>
        <w:rPr>
          <w:spacing w:val="-9"/>
        </w:rPr>
        <w:t> </w:t>
      </w:r>
      <w:r>
        <w:rPr/>
        <w:t>package</w:t>
      </w:r>
      <w:r>
        <w:rPr>
          <w:spacing w:val="-6"/>
        </w:rPr>
        <w:t> </w:t>
      </w:r>
      <w:r>
        <w:rPr/>
        <w:t>sent</w:t>
      </w:r>
      <w:r>
        <w:rPr>
          <w:spacing w:val="-8"/>
        </w:rPr>
        <w:t> </w:t>
      </w:r>
      <w:r>
        <w:rPr/>
        <w:t>to</w:t>
      </w:r>
      <w:r>
        <w:rPr>
          <w:spacing w:val="-6"/>
        </w:rPr>
        <w:t> </w:t>
      </w:r>
      <w:r>
        <w:rPr/>
        <w:t>CMS</w:t>
      </w:r>
      <w:r>
        <w:rPr>
          <w:spacing w:val="-6"/>
        </w:rPr>
        <w:t> </w:t>
      </w:r>
      <w:r>
        <w:rPr/>
        <w:t>Deputy</w:t>
      </w:r>
      <w:r>
        <w:rPr>
          <w:spacing w:val="-9"/>
        </w:rPr>
        <w:t> </w:t>
      </w:r>
      <w:r>
        <w:rPr/>
        <w:t>Principal Administrator</w:t>
      </w:r>
      <w:r>
        <w:rPr>
          <w:spacing w:val="-11"/>
        </w:rPr>
        <w:t> </w:t>
      </w:r>
      <w:r>
        <w:rPr/>
        <w:t>Demetrios</w:t>
      </w:r>
      <w:r>
        <w:rPr>
          <w:spacing w:val="-14"/>
        </w:rPr>
        <w:t> </w:t>
      </w:r>
      <w:r>
        <w:rPr/>
        <w:t>Kouzoukas</w:t>
      </w:r>
      <w:r>
        <w:rPr>
          <w:spacing w:val="-11"/>
        </w:rPr>
        <w:t> </w:t>
      </w:r>
      <w:r>
        <w:rPr/>
        <w:t>last</w:t>
      </w:r>
      <w:r>
        <w:rPr>
          <w:spacing w:val="-11"/>
        </w:rPr>
        <w:t> </w:t>
      </w:r>
      <w:r>
        <w:rPr/>
        <w:t>November</w:t>
      </w:r>
      <w:r>
        <w:rPr>
          <w:spacing w:val="-11"/>
        </w:rPr>
        <w:t> </w:t>
      </w:r>
      <w:r>
        <w:rPr/>
        <w:t>21</w:t>
      </w:r>
      <w:r>
        <w:rPr>
          <w:position w:val="8"/>
          <w:sz w:val="14"/>
        </w:rPr>
        <w:t>st</w:t>
      </w:r>
      <w:r>
        <w:rPr/>
        <w:t>,</w:t>
      </w:r>
      <w:r>
        <w:rPr>
          <w:spacing w:val="-12"/>
        </w:rPr>
        <w:t> </w:t>
      </w:r>
      <w:r>
        <w:rPr/>
        <w:t>2017.</w:t>
      </w:r>
      <w:r>
        <w:rPr>
          <w:spacing w:val="33"/>
        </w:rPr>
        <w:t> </w:t>
      </w:r>
      <w:r>
        <w:rPr/>
        <w:t>Letters</w:t>
      </w:r>
      <w:r>
        <w:rPr>
          <w:spacing w:val="-11"/>
        </w:rPr>
        <w:t> </w:t>
      </w:r>
      <w:r>
        <w:rPr/>
        <w:t>supporting</w:t>
      </w:r>
      <w:r>
        <w:rPr>
          <w:spacing w:val="-12"/>
        </w:rPr>
        <w:t> </w:t>
      </w:r>
      <w:r>
        <w:rPr/>
        <w:t>administrative</w:t>
      </w:r>
      <w:r>
        <w:rPr>
          <w:spacing w:val="-12"/>
        </w:rPr>
        <w:t> </w:t>
      </w:r>
      <w:r>
        <w:rPr/>
        <w:t>action</w:t>
      </w:r>
      <w:r>
        <w:rPr>
          <w:spacing w:val="-12"/>
        </w:rPr>
        <w:t> </w:t>
      </w:r>
      <w:r>
        <w:rPr/>
        <w:t>with</w:t>
      </w:r>
      <w:r>
        <w:rPr>
          <w:spacing w:val="-12"/>
        </w:rPr>
        <w:t> </w:t>
      </w:r>
      <w:r>
        <w:rPr/>
        <w:t>MA rates in Puerto Rico have also been sent by 16 members of the US House of Representatives led by Rep.</w:t>
      </w:r>
      <w:r>
        <w:rPr>
          <w:spacing w:val="-31"/>
        </w:rPr>
        <w:t> </w:t>
      </w:r>
      <w:r>
        <w:rPr/>
        <w:t>Jennifer Gonzalez (December 18, 2017), 6 US Senators (December 22, 2017), and the Governor of Puerto Rico Ricardo Rosselló (January 5,</w:t>
      </w:r>
      <w:r>
        <w:rPr>
          <w:spacing w:val="-5"/>
        </w:rPr>
        <w:t> </w:t>
      </w:r>
      <w:r>
        <w:rPr/>
        <w:t>2018).</w:t>
      </w:r>
    </w:p>
    <w:p>
      <w:pPr>
        <w:pStyle w:val="BodyText"/>
        <w:spacing w:before="9"/>
        <w:rPr>
          <w:sz w:val="21"/>
        </w:rPr>
      </w:pPr>
    </w:p>
    <w:p>
      <w:pPr>
        <w:spacing w:before="0"/>
        <w:ind w:left="112" w:right="104" w:firstLine="720"/>
        <w:jc w:val="both"/>
        <w:rPr>
          <w:sz w:val="22"/>
        </w:rPr>
      </w:pPr>
      <w:r>
        <w:rPr>
          <w:b/>
          <w:sz w:val="22"/>
        </w:rPr>
        <w:t>A meaningful adjustment in MA has been defined repeatedly referring to the current MA and</w:t>
      </w:r>
      <w:r>
        <w:rPr>
          <w:b/>
          <w:spacing w:val="-35"/>
          <w:sz w:val="22"/>
        </w:rPr>
        <w:t> </w:t>
      </w:r>
      <w:r>
        <w:rPr>
          <w:b/>
          <w:sz w:val="22"/>
        </w:rPr>
        <w:t>MA ESRD</w:t>
      </w:r>
      <w:r>
        <w:rPr>
          <w:b/>
          <w:spacing w:val="-4"/>
          <w:sz w:val="22"/>
        </w:rPr>
        <w:t> </w:t>
      </w:r>
      <w:r>
        <w:rPr>
          <w:b/>
          <w:sz w:val="22"/>
        </w:rPr>
        <w:t>payment</w:t>
      </w:r>
      <w:r>
        <w:rPr>
          <w:b/>
          <w:spacing w:val="-5"/>
          <w:sz w:val="22"/>
        </w:rPr>
        <w:t> </w:t>
      </w:r>
      <w:r>
        <w:rPr>
          <w:b/>
          <w:sz w:val="22"/>
        </w:rPr>
        <w:t>levels</w:t>
      </w:r>
      <w:r>
        <w:rPr>
          <w:b/>
          <w:spacing w:val="-5"/>
          <w:sz w:val="22"/>
        </w:rPr>
        <w:t> </w:t>
      </w:r>
      <w:r>
        <w:rPr>
          <w:b/>
          <w:sz w:val="22"/>
        </w:rPr>
        <w:t>for</w:t>
      </w:r>
      <w:r>
        <w:rPr>
          <w:b/>
          <w:spacing w:val="-6"/>
          <w:sz w:val="22"/>
        </w:rPr>
        <w:t> </w:t>
      </w:r>
      <w:r>
        <w:rPr>
          <w:b/>
          <w:sz w:val="22"/>
        </w:rPr>
        <w:t>the</w:t>
      </w:r>
      <w:r>
        <w:rPr>
          <w:b/>
          <w:spacing w:val="-4"/>
          <w:sz w:val="22"/>
        </w:rPr>
        <w:t> </w:t>
      </w:r>
      <w:r>
        <w:rPr>
          <w:b/>
          <w:sz w:val="22"/>
        </w:rPr>
        <w:t>US</w:t>
      </w:r>
      <w:r>
        <w:rPr>
          <w:b/>
          <w:spacing w:val="-4"/>
          <w:sz w:val="22"/>
        </w:rPr>
        <w:t> </w:t>
      </w:r>
      <w:r>
        <w:rPr>
          <w:b/>
          <w:sz w:val="22"/>
        </w:rPr>
        <w:t>Virgin</w:t>
      </w:r>
      <w:r>
        <w:rPr>
          <w:b/>
          <w:spacing w:val="-4"/>
          <w:sz w:val="22"/>
        </w:rPr>
        <w:t> </w:t>
      </w:r>
      <w:r>
        <w:rPr>
          <w:b/>
          <w:sz w:val="22"/>
        </w:rPr>
        <w:t>Islands</w:t>
      </w:r>
      <w:r>
        <w:rPr>
          <w:b/>
          <w:spacing w:val="-5"/>
          <w:sz w:val="22"/>
        </w:rPr>
        <w:t> </w:t>
      </w:r>
      <w:r>
        <w:rPr>
          <w:b/>
          <w:sz w:val="22"/>
        </w:rPr>
        <w:t>(USVI)</w:t>
      </w:r>
      <w:r>
        <w:rPr>
          <w:b/>
          <w:spacing w:val="-3"/>
          <w:sz w:val="22"/>
        </w:rPr>
        <w:t> </w:t>
      </w:r>
      <w:r>
        <w:rPr>
          <w:b/>
          <w:sz w:val="22"/>
        </w:rPr>
        <w:t>or</w:t>
      </w:r>
      <w:r>
        <w:rPr>
          <w:b/>
          <w:spacing w:val="-3"/>
          <w:sz w:val="22"/>
        </w:rPr>
        <w:t> </w:t>
      </w:r>
      <w:r>
        <w:rPr>
          <w:b/>
          <w:sz w:val="22"/>
        </w:rPr>
        <w:t>to</w:t>
      </w:r>
      <w:r>
        <w:rPr>
          <w:b/>
          <w:spacing w:val="-6"/>
          <w:sz w:val="22"/>
        </w:rPr>
        <w:t> </w:t>
      </w:r>
      <w:r>
        <w:rPr>
          <w:b/>
          <w:sz w:val="22"/>
        </w:rPr>
        <w:t>a</w:t>
      </w:r>
      <w:r>
        <w:rPr>
          <w:b/>
          <w:spacing w:val="-4"/>
          <w:sz w:val="22"/>
        </w:rPr>
        <w:t> </w:t>
      </w:r>
      <w:r>
        <w:rPr>
          <w:b/>
          <w:sz w:val="22"/>
        </w:rPr>
        <w:t>0.70</w:t>
      </w:r>
      <w:r>
        <w:rPr>
          <w:b/>
          <w:spacing w:val="-4"/>
          <w:sz w:val="22"/>
        </w:rPr>
        <w:t> </w:t>
      </w:r>
      <w:r>
        <w:rPr>
          <w:b/>
          <w:sz w:val="22"/>
        </w:rPr>
        <w:t>average</w:t>
      </w:r>
      <w:r>
        <w:rPr>
          <w:b/>
          <w:spacing w:val="-3"/>
          <w:sz w:val="22"/>
        </w:rPr>
        <w:t> </w:t>
      </w:r>
      <w:r>
        <w:rPr>
          <w:b/>
          <w:sz w:val="22"/>
        </w:rPr>
        <w:t>geographic</w:t>
      </w:r>
      <w:r>
        <w:rPr>
          <w:b/>
          <w:spacing w:val="-3"/>
          <w:sz w:val="22"/>
        </w:rPr>
        <w:t> </w:t>
      </w:r>
      <w:r>
        <w:rPr>
          <w:b/>
          <w:sz w:val="22"/>
        </w:rPr>
        <w:t>adjustment</w:t>
      </w:r>
      <w:r>
        <w:rPr>
          <w:b/>
          <w:spacing w:val="-3"/>
          <w:sz w:val="22"/>
        </w:rPr>
        <w:t> </w:t>
      </w:r>
      <w:r>
        <w:rPr>
          <w:b/>
          <w:sz w:val="22"/>
        </w:rPr>
        <w:t>(AGA) for MA rate setting, which is at the lowest levels of any county in the states. </w:t>
      </w:r>
      <w:r>
        <w:rPr>
          <w:sz w:val="22"/>
        </w:rPr>
        <w:t>All these communications have a</w:t>
      </w:r>
      <w:r>
        <w:rPr>
          <w:spacing w:val="-9"/>
          <w:sz w:val="22"/>
        </w:rPr>
        <w:t> </w:t>
      </w:r>
      <w:r>
        <w:rPr>
          <w:sz w:val="22"/>
        </w:rPr>
        <w:t>key</w:t>
      </w:r>
      <w:r>
        <w:rPr>
          <w:spacing w:val="-12"/>
          <w:sz w:val="22"/>
        </w:rPr>
        <w:t> </w:t>
      </w:r>
      <w:r>
        <w:rPr>
          <w:sz w:val="22"/>
        </w:rPr>
        <w:t>common</w:t>
      </w:r>
      <w:r>
        <w:rPr>
          <w:spacing w:val="-10"/>
          <w:sz w:val="22"/>
        </w:rPr>
        <w:t> </w:t>
      </w:r>
      <w:r>
        <w:rPr>
          <w:sz w:val="22"/>
        </w:rPr>
        <w:t>points:</w:t>
      </w:r>
      <w:r>
        <w:rPr>
          <w:spacing w:val="-9"/>
          <w:sz w:val="22"/>
        </w:rPr>
        <w:t> </w:t>
      </w:r>
      <w:r>
        <w:rPr>
          <w:b/>
          <w:sz w:val="22"/>
        </w:rPr>
        <w:t>(1)</w:t>
      </w:r>
      <w:r>
        <w:rPr>
          <w:b/>
          <w:spacing w:val="-11"/>
          <w:sz w:val="22"/>
        </w:rPr>
        <w:t> </w:t>
      </w:r>
      <w:r>
        <w:rPr>
          <w:sz w:val="22"/>
        </w:rPr>
        <w:t>there</w:t>
      </w:r>
      <w:r>
        <w:rPr>
          <w:spacing w:val="-12"/>
          <w:sz w:val="22"/>
        </w:rPr>
        <w:t> </w:t>
      </w:r>
      <w:r>
        <w:rPr>
          <w:sz w:val="22"/>
        </w:rPr>
        <w:t>are</w:t>
      </w:r>
      <w:r>
        <w:rPr>
          <w:spacing w:val="-12"/>
          <w:sz w:val="22"/>
        </w:rPr>
        <w:t> </w:t>
      </w:r>
      <w:r>
        <w:rPr>
          <w:sz w:val="22"/>
        </w:rPr>
        <w:t>anomalous</w:t>
      </w:r>
      <w:r>
        <w:rPr>
          <w:spacing w:val="-9"/>
          <w:sz w:val="22"/>
        </w:rPr>
        <w:t> </w:t>
      </w:r>
      <w:r>
        <w:rPr>
          <w:sz w:val="22"/>
        </w:rPr>
        <w:t>historic</w:t>
      </w:r>
      <w:r>
        <w:rPr>
          <w:spacing w:val="-12"/>
          <w:sz w:val="22"/>
        </w:rPr>
        <w:t> </w:t>
      </w:r>
      <w:r>
        <w:rPr>
          <w:sz w:val="22"/>
        </w:rPr>
        <w:t>factors</w:t>
      </w:r>
      <w:r>
        <w:rPr>
          <w:spacing w:val="-11"/>
          <w:sz w:val="22"/>
        </w:rPr>
        <w:t> </w:t>
      </w:r>
      <w:r>
        <w:rPr>
          <w:sz w:val="22"/>
        </w:rPr>
        <w:t>that</w:t>
      </w:r>
      <w:r>
        <w:rPr>
          <w:spacing w:val="-9"/>
          <w:sz w:val="22"/>
        </w:rPr>
        <w:t> </w:t>
      </w:r>
      <w:r>
        <w:rPr>
          <w:sz w:val="22"/>
        </w:rPr>
        <w:t>make</w:t>
      </w:r>
      <w:r>
        <w:rPr>
          <w:spacing w:val="-9"/>
          <w:sz w:val="22"/>
        </w:rPr>
        <w:t> </w:t>
      </w:r>
      <w:r>
        <w:rPr>
          <w:sz w:val="22"/>
        </w:rPr>
        <w:t>MA</w:t>
      </w:r>
      <w:r>
        <w:rPr>
          <w:spacing w:val="-10"/>
          <w:sz w:val="22"/>
        </w:rPr>
        <w:t> </w:t>
      </w:r>
      <w:r>
        <w:rPr>
          <w:sz w:val="22"/>
        </w:rPr>
        <w:t>rates</w:t>
      </w:r>
      <w:r>
        <w:rPr>
          <w:spacing w:val="-9"/>
          <w:sz w:val="22"/>
        </w:rPr>
        <w:t> </w:t>
      </w:r>
      <w:r>
        <w:rPr>
          <w:sz w:val="22"/>
        </w:rPr>
        <w:t>in</w:t>
      </w:r>
      <w:r>
        <w:rPr>
          <w:spacing w:val="-10"/>
          <w:sz w:val="22"/>
        </w:rPr>
        <w:t> </w:t>
      </w:r>
      <w:r>
        <w:rPr>
          <w:sz w:val="22"/>
        </w:rPr>
        <w:t>Puerto</w:t>
      </w:r>
      <w:r>
        <w:rPr>
          <w:spacing w:val="-10"/>
          <w:sz w:val="22"/>
        </w:rPr>
        <w:t> </w:t>
      </w:r>
      <w:r>
        <w:rPr>
          <w:sz w:val="22"/>
        </w:rPr>
        <w:t>Rico</w:t>
      </w:r>
      <w:r>
        <w:rPr>
          <w:spacing w:val="-12"/>
          <w:sz w:val="22"/>
        </w:rPr>
        <w:t> </w:t>
      </w:r>
      <w:r>
        <w:rPr>
          <w:sz w:val="22"/>
        </w:rPr>
        <w:t>abnormally</w:t>
      </w:r>
      <w:r>
        <w:rPr>
          <w:spacing w:val="-12"/>
          <w:sz w:val="22"/>
        </w:rPr>
        <w:t> </w:t>
      </w:r>
      <w:r>
        <w:rPr>
          <w:sz w:val="22"/>
        </w:rPr>
        <w:t>low,</w:t>
      </w:r>
    </w:p>
    <w:p>
      <w:pPr>
        <w:pStyle w:val="ListParagraph"/>
        <w:numPr>
          <w:ilvl w:val="0"/>
          <w:numId w:val="2"/>
        </w:numPr>
        <w:tabs>
          <w:tab w:pos="444" w:val="left" w:leader="none"/>
        </w:tabs>
        <w:spacing w:line="240" w:lineRule="auto" w:before="0" w:after="0"/>
        <w:ind w:left="112" w:right="106" w:firstLine="0"/>
        <w:jc w:val="both"/>
        <w:rPr>
          <w:sz w:val="22"/>
        </w:rPr>
      </w:pPr>
      <w:r>
        <w:rPr>
          <w:sz w:val="22"/>
        </w:rPr>
        <w:t>this basic anomaly harms the system and accelerates provider and beneficiary migration, and </w:t>
      </w:r>
      <w:r>
        <w:rPr>
          <w:b/>
          <w:sz w:val="22"/>
        </w:rPr>
        <w:t>(3) </w:t>
      </w:r>
      <w:r>
        <w:rPr>
          <w:sz w:val="22"/>
        </w:rPr>
        <w:t>HHS and CMS should take administrative action to make adjustments that can meaningfully reduce the harmful funding gap for MA in Puerto</w:t>
      </w:r>
      <w:r>
        <w:rPr>
          <w:spacing w:val="-6"/>
          <w:sz w:val="22"/>
        </w:rPr>
        <w:t> </w:t>
      </w:r>
      <w:r>
        <w:rPr>
          <w:sz w:val="22"/>
        </w:rPr>
        <w:t>Rico.</w:t>
      </w:r>
    </w:p>
    <w:p>
      <w:pPr>
        <w:pStyle w:val="BodyText"/>
        <w:spacing w:before="1"/>
      </w:pPr>
    </w:p>
    <w:p>
      <w:pPr>
        <w:pStyle w:val="BodyText"/>
        <w:ind w:left="112" w:right="106" w:firstLine="720"/>
        <w:jc w:val="both"/>
      </w:pPr>
      <w:r>
        <w:rPr>
          <w:b/>
          <w:i/>
        </w:rPr>
        <w:t>Puerto Rico is thankful of steps taken to date, but data reveals the ongoing fundamental problem. </w:t>
      </w:r>
      <w:r>
        <w:rPr/>
        <w:t>We are appreciative and acknowledge important adjustments that CMS has made and proposes to maintain, in particular: using Medicare A &amp; B beneficiaries to estimate FFS costs, adjusting for a much higher proportion of zero-claimants in FFS, adjusting STARs methodology to reflect the exclusion of Part D Low Income Subsidy (LIS) and the Supplemental Security Income (SSI), and re-interpreting the test for the STARs double bonus eligibility. CMS also established a new policy to use a 1.0 GPCI (Geographic Practice Cost Index) to calculate Part B physician reimbursement in Puerto Rico as it had done for many years for the USVI and maintained the use of proxy data to calculate Part A DSH-Uncompensated Care payments for hospitals.</w:t>
      </w:r>
    </w:p>
    <w:p>
      <w:pPr>
        <w:pStyle w:val="BodyText"/>
        <w:spacing w:before="9"/>
        <w:rPr>
          <w:sz w:val="21"/>
        </w:rPr>
      </w:pPr>
    </w:p>
    <w:p>
      <w:pPr>
        <w:spacing w:before="0"/>
        <w:ind w:left="112" w:right="105" w:firstLine="720"/>
        <w:jc w:val="both"/>
        <w:rPr>
          <w:sz w:val="22"/>
        </w:rPr>
      </w:pPr>
      <w:r>
        <w:rPr>
          <w:b/>
          <w:i/>
          <w:sz w:val="22"/>
        </w:rPr>
        <w:t>Unfortunately, these changes have not been enough. </w:t>
      </w:r>
      <w:r>
        <w:rPr>
          <w:sz w:val="22"/>
          <w:u w:val="single"/>
        </w:rPr>
        <w:t>The MA benchmark numbers continue to deteriorate, and Puerto Rico is now 43% below the US average compared to 24% below the US average MA benchmarks in 2011 (before the ACA). </w:t>
      </w:r>
      <w:r>
        <w:rPr>
          <w:sz w:val="22"/>
        </w:rPr>
        <w:t>We have done extensive analysis of the underlying FFS data with third party experts. Just recently, in February 2018, </w:t>
      </w:r>
      <w:r>
        <w:rPr>
          <w:b/>
          <w:sz w:val="22"/>
          <w:u w:val="thick"/>
        </w:rPr>
        <w:t>The Moran Company </w:t>
      </w:r>
      <w:r>
        <w:rPr>
          <w:sz w:val="22"/>
        </w:rPr>
        <w:t>released the most recent update to a comprehensive analysis of FFS data from Puerto Rico after adding NEW data for 2015 (</w:t>
      </w:r>
      <w:r>
        <w:rPr>
          <w:b/>
          <w:i/>
          <w:sz w:val="22"/>
        </w:rPr>
        <w:t>See Appendix 1</w:t>
      </w:r>
      <w:r>
        <w:rPr>
          <w:sz w:val="22"/>
        </w:rPr>
        <w:t>). </w:t>
      </w:r>
      <w:r>
        <w:rPr>
          <w:b/>
          <w:sz w:val="22"/>
          <w:u w:val="thick"/>
        </w:rPr>
        <w:t>Conclusion</w:t>
      </w:r>
      <w:r>
        <w:rPr>
          <w:b/>
          <w:sz w:val="22"/>
        </w:rPr>
        <w:t>: the new data reveals the situation is getting worse. </w:t>
      </w:r>
      <w:r>
        <w:rPr>
          <w:sz w:val="22"/>
        </w:rPr>
        <w:t>The eroding Traditional Medicare (FFS) population continues to create anomalous results in FFS data, which makes it unusable for rate setting.</w:t>
      </w:r>
    </w:p>
    <w:p>
      <w:pPr>
        <w:pStyle w:val="BodyText"/>
      </w:pPr>
    </w:p>
    <w:p>
      <w:pPr>
        <w:pStyle w:val="BodyText"/>
        <w:ind w:left="112" w:right="106" w:firstLine="720"/>
        <w:jc w:val="both"/>
      </w:pPr>
      <w:r>
        <w:rPr>
          <w:b/>
          <w:i/>
        </w:rPr>
        <w:t>MA</w:t>
      </w:r>
      <w:r>
        <w:rPr>
          <w:b/>
          <w:i/>
          <w:spacing w:val="-4"/>
        </w:rPr>
        <w:t> </w:t>
      </w:r>
      <w:r>
        <w:rPr>
          <w:b/>
          <w:i/>
        </w:rPr>
        <w:t>program</w:t>
      </w:r>
      <w:r>
        <w:rPr>
          <w:b/>
          <w:i/>
          <w:spacing w:val="-3"/>
        </w:rPr>
        <w:t> </w:t>
      </w:r>
      <w:r>
        <w:rPr>
          <w:b/>
          <w:i/>
        </w:rPr>
        <w:t>penetration</w:t>
      </w:r>
      <w:r>
        <w:rPr>
          <w:b/>
          <w:i/>
          <w:spacing w:val="-4"/>
        </w:rPr>
        <w:t> </w:t>
      </w:r>
      <w:r>
        <w:rPr>
          <w:b/>
          <w:i/>
        </w:rPr>
        <w:t>in</w:t>
      </w:r>
      <w:r>
        <w:rPr>
          <w:b/>
          <w:i/>
          <w:spacing w:val="-4"/>
        </w:rPr>
        <w:t> </w:t>
      </w:r>
      <w:r>
        <w:rPr>
          <w:b/>
          <w:i/>
        </w:rPr>
        <w:t>Puerto</w:t>
      </w:r>
      <w:r>
        <w:rPr>
          <w:b/>
          <w:i/>
          <w:spacing w:val="-4"/>
        </w:rPr>
        <w:t> </w:t>
      </w:r>
      <w:r>
        <w:rPr>
          <w:b/>
          <w:i/>
        </w:rPr>
        <w:t>Rico</w:t>
      </w:r>
      <w:r>
        <w:rPr>
          <w:b/>
          <w:i/>
          <w:spacing w:val="-4"/>
        </w:rPr>
        <w:t> </w:t>
      </w:r>
      <w:r>
        <w:rPr>
          <w:b/>
          <w:i/>
        </w:rPr>
        <w:t>should</w:t>
      </w:r>
      <w:r>
        <w:rPr>
          <w:b/>
          <w:i/>
          <w:spacing w:val="-4"/>
        </w:rPr>
        <w:t> </w:t>
      </w:r>
      <w:r>
        <w:rPr>
          <w:b/>
          <w:i/>
        </w:rPr>
        <w:t>encourage,</w:t>
      </w:r>
      <w:r>
        <w:rPr>
          <w:b/>
          <w:i/>
          <w:spacing w:val="-3"/>
        </w:rPr>
        <w:t> </w:t>
      </w:r>
      <w:r>
        <w:rPr>
          <w:b/>
          <w:i/>
        </w:rPr>
        <w:t>and</w:t>
      </w:r>
      <w:r>
        <w:rPr>
          <w:b/>
          <w:i/>
          <w:spacing w:val="-4"/>
        </w:rPr>
        <w:t> </w:t>
      </w:r>
      <w:r>
        <w:rPr>
          <w:b/>
          <w:i/>
        </w:rPr>
        <w:t>not</w:t>
      </w:r>
      <w:r>
        <w:rPr>
          <w:b/>
          <w:i/>
          <w:spacing w:val="-3"/>
        </w:rPr>
        <w:t> </w:t>
      </w:r>
      <w:r>
        <w:rPr>
          <w:b/>
          <w:i/>
        </w:rPr>
        <w:t>discourage,</w:t>
      </w:r>
      <w:r>
        <w:rPr>
          <w:b/>
          <w:i/>
          <w:spacing w:val="-6"/>
        </w:rPr>
        <w:t> </w:t>
      </w:r>
      <w:r>
        <w:rPr>
          <w:b/>
          <w:i/>
        </w:rPr>
        <w:t>meaningful</w:t>
      </w:r>
      <w:r>
        <w:rPr>
          <w:b/>
          <w:i/>
          <w:spacing w:val="-3"/>
        </w:rPr>
        <w:t> </w:t>
      </w:r>
      <w:r>
        <w:rPr>
          <w:b/>
          <w:i/>
        </w:rPr>
        <w:t>action</w:t>
      </w:r>
      <w:r>
        <w:rPr>
          <w:b/>
          <w:i/>
          <w:spacing w:val="-4"/>
        </w:rPr>
        <w:t> </w:t>
      </w:r>
      <w:r>
        <w:rPr>
          <w:b/>
          <w:i/>
        </w:rPr>
        <w:t>on </w:t>
      </w:r>
      <w:r>
        <w:rPr>
          <w:b/>
          <w:i/>
        </w:rPr>
        <w:t>MA</w:t>
      </w:r>
      <w:r>
        <w:rPr>
          <w:b/>
          <w:i/>
          <w:spacing w:val="-5"/>
        </w:rPr>
        <w:t> </w:t>
      </w:r>
      <w:r>
        <w:rPr>
          <w:b/>
          <w:i/>
        </w:rPr>
        <w:t>rates.</w:t>
      </w:r>
      <w:r>
        <w:rPr>
          <w:b/>
          <w:i/>
          <w:spacing w:val="45"/>
        </w:rPr>
        <w:t> </w:t>
      </w:r>
      <w:r>
        <w:rPr/>
        <w:t>Based</w:t>
      </w:r>
      <w:r>
        <w:rPr>
          <w:spacing w:val="-5"/>
        </w:rPr>
        <w:t> </w:t>
      </w:r>
      <w:r>
        <w:rPr/>
        <w:t>on</w:t>
      </w:r>
      <w:r>
        <w:rPr>
          <w:spacing w:val="-7"/>
        </w:rPr>
        <w:t> </w:t>
      </w:r>
      <w:r>
        <w:rPr/>
        <w:t>an</w:t>
      </w:r>
      <w:r>
        <w:rPr>
          <w:spacing w:val="-7"/>
        </w:rPr>
        <w:t> </w:t>
      </w:r>
      <w:r>
        <w:rPr/>
        <w:t>isolated</w:t>
      </w:r>
      <w:r>
        <w:rPr>
          <w:spacing w:val="-7"/>
        </w:rPr>
        <w:t> </w:t>
      </w:r>
      <w:r>
        <w:rPr/>
        <w:t>review</w:t>
      </w:r>
      <w:r>
        <w:rPr>
          <w:spacing w:val="-5"/>
        </w:rPr>
        <w:t> </w:t>
      </w:r>
      <w:r>
        <w:rPr/>
        <w:t>of</w:t>
      </w:r>
      <w:r>
        <w:rPr>
          <w:spacing w:val="-6"/>
        </w:rPr>
        <w:t> </w:t>
      </w:r>
      <w:r>
        <w:rPr/>
        <w:t>the</w:t>
      </w:r>
      <w:r>
        <w:rPr>
          <w:spacing w:val="-5"/>
        </w:rPr>
        <w:t> </w:t>
      </w:r>
      <w:r>
        <w:rPr/>
        <w:t>Puerto</w:t>
      </w:r>
      <w:r>
        <w:rPr>
          <w:spacing w:val="-7"/>
        </w:rPr>
        <w:t> </w:t>
      </w:r>
      <w:r>
        <w:rPr/>
        <w:t>Rico</w:t>
      </w:r>
      <w:r>
        <w:rPr>
          <w:spacing w:val="-6"/>
        </w:rPr>
        <w:t> </w:t>
      </w:r>
      <w:r>
        <w:rPr/>
        <w:t>MA</w:t>
      </w:r>
      <w:r>
        <w:rPr>
          <w:spacing w:val="-5"/>
        </w:rPr>
        <w:t> </w:t>
      </w:r>
      <w:r>
        <w:rPr/>
        <w:t>program,</w:t>
      </w:r>
      <w:r>
        <w:rPr>
          <w:spacing w:val="-5"/>
        </w:rPr>
        <w:t> </w:t>
      </w:r>
      <w:r>
        <w:rPr/>
        <w:t>in</w:t>
      </w:r>
      <w:r>
        <w:rPr>
          <w:spacing w:val="-7"/>
        </w:rPr>
        <w:t> </w:t>
      </w:r>
      <w:r>
        <w:rPr/>
        <w:t>particular</w:t>
      </w:r>
      <w:r>
        <w:rPr>
          <w:spacing w:val="-6"/>
        </w:rPr>
        <w:t> </w:t>
      </w:r>
      <w:r>
        <w:rPr/>
        <w:t>given</w:t>
      </w:r>
      <w:r>
        <w:rPr>
          <w:spacing w:val="-3"/>
        </w:rPr>
        <w:t> </w:t>
      </w:r>
      <w:r>
        <w:rPr/>
        <w:t>the</w:t>
      </w:r>
      <w:r>
        <w:rPr>
          <w:spacing w:val="-4"/>
        </w:rPr>
        <w:t> </w:t>
      </w:r>
      <w:r>
        <w:rPr/>
        <w:t>high</w:t>
      </w:r>
      <w:r>
        <w:rPr>
          <w:spacing w:val="-4"/>
        </w:rPr>
        <w:t> </w:t>
      </w:r>
      <w:r>
        <w:rPr/>
        <w:t>participation rate,</w:t>
      </w:r>
      <w:r>
        <w:rPr>
          <w:spacing w:val="-7"/>
        </w:rPr>
        <w:t> </w:t>
      </w:r>
      <w:r>
        <w:rPr/>
        <w:t>or</w:t>
      </w:r>
      <w:r>
        <w:rPr>
          <w:spacing w:val="-6"/>
        </w:rPr>
        <w:t> </w:t>
      </w:r>
      <w:r>
        <w:rPr/>
        <w:t>the</w:t>
      </w:r>
      <w:r>
        <w:rPr>
          <w:spacing w:val="-7"/>
        </w:rPr>
        <w:t> </w:t>
      </w:r>
      <w:r>
        <w:rPr/>
        <w:t>critical</w:t>
      </w:r>
      <w:r>
        <w:rPr>
          <w:spacing w:val="-5"/>
        </w:rPr>
        <w:t> </w:t>
      </w:r>
      <w:r>
        <w:rPr/>
        <w:t>supplemental</w:t>
      </w:r>
      <w:r>
        <w:rPr>
          <w:spacing w:val="-6"/>
        </w:rPr>
        <w:t> </w:t>
      </w:r>
      <w:r>
        <w:rPr/>
        <w:t>benefits</w:t>
      </w:r>
      <w:r>
        <w:rPr>
          <w:spacing w:val="-6"/>
        </w:rPr>
        <w:t> </w:t>
      </w:r>
      <w:r>
        <w:rPr/>
        <w:t>offered,</w:t>
      </w:r>
      <w:r>
        <w:rPr>
          <w:spacing w:val="-7"/>
        </w:rPr>
        <w:t> </w:t>
      </w:r>
      <w:r>
        <w:rPr/>
        <w:t>it</w:t>
      </w:r>
      <w:r>
        <w:rPr>
          <w:spacing w:val="-6"/>
        </w:rPr>
        <w:t> </w:t>
      </w:r>
      <w:r>
        <w:rPr/>
        <w:t>may</w:t>
      </w:r>
      <w:r>
        <w:rPr>
          <w:spacing w:val="-9"/>
        </w:rPr>
        <w:t> </w:t>
      </w:r>
      <w:r>
        <w:rPr/>
        <w:t>suggest</w:t>
      </w:r>
      <w:r>
        <w:rPr>
          <w:spacing w:val="-6"/>
        </w:rPr>
        <w:t> </w:t>
      </w:r>
      <w:r>
        <w:rPr/>
        <w:t>that</w:t>
      </w:r>
      <w:r>
        <w:rPr>
          <w:spacing w:val="-6"/>
        </w:rPr>
        <w:t> </w:t>
      </w:r>
      <w:r>
        <w:rPr/>
        <w:t>rates</w:t>
      </w:r>
      <w:r>
        <w:rPr>
          <w:spacing w:val="-6"/>
        </w:rPr>
        <w:t> </w:t>
      </w:r>
      <w:r>
        <w:rPr/>
        <w:t>are</w:t>
      </w:r>
      <w:r>
        <w:rPr>
          <w:spacing w:val="-7"/>
        </w:rPr>
        <w:t> </w:t>
      </w:r>
      <w:r>
        <w:rPr/>
        <w:t>appropriate</w:t>
      </w:r>
      <w:r>
        <w:rPr>
          <w:spacing w:val="-7"/>
        </w:rPr>
        <w:t> </w:t>
      </w:r>
      <w:r>
        <w:rPr/>
        <w:t>or</w:t>
      </w:r>
      <w:r>
        <w:rPr>
          <w:spacing w:val="-6"/>
        </w:rPr>
        <w:t> </w:t>
      </w:r>
      <w:r>
        <w:rPr/>
        <w:t>adequate.</w:t>
      </w:r>
      <w:r>
        <w:rPr>
          <w:spacing w:val="43"/>
        </w:rPr>
        <w:t> </w:t>
      </w:r>
      <w:r>
        <w:rPr/>
        <w:t>However, as we explain in </w:t>
      </w:r>
      <w:r>
        <w:rPr>
          <w:b/>
          <w:i/>
        </w:rPr>
        <w:t>Section 1 </w:t>
      </w:r>
      <w:r>
        <w:rPr/>
        <w:t>below, this is far from the case. The MA program in Puerto Rico has been forced to adapt to historic anomalies and underfunding. Absent of a meaningful administrative fix, standard rate setting formulas</w:t>
      </w:r>
      <w:r>
        <w:rPr>
          <w:spacing w:val="-10"/>
        </w:rPr>
        <w:t> </w:t>
      </w:r>
      <w:r>
        <w:rPr/>
        <w:t>create</w:t>
      </w:r>
      <w:r>
        <w:rPr>
          <w:spacing w:val="-11"/>
        </w:rPr>
        <w:t> </w:t>
      </w:r>
      <w:r>
        <w:rPr/>
        <w:t>a</w:t>
      </w:r>
      <w:r>
        <w:rPr>
          <w:spacing w:val="-11"/>
        </w:rPr>
        <w:t> </w:t>
      </w:r>
      <w:r>
        <w:rPr/>
        <w:t>cycle</w:t>
      </w:r>
      <w:r>
        <w:rPr>
          <w:spacing w:val="-11"/>
        </w:rPr>
        <w:t> </w:t>
      </w:r>
      <w:r>
        <w:rPr/>
        <w:t>where</w:t>
      </w:r>
      <w:r>
        <w:rPr>
          <w:spacing w:val="-11"/>
        </w:rPr>
        <w:t> </w:t>
      </w:r>
      <w:r>
        <w:rPr/>
        <w:t>extremely</w:t>
      </w:r>
      <w:r>
        <w:rPr>
          <w:spacing w:val="-13"/>
        </w:rPr>
        <w:t> </w:t>
      </w:r>
      <w:r>
        <w:rPr/>
        <w:t>low</w:t>
      </w:r>
      <w:r>
        <w:rPr>
          <w:spacing w:val="-12"/>
        </w:rPr>
        <w:t> </w:t>
      </w:r>
      <w:r>
        <w:rPr/>
        <w:t>payment</w:t>
      </w:r>
      <w:r>
        <w:rPr>
          <w:spacing w:val="-10"/>
        </w:rPr>
        <w:t> </w:t>
      </w:r>
      <w:r>
        <w:rPr/>
        <w:t>levels</w:t>
      </w:r>
      <w:r>
        <w:rPr>
          <w:spacing w:val="-10"/>
        </w:rPr>
        <w:t> </w:t>
      </w:r>
      <w:r>
        <w:rPr/>
        <w:t>are</w:t>
      </w:r>
      <w:r>
        <w:rPr>
          <w:spacing w:val="-11"/>
        </w:rPr>
        <w:t> </w:t>
      </w:r>
      <w:r>
        <w:rPr/>
        <w:t>self-perpetuated</w:t>
      </w:r>
      <w:r>
        <w:rPr>
          <w:spacing w:val="-11"/>
        </w:rPr>
        <w:t> </w:t>
      </w:r>
      <w:r>
        <w:rPr/>
        <w:t>and</w:t>
      </w:r>
      <w:r>
        <w:rPr>
          <w:spacing w:val="-11"/>
        </w:rPr>
        <w:t> </w:t>
      </w:r>
      <w:r>
        <w:rPr/>
        <w:t>worsen</w:t>
      </w:r>
      <w:r>
        <w:rPr>
          <w:spacing w:val="-11"/>
        </w:rPr>
        <w:t> </w:t>
      </w:r>
      <w:r>
        <w:rPr/>
        <w:t>disparities.</w:t>
      </w:r>
      <w:r>
        <w:rPr>
          <w:spacing w:val="-11"/>
        </w:rPr>
        <w:t> </w:t>
      </w:r>
      <w:r>
        <w:rPr/>
        <w:t>In</w:t>
      </w:r>
      <w:r>
        <w:rPr>
          <w:spacing w:val="-11"/>
        </w:rPr>
        <w:t> </w:t>
      </w:r>
      <w:r>
        <w:rPr/>
        <w:t>Puerto Rico,</w:t>
      </w:r>
      <w:r>
        <w:rPr>
          <w:spacing w:val="-14"/>
        </w:rPr>
        <w:t> </w:t>
      </w:r>
      <w:r>
        <w:rPr/>
        <w:t>MA</w:t>
      </w:r>
      <w:r>
        <w:rPr>
          <w:spacing w:val="-12"/>
        </w:rPr>
        <w:t> </w:t>
      </w:r>
      <w:r>
        <w:rPr/>
        <w:t>plan</w:t>
      </w:r>
      <w:r>
        <w:rPr>
          <w:spacing w:val="-14"/>
        </w:rPr>
        <w:t> </w:t>
      </w:r>
      <w:r>
        <w:rPr/>
        <w:t>offerings</w:t>
      </w:r>
      <w:r>
        <w:rPr>
          <w:spacing w:val="-14"/>
        </w:rPr>
        <w:t> </w:t>
      </w:r>
      <w:r>
        <w:rPr/>
        <w:t>fill</w:t>
      </w:r>
      <w:r>
        <w:rPr>
          <w:spacing w:val="-13"/>
        </w:rPr>
        <w:t> </w:t>
      </w:r>
      <w:r>
        <w:rPr/>
        <w:t>unique</w:t>
      </w:r>
      <w:r>
        <w:rPr>
          <w:spacing w:val="-12"/>
        </w:rPr>
        <w:t> </w:t>
      </w:r>
      <w:r>
        <w:rPr/>
        <w:t>gaps</w:t>
      </w:r>
      <w:r>
        <w:rPr>
          <w:spacing w:val="-13"/>
        </w:rPr>
        <w:t> </w:t>
      </w:r>
      <w:r>
        <w:rPr/>
        <w:t>in</w:t>
      </w:r>
      <w:r>
        <w:rPr>
          <w:spacing w:val="-12"/>
        </w:rPr>
        <w:t> </w:t>
      </w:r>
      <w:r>
        <w:rPr/>
        <w:t>benefits</w:t>
      </w:r>
      <w:r>
        <w:rPr>
          <w:spacing w:val="-14"/>
        </w:rPr>
        <w:t> </w:t>
      </w:r>
      <w:r>
        <w:rPr/>
        <w:t>and</w:t>
      </w:r>
      <w:r>
        <w:rPr>
          <w:spacing w:val="-16"/>
        </w:rPr>
        <w:t> </w:t>
      </w:r>
      <w:r>
        <w:rPr/>
        <w:t>provider</w:t>
      </w:r>
      <w:r>
        <w:rPr>
          <w:spacing w:val="-13"/>
        </w:rPr>
        <w:t> </w:t>
      </w:r>
      <w:r>
        <w:rPr/>
        <w:t>compensation</w:t>
      </w:r>
      <w:r>
        <w:rPr>
          <w:spacing w:val="-12"/>
        </w:rPr>
        <w:t> </w:t>
      </w:r>
      <w:r>
        <w:rPr/>
        <w:t>with</w:t>
      </w:r>
      <w:r>
        <w:rPr>
          <w:spacing w:val="-14"/>
        </w:rPr>
        <w:t> </w:t>
      </w:r>
      <w:r>
        <w:rPr/>
        <w:t>the</w:t>
      </w:r>
      <w:r>
        <w:rPr>
          <w:spacing w:val="-14"/>
        </w:rPr>
        <w:t> </w:t>
      </w:r>
      <w:r>
        <w:rPr/>
        <w:t>limited</w:t>
      </w:r>
      <w:r>
        <w:rPr>
          <w:spacing w:val="-14"/>
        </w:rPr>
        <w:t> </w:t>
      </w:r>
      <w:r>
        <w:rPr/>
        <w:t>funding</w:t>
      </w:r>
      <w:r>
        <w:rPr>
          <w:spacing w:val="-14"/>
        </w:rPr>
        <w:t> </w:t>
      </w:r>
      <w:r>
        <w:rPr/>
        <w:t>available. However, the resulting harmful side effects are reflected in additional disparity in professional compensation, accelerated migration of providers and patients, and finally an underdeveloped health care</w:t>
      </w:r>
      <w:r>
        <w:rPr>
          <w:spacing w:val="-29"/>
        </w:rPr>
        <w:t> </w:t>
      </w:r>
      <w:r>
        <w:rPr/>
        <w:t>infrastructure.</w:t>
      </w:r>
    </w:p>
    <w:p>
      <w:pPr>
        <w:pStyle w:val="BodyText"/>
      </w:pPr>
    </w:p>
    <w:p>
      <w:pPr>
        <w:pStyle w:val="BodyText"/>
        <w:ind w:left="112" w:right="108" w:firstLine="720"/>
        <w:jc w:val="both"/>
      </w:pPr>
      <w:r>
        <w:rPr/>
        <w:t>When</w:t>
      </w:r>
      <w:r>
        <w:rPr>
          <w:spacing w:val="-6"/>
        </w:rPr>
        <w:t> </w:t>
      </w:r>
      <w:r>
        <w:rPr/>
        <w:t>assessing</w:t>
      </w:r>
      <w:r>
        <w:rPr>
          <w:spacing w:val="-9"/>
        </w:rPr>
        <w:t> </w:t>
      </w:r>
      <w:r>
        <w:rPr/>
        <w:t>our</w:t>
      </w:r>
      <w:r>
        <w:rPr>
          <w:spacing w:val="-5"/>
        </w:rPr>
        <w:t> </w:t>
      </w:r>
      <w:r>
        <w:rPr/>
        <w:t>proposals,</w:t>
      </w:r>
      <w:r>
        <w:rPr>
          <w:spacing w:val="-5"/>
        </w:rPr>
        <w:t> </w:t>
      </w:r>
      <w:r>
        <w:rPr/>
        <w:t>we</w:t>
      </w:r>
      <w:r>
        <w:rPr>
          <w:spacing w:val="-6"/>
        </w:rPr>
        <w:t> </w:t>
      </w:r>
      <w:r>
        <w:rPr/>
        <w:t>urge</w:t>
      </w:r>
      <w:r>
        <w:rPr>
          <w:spacing w:val="-6"/>
        </w:rPr>
        <w:t> </w:t>
      </w:r>
      <w:r>
        <w:rPr/>
        <w:t>CMS</w:t>
      </w:r>
      <w:r>
        <w:rPr>
          <w:spacing w:val="-6"/>
        </w:rPr>
        <w:t> </w:t>
      </w:r>
      <w:r>
        <w:rPr/>
        <w:t>to</w:t>
      </w:r>
      <w:r>
        <w:rPr>
          <w:spacing w:val="-6"/>
        </w:rPr>
        <w:t> </w:t>
      </w:r>
      <w:r>
        <w:rPr/>
        <w:t>look</w:t>
      </w:r>
      <w:r>
        <w:rPr>
          <w:spacing w:val="-9"/>
        </w:rPr>
        <w:t> </w:t>
      </w:r>
      <w:r>
        <w:rPr/>
        <w:t>at</w:t>
      </w:r>
      <w:r>
        <w:rPr>
          <w:spacing w:val="-7"/>
        </w:rPr>
        <w:t> </w:t>
      </w:r>
      <w:r>
        <w:rPr/>
        <w:t>MA</w:t>
      </w:r>
      <w:r>
        <w:rPr>
          <w:spacing w:val="-7"/>
        </w:rPr>
        <w:t> </w:t>
      </w:r>
      <w:r>
        <w:rPr/>
        <w:t>as</w:t>
      </w:r>
      <w:r>
        <w:rPr>
          <w:spacing w:val="-5"/>
        </w:rPr>
        <w:t> </w:t>
      </w:r>
      <w:r>
        <w:rPr/>
        <w:t>the</w:t>
      </w:r>
      <w:r>
        <w:rPr>
          <w:spacing w:val="-8"/>
        </w:rPr>
        <w:t> </w:t>
      </w:r>
      <w:r>
        <w:rPr/>
        <w:t>largest</w:t>
      </w:r>
      <w:r>
        <w:rPr>
          <w:spacing w:val="-5"/>
        </w:rPr>
        <w:t> </w:t>
      </w:r>
      <w:r>
        <w:rPr/>
        <w:t>component</w:t>
      </w:r>
      <w:r>
        <w:rPr>
          <w:spacing w:val="-5"/>
        </w:rPr>
        <w:t> </w:t>
      </w:r>
      <w:r>
        <w:rPr/>
        <w:t>of</w:t>
      </w:r>
      <w:r>
        <w:rPr>
          <w:spacing w:val="-5"/>
        </w:rPr>
        <w:t> </w:t>
      </w:r>
      <w:r>
        <w:rPr/>
        <w:t>a</w:t>
      </w:r>
      <w:r>
        <w:rPr>
          <w:spacing w:val="-6"/>
        </w:rPr>
        <w:t> </w:t>
      </w:r>
      <w:r>
        <w:rPr/>
        <w:t>comprehensive system of health care provision. MA policy decisions must be beneficiary-centered, beyond the independent review of programs (MA, Part A, Part B, Part D, Medicaid). The disparity is so large, that we urge CMS to also make</w:t>
      </w:r>
      <w:r>
        <w:rPr>
          <w:spacing w:val="29"/>
        </w:rPr>
        <w:t> </w:t>
      </w:r>
      <w:r>
        <w:rPr/>
        <w:t>an</w:t>
      </w:r>
      <w:r>
        <w:rPr>
          <w:spacing w:val="29"/>
        </w:rPr>
        <w:t> </w:t>
      </w:r>
      <w:r>
        <w:rPr/>
        <w:t>assessment</w:t>
      </w:r>
      <w:r>
        <w:rPr>
          <w:spacing w:val="30"/>
        </w:rPr>
        <w:t> </w:t>
      </w:r>
      <w:r>
        <w:rPr/>
        <w:t>beyond</w:t>
      </w:r>
      <w:r>
        <w:rPr>
          <w:spacing w:val="29"/>
        </w:rPr>
        <w:t> </w:t>
      </w:r>
      <w:r>
        <w:rPr/>
        <w:t>the</w:t>
      </w:r>
      <w:r>
        <w:rPr>
          <w:spacing w:val="29"/>
        </w:rPr>
        <w:t> </w:t>
      </w:r>
      <w:r>
        <w:rPr/>
        <w:t>shores</w:t>
      </w:r>
      <w:r>
        <w:rPr>
          <w:spacing w:val="29"/>
        </w:rPr>
        <w:t> </w:t>
      </w:r>
      <w:r>
        <w:rPr/>
        <w:t>of</w:t>
      </w:r>
      <w:r>
        <w:rPr>
          <w:spacing w:val="28"/>
        </w:rPr>
        <w:t> </w:t>
      </w:r>
      <w:r>
        <w:rPr/>
        <w:t>an</w:t>
      </w:r>
      <w:r>
        <w:rPr>
          <w:spacing w:val="28"/>
        </w:rPr>
        <w:t> </w:t>
      </w:r>
      <w:r>
        <w:rPr/>
        <w:t>island. </w:t>
      </w:r>
      <w:r>
        <w:rPr>
          <w:spacing w:val="54"/>
        </w:rPr>
        <w:t> </w:t>
      </w:r>
      <w:r>
        <w:rPr/>
        <w:t>We</w:t>
      </w:r>
      <w:r>
        <w:rPr>
          <w:spacing w:val="28"/>
        </w:rPr>
        <w:t> </w:t>
      </w:r>
      <w:r>
        <w:rPr/>
        <w:t>are</w:t>
      </w:r>
      <w:r>
        <w:rPr>
          <w:spacing w:val="28"/>
        </w:rPr>
        <w:t> </w:t>
      </w:r>
      <w:r>
        <w:rPr/>
        <w:t>seeing</w:t>
      </w:r>
      <w:r>
        <w:rPr>
          <w:spacing w:val="27"/>
        </w:rPr>
        <w:t> </w:t>
      </w:r>
      <w:r>
        <w:rPr/>
        <w:t>Medicare</w:t>
      </w:r>
      <w:r>
        <w:rPr>
          <w:spacing w:val="25"/>
        </w:rPr>
        <w:t> </w:t>
      </w:r>
      <w:r>
        <w:rPr/>
        <w:t>competing</w:t>
      </w:r>
      <w:r>
        <w:rPr>
          <w:spacing w:val="27"/>
        </w:rPr>
        <w:t> </w:t>
      </w:r>
      <w:r>
        <w:rPr/>
        <w:t>within</w:t>
      </w:r>
      <w:r>
        <w:rPr>
          <w:spacing w:val="27"/>
        </w:rPr>
        <w:t> </w:t>
      </w:r>
      <w:r>
        <w:rPr/>
        <w:t>itself</w:t>
      </w:r>
      <w:r>
        <w:rPr>
          <w:spacing w:val="28"/>
        </w:rPr>
        <w:t> </w:t>
      </w:r>
      <w:r>
        <w:rPr/>
        <w:t>when</w:t>
      </w:r>
    </w:p>
    <w:p>
      <w:pPr>
        <w:spacing w:after="0"/>
        <w:jc w:val="both"/>
        <w:sectPr>
          <w:pgSz w:w="12240" w:h="15840"/>
          <w:pgMar w:header="0" w:footer="1015" w:top="1380" w:bottom="1200" w:left="1040" w:right="1040"/>
        </w:sectPr>
      </w:pPr>
    </w:p>
    <w:p>
      <w:pPr>
        <w:pStyle w:val="BodyText"/>
        <w:spacing w:before="79"/>
        <w:ind w:left="132" w:right="129"/>
        <w:jc w:val="both"/>
      </w:pPr>
      <w:r>
        <w:rPr/>
        <w:t>physicians and health professionals from Puerto Rico go to Florida or other states to get 2-3 times more compensated, by the same program. We urge HHS and CMS to consider the input of federal officials who have been in Puerto Rico first hand, especially after the recent natural disaster. Crucial evidence for past and new policy adjustments in Puerto Rico is not necessarily evident in the regular documentation and bid process.</w:t>
      </w:r>
    </w:p>
    <w:p>
      <w:pPr>
        <w:pStyle w:val="BodyText"/>
      </w:pPr>
    </w:p>
    <w:p>
      <w:pPr>
        <w:spacing w:before="0"/>
        <w:ind w:left="132" w:right="126" w:firstLine="720"/>
        <w:jc w:val="both"/>
        <w:rPr>
          <w:sz w:val="22"/>
        </w:rPr>
      </w:pPr>
      <w:r>
        <w:rPr>
          <w:b/>
          <w:sz w:val="22"/>
        </w:rPr>
        <w:t>The relative attractiveness of the MA program as a successful health care policy for the neediest should not be a deterrent for the implementation of tangible policy adjustments to mitigate the gap in MA rates. </w:t>
      </w:r>
      <w:r>
        <w:rPr>
          <w:sz w:val="22"/>
        </w:rPr>
        <w:t>Puerto Rico poverty rate is three times higher than the average of all States, but our beneficiaries are excluded from key programs like the Part D LIS, and the SSI that support and fill critical gaps for the neediest of patients.</w:t>
      </w:r>
      <w:r>
        <w:rPr>
          <w:spacing w:val="38"/>
          <w:sz w:val="22"/>
        </w:rPr>
        <w:t> </w:t>
      </w:r>
      <w:r>
        <w:rPr>
          <w:sz w:val="22"/>
        </w:rPr>
        <w:t>High</w:t>
      </w:r>
      <w:r>
        <w:rPr>
          <w:spacing w:val="-9"/>
          <w:sz w:val="22"/>
        </w:rPr>
        <w:t> </w:t>
      </w:r>
      <w:r>
        <w:rPr>
          <w:sz w:val="22"/>
        </w:rPr>
        <w:t>MA</w:t>
      </w:r>
      <w:r>
        <w:rPr>
          <w:spacing w:val="-9"/>
          <w:sz w:val="22"/>
        </w:rPr>
        <w:t> </w:t>
      </w:r>
      <w:r>
        <w:rPr>
          <w:sz w:val="22"/>
        </w:rPr>
        <w:t>penetration</w:t>
      </w:r>
      <w:r>
        <w:rPr>
          <w:spacing w:val="-9"/>
          <w:sz w:val="22"/>
        </w:rPr>
        <w:t> </w:t>
      </w:r>
      <w:r>
        <w:rPr>
          <w:sz w:val="22"/>
        </w:rPr>
        <w:t>and</w:t>
      </w:r>
      <w:r>
        <w:rPr>
          <w:spacing w:val="-8"/>
          <w:sz w:val="22"/>
        </w:rPr>
        <w:t> </w:t>
      </w:r>
      <w:r>
        <w:rPr>
          <w:sz w:val="22"/>
        </w:rPr>
        <w:t>the</w:t>
      </w:r>
      <w:r>
        <w:rPr>
          <w:spacing w:val="-8"/>
          <w:sz w:val="22"/>
        </w:rPr>
        <w:t> </w:t>
      </w:r>
      <w:r>
        <w:rPr>
          <w:sz w:val="22"/>
        </w:rPr>
        <w:t>higher</w:t>
      </w:r>
      <w:r>
        <w:rPr>
          <w:spacing w:val="-7"/>
          <w:sz w:val="22"/>
        </w:rPr>
        <w:t> </w:t>
      </w:r>
      <w:r>
        <w:rPr>
          <w:sz w:val="22"/>
        </w:rPr>
        <w:t>cost</w:t>
      </w:r>
      <w:r>
        <w:rPr>
          <w:spacing w:val="-7"/>
          <w:sz w:val="22"/>
        </w:rPr>
        <w:t> </w:t>
      </w:r>
      <w:r>
        <w:rPr>
          <w:sz w:val="22"/>
        </w:rPr>
        <w:t>of</w:t>
      </w:r>
      <w:r>
        <w:rPr>
          <w:spacing w:val="-8"/>
          <w:sz w:val="22"/>
        </w:rPr>
        <w:t> </w:t>
      </w:r>
      <w:r>
        <w:rPr>
          <w:sz w:val="22"/>
        </w:rPr>
        <w:t>supplemental</w:t>
      </w:r>
      <w:r>
        <w:rPr>
          <w:spacing w:val="-8"/>
          <w:sz w:val="22"/>
        </w:rPr>
        <w:t> </w:t>
      </w:r>
      <w:r>
        <w:rPr>
          <w:sz w:val="22"/>
        </w:rPr>
        <w:t>benefits</w:t>
      </w:r>
      <w:r>
        <w:rPr>
          <w:spacing w:val="-8"/>
          <w:sz w:val="22"/>
        </w:rPr>
        <w:t> </w:t>
      </w:r>
      <w:r>
        <w:rPr>
          <w:sz w:val="22"/>
        </w:rPr>
        <w:t>within</w:t>
      </w:r>
      <w:r>
        <w:rPr>
          <w:spacing w:val="-9"/>
          <w:sz w:val="22"/>
        </w:rPr>
        <w:t> </w:t>
      </w:r>
      <w:r>
        <w:rPr>
          <w:sz w:val="22"/>
        </w:rPr>
        <w:t>MA</w:t>
      </w:r>
      <w:r>
        <w:rPr>
          <w:spacing w:val="-9"/>
          <w:sz w:val="22"/>
        </w:rPr>
        <w:t> </w:t>
      </w:r>
      <w:r>
        <w:rPr>
          <w:sz w:val="22"/>
        </w:rPr>
        <w:t>are</w:t>
      </w:r>
      <w:r>
        <w:rPr>
          <w:spacing w:val="-11"/>
          <w:sz w:val="22"/>
        </w:rPr>
        <w:t> </w:t>
      </w:r>
      <w:r>
        <w:rPr>
          <w:sz w:val="22"/>
        </w:rPr>
        <w:t>just</w:t>
      </w:r>
      <w:r>
        <w:rPr>
          <w:spacing w:val="-7"/>
          <w:sz w:val="22"/>
        </w:rPr>
        <w:t> </w:t>
      </w:r>
      <w:r>
        <w:rPr>
          <w:sz w:val="22"/>
        </w:rPr>
        <w:t>a</w:t>
      </w:r>
      <w:r>
        <w:rPr>
          <w:spacing w:val="-11"/>
          <w:sz w:val="22"/>
        </w:rPr>
        <w:t> </w:t>
      </w:r>
      <w:r>
        <w:rPr>
          <w:sz w:val="22"/>
        </w:rPr>
        <w:t>reflection</w:t>
      </w:r>
      <w:r>
        <w:rPr>
          <w:spacing w:val="-9"/>
          <w:sz w:val="22"/>
        </w:rPr>
        <w:t> </w:t>
      </w:r>
      <w:r>
        <w:rPr>
          <w:sz w:val="22"/>
        </w:rPr>
        <w:t>of</w:t>
      </w:r>
      <w:r>
        <w:rPr>
          <w:spacing w:val="-8"/>
          <w:sz w:val="22"/>
        </w:rPr>
        <w:t> </w:t>
      </w:r>
      <w:r>
        <w:rPr>
          <w:sz w:val="22"/>
        </w:rPr>
        <w:t>(A) our socio-economic structure, and (B) particular gaps in benefits created by the exclusion or fragmented implementation of Medicare, Medicaid and Social Security benefits that are available in the states for similarly situated individuals. HHS and CMS have formally recognized this already in past policies, including the zero- claims adjustment implemented following guidance from the Secretary of</w:t>
      </w:r>
      <w:r>
        <w:rPr>
          <w:spacing w:val="-28"/>
          <w:sz w:val="22"/>
        </w:rPr>
        <w:t> </w:t>
      </w:r>
      <w:r>
        <w:rPr>
          <w:sz w:val="22"/>
        </w:rPr>
        <w:t>HHS.</w:t>
      </w:r>
    </w:p>
    <w:p>
      <w:pPr>
        <w:pStyle w:val="BodyText"/>
      </w:pPr>
    </w:p>
    <w:p>
      <w:pPr>
        <w:pStyle w:val="BodyText"/>
        <w:ind w:left="132" w:right="128" w:firstLine="720"/>
        <w:jc w:val="both"/>
      </w:pPr>
      <w:r>
        <w:rPr/>
        <w:t>Historic statutory differences, along with new evidence of market and data anomalies, are the primary causes of the deficient MA rates that persist today. Puerto Rico will continue to be the most cost-effective MA program in the United States even after the implementation of the proposals listed below that address the aggravating anomalies.</w:t>
      </w:r>
    </w:p>
    <w:p>
      <w:pPr>
        <w:pStyle w:val="BodyText"/>
        <w:rPr>
          <w:sz w:val="20"/>
        </w:rPr>
      </w:pPr>
      <w:r>
        <w:rPr/>
        <w:pict>
          <v:shape style="position:absolute;margin-left:56.16pt;margin-top:12.710183pt;width:499.8pt;height:13.8pt;mso-position-horizontal-relative:page;mso-position-vertical-relative:paragraph;z-index:1072;mso-wrap-distance-left:0;mso-wrap-distance-right:0" type="#_x0000_t202" filled="true" fillcolor="#d9d9d9" stroked="false">
            <v:textbox inset="0,0,0,0">
              <w:txbxContent>
                <w:p>
                  <w:pPr>
                    <w:spacing w:line="275" w:lineRule="exact" w:before="0"/>
                    <w:ind w:left="749" w:right="0" w:firstLine="0"/>
                    <w:jc w:val="left"/>
                    <w:rPr>
                      <w:b/>
                      <w:sz w:val="24"/>
                    </w:rPr>
                  </w:pPr>
                  <w:r>
                    <w:rPr>
                      <w:b/>
                      <w:sz w:val="24"/>
                      <w:u w:val="thick"/>
                    </w:rPr>
                    <w:t>Main Proposal</w:t>
                  </w:r>
                </w:p>
              </w:txbxContent>
            </v:textbox>
            <v:fill type="solid"/>
            <w10:wrap type="topAndBottom"/>
          </v:shape>
        </w:pict>
      </w:r>
    </w:p>
    <w:p>
      <w:pPr>
        <w:pStyle w:val="BodyText"/>
        <w:spacing w:before="8"/>
        <w:rPr>
          <w:sz w:val="12"/>
        </w:rPr>
      </w:pPr>
    </w:p>
    <w:p>
      <w:pPr>
        <w:pStyle w:val="ListParagraph"/>
        <w:numPr>
          <w:ilvl w:val="1"/>
          <w:numId w:val="2"/>
        </w:numPr>
        <w:tabs>
          <w:tab w:pos="853" w:val="left" w:leader="none"/>
        </w:tabs>
        <w:spacing w:line="240" w:lineRule="auto" w:before="92" w:after="0"/>
        <w:ind w:left="852" w:right="124" w:hanging="360"/>
        <w:jc w:val="both"/>
        <w:rPr>
          <w:sz w:val="22"/>
        </w:rPr>
      </w:pPr>
      <w:r>
        <w:rPr>
          <w:b/>
          <w:sz w:val="22"/>
        </w:rPr>
        <w:t>We request HHS and CMS to use administrative flexibility to meaningfully adjust MA rates in Puerto Rico for CY2019 in the Final Announcement and Call Letter for CY2019</w:t>
      </w:r>
      <w:r>
        <w:rPr>
          <w:sz w:val="22"/>
        </w:rPr>
        <w:t>, after recognizing new evidence of data anomalies and the harmful effects of the recent natural</w:t>
      </w:r>
      <w:r>
        <w:rPr>
          <w:spacing w:val="-19"/>
          <w:sz w:val="22"/>
        </w:rPr>
        <w:t> </w:t>
      </w:r>
      <w:r>
        <w:rPr>
          <w:sz w:val="22"/>
        </w:rPr>
        <w:t>disaster.</w:t>
      </w:r>
    </w:p>
    <w:p>
      <w:pPr>
        <w:pStyle w:val="BodyText"/>
        <w:spacing w:before="2"/>
      </w:pPr>
    </w:p>
    <w:p>
      <w:pPr>
        <w:pStyle w:val="ListParagraph"/>
        <w:numPr>
          <w:ilvl w:val="1"/>
          <w:numId w:val="2"/>
        </w:numPr>
        <w:tabs>
          <w:tab w:pos="853" w:val="left" w:leader="none"/>
        </w:tabs>
        <w:spacing w:line="259" w:lineRule="auto" w:before="1" w:after="0"/>
        <w:ind w:left="852" w:right="124" w:hanging="360"/>
        <w:jc w:val="both"/>
        <w:rPr>
          <w:sz w:val="22"/>
        </w:rPr>
      </w:pPr>
      <w:r>
        <w:rPr>
          <w:b/>
          <w:sz w:val="22"/>
        </w:rPr>
        <w:t>We request HHS and CMS to establish a proxy methodology for the 2019 MA and MA ESRD benchmark</w:t>
      </w:r>
      <w:r>
        <w:rPr>
          <w:b/>
          <w:spacing w:val="-9"/>
          <w:sz w:val="22"/>
        </w:rPr>
        <w:t> </w:t>
      </w:r>
      <w:r>
        <w:rPr>
          <w:b/>
          <w:sz w:val="22"/>
        </w:rPr>
        <w:t>in</w:t>
      </w:r>
      <w:r>
        <w:rPr>
          <w:b/>
          <w:spacing w:val="-9"/>
          <w:sz w:val="22"/>
        </w:rPr>
        <w:t> </w:t>
      </w:r>
      <w:r>
        <w:rPr>
          <w:b/>
          <w:sz w:val="22"/>
        </w:rPr>
        <w:t>Puerto</w:t>
      </w:r>
      <w:r>
        <w:rPr>
          <w:b/>
          <w:spacing w:val="-6"/>
          <w:sz w:val="22"/>
        </w:rPr>
        <w:t> </w:t>
      </w:r>
      <w:r>
        <w:rPr>
          <w:b/>
          <w:sz w:val="22"/>
        </w:rPr>
        <w:t>Rico</w:t>
      </w:r>
      <w:r>
        <w:rPr>
          <w:b/>
          <w:spacing w:val="-6"/>
          <w:sz w:val="22"/>
        </w:rPr>
        <w:t> </w:t>
      </w:r>
      <w:r>
        <w:rPr>
          <w:b/>
          <w:sz w:val="22"/>
        </w:rPr>
        <w:t>or</w:t>
      </w:r>
      <w:r>
        <w:rPr>
          <w:b/>
          <w:spacing w:val="-6"/>
          <w:sz w:val="22"/>
        </w:rPr>
        <w:t> </w:t>
      </w:r>
      <w:r>
        <w:rPr>
          <w:b/>
          <w:sz w:val="22"/>
        </w:rPr>
        <w:t>a</w:t>
      </w:r>
      <w:r>
        <w:rPr>
          <w:b/>
          <w:spacing w:val="-6"/>
          <w:sz w:val="22"/>
        </w:rPr>
        <w:t> </w:t>
      </w:r>
      <w:r>
        <w:rPr>
          <w:b/>
          <w:sz w:val="22"/>
        </w:rPr>
        <w:t>national</w:t>
      </w:r>
      <w:r>
        <w:rPr>
          <w:b/>
          <w:spacing w:val="-10"/>
          <w:sz w:val="22"/>
        </w:rPr>
        <w:t> </w:t>
      </w:r>
      <w:r>
        <w:rPr>
          <w:b/>
          <w:sz w:val="22"/>
        </w:rPr>
        <w:t>floor</w:t>
      </w:r>
      <w:r>
        <w:rPr>
          <w:b/>
          <w:spacing w:val="-11"/>
          <w:sz w:val="22"/>
        </w:rPr>
        <w:t> </w:t>
      </w:r>
      <w:r>
        <w:rPr>
          <w:b/>
          <w:sz w:val="22"/>
        </w:rPr>
        <w:t>for</w:t>
      </w:r>
      <w:r>
        <w:rPr>
          <w:b/>
          <w:spacing w:val="-8"/>
          <w:sz w:val="22"/>
        </w:rPr>
        <w:t> </w:t>
      </w:r>
      <w:r>
        <w:rPr>
          <w:b/>
          <w:sz w:val="22"/>
        </w:rPr>
        <w:t>the</w:t>
      </w:r>
      <w:r>
        <w:rPr>
          <w:b/>
          <w:spacing w:val="-6"/>
          <w:sz w:val="22"/>
        </w:rPr>
        <w:t> </w:t>
      </w:r>
      <w:r>
        <w:rPr>
          <w:b/>
          <w:sz w:val="22"/>
        </w:rPr>
        <w:t>Average</w:t>
      </w:r>
      <w:r>
        <w:rPr>
          <w:b/>
          <w:spacing w:val="-6"/>
          <w:sz w:val="22"/>
        </w:rPr>
        <w:t> </w:t>
      </w:r>
      <w:r>
        <w:rPr>
          <w:b/>
          <w:sz w:val="22"/>
        </w:rPr>
        <w:t>Geographic</w:t>
      </w:r>
      <w:r>
        <w:rPr>
          <w:b/>
          <w:spacing w:val="-6"/>
          <w:sz w:val="22"/>
        </w:rPr>
        <w:t> </w:t>
      </w:r>
      <w:r>
        <w:rPr>
          <w:b/>
          <w:sz w:val="22"/>
        </w:rPr>
        <w:t>Adjustment</w:t>
      </w:r>
      <w:r>
        <w:rPr>
          <w:b/>
          <w:spacing w:val="-5"/>
          <w:sz w:val="22"/>
        </w:rPr>
        <w:t> </w:t>
      </w:r>
      <w:r>
        <w:rPr>
          <w:b/>
          <w:sz w:val="22"/>
        </w:rPr>
        <w:t>(AGA</w:t>
      </w:r>
      <w:r>
        <w:rPr>
          <w:b/>
          <w:spacing w:val="-10"/>
          <w:sz w:val="22"/>
        </w:rPr>
        <w:t> </w:t>
      </w:r>
      <w:r>
        <w:rPr>
          <w:b/>
          <w:sz w:val="22"/>
        </w:rPr>
        <w:t>floor) of 0.70 for all counties in MA rate-setting. </w:t>
      </w:r>
      <w:r>
        <w:rPr>
          <w:sz w:val="22"/>
        </w:rPr>
        <w:t>The latter would move Puerto Rico counties to an AGA closer to other Caribbean Territories and protect all the counties in the Nation from cases of extremely low AGAs resulting from clear data deficiencies and unexpected fluctuations. Implementing an AGA floor now will prevent further erosion and irreparable harm to the healthcare system. An equivalent approach should be used to calculate the ESRD benchmark to ensure resources are available to properly care for this vulnerable</w:t>
      </w:r>
      <w:r>
        <w:rPr>
          <w:spacing w:val="-11"/>
          <w:sz w:val="22"/>
        </w:rPr>
        <w:t> </w:t>
      </w:r>
      <w:r>
        <w:rPr>
          <w:sz w:val="22"/>
        </w:rPr>
        <w:t>population.</w:t>
      </w:r>
    </w:p>
    <w:p>
      <w:pPr>
        <w:pStyle w:val="ListParagraph"/>
        <w:numPr>
          <w:ilvl w:val="1"/>
          <w:numId w:val="2"/>
        </w:numPr>
        <w:tabs>
          <w:tab w:pos="853" w:val="left" w:leader="none"/>
        </w:tabs>
        <w:spacing w:line="240" w:lineRule="auto" w:before="159" w:after="0"/>
        <w:ind w:left="852" w:right="125" w:hanging="360"/>
        <w:jc w:val="both"/>
        <w:rPr>
          <w:sz w:val="22"/>
        </w:rPr>
      </w:pPr>
      <w:r>
        <w:rPr>
          <w:b/>
          <w:sz w:val="22"/>
        </w:rPr>
        <w:t>CMS can phase-in the impact of the proposed policy for MA benchmarks in a period of 2-3 years, starting</w:t>
      </w:r>
      <w:r>
        <w:rPr>
          <w:b/>
          <w:spacing w:val="-14"/>
          <w:sz w:val="22"/>
        </w:rPr>
        <w:t> </w:t>
      </w:r>
      <w:r>
        <w:rPr>
          <w:b/>
          <w:sz w:val="22"/>
        </w:rPr>
        <w:t>in</w:t>
      </w:r>
      <w:r>
        <w:rPr>
          <w:b/>
          <w:spacing w:val="-11"/>
          <w:sz w:val="22"/>
        </w:rPr>
        <w:t> </w:t>
      </w:r>
      <w:r>
        <w:rPr>
          <w:b/>
          <w:sz w:val="22"/>
        </w:rPr>
        <w:t>2019,</w:t>
      </w:r>
      <w:r>
        <w:rPr>
          <w:b/>
          <w:spacing w:val="-11"/>
          <w:sz w:val="22"/>
        </w:rPr>
        <w:t> </w:t>
      </w:r>
      <w:r>
        <w:rPr>
          <w:b/>
          <w:sz w:val="22"/>
        </w:rPr>
        <w:t>and</w:t>
      </w:r>
      <w:r>
        <w:rPr>
          <w:b/>
          <w:spacing w:val="-14"/>
          <w:sz w:val="22"/>
        </w:rPr>
        <w:t> </w:t>
      </w:r>
      <w:r>
        <w:rPr>
          <w:b/>
          <w:sz w:val="22"/>
        </w:rPr>
        <w:t>monitor</w:t>
      </w:r>
      <w:r>
        <w:rPr>
          <w:b/>
          <w:spacing w:val="-11"/>
          <w:sz w:val="22"/>
        </w:rPr>
        <w:t> </w:t>
      </w:r>
      <w:r>
        <w:rPr>
          <w:b/>
          <w:sz w:val="22"/>
        </w:rPr>
        <w:t>closely</w:t>
      </w:r>
      <w:r>
        <w:rPr>
          <w:b/>
          <w:spacing w:val="-13"/>
          <w:sz w:val="22"/>
        </w:rPr>
        <w:t> </w:t>
      </w:r>
      <w:r>
        <w:rPr>
          <w:b/>
          <w:sz w:val="22"/>
        </w:rPr>
        <w:t>the</w:t>
      </w:r>
      <w:r>
        <w:rPr>
          <w:b/>
          <w:spacing w:val="-13"/>
          <w:sz w:val="22"/>
        </w:rPr>
        <w:t> </w:t>
      </w:r>
      <w:r>
        <w:rPr>
          <w:b/>
          <w:sz w:val="22"/>
        </w:rPr>
        <w:t>effects</w:t>
      </w:r>
      <w:r>
        <w:rPr>
          <w:b/>
          <w:spacing w:val="-10"/>
          <w:sz w:val="22"/>
        </w:rPr>
        <w:t> </w:t>
      </w:r>
      <w:r>
        <w:rPr>
          <w:b/>
          <w:sz w:val="22"/>
        </w:rPr>
        <w:t>on</w:t>
      </w:r>
      <w:r>
        <w:rPr>
          <w:b/>
          <w:spacing w:val="-14"/>
          <w:sz w:val="22"/>
        </w:rPr>
        <w:t> </w:t>
      </w:r>
      <w:r>
        <w:rPr>
          <w:b/>
          <w:sz w:val="22"/>
        </w:rPr>
        <w:t>the</w:t>
      </w:r>
      <w:r>
        <w:rPr>
          <w:b/>
          <w:spacing w:val="-11"/>
          <w:sz w:val="22"/>
        </w:rPr>
        <w:t> </w:t>
      </w:r>
      <w:r>
        <w:rPr>
          <w:b/>
          <w:sz w:val="22"/>
        </w:rPr>
        <w:t>system.</w:t>
      </w:r>
      <w:r>
        <w:rPr>
          <w:b/>
          <w:spacing w:val="-7"/>
          <w:sz w:val="22"/>
        </w:rPr>
        <w:t> </w:t>
      </w:r>
      <w:r>
        <w:rPr>
          <w:sz w:val="22"/>
        </w:rPr>
        <w:t>MA</w:t>
      </w:r>
      <w:r>
        <w:rPr>
          <w:spacing w:val="-11"/>
          <w:sz w:val="22"/>
        </w:rPr>
        <w:t> </w:t>
      </w:r>
      <w:r>
        <w:rPr>
          <w:sz w:val="22"/>
        </w:rPr>
        <w:t>plans</w:t>
      </w:r>
      <w:r>
        <w:rPr>
          <w:spacing w:val="-10"/>
          <w:sz w:val="22"/>
        </w:rPr>
        <w:t> </w:t>
      </w:r>
      <w:r>
        <w:rPr>
          <w:sz w:val="22"/>
        </w:rPr>
        <w:t>in</w:t>
      </w:r>
      <w:r>
        <w:rPr>
          <w:spacing w:val="-13"/>
          <w:sz w:val="22"/>
        </w:rPr>
        <w:t> </w:t>
      </w:r>
      <w:r>
        <w:rPr>
          <w:sz w:val="22"/>
        </w:rPr>
        <w:t>Puerto</w:t>
      </w:r>
      <w:r>
        <w:rPr>
          <w:spacing w:val="-11"/>
          <w:sz w:val="22"/>
        </w:rPr>
        <w:t> </w:t>
      </w:r>
      <w:r>
        <w:rPr>
          <w:sz w:val="22"/>
        </w:rPr>
        <w:t>Rico</w:t>
      </w:r>
      <w:r>
        <w:rPr>
          <w:spacing w:val="-11"/>
          <w:sz w:val="22"/>
        </w:rPr>
        <w:t> </w:t>
      </w:r>
      <w:r>
        <w:rPr>
          <w:sz w:val="22"/>
        </w:rPr>
        <w:t>are</w:t>
      </w:r>
      <w:r>
        <w:rPr>
          <w:spacing w:val="-11"/>
          <w:sz w:val="22"/>
        </w:rPr>
        <w:t> </w:t>
      </w:r>
      <w:r>
        <w:rPr>
          <w:sz w:val="22"/>
        </w:rPr>
        <w:t>committed to work with CMS in defining additional bid requirements, bid to benchmark ratio parameters or monitoring tools to measure the impact of the adjustment in relation to provider compensation and development of value-based payment models. Additional detail on the AGA proposal is included in </w:t>
      </w:r>
      <w:r>
        <w:rPr>
          <w:b/>
          <w:i/>
          <w:sz w:val="22"/>
        </w:rPr>
        <w:t>Section</w:t>
      </w:r>
      <w:r>
        <w:rPr>
          <w:b/>
          <w:i/>
          <w:spacing w:val="1"/>
          <w:sz w:val="22"/>
        </w:rPr>
        <w:t> </w:t>
      </w:r>
      <w:r>
        <w:rPr>
          <w:b/>
          <w:i/>
          <w:sz w:val="22"/>
        </w:rPr>
        <w:t>2</w:t>
      </w:r>
      <w:r>
        <w:rPr>
          <w:sz w:val="22"/>
        </w:rPr>
        <w:t>.</w:t>
      </w:r>
    </w:p>
    <w:p>
      <w:pPr>
        <w:pStyle w:val="BodyText"/>
      </w:pPr>
    </w:p>
    <w:p>
      <w:pPr>
        <w:pStyle w:val="ListParagraph"/>
        <w:numPr>
          <w:ilvl w:val="1"/>
          <w:numId w:val="2"/>
        </w:numPr>
        <w:tabs>
          <w:tab w:pos="853" w:val="left" w:leader="none"/>
        </w:tabs>
        <w:spacing w:line="240" w:lineRule="auto" w:before="0" w:after="0"/>
        <w:ind w:left="852" w:right="126" w:hanging="360"/>
        <w:jc w:val="both"/>
        <w:rPr>
          <w:sz w:val="22"/>
        </w:rPr>
      </w:pPr>
      <w:r>
        <w:rPr>
          <w:b/>
          <w:sz w:val="22"/>
        </w:rPr>
        <w:t>A solution in Puerto Rico is cheaper for the Federal Government. </w:t>
      </w:r>
      <w:r>
        <w:rPr>
          <w:sz w:val="22"/>
        </w:rPr>
        <w:t>County rates in Puerto Rico are such</w:t>
      </w:r>
      <w:r>
        <w:rPr>
          <w:spacing w:val="-11"/>
          <w:sz w:val="22"/>
        </w:rPr>
        <w:t> </w:t>
      </w:r>
      <w:r>
        <w:rPr>
          <w:sz w:val="22"/>
        </w:rPr>
        <w:t>outliers</w:t>
      </w:r>
      <w:r>
        <w:rPr>
          <w:spacing w:val="-10"/>
          <w:sz w:val="22"/>
        </w:rPr>
        <w:t> </w:t>
      </w:r>
      <w:r>
        <w:rPr>
          <w:sz w:val="22"/>
        </w:rPr>
        <w:t>in</w:t>
      </w:r>
      <w:r>
        <w:rPr>
          <w:spacing w:val="-11"/>
          <w:sz w:val="22"/>
        </w:rPr>
        <w:t> </w:t>
      </w:r>
      <w:r>
        <w:rPr>
          <w:sz w:val="22"/>
        </w:rPr>
        <w:t>2018</w:t>
      </w:r>
      <w:r>
        <w:rPr>
          <w:spacing w:val="-11"/>
          <w:sz w:val="22"/>
        </w:rPr>
        <w:t> </w:t>
      </w:r>
      <w:r>
        <w:rPr>
          <w:sz w:val="22"/>
        </w:rPr>
        <w:t>that</w:t>
      </w:r>
      <w:r>
        <w:rPr>
          <w:spacing w:val="-12"/>
          <w:sz w:val="22"/>
        </w:rPr>
        <w:t> </w:t>
      </w:r>
      <w:r>
        <w:rPr>
          <w:sz w:val="22"/>
        </w:rPr>
        <w:t>the</w:t>
      </w:r>
      <w:r>
        <w:rPr>
          <w:spacing w:val="-11"/>
          <w:sz w:val="22"/>
        </w:rPr>
        <w:t> </w:t>
      </w:r>
      <w:r>
        <w:rPr>
          <w:sz w:val="22"/>
        </w:rPr>
        <w:t>level</w:t>
      </w:r>
      <w:r>
        <w:rPr>
          <w:spacing w:val="-10"/>
          <w:sz w:val="22"/>
        </w:rPr>
        <w:t> </w:t>
      </w:r>
      <w:r>
        <w:rPr>
          <w:sz w:val="22"/>
        </w:rPr>
        <w:t>of</w:t>
      </w:r>
      <w:r>
        <w:rPr>
          <w:spacing w:val="-10"/>
          <w:sz w:val="22"/>
        </w:rPr>
        <w:t> </w:t>
      </w:r>
      <w:r>
        <w:rPr>
          <w:sz w:val="22"/>
        </w:rPr>
        <w:t>payment</w:t>
      </w:r>
      <w:r>
        <w:rPr>
          <w:spacing w:val="-10"/>
          <w:sz w:val="22"/>
        </w:rPr>
        <w:t> </w:t>
      </w:r>
      <w:r>
        <w:rPr>
          <w:sz w:val="22"/>
        </w:rPr>
        <w:t>proposed</w:t>
      </w:r>
      <w:r>
        <w:rPr>
          <w:spacing w:val="-11"/>
          <w:sz w:val="22"/>
        </w:rPr>
        <w:t> </w:t>
      </w:r>
      <w:r>
        <w:rPr>
          <w:sz w:val="22"/>
        </w:rPr>
        <w:t>would</w:t>
      </w:r>
      <w:r>
        <w:rPr>
          <w:spacing w:val="-11"/>
          <w:sz w:val="22"/>
        </w:rPr>
        <w:t> </w:t>
      </w:r>
      <w:r>
        <w:rPr>
          <w:sz w:val="22"/>
        </w:rPr>
        <w:t>still</w:t>
      </w:r>
      <w:r>
        <w:rPr>
          <w:spacing w:val="-8"/>
          <w:sz w:val="22"/>
        </w:rPr>
        <w:t> </w:t>
      </w:r>
      <w:r>
        <w:rPr>
          <w:sz w:val="22"/>
        </w:rPr>
        <w:t>be</w:t>
      </w:r>
      <w:r>
        <w:rPr>
          <w:spacing w:val="-10"/>
          <w:sz w:val="22"/>
        </w:rPr>
        <w:t> </w:t>
      </w:r>
      <w:r>
        <w:rPr>
          <w:sz w:val="22"/>
        </w:rPr>
        <w:t>at</w:t>
      </w:r>
      <w:r>
        <w:rPr>
          <w:spacing w:val="-10"/>
          <w:sz w:val="22"/>
        </w:rPr>
        <w:t> </w:t>
      </w:r>
      <w:r>
        <w:rPr>
          <w:sz w:val="22"/>
        </w:rPr>
        <w:t>least</w:t>
      </w:r>
      <w:r>
        <w:rPr>
          <w:spacing w:val="-10"/>
          <w:sz w:val="22"/>
        </w:rPr>
        <w:t> </w:t>
      </w:r>
      <w:r>
        <w:rPr>
          <w:sz w:val="22"/>
        </w:rPr>
        <w:t>15%</w:t>
      </w:r>
      <w:r>
        <w:rPr>
          <w:spacing w:val="-12"/>
          <w:sz w:val="22"/>
        </w:rPr>
        <w:t> </w:t>
      </w:r>
      <w:r>
        <w:rPr>
          <w:sz w:val="22"/>
        </w:rPr>
        <w:t>lower</w:t>
      </w:r>
      <w:r>
        <w:rPr>
          <w:spacing w:val="-10"/>
          <w:sz w:val="22"/>
        </w:rPr>
        <w:t> </w:t>
      </w:r>
      <w:r>
        <w:rPr>
          <w:sz w:val="22"/>
        </w:rPr>
        <w:t>than</w:t>
      </w:r>
      <w:r>
        <w:rPr>
          <w:spacing w:val="-9"/>
          <w:sz w:val="22"/>
        </w:rPr>
        <w:t> </w:t>
      </w:r>
      <w:r>
        <w:rPr>
          <w:sz w:val="22"/>
        </w:rPr>
        <w:t>the</w:t>
      </w:r>
      <w:r>
        <w:rPr>
          <w:spacing w:val="-11"/>
          <w:sz w:val="22"/>
        </w:rPr>
        <w:t> </w:t>
      </w:r>
      <w:r>
        <w:rPr>
          <w:sz w:val="22"/>
        </w:rPr>
        <w:t>average MA rates in the state with the lowest average. The additional funding will provide the necessary inflow to support recovery efforts for our health system while remaining as the lowest cost option. It would</w:t>
      </w:r>
      <w:r>
        <w:rPr>
          <w:spacing w:val="-38"/>
          <w:sz w:val="22"/>
        </w:rPr>
        <w:t> </w:t>
      </w:r>
      <w:r>
        <w:rPr>
          <w:sz w:val="22"/>
        </w:rPr>
        <w:t>also provide</w:t>
      </w:r>
      <w:r>
        <w:rPr>
          <w:spacing w:val="-12"/>
          <w:sz w:val="22"/>
        </w:rPr>
        <w:t> </w:t>
      </w:r>
      <w:r>
        <w:rPr>
          <w:sz w:val="22"/>
        </w:rPr>
        <w:t>critical</w:t>
      </w:r>
      <w:r>
        <w:rPr>
          <w:spacing w:val="-11"/>
          <w:sz w:val="22"/>
        </w:rPr>
        <w:t> </w:t>
      </w:r>
      <w:r>
        <w:rPr>
          <w:sz w:val="22"/>
        </w:rPr>
        <w:t>support</w:t>
      </w:r>
      <w:r>
        <w:rPr>
          <w:spacing w:val="-11"/>
          <w:sz w:val="22"/>
        </w:rPr>
        <w:t> </w:t>
      </w:r>
      <w:r>
        <w:rPr>
          <w:sz w:val="22"/>
        </w:rPr>
        <w:t>to</w:t>
      </w:r>
      <w:r>
        <w:rPr>
          <w:spacing w:val="-14"/>
          <w:sz w:val="22"/>
        </w:rPr>
        <w:t> </w:t>
      </w:r>
      <w:r>
        <w:rPr>
          <w:sz w:val="22"/>
        </w:rPr>
        <w:t>mitigate</w:t>
      </w:r>
      <w:r>
        <w:rPr>
          <w:spacing w:val="-12"/>
          <w:sz w:val="22"/>
        </w:rPr>
        <w:t> </w:t>
      </w:r>
      <w:r>
        <w:rPr>
          <w:sz w:val="22"/>
        </w:rPr>
        <w:t>the</w:t>
      </w:r>
      <w:r>
        <w:rPr>
          <w:spacing w:val="-7"/>
          <w:sz w:val="22"/>
        </w:rPr>
        <w:t> </w:t>
      </w:r>
      <w:r>
        <w:rPr>
          <w:sz w:val="22"/>
        </w:rPr>
        <w:t>migration</w:t>
      </w:r>
      <w:r>
        <w:rPr>
          <w:spacing w:val="-12"/>
          <w:sz w:val="22"/>
        </w:rPr>
        <w:t> </w:t>
      </w:r>
      <w:r>
        <w:rPr>
          <w:sz w:val="22"/>
        </w:rPr>
        <w:t>of</w:t>
      </w:r>
      <w:r>
        <w:rPr>
          <w:spacing w:val="-11"/>
          <w:sz w:val="22"/>
        </w:rPr>
        <w:t> </w:t>
      </w:r>
      <w:r>
        <w:rPr>
          <w:sz w:val="22"/>
        </w:rPr>
        <w:t>providers</w:t>
      </w:r>
      <w:r>
        <w:rPr>
          <w:spacing w:val="-12"/>
          <w:sz w:val="22"/>
        </w:rPr>
        <w:t> </w:t>
      </w:r>
      <w:r>
        <w:rPr>
          <w:sz w:val="22"/>
        </w:rPr>
        <w:t>and</w:t>
      </w:r>
      <w:r>
        <w:rPr>
          <w:spacing w:val="-12"/>
          <w:sz w:val="22"/>
        </w:rPr>
        <w:t> </w:t>
      </w:r>
      <w:r>
        <w:rPr>
          <w:sz w:val="22"/>
        </w:rPr>
        <w:t>patients,</w:t>
      </w:r>
      <w:r>
        <w:rPr>
          <w:spacing w:val="-8"/>
          <w:sz w:val="22"/>
        </w:rPr>
        <w:t> </w:t>
      </w:r>
      <w:r>
        <w:rPr>
          <w:b/>
          <w:sz w:val="22"/>
          <w:u w:val="thick"/>
        </w:rPr>
        <w:t>ultimately</w:t>
      </w:r>
      <w:r>
        <w:rPr>
          <w:b/>
          <w:spacing w:val="-10"/>
          <w:sz w:val="22"/>
          <w:u w:val="thick"/>
        </w:rPr>
        <w:t> </w:t>
      </w:r>
      <w:r>
        <w:rPr>
          <w:b/>
          <w:sz w:val="22"/>
          <w:u w:val="thick"/>
        </w:rPr>
        <w:t>saving</w:t>
      </w:r>
      <w:r>
        <w:rPr>
          <w:b/>
          <w:spacing w:val="-12"/>
          <w:sz w:val="22"/>
          <w:u w:val="thick"/>
        </w:rPr>
        <w:t> </w:t>
      </w:r>
      <w:r>
        <w:rPr>
          <w:b/>
          <w:sz w:val="22"/>
          <w:u w:val="thick"/>
        </w:rPr>
        <w:t>costs</w:t>
      </w:r>
      <w:r>
        <w:rPr>
          <w:b/>
          <w:spacing w:val="-12"/>
          <w:sz w:val="22"/>
          <w:u w:val="thick"/>
        </w:rPr>
        <w:t> </w:t>
      </w:r>
      <w:r>
        <w:rPr>
          <w:b/>
          <w:sz w:val="22"/>
          <w:u w:val="thick"/>
        </w:rPr>
        <w:t>to</w:t>
      </w:r>
      <w:r>
        <w:rPr>
          <w:b/>
          <w:spacing w:val="-12"/>
          <w:sz w:val="22"/>
          <w:u w:val="thick"/>
        </w:rPr>
        <w:t> </w:t>
      </w:r>
      <w:r>
        <w:rPr>
          <w:b/>
          <w:sz w:val="22"/>
          <w:u w:val="thick"/>
        </w:rPr>
        <w:t>the Federal</w:t>
      </w:r>
      <w:r>
        <w:rPr>
          <w:b/>
          <w:spacing w:val="-13"/>
          <w:sz w:val="22"/>
          <w:u w:val="thick"/>
        </w:rPr>
        <w:t> </w:t>
      </w:r>
      <w:r>
        <w:rPr>
          <w:b/>
          <w:sz w:val="22"/>
          <w:u w:val="thick"/>
        </w:rPr>
        <w:t>government</w:t>
      </w:r>
      <w:r>
        <w:rPr>
          <w:b/>
          <w:sz w:val="22"/>
        </w:rPr>
        <w:t>.</w:t>
      </w:r>
      <w:r>
        <w:rPr>
          <w:b/>
          <w:spacing w:val="26"/>
          <w:sz w:val="22"/>
        </w:rPr>
        <w:t> </w:t>
      </w:r>
      <w:r>
        <w:rPr>
          <w:sz w:val="22"/>
        </w:rPr>
        <w:t>Prior</w:t>
      </w:r>
      <w:r>
        <w:rPr>
          <w:spacing w:val="-14"/>
          <w:sz w:val="22"/>
        </w:rPr>
        <w:t> </w:t>
      </w:r>
      <w:r>
        <w:rPr>
          <w:sz w:val="22"/>
        </w:rPr>
        <w:t>to</w:t>
      </w:r>
      <w:r>
        <w:rPr>
          <w:spacing w:val="-17"/>
          <w:sz w:val="22"/>
        </w:rPr>
        <w:t> </w:t>
      </w:r>
      <w:r>
        <w:rPr>
          <w:sz w:val="22"/>
        </w:rPr>
        <w:t>the</w:t>
      </w:r>
      <w:r>
        <w:rPr>
          <w:spacing w:val="-16"/>
          <w:sz w:val="22"/>
        </w:rPr>
        <w:t> </w:t>
      </w:r>
      <w:r>
        <w:rPr>
          <w:sz w:val="22"/>
        </w:rPr>
        <w:t>hurricanes,</w:t>
      </w:r>
      <w:r>
        <w:rPr>
          <w:spacing w:val="-16"/>
          <w:sz w:val="22"/>
        </w:rPr>
        <w:t> </w:t>
      </w:r>
      <w:r>
        <w:rPr>
          <w:sz w:val="22"/>
        </w:rPr>
        <w:t>approximately</w:t>
      </w:r>
      <w:r>
        <w:rPr>
          <w:spacing w:val="-14"/>
          <w:sz w:val="22"/>
        </w:rPr>
        <w:t> </w:t>
      </w:r>
      <w:r>
        <w:rPr>
          <w:sz w:val="22"/>
        </w:rPr>
        <w:t>10,000</w:t>
      </w:r>
      <w:r>
        <w:rPr>
          <w:spacing w:val="-17"/>
          <w:sz w:val="22"/>
        </w:rPr>
        <w:t> </w:t>
      </w:r>
      <w:r>
        <w:rPr>
          <w:sz w:val="22"/>
        </w:rPr>
        <w:t>Medicare</w:t>
      </w:r>
      <w:r>
        <w:rPr>
          <w:spacing w:val="-16"/>
          <w:sz w:val="22"/>
        </w:rPr>
        <w:t> </w:t>
      </w:r>
      <w:r>
        <w:rPr>
          <w:sz w:val="22"/>
        </w:rPr>
        <w:t>beneficiaries</w:t>
      </w:r>
      <w:r>
        <w:rPr>
          <w:spacing w:val="-14"/>
          <w:sz w:val="22"/>
        </w:rPr>
        <w:t> </w:t>
      </w:r>
      <w:r>
        <w:rPr>
          <w:sz w:val="22"/>
        </w:rPr>
        <w:t>per</w:t>
      </w:r>
      <w:r>
        <w:rPr>
          <w:spacing w:val="-14"/>
          <w:sz w:val="22"/>
        </w:rPr>
        <w:t> </w:t>
      </w:r>
      <w:r>
        <w:rPr>
          <w:sz w:val="22"/>
        </w:rPr>
        <w:t>year</w:t>
      </w:r>
      <w:r>
        <w:rPr>
          <w:spacing w:val="-15"/>
          <w:sz w:val="22"/>
        </w:rPr>
        <w:t> </w:t>
      </w:r>
      <w:r>
        <w:rPr>
          <w:sz w:val="22"/>
        </w:rPr>
        <w:t>were leaving Puerto Rico for the states. Initial estimates indicate that the rate has more than tripled after the hurricane and are expected to remain at significant higher rate for the foreseeable future.     </w:t>
      </w:r>
      <w:r>
        <w:rPr>
          <w:spacing w:val="39"/>
          <w:sz w:val="22"/>
        </w:rPr>
        <w:t> </w:t>
      </w:r>
      <w:r>
        <w:rPr>
          <w:sz w:val="22"/>
        </w:rPr>
        <w:t>We provide</w:t>
      </w:r>
    </w:p>
    <w:p>
      <w:pPr>
        <w:spacing w:after="0" w:line="240" w:lineRule="auto"/>
        <w:jc w:val="both"/>
        <w:rPr>
          <w:sz w:val="22"/>
        </w:rPr>
        <w:sectPr>
          <w:pgSz w:w="12240" w:h="15840"/>
          <w:pgMar w:header="0" w:footer="1015" w:top="1360" w:bottom="1200" w:left="1020" w:right="1020"/>
        </w:sectPr>
      </w:pPr>
    </w:p>
    <w:p>
      <w:pPr>
        <w:pStyle w:val="BodyText"/>
        <w:spacing w:before="79"/>
        <w:ind w:left="832" w:right="27"/>
      </w:pPr>
      <w:r>
        <w:rPr/>
        <w:t>more analysis on the cost savings opportunity for the Federal Government that could result from properly funding the Puerto Rico health system in </w:t>
      </w:r>
      <w:r>
        <w:rPr>
          <w:b/>
          <w:i/>
        </w:rPr>
        <w:t>Appendix 7</w:t>
      </w:r>
      <w:r>
        <w:rPr/>
        <w:t>.</w:t>
      </w:r>
    </w:p>
    <w:p>
      <w:pPr>
        <w:pStyle w:val="BodyText"/>
      </w:pPr>
    </w:p>
    <w:p>
      <w:pPr>
        <w:pStyle w:val="ListParagraph"/>
        <w:numPr>
          <w:ilvl w:val="1"/>
          <w:numId w:val="2"/>
        </w:numPr>
        <w:tabs>
          <w:tab w:pos="833" w:val="left" w:leader="none"/>
        </w:tabs>
        <w:spacing w:line="240" w:lineRule="auto" w:before="0" w:after="0"/>
        <w:ind w:left="832" w:right="104" w:hanging="360"/>
        <w:jc w:val="both"/>
        <w:rPr>
          <w:sz w:val="22"/>
        </w:rPr>
      </w:pPr>
      <w:r>
        <w:rPr>
          <w:b/>
          <w:sz w:val="22"/>
        </w:rPr>
        <w:t>Puerto</w:t>
      </w:r>
      <w:r>
        <w:rPr>
          <w:b/>
          <w:spacing w:val="-7"/>
          <w:sz w:val="22"/>
        </w:rPr>
        <w:t> </w:t>
      </w:r>
      <w:r>
        <w:rPr>
          <w:b/>
          <w:sz w:val="22"/>
        </w:rPr>
        <w:t>Rico</w:t>
      </w:r>
      <w:r>
        <w:rPr>
          <w:b/>
          <w:spacing w:val="-5"/>
          <w:sz w:val="22"/>
        </w:rPr>
        <w:t> </w:t>
      </w:r>
      <w:r>
        <w:rPr>
          <w:b/>
          <w:sz w:val="22"/>
        </w:rPr>
        <w:t>has</w:t>
      </w:r>
      <w:r>
        <w:rPr>
          <w:b/>
          <w:spacing w:val="-4"/>
          <w:sz w:val="22"/>
        </w:rPr>
        <w:t> </w:t>
      </w:r>
      <w:r>
        <w:rPr>
          <w:b/>
          <w:sz w:val="22"/>
        </w:rPr>
        <w:t>higher</w:t>
      </w:r>
      <w:r>
        <w:rPr>
          <w:b/>
          <w:spacing w:val="-7"/>
          <w:sz w:val="22"/>
        </w:rPr>
        <w:t> </w:t>
      </w:r>
      <w:r>
        <w:rPr>
          <w:b/>
          <w:sz w:val="22"/>
        </w:rPr>
        <w:t>costs</w:t>
      </w:r>
      <w:r>
        <w:rPr>
          <w:b/>
          <w:spacing w:val="-7"/>
          <w:sz w:val="22"/>
        </w:rPr>
        <w:t> </w:t>
      </w:r>
      <w:r>
        <w:rPr>
          <w:b/>
          <w:sz w:val="22"/>
        </w:rPr>
        <w:t>of</w:t>
      </w:r>
      <w:r>
        <w:rPr>
          <w:b/>
          <w:spacing w:val="-4"/>
          <w:sz w:val="22"/>
        </w:rPr>
        <w:t> </w:t>
      </w:r>
      <w:r>
        <w:rPr>
          <w:b/>
          <w:sz w:val="22"/>
        </w:rPr>
        <w:t>living</w:t>
      </w:r>
      <w:r>
        <w:rPr>
          <w:b/>
          <w:spacing w:val="-7"/>
          <w:sz w:val="22"/>
        </w:rPr>
        <w:t> </w:t>
      </w:r>
      <w:r>
        <w:rPr>
          <w:b/>
          <w:sz w:val="22"/>
        </w:rPr>
        <w:t>than</w:t>
      </w:r>
      <w:r>
        <w:rPr>
          <w:b/>
          <w:spacing w:val="-8"/>
          <w:sz w:val="22"/>
        </w:rPr>
        <w:t> </w:t>
      </w:r>
      <w:r>
        <w:rPr>
          <w:b/>
          <w:sz w:val="22"/>
        </w:rPr>
        <w:t>the</w:t>
      </w:r>
      <w:r>
        <w:rPr>
          <w:b/>
          <w:spacing w:val="-7"/>
          <w:sz w:val="22"/>
        </w:rPr>
        <w:t> </w:t>
      </w:r>
      <w:r>
        <w:rPr>
          <w:b/>
          <w:sz w:val="22"/>
        </w:rPr>
        <w:t>US</w:t>
      </w:r>
      <w:r>
        <w:rPr>
          <w:b/>
          <w:spacing w:val="-5"/>
          <w:sz w:val="22"/>
        </w:rPr>
        <w:t> </w:t>
      </w:r>
      <w:r>
        <w:rPr>
          <w:b/>
          <w:sz w:val="22"/>
        </w:rPr>
        <w:t>average.</w:t>
      </w:r>
      <w:r>
        <w:rPr>
          <w:b/>
          <w:spacing w:val="-5"/>
          <w:sz w:val="22"/>
        </w:rPr>
        <w:t> </w:t>
      </w:r>
      <w:r>
        <w:rPr>
          <w:b/>
          <w:sz w:val="22"/>
        </w:rPr>
        <w:t>The</w:t>
      </w:r>
      <w:r>
        <w:rPr>
          <w:b/>
          <w:spacing w:val="-7"/>
          <w:sz w:val="22"/>
        </w:rPr>
        <w:t> </w:t>
      </w:r>
      <w:r>
        <w:rPr>
          <w:b/>
          <w:sz w:val="22"/>
        </w:rPr>
        <w:t>unsustainably</w:t>
      </w:r>
      <w:r>
        <w:rPr>
          <w:b/>
          <w:spacing w:val="-5"/>
          <w:sz w:val="22"/>
        </w:rPr>
        <w:t> </w:t>
      </w:r>
      <w:r>
        <w:rPr>
          <w:b/>
          <w:sz w:val="22"/>
        </w:rPr>
        <w:t>low</w:t>
      </w:r>
      <w:r>
        <w:rPr>
          <w:b/>
          <w:spacing w:val="-6"/>
          <w:sz w:val="22"/>
        </w:rPr>
        <w:t> </w:t>
      </w:r>
      <w:r>
        <w:rPr>
          <w:b/>
          <w:sz w:val="22"/>
        </w:rPr>
        <w:t>pricing</w:t>
      </w:r>
      <w:r>
        <w:rPr>
          <w:b/>
          <w:spacing w:val="-5"/>
          <w:sz w:val="22"/>
        </w:rPr>
        <w:t> </w:t>
      </w:r>
      <w:r>
        <w:rPr>
          <w:b/>
          <w:sz w:val="22"/>
        </w:rPr>
        <w:t>of</w:t>
      </w:r>
      <w:r>
        <w:rPr>
          <w:b/>
          <w:spacing w:val="-4"/>
          <w:sz w:val="22"/>
        </w:rPr>
        <w:t> </w:t>
      </w:r>
      <w:r>
        <w:rPr>
          <w:b/>
          <w:sz w:val="22"/>
        </w:rPr>
        <w:t>health care</w:t>
      </w:r>
      <w:r>
        <w:rPr>
          <w:b/>
          <w:spacing w:val="-13"/>
          <w:sz w:val="22"/>
        </w:rPr>
        <w:t> </w:t>
      </w:r>
      <w:r>
        <w:rPr>
          <w:b/>
          <w:sz w:val="22"/>
        </w:rPr>
        <w:t>is</w:t>
      </w:r>
      <w:r>
        <w:rPr>
          <w:b/>
          <w:spacing w:val="-13"/>
          <w:sz w:val="22"/>
        </w:rPr>
        <w:t> </w:t>
      </w:r>
      <w:r>
        <w:rPr>
          <w:b/>
          <w:sz w:val="22"/>
        </w:rPr>
        <w:t>partly</w:t>
      </w:r>
      <w:r>
        <w:rPr>
          <w:b/>
          <w:spacing w:val="-11"/>
          <w:sz w:val="22"/>
        </w:rPr>
        <w:t> </w:t>
      </w:r>
      <w:r>
        <w:rPr>
          <w:b/>
          <w:sz w:val="22"/>
        </w:rPr>
        <w:t>the</w:t>
      </w:r>
      <w:r>
        <w:rPr>
          <w:b/>
          <w:spacing w:val="-13"/>
          <w:sz w:val="22"/>
        </w:rPr>
        <w:t> </w:t>
      </w:r>
      <w:r>
        <w:rPr>
          <w:b/>
          <w:sz w:val="22"/>
        </w:rPr>
        <w:t>result</w:t>
      </w:r>
      <w:r>
        <w:rPr>
          <w:b/>
          <w:spacing w:val="-12"/>
          <w:sz w:val="22"/>
        </w:rPr>
        <w:t> </w:t>
      </w:r>
      <w:r>
        <w:rPr>
          <w:b/>
          <w:sz w:val="22"/>
        </w:rPr>
        <w:t>of</w:t>
      </w:r>
      <w:r>
        <w:rPr>
          <w:b/>
          <w:spacing w:val="-13"/>
          <w:sz w:val="22"/>
        </w:rPr>
        <w:t> </w:t>
      </w:r>
      <w:r>
        <w:rPr>
          <w:b/>
          <w:sz w:val="22"/>
        </w:rPr>
        <w:t>historic</w:t>
      </w:r>
      <w:r>
        <w:rPr>
          <w:b/>
          <w:spacing w:val="-11"/>
          <w:sz w:val="22"/>
        </w:rPr>
        <w:t> </w:t>
      </w:r>
      <w:r>
        <w:rPr>
          <w:b/>
          <w:sz w:val="22"/>
        </w:rPr>
        <w:t>anomalies</w:t>
      </w:r>
      <w:r>
        <w:rPr>
          <w:b/>
          <w:spacing w:val="-13"/>
          <w:sz w:val="22"/>
        </w:rPr>
        <w:t> </w:t>
      </w:r>
      <w:r>
        <w:rPr>
          <w:b/>
          <w:sz w:val="22"/>
        </w:rPr>
        <w:t>in</w:t>
      </w:r>
      <w:r>
        <w:rPr>
          <w:b/>
          <w:spacing w:val="-14"/>
          <w:sz w:val="22"/>
        </w:rPr>
        <w:t> </w:t>
      </w:r>
      <w:r>
        <w:rPr>
          <w:b/>
          <w:sz w:val="22"/>
        </w:rPr>
        <w:t>Medicare</w:t>
      </w:r>
      <w:r>
        <w:rPr>
          <w:b/>
          <w:spacing w:val="-13"/>
          <w:sz w:val="22"/>
        </w:rPr>
        <w:t> </w:t>
      </w:r>
      <w:r>
        <w:rPr>
          <w:b/>
          <w:sz w:val="22"/>
        </w:rPr>
        <w:t>that</w:t>
      </w:r>
      <w:r>
        <w:rPr>
          <w:b/>
          <w:spacing w:val="-10"/>
          <w:sz w:val="22"/>
        </w:rPr>
        <w:t> </w:t>
      </w:r>
      <w:r>
        <w:rPr>
          <w:b/>
          <w:sz w:val="22"/>
        </w:rPr>
        <w:t>continue</w:t>
      </w:r>
      <w:r>
        <w:rPr>
          <w:b/>
          <w:spacing w:val="-13"/>
          <w:sz w:val="22"/>
        </w:rPr>
        <w:t> </w:t>
      </w:r>
      <w:r>
        <w:rPr>
          <w:b/>
          <w:sz w:val="22"/>
        </w:rPr>
        <w:t>to</w:t>
      </w:r>
      <w:r>
        <w:rPr>
          <w:b/>
          <w:spacing w:val="-13"/>
          <w:sz w:val="22"/>
        </w:rPr>
        <w:t> </w:t>
      </w:r>
      <w:r>
        <w:rPr>
          <w:b/>
          <w:sz w:val="22"/>
        </w:rPr>
        <w:t>push</w:t>
      </w:r>
      <w:r>
        <w:rPr>
          <w:b/>
          <w:spacing w:val="-13"/>
          <w:sz w:val="22"/>
        </w:rPr>
        <w:t> </w:t>
      </w:r>
      <w:r>
        <w:rPr>
          <w:b/>
          <w:sz w:val="22"/>
        </w:rPr>
        <w:t>compensation</w:t>
      </w:r>
      <w:r>
        <w:rPr>
          <w:b/>
          <w:spacing w:val="-14"/>
          <w:sz w:val="22"/>
        </w:rPr>
        <w:t> </w:t>
      </w:r>
      <w:r>
        <w:rPr>
          <w:b/>
          <w:sz w:val="22"/>
        </w:rPr>
        <w:t>down, while accommodating increases in the price of other inputs like prescription drugs. </w:t>
      </w:r>
      <w:r>
        <w:rPr>
          <w:sz w:val="22"/>
        </w:rPr>
        <w:t>There is precedent</w:t>
      </w:r>
      <w:r>
        <w:rPr>
          <w:spacing w:val="-4"/>
          <w:sz w:val="22"/>
        </w:rPr>
        <w:t> </w:t>
      </w:r>
      <w:r>
        <w:rPr>
          <w:sz w:val="22"/>
        </w:rPr>
        <w:t>in</w:t>
      </w:r>
      <w:r>
        <w:rPr>
          <w:spacing w:val="-7"/>
          <w:sz w:val="22"/>
        </w:rPr>
        <w:t> </w:t>
      </w:r>
      <w:r>
        <w:rPr>
          <w:sz w:val="22"/>
        </w:rPr>
        <w:t>CMS</w:t>
      </w:r>
      <w:r>
        <w:rPr>
          <w:spacing w:val="-4"/>
          <w:sz w:val="22"/>
        </w:rPr>
        <w:t> </w:t>
      </w:r>
      <w:r>
        <w:rPr>
          <w:sz w:val="22"/>
        </w:rPr>
        <w:t>regulation</w:t>
      </w:r>
      <w:r>
        <w:rPr>
          <w:spacing w:val="-5"/>
          <w:sz w:val="22"/>
        </w:rPr>
        <w:t> </w:t>
      </w:r>
      <w:r>
        <w:rPr>
          <w:sz w:val="22"/>
        </w:rPr>
        <w:t>of</w:t>
      </w:r>
      <w:r>
        <w:rPr>
          <w:spacing w:val="-4"/>
          <w:sz w:val="22"/>
        </w:rPr>
        <w:t> </w:t>
      </w:r>
      <w:r>
        <w:rPr>
          <w:sz w:val="22"/>
        </w:rPr>
        <w:t>the</w:t>
      </w:r>
      <w:r>
        <w:rPr>
          <w:spacing w:val="-4"/>
          <w:sz w:val="22"/>
        </w:rPr>
        <w:t> </w:t>
      </w:r>
      <w:r>
        <w:rPr>
          <w:sz w:val="22"/>
        </w:rPr>
        <w:t>use</w:t>
      </w:r>
      <w:r>
        <w:rPr>
          <w:spacing w:val="-4"/>
          <w:sz w:val="22"/>
        </w:rPr>
        <w:t> </w:t>
      </w:r>
      <w:r>
        <w:rPr>
          <w:sz w:val="22"/>
        </w:rPr>
        <w:t>of</w:t>
      </w:r>
      <w:r>
        <w:rPr>
          <w:spacing w:val="-6"/>
          <w:sz w:val="22"/>
        </w:rPr>
        <w:t> </w:t>
      </w:r>
      <w:r>
        <w:rPr>
          <w:sz w:val="22"/>
        </w:rPr>
        <w:t>proxy</w:t>
      </w:r>
      <w:r>
        <w:rPr>
          <w:spacing w:val="-7"/>
          <w:sz w:val="22"/>
        </w:rPr>
        <w:t> </w:t>
      </w:r>
      <w:r>
        <w:rPr>
          <w:sz w:val="22"/>
        </w:rPr>
        <w:t>factors</w:t>
      </w:r>
      <w:r>
        <w:rPr>
          <w:spacing w:val="-4"/>
          <w:sz w:val="22"/>
        </w:rPr>
        <w:t> </w:t>
      </w:r>
      <w:r>
        <w:rPr>
          <w:sz w:val="22"/>
        </w:rPr>
        <w:t>and</w:t>
      </w:r>
      <w:r>
        <w:rPr>
          <w:spacing w:val="-4"/>
          <w:sz w:val="22"/>
        </w:rPr>
        <w:t> </w:t>
      </w:r>
      <w:r>
        <w:rPr>
          <w:sz w:val="22"/>
        </w:rPr>
        <w:t>alternative</w:t>
      </w:r>
      <w:r>
        <w:rPr>
          <w:spacing w:val="-4"/>
          <w:sz w:val="22"/>
        </w:rPr>
        <w:t> </w:t>
      </w:r>
      <w:r>
        <w:rPr>
          <w:sz w:val="22"/>
        </w:rPr>
        <w:t>methods</w:t>
      </w:r>
      <w:r>
        <w:rPr>
          <w:spacing w:val="-4"/>
          <w:sz w:val="22"/>
        </w:rPr>
        <w:t> </w:t>
      </w:r>
      <w:r>
        <w:rPr>
          <w:sz w:val="22"/>
        </w:rPr>
        <w:t>when</w:t>
      </w:r>
      <w:r>
        <w:rPr>
          <w:spacing w:val="-4"/>
          <w:sz w:val="22"/>
        </w:rPr>
        <w:t> </w:t>
      </w:r>
      <w:r>
        <w:rPr>
          <w:sz w:val="22"/>
        </w:rPr>
        <w:t>data</w:t>
      </w:r>
      <w:r>
        <w:rPr>
          <w:spacing w:val="-4"/>
          <w:sz w:val="22"/>
        </w:rPr>
        <w:t> </w:t>
      </w:r>
      <w:r>
        <w:rPr>
          <w:sz w:val="22"/>
        </w:rPr>
        <w:t>elements</w:t>
      </w:r>
      <w:r>
        <w:rPr>
          <w:spacing w:val="-4"/>
          <w:sz w:val="22"/>
        </w:rPr>
        <w:t> </w:t>
      </w:r>
      <w:r>
        <w:rPr>
          <w:sz w:val="22"/>
        </w:rPr>
        <w:t>of</w:t>
      </w:r>
      <w:r>
        <w:rPr>
          <w:spacing w:val="-6"/>
          <w:sz w:val="22"/>
        </w:rPr>
        <w:t> </w:t>
      </w:r>
      <w:r>
        <w:rPr>
          <w:sz w:val="22"/>
        </w:rPr>
        <w:t>a statutory</w:t>
      </w:r>
      <w:r>
        <w:rPr>
          <w:spacing w:val="-13"/>
          <w:sz w:val="22"/>
        </w:rPr>
        <w:t> </w:t>
      </w:r>
      <w:r>
        <w:rPr>
          <w:sz w:val="22"/>
        </w:rPr>
        <w:t>formula</w:t>
      </w:r>
      <w:r>
        <w:rPr>
          <w:spacing w:val="-11"/>
          <w:sz w:val="22"/>
        </w:rPr>
        <w:t> </w:t>
      </w:r>
      <w:r>
        <w:rPr>
          <w:sz w:val="22"/>
        </w:rPr>
        <w:t>are</w:t>
      </w:r>
      <w:r>
        <w:rPr>
          <w:spacing w:val="-11"/>
          <w:sz w:val="22"/>
        </w:rPr>
        <w:t> </w:t>
      </w:r>
      <w:r>
        <w:rPr>
          <w:sz w:val="22"/>
        </w:rPr>
        <w:t>simply</w:t>
      </w:r>
      <w:r>
        <w:rPr>
          <w:spacing w:val="-13"/>
          <w:sz w:val="22"/>
        </w:rPr>
        <w:t> </w:t>
      </w:r>
      <w:r>
        <w:rPr>
          <w:sz w:val="22"/>
        </w:rPr>
        <w:t>not</w:t>
      </w:r>
      <w:r>
        <w:rPr>
          <w:spacing w:val="-10"/>
          <w:sz w:val="22"/>
        </w:rPr>
        <w:t> </w:t>
      </w:r>
      <w:r>
        <w:rPr>
          <w:sz w:val="22"/>
        </w:rPr>
        <w:t>present</w:t>
      </w:r>
      <w:r>
        <w:rPr>
          <w:spacing w:val="-10"/>
          <w:sz w:val="22"/>
        </w:rPr>
        <w:t> </w:t>
      </w:r>
      <w:r>
        <w:rPr>
          <w:sz w:val="22"/>
        </w:rPr>
        <w:t>or</w:t>
      </w:r>
      <w:r>
        <w:rPr>
          <w:spacing w:val="-10"/>
          <w:sz w:val="22"/>
        </w:rPr>
        <w:t> </w:t>
      </w:r>
      <w:r>
        <w:rPr>
          <w:sz w:val="22"/>
        </w:rPr>
        <w:t>deficient.</w:t>
      </w:r>
      <w:r>
        <w:rPr>
          <w:spacing w:val="-11"/>
          <w:sz w:val="22"/>
        </w:rPr>
        <w:t> </w:t>
      </w:r>
      <w:r>
        <w:rPr>
          <w:sz w:val="22"/>
        </w:rPr>
        <w:t>Puerto</w:t>
      </w:r>
      <w:r>
        <w:rPr>
          <w:spacing w:val="-11"/>
          <w:sz w:val="22"/>
        </w:rPr>
        <w:t> </w:t>
      </w:r>
      <w:r>
        <w:rPr>
          <w:sz w:val="22"/>
        </w:rPr>
        <w:t>Rico</w:t>
      </w:r>
      <w:r>
        <w:rPr>
          <w:spacing w:val="-11"/>
          <w:sz w:val="22"/>
        </w:rPr>
        <w:t> </w:t>
      </w:r>
      <w:r>
        <w:rPr>
          <w:sz w:val="22"/>
        </w:rPr>
        <w:t>MA</w:t>
      </w:r>
      <w:r>
        <w:rPr>
          <w:spacing w:val="-11"/>
          <w:sz w:val="22"/>
        </w:rPr>
        <w:t> </w:t>
      </w:r>
      <w:r>
        <w:rPr>
          <w:sz w:val="22"/>
        </w:rPr>
        <w:t>rates</w:t>
      </w:r>
      <w:r>
        <w:rPr>
          <w:spacing w:val="-10"/>
          <w:sz w:val="22"/>
        </w:rPr>
        <w:t> </w:t>
      </w:r>
      <w:r>
        <w:rPr>
          <w:sz w:val="22"/>
        </w:rPr>
        <w:t>after</w:t>
      </w:r>
      <w:r>
        <w:rPr>
          <w:spacing w:val="-10"/>
          <w:sz w:val="22"/>
        </w:rPr>
        <w:t> </w:t>
      </w:r>
      <w:r>
        <w:rPr>
          <w:sz w:val="22"/>
        </w:rPr>
        <w:t>the</w:t>
      </w:r>
      <w:r>
        <w:rPr>
          <w:spacing w:val="-11"/>
          <w:sz w:val="22"/>
        </w:rPr>
        <w:t> </w:t>
      </w:r>
      <w:r>
        <w:rPr>
          <w:sz w:val="22"/>
        </w:rPr>
        <w:t>ACA</w:t>
      </w:r>
      <w:r>
        <w:rPr>
          <w:spacing w:val="-12"/>
          <w:sz w:val="22"/>
        </w:rPr>
        <w:t> </w:t>
      </w:r>
      <w:r>
        <w:rPr>
          <w:sz w:val="22"/>
        </w:rPr>
        <w:t>are</w:t>
      </w:r>
      <w:r>
        <w:rPr>
          <w:spacing w:val="-11"/>
          <w:sz w:val="22"/>
        </w:rPr>
        <w:t> </w:t>
      </w:r>
      <w:r>
        <w:rPr>
          <w:sz w:val="22"/>
        </w:rPr>
        <w:t>a</w:t>
      </w:r>
      <w:r>
        <w:rPr>
          <w:spacing w:val="-11"/>
          <w:sz w:val="22"/>
        </w:rPr>
        <w:t> </w:t>
      </w:r>
      <w:r>
        <w:rPr>
          <w:sz w:val="22"/>
        </w:rPr>
        <w:t>clear</w:t>
      </w:r>
      <w:r>
        <w:rPr>
          <w:spacing w:val="-10"/>
          <w:sz w:val="22"/>
        </w:rPr>
        <w:t> </w:t>
      </w:r>
      <w:r>
        <w:rPr>
          <w:sz w:val="22"/>
        </w:rPr>
        <w:t>case, and a step to break the spiral to the bottom is needed now more than ever. Given the socio-economic scenario, and the recent natural disaster, Puerto Rico MA plans are also increasingly spending additional resources to tackle social determinants of health. Transportation, care coordination, community outreach are just a few of the efforts that have become harder and costlier, but also more critical for MA beneficiaries in Puerto Rico. The increase in costs of all other costs continue to divert from the ability of MA plans to properly fund at higher levels professional and other services. This will continue to exacerbate access and infrastructure issues unless the gap in MA rates is meaningfully mitigated in the short</w:t>
      </w:r>
      <w:r>
        <w:rPr>
          <w:spacing w:val="-3"/>
          <w:sz w:val="22"/>
        </w:rPr>
        <w:t> </w:t>
      </w:r>
      <w:r>
        <w:rPr>
          <w:sz w:val="22"/>
        </w:rPr>
        <w:t>term.</w:t>
      </w:r>
    </w:p>
    <w:p>
      <w:pPr>
        <w:pStyle w:val="BodyText"/>
      </w:pPr>
    </w:p>
    <w:p>
      <w:pPr>
        <w:pStyle w:val="ListParagraph"/>
        <w:numPr>
          <w:ilvl w:val="1"/>
          <w:numId w:val="2"/>
        </w:numPr>
        <w:tabs>
          <w:tab w:pos="833" w:val="left" w:leader="none"/>
        </w:tabs>
        <w:spacing w:line="240" w:lineRule="auto" w:before="0" w:after="0"/>
        <w:ind w:left="832" w:right="104" w:hanging="360"/>
        <w:jc w:val="both"/>
        <w:rPr>
          <w:b/>
          <w:sz w:val="22"/>
        </w:rPr>
      </w:pPr>
      <w:r>
        <w:rPr>
          <w:b/>
          <w:sz w:val="22"/>
        </w:rPr>
        <w:t>The Puerto Rico Community is appreciative of policy adjustments already taken by </w:t>
      </w:r>
      <w:r>
        <w:rPr>
          <w:b/>
          <w:spacing w:val="2"/>
          <w:sz w:val="22"/>
        </w:rPr>
        <w:t>the</w:t>
      </w:r>
      <w:r>
        <w:rPr>
          <w:b/>
          <w:spacing w:val="59"/>
          <w:sz w:val="22"/>
        </w:rPr>
        <w:t> </w:t>
      </w:r>
      <w:r>
        <w:rPr>
          <w:b/>
          <w:sz w:val="22"/>
        </w:rPr>
        <w:t>Administration. </w:t>
      </w:r>
      <w:r>
        <w:rPr>
          <w:sz w:val="22"/>
        </w:rPr>
        <w:t>We support CMS proposal to continue to provide Puerto Rico plans special consideration due to the program inequities in the Star rating measure, in particular the proposed hold harmless methodology due to the impact of the natural disaster. We also support that the zero-claim adjustment implemented in 2017 and 2018 remain. Finally, we also support the 2018 decision to assign double bonus status to most counties in the Island and would request CMS to evaluate expanding the policy</w:t>
      </w:r>
      <w:r>
        <w:rPr>
          <w:spacing w:val="-14"/>
          <w:sz w:val="22"/>
        </w:rPr>
        <w:t> </w:t>
      </w:r>
      <w:r>
        <w:rPr>
          <w:sz w:val="22"/>
        </w:rPr>
        <w:t>to</w:t>
      </w:r>
      <w:r>
        <w:rPr>
          <w:spacing w:val="-12"/>
          <w:sz w:val="22"/>
        </w:rPr>
        <w:t> </w:t>
      </w:r>
      <w:r>
        <w:rPr>
          <w:sz w:val="22"/>
        </w:rPr>
        <w:t>cover</w:t>
      </w:r>
      <w:r>
        <w:rPr>
          <w:spacing w:val="-14"/>
          <w:sz w:val="22"/>
        </w:rPr>
        <w:t> </w:t>
      </w:r>
      <w:r>
        <w:rPr>
          <w:sz w:val="22"/>
        </w:rPr>
        <w:t>all</w:t>
      </w:r>
      <w:r>
        <w:rPr>
          <w:spacing w:val="-11"/>
          <w:sz w:val="22"/>
        </w:rPr>
        <w:t> </w:t>
      </w:r>
      <w:r>
        <w:rPr>
          <w:sz w:val="22"/>
        </w:rPr>
        <w:t>78</w:t>
      </w:r>
      <w:r>
        <w:rPr>
          <w:spacing w:val="-14"/>
          <w:sz w:val="22"/>
        </w:rPr>
        <w:t> </w:t>
      </w:r>
      <w:r>
        <w:rPr>
          <w:sz w:val="22"/>
        </w:rPr>
        <w:t>municipalities.</w:t>
      </w:r>
      <w:r>
        <w:rPr>
          <w:spacing w:val="32"/>
          <w:sz w:val="22"/>
        </w:rPr>
        <w:t> </w:t>
      </w:r>
      <w:r>
        <w:rPr>
          <w:b/>
          <w:sz w:val="22"/>
        </w:rPr>
        <w:t>However,</w:t>
      </w:r>
      <w:r>
        <w:rPr>
          <w:b/>
          <w:spacing w:val="-12"/>
          <w:sz w:val="22"/>
        </w:rPr>
        <w:t> </w:t>
      </w:r>
      <w:r>
        <w:rPr>
          <w:b/>
          <w:sz w:val="22"/>
        </w:rPr>
        <w:t>new</w:t>
      </w:r>
      <w:r>
        <w:rPr>
          <w:b/>
          <w:spacing w:val="-11"/>
          <w:sz w:val="22"/>
        </w:rPr>
        <w:t> </w:t>
      </w:r>
      <w:r>
        <w:rPr>
          <w:b/>
          <w:sz w:val="22"/>
        </w:rPr>
        <w:t>evidence</w:t>
      </w:r>
      <w:r>
        <w:rPr>
          <w:b/>
          <w:spacing w:val="-14"/>
          <w:sz w:val="22"/>
        </w:rPr>
        <w:t> </w:t>
      </w:r>
      <w:r>
        <w:rPr>
          <w:b/>
          <w:sz w:val="22"/>
        </w:rPr>
        <w:t>studied</w:t>
      </w:r>
      <w:r>
        <w:rPr>
          <w:b/>
          <w:spacing w:val="-14"/>
          <w:sz w:val="22"/>
        </w:rPr>
        <w:t> </w:t>
      </w:r>
      <w:r>
        <w:rPr>
          <w:b/>
          <w:sz w:val="22"/>
        </w:rPr>
        <w:t>this</w:t>
      </w:r>
      <w:r>
        <w:rPr>
          <w:b/>
          <w:spacing w:val="-11"/>
          <w:sz w:val="22"/>
        </w:rPr>
        <w:t> </w:t>
      </w:r>
      <w:r>
        <w:rPr>
          <w:b/>
          <w:sz w:val="22"/>
        </w:rPr>
        <w:t>past</w:t>
      </w:r>
      <w:r>
        <w:rPr>
          <w:b/>
          <w:spacing w:val="-11"/>
          <w:sz w:val="22"/>
        </w:rPr>
        <w:t> </w:t>
      </w:r>
      <w:r>
        <w:rPr>
          <w:b/>
          <w:sz w:val="22"/>
        </w:rPr>
        <w:t>year</w:t>
      </w:r>
      <w:r>
        <w:rPr>
          <w:b/>
          <w:spacing w:val="-12"/>
          <w:sz w:val="22"/>
        </w:rPr>
        <w:t> </w:t>
      </w:r>
      <w:r>
        <w:rPr>
          <w:b/>
          <w:sz w:val="22"/>
        </w:rPr>
        <w:t>suggests</w:t>
      </w:r>
      <w:r>
        <w:rPr>
          <w:b/>
          <w:spacing w:val="-11"/>
          <w:sz w:val="22"/>
        </w:rPr>
        <w:t> </w:t>
      </w:r>
      <w:r>
        <w:rPr>
          <w:b/>
          <w:sz w:val="22"/>
        </w:rPr>
        <w:t>that</w:t>
      </w:r>
      <w:r>
        <w:rPr>
          <w:b/>
          <w:spacing w:val="-14"/>
          <w:sz w:val="22"/>
        </w:rPr>
        <w:t> </w:t>
      </w:r>
      <w:r>
        <w:rPr>
          <w:b/>
          <w:sz w:val="22"/>
        </w:rPr>
        <w:t>these current adjustments are far from enough. The continued deterioration requires a higher-impact policy action to stop the harmful and increasing funding</w:t>
      </w:r>
      <w:r>
        <w:rPr>
          <w:b/>
          <w:spacing w:val="-13"/>
          <w:sz w:val="22"/>
        </w:rPr>
        <w:t> </w:t>
      </w:r>
      <w:r>
        <w:rPr>
          <w:b/>
          <w:sz w:val="22"/>
        </w:rPr>
        <w:t>gap.</w:t>
      </w:r>
    </w:p>
    <w:p>
      <w:pPr>
        <w:pStyle w:val="BodyText"/>
        <w:rPr>
          <w:b/>
        </w:rPr>
      </w:pPr>
    </w:p>
    <w:p>
      <w:pPr>
        <w:pStyle w:val="BodyText"/>
        <w:ind w:left="112" w:right="106" w:firstLine="360"/>
        <w:jc w:val="both"/>
      </w:pPr>
      <w:r>
        <w:rPr/>
        <w:t>With close to 50% of the health care expenditures in Puerto Rico tied to the Medicare Advantage program, it is inevitable that breaking the spiral of underfunded health care must start with a solution in MA rates. Puerto Rico also has the highest MA penetration in the nation (over 570,000, 75%), and the largest D-SNP (</w:t>
      </w:r>
      <w:r>
        <w:rPr>
          <w:i/>
        </w:rPr>
        <w:t>Platino</w:t>
      </w:r>
      <w:r>
        <w:rPr/>
        <w:t>) program that integrates Medicare and Medicaid with approximately 275,000 beneficiaries. Moreover, the program has the most developed administrative structure, with proven pay for performance methods, quality measures, as well as fraud, waste and abuse mechanisms.</w:t>
      </w:r>
    </w:p>
    <w:p>
      <w:pPr>
        <w:pStyle w:val="BodyText"/>
      </w:pPr>
    </w:p>
    <w:p>
      <w:pPr>
        <w:pStyle w:val="BodyText"/>
        <w:ind w:left="112" w:right="108" w:firstLine="360"/>
        <w:jc w:val="both"/>
      </w:pPr>
      <w:r>
        <w:rPr/>
        <w:t>The positive pillars created by the MA program in Puerto Rico should not deter the implementation of solutions for the continued deterioration of the MA rates even after the ACA reductions have been implemented. As the recent natural disaster validated, Puerto Rico offers an unstable and fragile platform for providers who continue</w:t>
      </w:r>
      <w:r>
        <w:rPr>
          <w:spacing w:val="-8"/>
        </w:rPr>
        <w:t> </w:t>
      </w:r>
      <w:r>
        <w:rPr/>
        <w:t>to</w:t>
      </w:r>
      <w:r>
        <w:rPr>
          <w:spacing w:val="-10"/>
        </w:rPr>
        <w:t> </w:t>
      </w:r>
      <w:r>
        <w:rPr/>
        <w:t>flee</w:t>
      </w:r>
      <w:r>
        <w:rPr>
          <w:spacing w:val="-9"/>
        </w:rPr>
        <w:t> </w:t>
      </w:r>
      <w:r>
        <w:rPr/>
        <w:t>to</w:t>
      </w:r>
      <w:r>
        <w:rPr>
          <w:spacing w:val="-10"/>
        </w:rPr>
        <w:t> </w:t>
      </w:r>
      <w:r>
        <w:rPr/>
        <w:t>the</w:t>
      </w:r>
      <w:r>
        <w:rPr>
          <w:spacing w:val="-7"/>
        </w:rPr>
        <w:t> </w:t>
      </w:r>
      <w:r>
        <w:rPr/>
        <w:t>US</w:t>
      </w:r>
      <w:r>
        <w:rPr>
          <w:spacing w:val="-10"/>
        </w:rPr>
        <w:t> </w:t>
      </w:r>
      <w:r>
        <w:rPr/>
        <w:t>mainland,</w:t>
      </w:r>
      <w:r>
        <w:rPr>
          <w:spacing w:val="-9"/>
        </w:rPr>
        <w:t> </w:t>
      </w:r>
      <w:r>
        <w:rPr/>
        <w:t>while</w:t>
      </w:r>
      <w:r>
        <w:rPr>
          <w:spacing w:val="-9"/>
        </w:rPr>
        <w:t> </w:t>
      </w:r>
      <w:r>
        <w:rPr/>
        <w:t>infrastructure</w:t>
      </w:r>
      <w:r>
        <w:rPr>
          <w:spacing w:val="-7"/>
        </w:rPr>
        <w:t> </w:t>
      </w:r>
      <w:r>
        <w:rPr/>
        <w:t>keeps</w:t>
      </w:r>
      <w:r>
        <w:rPr>
          <w:spacing w:val="-9"/>
        </w:rPr>
        <w:t> </w:t>
      </w:r>
      <w:r>
        <w:rPr/>
        <w:t>falling</w:t>
      </w:r>
      <w:r>
        <w:rPr>
          <w:spacing w:val="-10"/>
        </w:rPr>
        <w:t> </w:t>
      </w:r>
      <w:r>
        <w:rPr/>
        <w:t>behind.</w:t>
      </w:r>
      <w:r>
        <w:rPr>
          <w:spacing w:val="39"/>
        </w:rPr>
        <w:t> </w:t>
      </w:r>
      <w:r>
        <w:rPr/>
        <w:t>MA</w:t>
      </w:r>
      <w:r>
        <w:rPr>
          <w:spacing w:val="-10"/>
        </w:rPr>
        <w:t> </w:t>
      </w:r>
      <w:r>
        <w:rPr/>
        <w:t>rate</w:t>
      </w:r>
      <w:r>
        <w:rPr>
          <w:spacing w:val="-9"/>
        </w:rPr>
        <w:t> </w:t>
      </w:r>
      <w:r>
        <w:rPr/>
        <w:t>reductions</w:t>
      </w:r>
      <w:r>
        <w:rPr>
          <w:spacing w:val="-9"/>
        </w:rPr>
        <w:t> </w:t>
      </w:r>
      <w:r>
        <w:rPr/>
        <w:t>have</w:t>
      </w:r>
      <w:r>
        <w:rPr>
          <w:spacing w:val="-7"/>
        </w:rPr>
        <w:t> </w:t>
      </w:r>
      <w:r>
        <w:rPr/>
        <w:t>provoked reductions in benefits, network adjustments, and provider migration, all with direct impact to beneficiaries. We encourage</w:t>
      </w:r>
      <w:r>
        <w:rPr>
          <w:spacing w:val="-4"/>
        </w:rPr>
        <w:t> </w:t>
      </w:r>
      <w:r>
        <w:rPr/>
        <w:t>CMS</w:t>
      </w:r>
      <w:r>
        <w:rPr>
          <w:spacing w:val="-7"/>
        </w:rPr>
        <w:t> </w:t>
      </w:r>
      <w:r>
        <w:rPr/>
        <w:t>to</w:t>
      </w:r>
      <w:r>
        <w:rPr>
          <w:spacing w:val="-7"/>
        </w:rPr>
        <w:t> </w:t>
      </w:r>
      <w:r>
        <w:rPr/>
        <w:t>include</w:t>
      </w:r>
      <w:r>
        <w:rPr>
          <w:spacing w:val="-7"/>
        </w:rPr>
        <w:t> </w:t>
      </w:r>
      <w:r>
        <w:rPr/>
        <w:t>in</w:t>
      </w:r>
      <w:r>
        <w:rPr>
          <w:spacing w:val="-5"/>
        </w:rPr>
        <w:t> </w:t>
      </w:r>
      <w:r>
        <w:rPr/>
        <w:t>the</w:t>
      </w:r>
      <w:r>
        <w:rPr>
          <w:spacing w:val="-4"/>
        </w:rPr>
        <w:t> </w:t>
      </w:r>
      <w:r>
        <w:rPr/>
        <w:t>final</w:t>
      </w:r>
      <w:r>
        <w:rPr>
          <w:spacing w:val="-1"/>
        </w:rPr>
        <w:t> </w:t>
      </w:r>
      <w:r>
        <w:rPr/>
        <w:t>Call</w:t>
      </w:r>
      <w:r>
        <w:rPr>
          <w:spacing w:val="-4"/>
        </w:rPr>
        <w:t> </w:t>
      </w:r>
      <w:r>
        <w:rPr/>
        <w:t>Letter</w:t>
      </w:r>
      <w:r>
        <w:rPr>
          <w:spacing w:val="-6"/>
        </w:rPr>
        <w:t> </w:t>
      </w:r>
      <w:r>
        <w:rPr/>
        <w:t>a</w:t>
      </w:r>
      <w:r>
        <w:rPr>
          <w:spacing w:val="-4"/>
        </w:rPr>
        <w:t> </w:t>
      </w:r>
      <w:r>
        <w:rPr/>
        <w:t>process</w:t>
      </w:r>
      <w:r>
        <w:rPr>
          <w:spacing w:val="-6"/>
        </w:rPr>
        <w:t> </w:t>
      </w:r>
      <w:r>
        <w:rPr/>
        <w:t>to</w:t>
      </w:r>
      <w:r>
        <w:rPr>
          <w:spacing w:val="-7"/>
        </w:rPr>
        <w:t> </w:t>
      </w:r>
      <w:r>
        <w:rPr/>
        <w:t>use</w:t>
      </w:r>
      <w:r>
        <w:rPr>
          <w:spacing w:val="-4"/>
        </w:rPr>
        <w:t> </w:t>
      </w:r>
      <w:r>
        <w:rPr/>
        <w:t>the</w:t>
      </w:r>
      <w:r>
        <w:rPr>
          <w:spacing w:val="-4"/>
        </w:rPr>
        <w:t> </w:t>
      </w:r>
      <w:r>
        <w:rPr/>
        <w:t>bid</w:t>
      </w:r>
      <w:r>
        <w:rPr>
          <w:spacing w:val="-7"/>
        </w:rPr>
        <w:t> </w:t>
      </w:r>
      <w:r>
        <w:rPr/>
        <w:t>review</w:t>
      </w:r>
      <w:r>
        <w:rPr>
          <w:spacing w:val="-10"/>
        </w:rPr>
        <w:t> </w:t>
      </w:r>
      <w:r>
        <w:rPr/>
        <w:t>mechanism,</w:t>
      </w:r>
      <w:r>
        <w:rPr>
          <w:spacing w:val="-5"/>
        </w:rPr>
        <w:t> </w:t>
      </w:r>
      <w:r>
        <w:rPr/>
        <w:t>the</w:t>
      </w:r>
      <w:r>
        <w:rPr>
          <w:spacing w:val="-4"/>
        </w:rPr>
        <w:t> </w:t>
      </w:r>
      <w:r>
        <w:rPr/>
        <w:t>minimum</w:t>
      </w:r>
      <w:r>
        <w:rPr>
          <w:spacing w:val="-6"/>
        </w:rPr>
        <w:t> </w:t>
      </w:r>
      <w:r>
        <w:rPr/>
        <w:t>MLR test</w:t>
      </w:r>
      <w:r>
        <w:rPr>
          <w:spacing w:val="-12"/>
        </w:rPr>
        <w:t> </w:t>
      </w:r>
      <w:r>
        <w:rPr/>
        <w:t>rules,</w:t>
      </w:r>
      <w:r>
        <w:rPr>
          <w:spacing w:val="-13"/>
        </w:rPr>
        <w:t> </w:t>
      </w:r>
      <w:r>
        <w:rPr/>
        <w:t>and</w:t>
      </w:r>
      <w:r>
        <w:rPr>
          <w:spacing w:val="-13"/>
        </w:rPr>
        <w:t> </w:t>
      </w:r>
      <w:r>
        <w:rPr/>
        <w:t>special</w:t>
      </w:r>
      <w:r>
        <w:rPr>
          <w:spacing w:val="-12"/>
        </w:rPr>
        <w:t> </w:t>
      </w:r>
      <w:r>
        <w:rPr/>
        <w:t>parameters</w:t>
      </w:r>
      <w:r>
        <w:rPr>
          <w:spacing w:val="-13"/>
        </w:rPr>
        <w:t> </w:t>
      </w:r>
      <w:r>
        <w:rPr/>
        <w:t>in</w:t>
      </w:r>
      <w:r>
        <w:rPr>
          <w:spacing w:val="-16"/>
        </w:rPr>
        <w:t> </w:t>
      </w:r>
      <w:r>
        <w:rPr/>
        <w:t>the</w:t>
      </w:r>
      <w:r>
        <w:rPr>
          <w:spacing w:val="-13"/>
        </w:rPr>
        <w:t> </w:t>
      </w:r>
      <w:r>
        <w:rPr/>
        <w:t>bid</w:t>
      </w:r>
      <w:r>
        <w:rPr>
          <w:spacing w:val="-13"/>
        </w:rPr>
        <w:t> </w:t>
      </w:r>
      <w:r>
        <w:rPr/>
        <w:t>to</w:t>
      </w:r>
      <w:r>
        <w:rPr>
          <w:spacing w:val="-13"/>
        </w:rPr>
        <w:t> </w:t>
      </w:r>
      <w:r>
        <w:rPr/>
        <w:t>benchmark</w:t>
      </w:r>
      <w:r>
        <w:rPr>
          <w:spacing w:val="-16"/>
        </w:rPr>
        <w:t> </w:t>
      </w:r>
      <w:r>
        <w:rPr/>
        <w:t>ratio</w:t>
      </w:r>
      <w:r>
        <w:rPr>
          <w:spacing w:val="-10"/>
        </w:rPr>
        <w:t> </w:t>
      </w:r>
      <w:r>
        <w:rPr/>
        <w:t>that</w:t>
      </w:r>
      <w:r>
        <w:rPr>
          <w:spacing w:val="-12"/>
        </w:rPr>
        <w:t> </w:t>
      </w:r>
      <w:r>
        <w:rPr/>
        <w:t>will</w:t>
      </w:r>
      <w:r>
        <w:rPr>
          <w:spacing w:val="-12"/>
        </w:rPr>
        <w:t> </w:t>
      </w:r>
      <w:r>
        <w:rPr/>
        <w:t>ensure</w:t>
      </w:r>
      <w:r>
        <w:rPr>
          <w:spacing w:val="-13"/>
        </w:rPr>
        <w:t> </w:t>
      </w:r>
      <w:r>
        <w:rPr/>
        <w:t>that</w:t>
      </w:r>
      <w:r>
        <w:rPr>
          <w:spacing w:val="-12"/>
        </w:rPr>
        <w:t> </w:t>
      </w:r>
      <w:r>
        <w:rPr/>
        <w:t>the</w:t>
      </w:r>
      <w:r>
        <w:rPr>
          <w:spacing w:val="-13"/>
        </w:rPr>
        <w:t> </w:t>
      </w:r>
      <w:r>
        <w:rPr/>
        <w:t>additional</w:t>
      </w:r>
      <w:r>
        <w:rPr>
          <w:spacing w:val="-12"/>
        </w:rPr>
        <w:t> </w:t>
      </w:r>
      <w:r>
        <w:rPr/>
        <w:t>funding</w:t>
      </w:r>
      <w:r>
        <w:rPr>
          <w:spacing w:val="-16"/>
        </w:rPr>
        <w:t> </w:t>
      </w:r>
      <w:r>
        <w:rPr/>
        <w:t>provided to the healthcare system is appropriately allocated to maximize the benefit for the providers, beneficiaries and ultimately the healthcare</w:t>
      </w:r>
      <w:r>
        <w:rPr>
          <w:spacing w:val="-10"/>
        </w:rPr>
        <w:t> </w:t>
      </w:r>
      <w:r>
        <w:rPr/>
        <w:t>system.</w:t>
      </w:r>
    </w:p>
    <w:p>
      <w:pPr>
        <w:pStyle w:val="BodyText"/>
      </w:pPr>
    </w:p>
    <w:p>
      <w:pPr>
        <w:pStyle w:val="BodyText"/>
        <w:ind w:left="112" w:right="106" w:firstLine="720"/>
        <w:jc w:val="both"/>
      </w:pPr>
      <w:r>
        <w:rPr/>
        <w:t>The resulting underfunding of Puerto Rico is directly related to the ACA Medicare cuts, which disproportionally affected the Puerto Rico benchmarks, even when actual medical cost and overall Medicare Advantage</w:t>
      </w:r>
      <w:r>
        <w:rPr>
          <w:spacing w:val="-11"/>
        </w:rPr>
        <w:t> </w:t>
      </w:r>
      <w:r>
        <w:rPr/>
        <w:t>payments</w:t>
      </w:r>
      <w:r>
        <w:rPr>
          <w:spacing w:val="-10"/>
        </w:rPr>
        <w:t> </w:t>
      </w:r>
      <w:r>
        <w:rPr/>
        <w:t>have</w:t>
      </w:r>
      <w:r>
        <w:rPr>
          <w:spacing w:val="-11"/>
        </w:rPr>
        <w:t> </w:t>
      </w:r>
      <w:r>
        <w:rPr/>
        <w:t>increased.</w:t>
      </w:r>
      <w:r>
        <w:rPr>
          <w:spacing w:val="33"/>
        </w:rPr>
        <w:t> </w:t>
      </w:r>
      <w:r>
        <w:rPr/>
        <w:t>The</w:t>
      </w:r>
      <w:r>
        <w:rPr>
          <w:spacing w:val="-11"/>
        </w:rPr>
        <w:t> </w:t>
      </w:r>
      <w:r>
        <w:rPr/>
        <w:t>overall</w:t>
      </w:r>
      <w:r>
        <w:rPr>
          <w:spacing w:val="-12"/>
        </w:rPr>
        <w:t> </w:t>
      </w:r>
      <w:r>
        <w:rPr/>
        <w:t>impact</w:t>
      </w:r>
      <w:r>
        <w:rPr>
          <w:spacing w:val="-10"/>
        </w:rPr>
        <w:t> </w:t>
      </w:r>
      <w:r>
        <w:rPr/>
        <w:t>has</w:t>
      </w:r>
      <w:r>
        <w:rPr>
          <w:spacing w:val="-10"/>
        </w:rPr>
        <w:t> </w:t>
      </w:r>
      <w:r>
        <w:rPr/>
        <w:t>been</w:t>
      </w:r>
      <w:r>
        <w:rPr>
          <w:spacing w:val="-11"/>
        </w:rPr>
        <w:t> </w:t>
      </w:r>
      <w:r>
        <w:rPr/>
        <w:t>a</w:t>
      </w:r>
      <w:r>
        <w:rPr>
          <w:spacing w:val="-11"/>
        </w:rPr>
        <w:t> </w:t>
      </w:r>
      <w:r>
        <w:rPr/>
        <w:t>reduction</w:t>
      </w:r>
      <w:r>
        <w:rPr>
          <w:spacing w:val="-11"/>
        </w:rPr>
        <w:t> </w:t>
      </w:r>
      <w:r>
        <w:rPr/>
        <w:t>of</w:t>
      </w:r>
      <w:r>
        <w:rPr>
          <w:spacing w:val="-10"/>
        </w:rPr>
        <w:t> </w:t>
      </w:r>
      <w:r>
        <w:rPr/>
        <w:t>over</w:t>
      </w:r>
      <w:r>
        <w:rPr>
          <w:spacing w:val="-10"/>
        </w:rPr>
        <w:t> </w:t>
      </w:r>
      <w:r>
        <w:rPr/>
        <w:t>20%</w:t>
      </w:r>
      <w:r>
        <w:rPr>
          <w:spacing w:val="-10"/>
        </w:rPr>
        <w:t> </w:t>
      </w:r>
      <w:r>
        <w:rPr/>
        <w:t>since</w:t>
      </w:r>
      <w:r>
        <w:rPr>
          <w:spacing w:val="-10"/>
        </w:rPr>
        <w:t> </w:t>
      </w:r>
      <w:r>
        <w:rPr/>
        <w:t>2012,</w:t>
      </w:r>
      <w:r>
        <w:rPr>
          <w:spacing w:val="-8"/>
        </w:rPr>
        <w:t> </w:t>
      </w:r>
      <w:r>
        <w:rPr/>
        <w:t>even</w:t>
      </w:r>
      <w:r>
        <w:rPr>
          <w:spacing w:val="-11"/>
        </w:rPr>
        <w:t> </w:t>
      </w:r>
      <w:r>
        <w:rPr/>
        <w:t>when Medicaid and all other expenses continue to increase. Prospectively, due to the economic and fiscal condition of the Puerto Rico Government, both Medicaid and Commercial health segments are significantly limited, leaving MA as the crucial and most structured program to channel forward progress in health care resources to support the health system for all the US citizens in Puerto Rico. We acknowledge that the need for comprehensive</w:t>
      </w:r>
      <w:r>
        <w:rPr>
          <w:spacing w:val="-21"/>
        </w:rPr>
        <w:t> </w:t>
      </w:r>
      <w:r>
        <w:rPr/>
        <w:t>health</w:t>
      </w:r>
    </w:p>
    <w:p>
      <w:pPr>
        <w:spacing w:after="0"/>
        <w:jc w:val="both"/>
        <w:sectPr>
          <w:pgSz w:w="12240" w:h="15840"/>
          <w:pgMar w:header="0" w:footer="1015" w:top="1360" w:bottom="1200" w:left="1040" w:right="1040"/>
        </w:sectPr>
      </w:pPr>
    </w:p>
    <w:p>
      <w:pPr>
        <w:pStyle w:val="BodyText"/>
        <w:spacing w:before="79"/>
        <w:ind w:left="132"/>
      </w:pPr>
      <w:r>
        <w:rPr/>
        <w:t>system reform in Puerto Rico but marked improvement in the health care system in Puerto Rico will not occur without addressing the fundamental disparity in MA funding.</w:t>
      </w:r>
    </w:p>
    <w:p>
      <w:pPr>
        <w:pStyle w:val="BodyText"/>
        <w:rPr>
          <w:sz w:val="20"/>
        </w:rPr>
      </w:pPr>
      <w:r>
        <w:rPr/>
        <w:pict>
          <v:shape style="position:absolute;margin-left:56.16pt;margin-top:12.740159pt;width:499.8pt;height:13.8pt;mso-position-horizontal-relative:page;mso-position-vertical-relative:paragraph;z-index:1096;mso-wrap-distance-left:0;mso-wrap-distance-right:0" type="#_x0000_t202" filled="true" fillcolor="#d9d9d9" stroked="false">
            <v:textbox inset="0,0,0,0">
              <w:txbxContent>
                <w:p>
                  <w:pPr>
                    <w:spacing w:line="275" w:lineRule="exact" w:before="0"/>
                    <w:ind w:left="28" w:right="0" w:firstLine="0"/>
                    <w:jc w:val="left"/>
                    <w:rPr>
                      <w:b/>
                      <w:sz w:val="24"/>
                    </w:rPr>
                  </w:pPr>
                  <w:r>
                    <w:rPr>
                      <w:b/>
                      <w:sz w:val="24"/>
                      <w:u w:val="thick"/>
                    </w:rPr>
                    <w:t>Alternative Proposals with Partial Impact</w:t>
                  </w:r>
                </w:p>
              </w:txbxContent>
            </v:textbox>
            <v:fill type="solid"/>
            <w10:wrap type="topAndBottom"/>
          </v:shape>
        </w:pict>
      </w:r>
    </w:p>
    <w:p>
      <w:pPr>
        <w:pStyle w:val="BodyText"/>
        <w:spacing w:before="8"/>
        <w:rPr>
          <w:sz w:val="12"/>
        </w:rPr>
      </w:pPr>
    </w:p>
    <w:p>
      <w:pPr>
        <w:pStyle w:val="BodyText"/>
        <w:spacing w:before="92"/>
        <w:ind w:left="132" w:right="128"/>
        <w:jc w:val="both"/>
      </w:pPr>
      <w:r>
        <w:rPr/>
        <w:t>Short of an adjustment based on a phased-in AGA floor or similar, we urge CMS to maintain and implement smaller technical fixes that at a minimum will assure Puerto Rico MA and ESRD rates move forward from 2018 to</w:t>
      </w:r>
      <w:r>
        <w:rPr>
          <w:spacing w:val="-7"/>
        </w:rPr>
        <w:t> </w:t>
      </w:r>
      <w:r>
        <w:rPr/>
        <w:t>2019</w:t>
      </w:r>
      <w:r>
        <w:rPr>
          <w:spacing w:val="-6"/>
        </w:rPr>
        <w:t> </w:t>
      </w:r>
      <w:r>
        <w:rPr/>
        <w:t>at</w:t>
      </w:r>
      <w:r>
        <w:rPr>
          <w:spacing w:val="-6"/>
        </w:rPr>
        <w:t> </w:t>
      </w:r>
      <w:r>
        <w:rPr/>
        <w:t>a</w:t>
      </w:r>
      <w:r>
        <w:rPr>
          <w:spacing w:val="-9"/>
        </w:rPr>
        <w:t> </w:t>
      </w:r>
      <w:r>
        <w:rPr/>
        <w:t>level</w:t>
      </w:r>
      <w:r>
        <w:rPr>
          <w:spacing w:val="-6"/>
        </w:rPr>
        <w:t> </w:t>
      </w:r>
      <w:r>
        <w:rPr/>
        <w:t>consistent</w:t>
      </w:r>
      <w:r>
        <w:rPr>
          <w:spacing w:val="-8"/>
        </w:rPr>
        <w:t> </w:t>
      </w:r>
      <w:r>
        <w:rPr/>
        <w:t>with</w:t>
      </w:r>
      <w:r>
        <w:rPr>
          <w:spacing w:val="-8"/>
        </w:rPr>
        <w:t> </w:t>
      </w:r>
      <w:r>
        <w:rPr/>
        <w:t>the</w:t>
      </w:r>
      <w:r>
        <w:rPr>
          <w:spacing w:val="-7"/>
        </w:rPr>
        <w:t> </w:t>
      </w:r>
      <w:r>
        <w:rPr/>
        <w:t>MA</w:t>
      </w:r>
      <w:r>
        <w:rPr>
          <w:spacing w:val="-10"/>
        </w:rPr>
        <w:t> </w:t>
      </w:r>
      <w:r>
        <w:rPr/>
        <w:t>National</w:t>
      </w:r>
      <w:r>
        <w:rPr>
          <w:spacing w:val="-6"/>
        </w:rPr>
        <w:t> </w:t>
      </w:r>
      <w:r>
        <w:rPr/>
        <w:t>growth</w:t>
      </w:r>
      <w:r>
        <w:rPr>
          <w:spacing w:val="-7"/>
        </w:rPr>
        <w:t> </w:t>
      </w:r>
      <w:r>
        <w:rPr/>
        <w:t>rate.</w:t>
      </w:r>
      <w:r>
        <w:rPr>
          <w:spacing w:val="39"/>
        </w:rPr>
        <w:t> </w:t>
      </w:r>
      <w:r>
        <w:rPr/>
        <w:t>Without</w:t>
      </w:r>
      <w:r>
        <w:rPr>
          <w:spacing w:val="-6"/>
        </w:rPr>
        <w:t> </w:t>
      </w:r>
      <w:r>
        <w:rPr/>
        <w:t>discarding</w:t>
      </w:r>
      <w:r>
        <w:rPr>
          <w:spacing w:val="-10"/>
        </w:rPr>
        <w:t> </w:t>
      </w:r>
      <w:r>
        <w:rPr/>
        <w:t>other</w:t>
      </w:r>
      <w:r>
        <w:rPr>
          <w:spacing w:val="-8"/>
        </w:rPr>
        <w:t> </w:t>
      </w:r>
      <w:r>
        <w:rPr/>
        <w:t>possibilities,</w:t>
      </w:r>
      <w:r>
        <w:rPr>
          <w:spacing w:val="-10"/>
        </w:rPr>
        <w:t> </w:t>
      </w:r>
      <w:r>
        <w:rPr/>
        <w:t>we</w:t>
      </w:r>
      <w:r>
        <w:rPr>
          <w:spacing w:val="-9"/>
        </w:rPr>
        <w:t> </w:t>
      </w:r>
      <w:r>
        <w:rPr/>
        <w:t>request that CMS considers the following</w:t>
      </w:r>
      <w:r>
        <w:rPr>
          <w:spacing w:val="-11"/>
        </w:rPr>
        <w:t> </w:t>
      </w:r>
      <w:r>
        <w:rPr/>
        <w:t>proposals:</w:t>
      </w:r>
    </w:p>
    <w:p>
      <w:pPr>
        <w:pStyle w:val="BodyText"/>
        <w:rPr>
          <w:sz w:val="20"/>
        </w:rPr>
      </w:pPr>
      <w:r>
        <w:rPr/>
        <w:pict>
          <v:shape style="position:absolute;margin-left:56.16pt;margin-top:12.73956pt;width:499.8pt;height:13.8pt;mso-position-horizontal-relative:page;mso-position-vertical-relative:paragraph;z-index:1120;mso-wrap-distance-left:0;mso-wrap-distance-right:0" type="#_x0000_t202" filled="true" fillcolor="#e1eed9" stroked="false">
            <v:textbox inset="0,0,0,0">
              <w:txbxContent>
                <w:p>
                  <w:pPr>
                    <w:spacing w:line="275" w:lineRule="exact" w:before="0"/>
                    <w:ind w:left="28" w:right="0" w:firstLine="0"/>
                    <w:jc w:val="left"/>
                    <w:rPr>
                      <w:b/>
                      <w:sz w:val="24"/>
                    </w:rPr>
                  </w:pPr>
                  <w:r>
                    <w:rPr>
                      <w:b/>
                      <w:sz w:val="24"/>
                      <w:u w:val="thick"/>
                    </w:rPr>
                    <w:t>Proposals that CMS Should Maintain</w:t>
                  </w:r>
                </w:p>
              </w:txbxContent>
            </v:textbox>
            <v:fill type="solid"/>
            <w10:wrap type="topAndBottom"/>
          </v:shape>
        </w:pict>
      </w:r>
    </w:p>
    <w:p>
      <w:pPr>
        <w:pStyle w:val="BodyText"/>
        <w:spacing w:before="4"/>
        <w:rPr>
          <w:sz w:val="14"/>
        </w:rPr>
      </w:pPr>
    </w:p>
    <w:p>
      <w:pPr>
        <w:pStyle w:val="ListParagraph"/>
        <w:numPr>
          <w:ilvl w:val="0"/>
          <w:numId w:val="3"/>
        </w:numPr>
        <w:tabs>
          <w:tab w:pos="853" w:val="left" w:leader="none"/>
        </w:tabs>
        <w:spacing w:line="259" w:lineRule="auto" w:before="92" w:after="0"/>
        <w:ind w:left="852" w:right="126" w:hanging="360"/>
        <w:jc w:val="both"/>
        <w:rPr>
          <w:sz w:val="22"/>
        </w:rPr>
      </w:pPr>
      <w:r>
        <w:rPr>
          <w:b/>
          <w:sz w:val="22"/>
        </w:rPr>
        <w:t>Maintain the zero-claims adjustment </w:t>
      </w:r>
      <w:r>
        <w:rPr>
          <w:sz w:val="22"/>
        </w:rPr>
        <w:t>in the estimate of FFS costs and establish a hold harmless if the calculation results in less than the current 4.4%. The update analysis continues to support the higher proportion</w:t>
      </w:r>
      <w:r>
        <w:rPr>
          <w:spacing w:val="-7"/>
          <w:sz w:val="22"/>
        </w:rPr>
        <w:t> </w:t>
      </w:r>
      <w:r>
        <w:rPr>
          <w:sz w:val="22"/>
        </w:rPr>
        <w:t>of</w:t>
      </w:r>
      <w:r>
        <w:rPr>
          <w:spacing w:val="-6"/>
          <w:sz w:val="22"/>
        </w:rPr>
        <w:t> </w:t>
      </w:r>
      <w:r>
        <w:rPr>
          <w:sz w:val="22"/>
        </w:rPr>
        <w:t>Puerto</w:t>
      </w:r>
      <w:r>
        <w:rPr>
          <w:spacing w:val="-10"/>
          <w:sz w:val="22"/>
        </w:rPr>
        <w:t> </w:t>
      </w:r>
      <w:r>
        <w:rPr>
          <w:sz w:val="22"/>
        </w:rPr>
        <w:t>Rico</w:t>
      </w:r>
      <w:r>
        <w:rPr>
          <w:spacing w:val="-9"/>
          <w:sz w:val="22"/>
        </w:rPr>
        <w:t> </w:t>
      </w:r>
      <w:r>
        <w:rPr>
          <w:sz w:val="22"/>
        </w:rPr>
        <w:t>beneficiaries</w:t>
      </w:r>
      <w:r>
        <w:rPr>
          <w:spacing w:val="-6"/>
          <w:sz w:val="22"/>
        </w:rPr>
        <w:t> </w:t>
      </w:r>
      <w:r>
        <w:rPr>
          <w:sz w:val="22"/>
        </w:rPr>
        <w:t>with</w:t>
      </w:r>
      <w:r>
        <w:rPr>
          <w:spacing w:val="-7"/>
          <w:sz w:val="22"/>
        </w:rPr>
        <w:t> </w:t>
      </w:r>
      <w:r>
        <w:rPr>
          <w:sz w:val="22"/>
        </w:rPr>
        <w:t>no</w:t>
      </w:r>
      <w:r>
        <w:rPr>
          <w:spacing w:val="-7"/>
          <w:sz w:val="22"/>
        </w:rPr>
        <w:t> </w:t>
      </w:r>
      <w:r>
        <w:rPr>
          <w:sz w:val="22"/>
        </w:rPr>
        <w:t>claims</w:t>
      </w:r>
      <w:r>
        <w:rPr>
          <w:spacing w:val="-6"/>
          <w:sz w:val="22"/>
        </w:rPr>
        <w:t> </w:t>
      </w:r>
      <w:r>
        <w:rPr>
          <w:sz w:val="22"/>
        </w:rPr>
        <w:t>experience</w:t>
      </w:r>
      <w:r>
        <w:rPr>
          <w:spacing w:val="-9"/>
          <w:sz w:val="22"/>
        </w:rPr>
        <w:t> </w:t>
      </w:r>
      <w:r>
        <w:rPr>
          <w:sz w:val="22"/>
        </w:rPr>
        <w:t>in</w:t>
      </w:r>
      <w:r>
        <w:rPr>
          <w:spacing w:val="-7"/>
          <w:sz w:val="22"/>
        </w:rPr>
        <w:t> </w:t>
      </w:r>
      <w:r>
        <w:rPr>
          <w:sz w:val="22"/>
        </w:rPr>
        <w:t>the</w:t>
      </w:r>
      <w:r>
        <w:rPr>
          <w:spacing w:val="-7"/>
          <w:sz w:val="22"/>
        </w:rPr>
        <w:t> </w:t>
      </w:r>
      <w:r>
        <w:rPr>
          <w:sz w:val="22"/>
        </w:rPr>
        <w:t>FFS</w:t>
      </w:r>
      <w:r>
        <w:rPr>
          <w:spacing w:val="-7"/>
          <w:sz w:val="22"/>
        </w:rPr>
        <w:t> </w:t>
      </w:r>
      <w:r>
        <w:rPr>
          <w:sz w:val="22"/>
        </w:rPr>
        <w:t>period,</w:t>
      </w:r>
      <w:r>
        <w:rPr>
          <w:spacing w:val="-4"/>
          <w:sz w:val="22"/>
        </w:rPr>
        <w:t> </w:t>
      </w:r>
      <w:r>
        <w:rPr>
          <w:sz w:val="22"/>
        </w:rPr>
        <w:t>so</w:t>
      </w:r>
      <w:r>
        <w:rPr>
          <w:spacing w:val="-7"/>
          <w:sz w:val="22"/>
        </w:rPr>
        <w:t> </w:t>
      </w:r>
      <w:r>
        <w:rPr>
          <w:sz w:val="22"/>
          <w:u w:val="single"/>
        </w:rPr>
        <w:t>to</w:t>
      </w:r>
      <w:r>
        <w:rPr>
          <w:spacing w:val="-7"/>
          <w:sz w:val="22"/>
          <w:u w:val="single"/>
        </w:rPr>
        <w:t> </w:t>
      </w:r>
      <w:r>
        <w:rPr>
          <w:sz w:val="22"/>
          <w:u w:val="single"/>
        </w:rPr>
        <w:t>assure</w:t>
      </w:r>
      <w:r>
        <w:rPr>
          <w:spacing w:val="-7"/>
          <w:sz w:val="22"/>
          <w:u w:val="single"/>
        </w:rPr>
        <w:t> </w:t>
      </w:r>
      <w:r>
        <w:rPr>
          <w:sz w:val="22"/>
          <w:u w:val="single"/>
        </w:rPr>
        <w:t>stability this adjustment should be the same or higher than in</w:t>
      </w:r>
      <w:r>
        <w:rPr>
          <w:spacing w:val="-13"/>
          <w:sz w:val="22"/>
          <w:u w:val="single"/>
        </w:rPr>
        <w:t> </w:t>
      </w:r>
      <w:r>
        <w:rPr>
          <w:sz w:val="22"/>
          <w:u w:val="single"/>
        </w:rPr>
        <w:t>2018</w:t>
      </w:r>
      <w:r>
        <w:rPr>
          <w:sz w:val="22"/>
        </w:rPr>
        <w:t>.</w:t>
      </w:r>
    </w:p>
    <w:p>
      <w:pPr>
        <w:pStyle w:val="BodyText"/>
        <w:spacing w:before="8"/>
        <w:rPr>
          <w:sz w:val="15"/>
        </w:rPr>
      </w:pPr>
    </w:p>
    <w:p>
      <w:pPr>
        <w:pStyle w:val="ListParagraph"/>
        <w:numPr>
          <w:ilvl w:val="0"/>
          <w:numId w:val="3"/>
        </w:numPr>
        <w:tabs>
          <w:tab w:pos="853" w:val="left" w:leader="none"/>
        </w:tabs>
        <w:spacing w:line="259" w:lineRule="auto" w:before="91" w:after="0"/>
        <w:ind w:left="852" w:right="126" w:hanging="360"/>
        <w:jc w:val="both"/>
        <w:rPr>
          <w:sz w:val="22"/>
        </w:rPr>
      </w:pPr>
      <w:r>
        <w:rPr>
          <w:b/>
          <w:sz w:val="22"/>
        </w:rPr>
        <w:t>MA</w:t>
      </w:r>
      <w:r>
        <w:rPr>
          <w:b/>
          <w:spacing w:val="-13"/>
          <w:sz w:val="22"/>
        </w:rPr>
        <w:t> </w:t>
      </w:r>
      <w:r>
        <w:rPr>
          <w:b/>
          <w:sz w:val="22"/>
        </w:rPr>
        <w:t>ESRD</w:t>
      </w:r>
      <w:r>
        <w:rPr>
          <w:b/>
          <w:spacing w:val="-13"/>
          <w:sz w:val="22"/>
        </w:rPr>
        <w:t> </w:t>
      </w:r>
      <w:r>
        <w:rPr>
          <w:b/>
          <w:sz w:val="22"/>
        </w:rPr>
        <w:t>Part</w:t>
      </w:r>
      <w:r>
        <w:rPr>
          <w:b/>
          <w:spacing w:val="-11"/>
          <w:sz w:val="22"/>
        </w:rPr>
        <w:t> </w:t>
      </w:r>
      <w:r>
        <w:rPr>
          <w:b/>
          <w:sz w:val="22"/>
        </w:rPr>
        <w:t>A</w:t>
      </w:r>
      <w:r>
        <w:rPr>
          <w:b/>
          <w:spacing w:val="-13"/>
          <w:sz w:val="22"/>
        </w:rPr>
        <w:t> </w:t>
      </w:r>
      <w:r>
        <w:rPr>
          <w:b/>
          <w:sz w:val="22"/>
        </w:rPr>
        <w:t>and</w:t>
      </w:r>
      <w:r>
        <w:rPr>
          <w:b/>
          <w:spacing w:val="-13"/>
          <w:sz w:val="22"/>
        </w:rPr>
        <w:t> </w:t>
      </w:r>
      <w:r>
        <w:rPr>
          <w:b/>
          <w:sz w:val="22"/>
        </w:rPr>
        <w:t>B</w:t>
      </w:r>
      <w:r>
        <w:rPr>
          <w:b/>
          <w:spacing w:val="-11"/>
          <w:sz w:val="22"/>
        </w:rPr>
        <w:t> </w:t>
      </w:r>
      <w:r>
        <w:rPr>
          <w:b/>
          <w:sz w:val="22"/>
        </w:rPr>
        <w:t>pricing</w:t>
      </w:r>
      <w:r>
        <w:rPr>
          <w:b/>
          <w:spacing w:val="-13"/>
          <w:sz w:val="22"/>
        </w:rPr>
        <w:t> </w:t>
      </w:r>
      <w:r>
        <w:rPr>
          <w:b/>
          <w:sz w:val="22"/>
        </w:rPr>
        <w:t>adjustments</w:t>
      </w:r>
      <w:r>
        <w:rPr>
          <w:b/>
          <w:spacing w:val="2"/>
          <w:sz w:val="22"/>
        </w:rPr>
        <w:t> </w:t>
      </w:r>
      <w:r>
        <w:rPr>
          <w:sz w:val="22"/>
        </w:rPr>
        <w:t>-</w:t>
      </w:r>
      <w:r>
        <w:rPr>
          <w:spacing w:val="-16"/>
          <w:sz w:val="22"/>
        </w:rPr>
        <w:t> </w:t>
      </w:r>
      <w:r>
        <w:rPr>
          <w:sz w:val="22"/>
        </w:rPr>
        <w:t>The</w:t>
      </w:r>
      <w:r>
        <w:rPr>
          <w:spacing w:val="-12"/>
          <w:sz w:val="22"/>
        </w:rPr>
        <w:t> </w:t>
      </w:r>
      <w:r>
        <w:rPr>
          <w:sz w:val="22"/>
        </w:rPr>
        <w:t>Medicare</w:t>
      </w:r>
      <w:r>
        <w:rPr>
          <w:spacing w:val="-12"/>
          <w:sz w:val="22"/>
        </w:rPr>
        <w:t> </w:t>
      </w:r>
      <w:r>
        <w:rPr>
          <w:sz w:val="22"/>
        </w:rPr>
        <w:t>FFS</w:t>
      </w:r>
      <w:r>
        <w:rPr>
          <w:spacing w:val="-13"/>
          <w:sz w:val="22"/>
        </w:rPr>
        <w:t> </w:t>
      </w:r>
      <w:r>
        <w:rPr>
          <w:sz w:val="22"/>
        </w:rPr>
        <w:t>ESRD</w:t>
      </w:r>
      <w:r>
        <w:rPr>
          <w:spacing w:val="-13"/>
          <w:sz w:val="22"/>
        </w:rPr>
        <w:t> </w:t>
      </w:r>
      <w:r>
        <w:rPr>
          <w:sz w:val="22"/>
        </w:rPr>
        <w:t>costs</w:t>
      </w:r>
      <w:r>
        <w:rPr>
          <w:spacing w:val="-14"/>
          <w:sz w:val="22"/>
        </w:rPr>
        <w:t> </w:t>
      </w:r>
      <w:r>
        <w:rPr>
          <w:sz w:val="22"/>
        </w:rPr>
        <w:t>and</w:t>
      </w:r>
      <w:r>
        <w:rPr>
          <w:spacing w:val="-12"/>
          <w:sz w:val="22"/>
        </w:rPr>
        <w:t> </w:t>
      </w:r>
      <w:r>
        <w:rPr>
          <w:sz w:val="22"/>
        </w:rPr>
        <w:t>payments</w:t>
      </w:r>
      <w:r>
        <w:rPr>
          <w:spacing w:val="-12"/>
          <w:sz w:val="22"/>
        </w:rPr>
        <w:t> </w:t>
      </w:r>
      <w:r>
        <w:rPr>
          <w:sz w:val="22"/>
        </w:rPr>
        <w:t>for</w:t>
      </w:r>
      <w:r>
        <w:rPr>
          <w:spacing w:val="-12"/>
          <w:sz w:val="22"/>
        </w:rPr>
        <w:t> </w:t>
      </w:r>
      <w:r>
        <w:rPr>
          <w:sz w:val="22"/>
        </w:rPr>
        <w:t>Puerto Rico</w:t>
      </w:r>
      <w:r>
        <w:rPr>
          <w:spacing w:val="-13"/>
          <w:sz w:val="22"/>
        </w:rPr>
        <w:t> </w:t>
      </w:r>
      <w:r>
        <w:rPr>
          <w:sz w:val="22"/>
        </w:rPr>
        <w:t>are</w:t>
      </w:r>
      <w:r>
        <w:rPr>
          <w:spacing w:val="-13"/>
          <w:sz w:val="22"/>
        </w:rPr>
        <w:t> </w:t>
      </w:r>
      <w:r>
        <w:rPr>
          <w:sz w:val="22"/>
        </w:rPr>
        <w:t>impacted</w:t>
      </w:r>
      <w:r>
        <w:rPr>
          <w:spacing w:val="-13"/>
          <w:sz w:val="22"/>
        </w:rPr>
        <w:t> </w:t>
      </w:r>
      <w:r>
        <w:rPr>
          <w:sz w:val="22"/>
        </w:rPr>
        <w:t>by</w:t>
      </w:r>
      <w:r>
        <w:rPr>
          <w:spacing w:val="-16"/>
          <w:sz w:val="22"/>
        </w:rPr>
        <w:t> </w:t>
      </w:r>
      <w:r>
        <w:rPr>
          <w:sz w:val="22"/>
        </w:rPr>
        <w:t>significant</w:t>
      </w:r>
      <w:r>
        <w:rPr>
          <w:spacing w:val="-12"/>
          <w:sz w:val="22"/>
        </w:rPr>
        <w:t> </w:t>
      </w:r>
      <w:r>
        <w:rPr>
          <w:sz w:val="22"/>
        </w:rPr>
        <w:t>changes</w:t>
      </w:r>
      <w:r>
        <w:rPr>
          <w:spacing w:val="-13"/>
          <w:sz w:val="22"/>
        </w:rPr>
        <w:t> </w:t>
      </w:r>
      <w:r>
        <w:rPr>
          <w:sz w:val="22"/>
        </w:rPr>
        <w:t>in</w:t>
      </w:r>
      <w:r>
        <w:rPr>
          <w:spacing w:val="-13"/>
          <w:sz w:val="22"/>
        </w:rPr>
        <w:t> </w:t>
      </w:r>
      <w:r>
        <w:rPr>
          <w:sz w:val="22"/>
        </w:rPr>
        <w:t>FFS</w:t>
      </w:r>
      <w:r>
        <w:rPr>
          <w:spacing w:val="-14"/>
          <w:sz w:val="22"/>
        </w:rPr>
        <w:t> </w:t>
      </w:r>
      <w:r>
        <w:rPr>
          <w:sz w:val="22"/>
        </w:rPr>
        <w:t>pricing</w:t>
      </w:r>
      <w:r>
        <w:rPr>
          <w:spacing w:val="-16"/>
          <w:sz w:val="22"/>
        </w:rPr>
        <w:t> </w:t>
      </w:r>
      <w:r>
        <w:rPr>
          <w:sz w:val="22"/>
        </w:rPr>
        <w:t>for</w:t>
      </w:r>
      <w:r>
        <w:rPr>
          <w:spacing w:val="-13"/>
          <w:sz w:val="22"/>
        </w:rPr>
        <w:t> </w:t>
      </w:r>
      <w:r>
        <w:rPr>
          <w:sz w:val="22"/>
        </w:rPr>
        <w:t>Part</w:t>
      </w:r>
      <w:r>
        <w:rPr>
          <w:spacing w:val="-12"/>
          <w:sz w:val="22"/>
        </w:rPr>
        <w:t> </w:t>
      </w:r>
      <w:r>
        <w:rPr>
          <w:sz w:val="22"/>
        </w:rPr>
        <w:t>A,</w:t>
      </w:r>
      <w:r>
        <w:rPr>
          <w:spacing w:val="-13"/>
          <w:sz w:val="22"/>
        </w:rPr>
        <w:t> </w:t>
      </w:r>
      <w:r>
        <w:rPr>
          <w:sz w:val="22"/>
        </w:rPr>
        <w:t>Part</w:t>
      </w:r>
      <w:r>
        <w:rPr>
          <w:spacing w:val="-12"/>
          <w:sz w:val="22"/>
        </w:rPr>
        <w:t> </w:t>
      </w:r>
      <w:r>
        <w:rPr>
          <w:sz w:val="22"/>
        </w:rPr>
        <w:t>B</w:t>
      </w:r>
      <w:r>
        <w:rPr>
          <w:spacing w:val="-14"/>
          <w:sz w:val="22"/>
        </w:rPr>
        <w:t> </w:t>
      </w:r>
      <w:r>
        <w:rPr>
          <w:sz w:val="22"/>
        </w:rPr>
        <w:t>and</w:t>
      </w:r>
      <w:r>
        <w:rPr>
          <w:spacing w:val="-13"/>
          <w:sz w:val="22"/>
        </w:rPr>
        <w:t> </w:t>
      </w:r>
      <w:r>
        <w:rPr>
          <w:sz w:val="22"/>
        </w:rPr>
        <w:t>dialysis</w:t>
      </w:r>
      <w:r>
        <w:rPr>
          <w:spacing w:val="-13"/>
          <w:sz w:val="22"/>
        </w:rPr>
        <w:t> </w:t>
      </w:r>
      <w:r>
        <w:rPr>
          <w:sz w:val="22"/>
        </w:rPr>
        <w:t>payment</w:t>
      </w:r>
      <w:r>
        <w:rPr>
          <w:spacing w:val="-12"/>
          <w:sz w:val="22"/>
        </w:rPr>
        <w:t> </w:t>
      </w:r>
      <w:r>
        <w:rPr>
          <w:sz w:val="22"/>
        </w:rPr>
        <w:t>anomalies identified in recent years by CMS and documented in FFS regulation. We support CMS intent to reprice ESRD</w:t>
      </w:r>
      <w:r>
        <w:rPr>
          <w:spacing w:val="-10"/>
          <w:sz w:val="22"/>
        </w:rPr>
        <w:t> </w:t>
      </w:r>
      <w:r>
        <w:rPr>
          <w:sz w:val="22"/>
        </w:rPr>
        <w:t>base</w:t>
      </w:r>
      <w:r>
        <w:rPr>
          <w:spacing w:val="-8"/>
          <w:sz w:val="22"/>
        </w:rPr>
        <w:t> </w:t>
      </w:r>
      <w:r>
        <w:rPr>
          <w:sz w:val="22"/>
        </w:rPr>
        <w:t>period</w:t>
      </w:r>
      <w:r>
        <w:rPr>
          <w:spacing w:val="-11"/>
          <w:sz w:val="22"/>
        </w:rPr>
        <w:t> </w:t>
      </w:r>
      <w:r>
        <w:rPr>
          <w:sz w:val="22"/>
        </w:rPr>
        <w:t>experience</w:t>
      </w:r>
      <w:r>
        <w:rPr>
          <w:spacing w:val="-8"/>
          <w:sz w:val="22"/>
        </w:rPr>
        <w:t> </w:t>
      </w:r>
      <w:r>
        <w:rPr>
          <w:sz w:val="22"/>
        </w:rPr>
        <w:t>similarly</w:t>
      </w:r>
      <w:r>
        <w:rPr>
          <w:spacing w:val="-11"/>
          <w:sz w:val="22"/>
        </w:rPr>
        <w:t> </w:t>
      </w:r>
      <w:r>
        <w:rPr>
          <w:sz w:val="22"/>
        </w:rPr>
        <w:t>to</w:t>
      </w:r>
      <w:r>
        <w:rPr>
          <w:spacing w:val="-11"/>
          <w:sz w:val="22"/>
        </w:rPr>
        <w:t> </w:t>
      </w:r>
      <w:r>
        <w:rPr>
          <w:sz w:val="22"/>
        </w:rPr>
        <w:t>the</w:t>
      </w:r>
      <w:r>
        <w:rPr>
          <w:spacing w:val="-8"/>
          <w:sz w:val="22"/>
        </w:rPr>
        <w:t> </w:t>
      </w:r>
      <w:r>
        <w:rPr>
          <w:sz w:val="22"/>
        </w:rPr>
        <w:t>process</w:t>
      </w:r>
      <w:r>
        <w:rPr>
          <w:spacing w:val="-8"/>
          <w:sz w:val="22"/>
        </w:rPr>
        <w:t> </w:t>
      </w:r>
      <w:r>
        <w:rPr>
          <w:sz w:val="22"/>
        </w:rPr>
        <w:t>used</w:t>
      </w:r>
      <w:r>
        <w:rPr>
          <w:spacing w:val="-9"/>
          <w:sz w:val="22"/>
        </w:rPr>
        <w:t> </w:t>
      </w:r>
      <w:r>
        <w:rPr>
          <w:sz w:val="22"/>
        </w:rPr>
        <w:t>to</w:t>
      </w:r>
      <w:r>
        <w:rPr>
          <w:spacing w:val="-9"/>
          <w:sz w:val="22"/>
        </w:rPr>
        <w:t> </w:t>
      </w:r>
      <w:r>
        <w:rPr>
          <w:sz w:val="22"/>
        </w:rPr>
        <w:t>develop</w:t>
      </w:r>
      <w:r>
        <w:rPr>
          <w:spacing w:val="-9"/>
          <w:sz w:val="22"/>
        </w:rPr>
        <w:t> </w:t>
      </w:r>
      <w:r>
        <w:rPr>
          <w:sz w:val="22"/>
        </w:rPr>
        <w:t>MA</w:t>
      </w:r>
      <w:r>
        <w:rPr>
          <w:spacing w:val="-9"/>
          <w:sz w:val="22"/>
        </w:rPr>
        <w:t> </w:t>
      </w:r>
      <w:r>
        <w:rPr>
          <w:sz w:val="22"/>
        </w:rPr>
        <w:t>benchmarks</w:t>
      </w:r>
      <w:r>
        <w:rPr>
          <w:spacing w:val="-8"/>
          <w:sz w:val="22"/>
        </w:rPr>
        <w:t> </w:t>
      </w:r>
      <w:r>
        <w:rPr>
          <w:sz w:val="22"/>
        </w:rPr>
        <w:t>but</w:t>
      </w:r>
      <w:r>
        <w:rPr>
          <w:spacing w:val="-8"/>
          <w:sz w:val="22"/>
        </w:rPr>
        <w:t> </w:t>
      </w:r>
      <w:r>
        <w:rPr>
          <w:sz w:val="22"/>
        </w:rPr>
        <w:t>are</w:t>
      </w:r>
      <w:r>
        <w:rPr>
          <w:spacing w:val="-8"/>
          <w:sz w:val="22"/>
        </w:rPr>
        <w:t> </w:t>
      </w:r>
      <w:r>
        <w:rPr>
          <w:sz w:val="22"/>
        </w:rPr>
        <w:t>concerned that the adjustment would not be sufficient to address additional Puerto Rico issues, including the difference</w:t>
      </w:r>
      <w:r>
        <w:rPr>
          <w:spacing w:val="-3"/>
          <w:sz w:val="22"/>
        </w:rPr>
        <w:t> </w:t>
      </w:r>
      <w:r>
        <w:rPr>
          <w:sz w:val="22"/>
        </w:rPr>
        <w:t>in</w:t>
      </w:r>
      <w:r>
        <w:rPr>
          <w:spacing w:val="-4"/>
          <w:sz w:val="22"/>
        </w:rPr>
        <w:t> </w:t>
      </w:r>
      <w:r>
        <w:rPr>
          <w:sz w:val="22"/>
        </w:rPr>
        <w:t>the</w:t>
      </w:r>
      <w:r>
        <w:rPr>
          <w:spacing w:val="-3"/>
          <w:sz w:val="22"/>
        </w:rPr>
        <w:t> </w:t>
      </w:r>
      <w:r>
        <w:rPr>
          <w:sz w:val="22"/>
        </w:rPr>
        <w:t>coordination</w:t>
      </w:r>
      <w:r>
        <w:rPr>
          <w:spacing w:val="-4"/>
          <w:sz w:val="22"/>
        </w:rPr>
        <w:t> </w:t>
      </w:r>
      <w:r>
        <w:rPr>
          <w:sz w:val="22"/>
        </w:rPr>
        <w:t>period</w:t>
      </w:r>
      <w:r>
        <w:rPr>
          <w:spacing w:val="-4"/>
          <w:sz w:val="22"/>
        </w:rPr>
        <w:t> </w:t>
      </w:r>
      <w:r>
        <w:rPr>
          <w:sz w:val="22"/>
        </w:rPr>
        <w:t>with</w:t>
      </w:r>
      <w:r>
        <w:rPr>
          <w:spacing w:val="-4"/>
          <w:sz w:val="22"/>
        </w:rPr>
        <w:t> </w:t>
      </w:r>
      <w:r>
        <w:rPr>
          <w:sz w:val="22"/>
        </w:rPr>
        <w:t>the</w:t>
      </w:r>
      <w:r>
        <w:rPr>
          <w:spacing w:val="-6"/>
          <w:sz w:val="22"/>
        </w:rPr>
        <w:t> </w:t>
      </w:r>
      <w:r>
        <w:rPr>
          <w:sz w:val="22"/>
        </w:rPr>
        <w:t>local</w:t>
      </w:r>
      <w:r>
        <w:rPr>
          <w:spacing w:val="-3"/>
          <w:sz w:val="22"/>
        </w:rPr>
        <w:t> </w:t>
      </w:r>
      <w:r>
        <w:rPr>
          <w:sz w:val="22"/>
        </w:rPr>
        <w:t>Medicaid</w:t>
      </w:r>
      <w:r>
        <w:rPr>
          <w:spacing w:val="-4"/>
          <w:sz w:val="22"/>
        </w:rPr>
        <w:t> </w:t>
      </w:r>
      <w:r>
        <w:rPr>
          <w:sz w:val="22"/>
        </w:rPr>
        <w:t>agency</w:t>
      </w:r>
      <w:r>
        <w:rPr>
          <w:spacing w:val="-6"/>
          <w:sz w:val="22"/>
        </w:rPr>
        <w:t> </w:t>
      </w:r>
      <w:r>
        <w:rPr>
          <w:sz w:val="22"/>
        </w:rPr>
        <w:t>of</w:t>
      </w:r>
      <w:r>
        <w:rPr>
          <w:spacing w:val="-3"/>
          <w:sz w:val="22"/>
        </w:rPr>
        <w:t> </w:t>
      </w:r>
      <w:r>
        <w:rPr>
          <w:sz w:val="22"/>
        </w:rPr>
        <w:t>a</w:t>
      </w:r>
      <w:r>
        <w:rPr>
          <w:spacing w:val="-3"/>
          <w:sz w:val="22"/>
        </w:rPr>
        <w:t> </w:t>
      </w:r>
      <w:r>
        <w:rPr>
          <w:sz w:val="22"/>
        </w:rPr>
        <w:t>90-day</w:t>
      </w:r>
      <w:r>
        <w:rPr>
          <w:spacing w:val="-6"/>
          <w:sz w:val="22"/>
        </w:rPr>
        <w:t> </w:t>
      </w:r>
      <w:r>
        <w:rPr>
          <w:sz w:val="22"/>
        </w:rPr>
        <w:t>coordination</w:t>
      </w:r>
      <w:r>
        <w:rPr>
          <w:spacing w:val="-4"/>
          <w:sz w:val="22"/>
        </w:rPr>
        <w:t> </w:t>
      </w:r>
      <w:r>
        <w:rPr>
          <w:sz w:val="22"/>
        </w:rPr>
        <w:t>vs.</w:t>
      </w:r>
      <w:r>
        <w:rPr>
          <w:spacing w:val="-3"/>
          <w:sz w:val="22"/>
        </w:rPr>
        <w:t> </w:t>
      </w:r>
      <w:r>
        <w:rPr>
          <w:sz w:val="22"/>
        </w:rPr>
        <w:t>the</w:t>
      </w:r>
      <w:r>
        <w:rPr>
          <w:spacing w:val="-3"/>
          <w:sz w:val="22"/>
        </w:rPr>
        <w:t> </w:t>
      </w:r>
      <w:r>
        <w:rPr>
          <w:sz w:val="22"/>
        </w:rPr>
        <w:t>30- month period CMS typically</w:t>
      </w:r>
      <w:r>
        <w:rPr>
          <w:spacing w:val="-9"/>
          <w:sz w:val="22"/>
        </w:rPr>
        <w:t> </w:t>
      </w:r>
      <w:r>
        <w:rPr>
          <w:sz w:val="22"/>
        </w:rPr>
        <w:t>applies.</w:t>
      </w:r>
    </w:p>
    <w:p>
      <w:pPr>
        <w:pStyle w:val="BodyText"/>
        <w:spacing w:before="7"/>
        <w:rPr>
          <w:sz w:val="23"/>
        </w:rPr>
      </w:pPr>
    </w:p>
    <w:p>
      <w:pPr>
        <w:pStyle w:val="ListParagraph"/>
        <w:numPr>
          <w:ilvl w:val="0"/>
          <w:numId w:val="3"/>
        </w:numPr>
        <w:tabs>
          <w:tab w:pos="853" w:val="left" w:leader="none"/>
        </w:tabs>
        <w:spacing w:line="259" w:lineRule="auto" w:before="0" w:after="0"/>
        <w:ind w:left="852" w:right="128" w:hanging="360"/>
        <w:jc w:val="both"/>
        <w:rPr>
          <w:sz w:val="22"/>
        </w:rPr>
      </w:pPr>
      <w:r>
        <w:rPr>
          <w:b/>
          <w:sz w:val="22"/>
        </w:rPr>
        <w:t>STARs Hold Harmless </w:t>
      </w:r>
      <w:r>
        <w:rPr>
          <w:sz w:val="22"/>
        </w:rPr>
        <w:t>– We are appreciative and in full support of the hold harmless proposals from CMS</w:t>
      </w:r>
      <w:r>
        <w:rPr>
          <w:spacing w:val="-12"/>
          <w:sz w:val="22"/>
        </w:rPr>
        <w:t> </w:t>
      </w:r>
      <w:r>
        <w:rPr>
          <w:sz w:val="22"/>
        </w:rPr>
        <w:t>in</w:t>
      </w:r>
      <w:r>
        <w:rPr>
          <w:spacing w:val="-12"/>
          <w:sz w:val="22"/>
        </w:rPr>
        <w:t> </w:t>
      </w:r>
      <w:r>
        <w:rPr>
          <w:sz w:val="22"/>
        </w:rPr>
        <w:t>relation</w:t>
      </w:r>
      <w:r>
        <w:rPr>
          <w:spacing w:val="-12"/>
          <w:sz w:val="22"/>
        </w:rPr>
        <w:t> </w:t>
      </w:r>
      <w:r>
        <w:rPr>
          <w:sz w:val="22"/>
        </w:rPr>
        <w:t>to</w:t>
      </w:r>
      <w:r>
        <w:rPr>
          <w:spacing w:val="-12"/>
          <w:sz w:val="22"/>
        </w:rPr>
        <w:t> </w:t>
      </w:r>
      <w:r>
        <w:rPr>
          <w:sz w:val="22"/>
        </w:rPr>
        <w:t>the</w:t>
      </w:r>
      <w:r>
        <w:rPr>
          <w:spacing w:val="-12"/>
          <w:sz w:val="22"/>
        </w:rPr>
        <w:t> </w:t>
      </w:r>
      <w:r>
        <w:rPr>
          <w:sz w:val="22"/>
        </w:rPr>
        <w:t>STAR</w:t>
      </w:r>
      <w:r>
        <w:rPr>
          <w:spacing w:val="-13"/>
          <w:sz w:val="22"/>
        </w:rPr>
        <w:t> </w:t>
      </w:r>
      <w:r>
        <w:rPr>
          <w:sz w:val="22"/>
        </w:rPr>
        <w:t>rating</w:t>
      </w:r>
      <w:r>
        <w:rPr>
          <w:spacing w:val="-14"/>
          <w:sz w:val="22"/>
        </w:rPr>
        <w:t> </w:t>
      </w:r>
      <w:r>
        <w:rPr>
          <w:sz w:val="22"/>
        </w:rPr>
        <w:t>methodologies.</w:t>
      </w:r>
      <w:r>
        <w:rPr>
          <w:spacing w:val="31"/>
          <w:sz w:val="22"/>
        </w:rPr>
        <w:t> </w:t>
      </w:r>
      <w:r>
        <w:rPr>
          <w:sz w:val="22"/>
        </w:rPr>
        <w:t>We</w:t>
      </w:r>
      <w:r>
        <w:rPr>
          <w:spacing w:val="-12"/>
          <w:sz w:val="22"/>
        </w:rPr>
        <w:t> </w:t>
      </w:r>
      <w:r>
        <w:rPr>
          <w:sz w:val="22"/>
        </w:rPr>
        <w:t>also</w:t>
      </w:r>
      <w:r>
        <w:rPr>
          <w:spacing w:val="-12"/>
          <w:sz w:val="22"/>
        </w:rPr>
        <w:t> </w:t>
      </w:r>
      <w:r>
        <w:rPr>
          <w:sz w:val="22"/>
        </w:rPr>
        <w:t>request</w:t>
      </w:r>
      <w:r>
        <w:rPr>
          <w:spacing w:val="-11"/>
          <w:sz w:val="22"/>
        </w:rPr>
        <w:t> </w:t>
      </w:r>
      <w:r>
        <w:rPr>
          <w:sz w:val="22"/>
        </w:rPr>
        <w:t>that</w:t>
      </w:r>
      <w:r>
        <w:rPr>
          <w:spacing w:val="-11"/>
          <w:sz w:val="22"/>
        </w:rPr>
        <w:t> </w:t>
      </w:r>
      <w:r>
        <w:rPr>
          <w:sz w:val="22"/>
        </w:rPr>
        <w:t>CMS</w:t>
      </w:r>
      <w:r>
        <w:rPr>
          <w:spacing w:val="-12"/>
          <w:sz w:val="22"/>
        </w:rPr>
        <w:t> </w:t>
      </w:r>
      <w:r>
        <w:rPr>
          <w:sz w:val="22"/>
        </w:rPr>
        <w:t>includes</w:t>
      </w:r>
      <w:r>
        <w:rPr>
          <w:spacing w:val="-11"/>
          <w:sz w:val="22"/>
        </w:rPr>
        <w:t> </w:t>
      </w:r>
      <w:r>
        <w:rPr>
          <w:sz w:val="22"/>
        </w:rPr>
        <w:t>the</w:t>
      </w:r>
      <w:r>
        <w:rPr>
          <w:spacing w:val="-12"/>
          <w:sz w:val="22"/>
        </w:rPr>
        <w:t> </w:t>
      </w:r>
      <w:r>
        <w:rPr>
          <w:sz w:val="22"/>
        </w:rPr>
        <w:t>hold</w:t>
      </w:r>
      <w:r>
        <w:rPr>
          <w:spacing w:val="-12"/>
          <w:sz w:val="22"/>
        </w:rPr>
        <w:t> </w:t>
      </w:r>
      <w:r>
        <w:rPr>
          <w:sz w:val="22"/>
        </w:rPr>
        <w:t>harmless test at the star rating level, to avoid a scenario where changes in the thresholds become the only reason for a STAR to change for an MA plan in a disaster area. A disaster area plan is not only affected in data collection, but also disadvantaged with regards to the implementation of initiatives to improve performance.</w:t>
      </w:r>
    </w:p>
    <w:p>
      <w:pPr>
        <w:pStyle w:val="BodyText"/>
        <w:spacing w:before="10"/>
        <w:rPr>
          <w:sz w:val="21"/>
        </w:rPr>
      </w:pPr>
      <w:r>
        <w:rPr/>
        <w:pict>
          <v:shape style="position:absolute;margin-left:56.16pt;margin-top:13.794494pt;width:499.8pt;height:12.6pt;mso-position-horizontal-relative:page;mso-position-vertical-relative:paragraph;z-index:1144;mso-wrap-distance-left:0;mso-wrap-distance-right:0" type="#_x0000_t202" filled="true" fillcolor="#e1eed9" stroked="false">
            <v:textbox inset="0,0,0,0">
              <w:txbxContent>
                <w:p>
                  <w:pPr>
                    <w:spacing w:line="252" w:lineRule="exact" w:before="0"/>
                    <w:ind w:left="28" w:right="0" w:firstLine="0"/>
                    <w:jc w:val="left"/>
                    <w:rPr>
                      <w:b/>
                      <w:sz w:val="22"/>
                    </w:rPr>
                  </w:pPr>
                  <w:r>
                    <w:rPr>
                      <w:b/>
                      <w:sz w:val="22"/>
                      <w:u w:val="thick"/>
                    </w:rPr>
                    <w:t>Supplemental Policies CMS should include as part of the Puerto Rico Adjustments</w:t>
                  </w:r>
                </w:p>
              </w:txbxContent>
            </v:textbox>
            <v:fill type="solid"/>
            <w10:wrap type="topAndBottom"/>
          </v:shape>
        </w:pict>
      </w:r>
    </w:p>
    <w:p>
      <w:pPr>
        <w:pStyle w:val="BodyText"/>
        <w:spacing w:before="7"/>
        <w:rPr>
          <w:sz w:val="14"/>
        </w:rPr>
      </w:pPr>
    </w:p>
    <w:p>
      <w:pPr>
        <w:pStyle w:val="ListParagraph"/>
        <w:numPr>
          <w:ilvl w:val="0"/>
          <w:numId w:val="3"/>
        </w:numPr>
        <w:tabs>
          <w:tab w:pos="853" w:val="left" w:leader="none"/>
        </w:tabs>
        <w:spacing w:line="259" w:lineRule="auto" w:before="91" w:after="0"/>
        <w:ind w:left="852" w:right="126" w:hanging="360"/>
        <w:jc w:val="both"/>
        <w:rPr>
          <w:sz w:val="22"/>
        </w:rPr>
      </w:pPr>
      <w:r>
        <w:rPr>
          <w:b/>
          <w:sz w:val="22"/>
        </w:rPr>
        <w:t>Establish a hold harmless policy in 2019 MA rates for Puerto Rico as a disaster recovery area - </w:t>
      </w:r>
      <w:r>
        <w:rPr>
          <w:sz w:val="22"/>
        </w:rPr>
        <w:t>Absent of the main proposal requested (AGA floor), it is uncertain if the MA rates for counties in Puerto Rico for 2019 will keep at par with the 2019 MA growth rate for the Nation. In consideration of the anomalous</w:t>
      </w:r>
      <w:r>
        <w:rPr>
          <w:spacing w:val="-8"/>
          <w:sz w:val="22"/>
        </w:rPr>
        <w:t> </w:t>
      </w:r>
      <w:r>
        <w:rPr>
          <w:sz w:val="22"/>
        </w:rPr>
        <w:t>MA</w:t>
      </w:r>
      <w:r>
        <w:rPr>
          <w:spacing w:val="-11"/>
          <w:sz w:val="22"/>
        </w:rPr>
        <w:t> </w:t>
      </w:r>
      <w:r>
        <w:rPr>
          <w:sz w:val="22"/>
        </w:rPr>
        <w:t>rates,</w:t>
      </w:r>
      <w:r>
        <w:rPr>
          <w:spacing w:val="-11"/>
          <w:sz w:val="22"/>
        </w:rPr>
        <w:t> </w:t>
      </w:r>
      <w:r>
        <w:rPr>
          <w:sz w:val="22"/>
        </w:rPr>
        <w:t>evidence</w:t>
      </w:r>
      <w:r>
        <w:rPr>
          <w:spacing w:val="-8"/>
          <w:sz w:val="22"/>
        </w:rPr>
        <w:t> </w:t>
      </w:r>
      <w:r>
        <w:rPr>
          <w:sz w:val="22"/>
        </w:rPr>
        <w:t>of</w:t>
      </w:r>
      <w:r>
        <w:rPr>
          <w:spacing w:val="-8"/>
          <w:sz w:val="22"/>
        </w:rPr>
        <w:t> </w:t>
      </w:r>
      <w:r>
        <w:rPr>
          <w:sz w:val="22"/>
        </w:rPr>
        <w:t>new</w:t>
      </w:r>
      <w:r>
        <w:rPr>
          <w:spacing w:val="-9"/>
          <w:sz w:val="22"/>
        </w:rPr>
        <w:t> </w:t>
      </w:r>
      <w:r>
        <w:rPr>
          <w:sz w:val="22"/>
        </w:rPr>
        <w:t>FFS</w:t>
      </w:r>
      <w:r>
        <w:rPr>
          <w:spacing w:val="-11"/>
          <w:sz w:val="22"/>
        </w:rPr>
        <w:t> </w:t>
      </w:r>
      <w:r>
        <w:rPr>
          <w:sz w:val="22"/>
        </w:rPr>
        <w:t>data</w:t>
      </w:r>
      <w:r>
        <w:rPr>
          <w:spacing w:val="-8"/>
          <w:sz w:val="22"/>
        </w:rPr>
        <w:t> </w:t>
      </w:r>
      <w:r>
        <w:rPr>
          <w:sz w:val="22"/>
        </w:rPr>
        <w:t>analysis,</w:t>
      </w:r>
      <w:r>
        <w:rPr>
          <w:spacing w:val="-8"/>
          <w:sz w:val="22"/>
        </w:rPr>
        <w:t> </w:t>
      </w:r>
      <w:r>
        <w:rPr>
          <w:sz w:val="22"/>
        </w:rPr>
        <w:t>and</w:t>
      </w:r>
      <w:r>
        <w:rPr>
          <w:spacing w:val="-11"/>
          <w:sz w:val="22"/>
        </w:rPr>
        <w:t> </w:t>
      </w:r>
      <w:r>
        <w:rPr>
          <w:sz w:val="22"/>
        </w:rPr>
        <w:t>the</w:t>
      </w:r>
      <w:r>
        <w:rPr>
          <w:spacing w:val="-10"/>
          <w:sz w:val="22"/>
        </w:rPr>
        <w:t> </w:t>
      </w:r>
      <w:r>
        <w:rPr>
          <w:sz w:val="22"/>
          <w:u w:val="single"/>
        </w:rPr>
        <w:t>developing</w:t>
      </w:r>
      <w:r>
        <w:rPr>
          <w:spacing w:val="-11"/>
          <w:sz w:val="22"/>
          <w:u w:val="single"/>
        </w:rPr>
        <w:t> </w:t>
      </w:r>
      <w:r>
        <w:rPr>
          <w:sz w:val="22"/>
          <w:u w:val="single"/>
        </w:rPr>
        <w:t>impacts</w:t>
      </w:r>
      <w:r>
        <w:rPr>
          <w:spacing w:val="-8"/>
          <w:sz w:val="22"/>
          <w:u w:val="single"/>
        </w:rPr>
        <w:t> </w:t>
      </w:r>
      <w:r>
        <w:rPr>
          <w:sz w:val="22"/>
          <w:u w:val="single"/>
        </w:rPr>
        <w:t>of</w:t>
      </w:r>
      <w:r>
        <w:rPr>
          <w:spacing w:val="-8"/>
          <w:sz w:val="22"/>
          <w:u w:val="single"/>
        </w:rPr>
        <w:t> </w:t>
      </w:r>
      <w:r>
        <w:rPr>
          <w:sz w:val="22"/>
          <w:u w:val="single"/>
        </w:rPr>
        <w:t>the</w:t>
      </w:r>
      <w:r>
        <w:rPr>
          <w:spacing w:val="-11"/>
          <w:sz w:val="22"/>
          <w:u w:val="single"/>
        </w:rPr>
        <w:t> </w:t>
      </w:r>
      <w:r>
        <w:rPr>
          <w:sz w:val="22"/>
          <w:u w:val="single"/>
        </w:rPr>
        <w:t>recent</w:t>
      </w:r>
      <w:r>
        <w:rPr>
          <w:spacing w:val="-8"/>
          <w:sz w:val="22"/>
          <w:u w:val="single"/>
        </w:rPr>
        <w:t> </w:t>
      </w:r>
      <w:r>
        <w:rPr>
          <w:sz w:val="22"/>
          <w:u w:val="single"/>
        </w:rPr>
        <w:t>natural disaster</w:t>
      </w:r>
      <w:r>
        <w:rPr>
          <w:sz w:val="22"/>
        </w:rPr>
        <w:t>, we request CMS to define a minimum 2019 MA rate change for Puerto Rico by applying the National MA rate growth to 2018 rates. This minimum county MA benchmark would be applicable only if the current methodology and adjustments result in a lower MA rate for each individual</w:t>
      </w:r>
      <w:r>
        <w:rPr>
          <w:spacing w:val="-31"/>
          <w:sz w:val="22"/>
        </w:rPr>
        <w:t> </w:t>
      </w:r>
      <w:r>
        <w:rPr>
          <w:sz w:val="22"/>
        </w:rPr>
        <w:t>county.</w:t>
      </w:r>
    </w:p>
    <w:p>
      <w:pPr>
        <w:pStyle w:val="BodyText"/>
        <w:spacing w:before="9"/>
        <w:rPr>
          <w:sz w:val="23"/>
        </w:rPr>
      </w:pPr>
    </w:p>
    <w:p>
      <w:pPr>
        <w:pStyle w:val="ListParagraph"/>
        <w:numPr>
          <w:ilvl w:val="0"/>
          <w:numId w:val="3"/>
        </w:numPr>
        <w:tabs>
          <w:tab w:pos="853" w:val="left" w:leader="none"/>
        </w:tabs>
        <w:spacing w:line="259" w:lineRule="auto" w:before="0" w:after="0"/>
        <w:ind w:left="852" w:right="127" w:hanging="360"/>
        <w:jc w:val="both"/>
        <w:rPr>
          <w:sz w:val="22"/>
        </w:rPr>
      </w:pPr>
      <w:r>
        <w:rPr>
          <w:b/>
          <w:sz w:val="22"/>
        </w:rPr>
        <w:t>Adjustment</w:t>
      </w:r>
      <w:r>
        <w:rPr>
          <w:b/>
          <w:spacing w:val="-5"/>
          <w:sz w:val="22"/>
        </w:rPr>
        <w:t> </w:t>
      </w:r>
      <w:r>
        <w:rPr>
          <w:b/>
          <w:sz w:val="22"/>
        </w:rPr>
        <w:t>for</w:t>
      </w:r>
      <w:r>
        <w:rPr>
          <w:b/>
          <w:spacing w:val="-6"/>
          <w:sz w:val="22"/>
        </w:rPr>
        <w:t> </w:t>
      </w:r>
      <w:r>
        <w:rPr>
          <w:b/>
          <w:sz w:val="22"/>
        </w:rPr>
        <w:t>Dual</w:t>
      </w:r>
      <w:r>
        <w:rPr>
          <w:b/>
          <w:spacing w:val="-5"/>
          <w:sz w:val="22"/>
        </w:rPr>
        <w:t> </w:t>
      </w:r>
      <w:r>
        <w:rPr>
          <w:b/>
          <w:sz w:val="22"/>
        </w:rPr>
        <w:t>Bias</w:t>
      </w:r>
      <w:r>
        <w:rPr>
          <w:b/>
          <w:spacing w:val="-8"/>
          <w:sz w:val="22"/>
        </w:rPr>
        <w:t> </w:t>
      </w:r>
      <w:r>
        <w:rPr>
          <w:b/>
          <w:sz w:val="22"/>
        </w:rPr>
        <w:t>in</w:t>
      </w:r>
      <w:r>
        <w:rPr>
          <w:b/>
          <w:spacing w:val="-6"/>
          <w:sz w:val="22"/>
        </w:rPr>
        <w:t> </w:t>
      </w:r>
      <w:r>
        <w:rPr>
          <w:b/>
          <w:sz w:val="22"/>
        </w:rPr>
        <w:t>Benchmark:</w:t>
      </w:r>
      <w:r>
        <w:rPr>
          <w:b/>
          <w:spacing w:val="-3"/>
          <w:sz w:val="22"/>
        </w:rPr>
        <w:t> </w:t>
      </w:r>
      <w:r>
        <w:rPr>
          <w:sz w:val="22"/>
        </w:rPr>
        <w:t>Define</w:t>
      </w:r>
      <w:r>
        <w:rPr>
          <w:spacing w:val="-6"/>
          <w:sz w:val="22"/>
        </w:rPr>
        <w:t> </w:t>
      </w:r>
      <w:r>
        <w:rPr>
          <w:sz w:val="22"/>
        </w:rPr>
        <w:t>adjustments</w:t>
      </w:r>
      <w:r>
        <w:rPr>
          <w:spacing w:val="-6"/>
          <w:sz w:val="22"/>
        </w:rPr>
        <w:t> </w:t>
      </w:r>
      <w:r>
        <w:rPr>
          <w:sz w:val="22"/>
        </w:rPr>
        <w:t>at</w:t>
      </w:r>
      <w:r>
        <w:rPr>
          <w:spacing w:val="-7"/>
          <w:sz w:val="22"/>
        </w:rPr>
        <w:t> </w:t>
      </w:r>
      <w:r>
        <w:rPr>
          <w:sz w:val="22"/>
        </w:rPr>
        <w:t>the</w:t>
      </w:r>
      <w:r>
        <w:rPr>
          <w:spacing w:val="-6"/>
          <w:sz w:val="22"/>
        </w:rPr>
        <w:t> </w:t>
      </w:r>
      <w:r>
        <w:rPr>
          <w:sz w:val="22"/>
        </w:rPr>
        <w:t>MA</w:t>
      </w:r>
      <w:r>
        <w:rPr>
          <w:spacing w:val="-7"/>
          <w:sz w:val="22"/>
        </w:rPr>
        <w:t> </w:t>
      </w:r>
      <w:r>
        <w:rPr>
          <w:sz w:val="22"/>
        </w:rPr>
        <w:t>benchmark</w:t>
      </w:r>
      <w:r>
        <w:rPr>
          <w:spacing w:val="-6"/>
          <w:sz w:val="22"/>
        </w:rPr>
        <w:t> </w:t>
      </w:r>
      <w:r>
        <w:rPr>
          <w:sz w:val="22"/>
        </w:rPr>
        <w:t>level</w:t>
      </w:r>
      <w:r>
        <w:rPr>
          <w:spacing w:val="-3"/>
          <w:sz w:val="22"/>
        </w:rPr>
        <w:t> </w:t>
      </w:r>
      <w:r>
        <w:rPr>
          <w:sz w:val="22"/>
        </w:rPr>
        <w:t>to</w:t>
      </w:r>
      <w:r>
        <w:rPr>
          <w:spacing w:val="-6"/>
          <w:sz w:val="22"/>
        </w:rPr>
        <w:t> </w:t>
      </w:r>
      <w:r>
        <w:rPr>
          <w:sz w:val="22"/>
        </w:rPr>
        <w:t>reflect</w:t>
      </w:r>
      <w:r>
        <w:rPr>
          <w:spacing w:val="-5"/>
          <w:sz w:val="22"/>
        </w:rPr>
        <w:t> </w:t>
      </w:r>
      <w:r>
        <w:rPr>
          <w:sz w:val="22"/>
        </w:rPr>
        <w:t>the minimal and biased representation of dual eligible beneficiaries in the FFS population. The difference in dual proportion in MA vs FFS Medicare in Puerto Rico is so large that risk scores alone cannot fix the large discrepancy that exists between the two populations without an adjustment at the base rates (MA benchmarks).</w:t>
      </w:r>
    </w:p>
    <w:p>
      <w:pPr>
        <w:spacing w:after="0" w:line="259" w:lineRule="auto"/>
        <w:jc w:val="both"/>
        <w:rPr>
          <w:sz w:val="22"/>
        </w:rPr>
        <w:sectPr>
          <w:pgSz w:w="12240" w:h="15840"/>
          <w:pgMar w:header="0" w:footer="1015" w:top="1360" w:bottom="1200" w:left="1020" w:right="1020"/>
        </w:sectPr>
      </w:pPr>
    </w:p>
    <w:p>
      <w:pPr>
        <w:pStyle w:val="ListParagraph"/>
        <w:numPr>
          <w:ilvl w:val="0"/>
          <w:numId w:val="3"/>
        </w:numPr>
        <w:tabs>
          <w:tab w:pos="953" w:val="left" w:leader="none"/>
        </w:tabs>
        <w:spacing w:line="259" w:lineRule="auto" w:before="61" w:after="0"/>
        <w:ind w:left="952" w:right="106" w:hanging="360"/>
        <w:jc w:val="both"/>
        <w:rPr>
          <w:sz w:val="22"/>
        </w:rPr>
      </w:pPr>
      <w:r>
        <w:rPr>
          <w:b/>
          <w:sz w:val="22"/>
        </w:rPr>
        <w:t>Define Part B Member Premium Support as a Core A/B Benefit for Duals: </w:t>
      </w:r>
      <w:r>
        <w:rPr>
          <w:sz w:val="22"/>
        </w:rPr>
        <w:t>In line with the policy to define Part A and B deductibles and cost-sharing as part of the A/B Bid, CMS should consider Part B member</w:t>
      </w:r>
      <w:r>
        <w:rPr>
          <w:spacing w:val="-13"/>
          <w:sz w:val="22"/>
        </w:rPr>
        <w:t> </w:t>
      </w:r>
      <w:r>
        <w:rPr>
          <w:sz w:val="22"/>
        </w:rPr>
        <w:t>premium</w:t>
      </w:r>
      <w:r>
        <w:rPr>
          <w:spacing w:val="-18"/>
          <w:sz w:val="22"/>
        </w:rPr>
        <w:t> </w:t>
      </w:r>
      <w:r>
        <w:rPr>
          <w:sz w:val="22"/>
        </w:rPr>
        <w:t>reductions</w:t>
      </w:r>
      <w:r>
        <w:rPr>
          <w:spacing w:val="-14"/>
          <w:sz w:val="22"/>
        </w:rPr>
        <w:t> </w:t>
      </w:r>
      <w:r>
        <w:rPr>
          <w:sz w:val="22"/>
        </w:rPr>
        <w:t>for</w:t>
      </w:r>
      <w:r>
        <w:rPr>
          <w:spacing w:val="-14"/>
          <w:sz w:val="22"/>
        </w:rPr>
        <w:t> </w:t>
      </w:r>
      <w:r>
        <w:rPr>
          <w:sz w:val="22"/>
        </w:rPr>
        <w:t>full</w:t>
      </w:r>
      <w:r>
        <w:rPr>
          <w:spacing w:val="-13"/>
          <w:sz w:val="22"/>
        </w:rPr>
        <w:t> </w:t>
      </w:r>
      <w:r>
        <w:rPr>
          <w:sz w:val="22"/>
        </w:rPr>
        <w:t>benefit</w:t>
      </w:r>
      <w:r>
        <w:rPr>
          <w:spacing w:val="-15"/>
          <w:sz w:val="22"/>
        </w:rPr>
        <w:t> </w:t>
      </w:r>
      <w:r>
        <w:rPr>
          <w:sz w:val="22"/>
        </w:rPr>
        <w:t>duals</w:t>
      </w:r>
      <w:r>
        <w:rPr>
          <w:spacing w:val="-16"/>
          <w:sz w:val="22"/>
        </w:rPr>
        <w:t> </w:t>
      </w:r>
      <w:r>
        <w:rPr>
          <w:sz w:val="22"/>
        </w:rPr>
        <w:t>as</w:t>
      </w:r>
      <w:r>
        <w:rPr>
          <w:spacing w:val="-14"/>
          <w:sz w:val="22"/>
        </w:rPr>
        <w:t> </w:t>
      </w:r>
      <w:r>
        <w:rPr>
          <w:sz w:val="22"/>
        </w:rPr>
        <w:t>part</w:t>
      </w:r>
      <w:r>
        <w:rPr>
          <w:spacing w:val="-13"/>
          <w:sz w:val="22"/>
        </w:rPr>
        <w:t> </w:t>
      </w:r>
      <w:r>
        <w:rPr>
          <w:sz w:val="22"/>
        </w:rPr>
        <w:t>of</w:t>
      </w:r>
      <w:r>
        <w:rPr>
          <w:spacing w:val="-16"/>
          <w:sz w:val="22"/>
        </w:rPr>
        <w:t> </w:t>
      </w:r>
      <w:r>
        <w:rPr>
          <w:sz w:val="22"/>
        </w:rPr>
        <w:t>the</w:t>
      </w:r>
      <w:r>
        <w:rPr>
          <w:spacing w:val="-14"/>
          <w:sz w:val="22"/>
        </w:rPr>
        <w:t> </w:t>
      </w:r>
      <w:r>
        <w:rPr>
          <w:sz w:val="22"/>
        </w:rPr>
        <w:t>core</w:t>
      </w:r>
      <w:r>
        <w:rPr>
          <w:spacing w:val="-14"/>
          <w:sz w:val="22"/>
        </w:rPr>
        <w:t> </w:t>
      </w:r>
      <w:r>
        <w:rPr>
          <w:sz w:val="22"/>
        </w:rPr>
        <w:t>A/B</w:t>
      </w:r>
      <w:r>
        <w:rPr>
          <w:spacing w:val="-15"/>
          <w:sz w:val="22"/>
        </w:rPr>
        <w:t> </w:t>
      </w:r>
      <w:r>
        <w:rPr>
          <w:sz w:val="22"/>
        </w:rPr>
        <w:t>benefit</w:t>
      </w:r>
      <w:r>
        <w:rPr>
          <w:spacing w:val="-15"/>
          <w:sz w:val="22"/>
        </w:rPr>
        <w:t> </w:t>
      </w:r>
      <w:r>
        <w:rPr>
          <w:sz w:val="22"/>
        </w:rPr>
        <w:t>in</w:t>
      </w:r>
      <w:r>
        <w:rPr>
          <w:spacing w:val="-17"/>
          <w:sz w:val="22"/>
        </w:rPr>
        <w:t> </w:t>
      </w:r>
      <w:r>
        <w:rPr>
          <w:sz w:val="22"/>
        </w:rPr>
        <w:t>Puerto</w:t>
      </w:r>
      <w:r>
        <w:rPr>
          <w:spacing w:val="-14"/>
          <w:sz w:val="22"/>
        </w:rPr>
        <w:t> </w:t>
      </w:r>
      <w:r>
        <w:rPr>
          <w:sz w:val="22"/>
        </w:rPr>
        <w:t>Rico.</w:t>
      </w:r>
      <w:r>
        <w:rPr>
          <w:spacing w:val="27"/>
          <w:sz w:val="22"/>
        </w:rPr>
        <w:t> </w:t>
      </w:r>
      <w:r>
        <w:rPr>
          <w:sz w:val="22"/>
        </w:rPr>
        <w:t>Medicare Savings</w:t>
      </w:r>
      <w:r>
        <w:rPr>
          <w:spacing w:val="-14"/>
          <w:sz w:val="22"/>
        </w:rPr>
        <w:t> </w:t>
      </w:r>
      <w:r>
        <w:rPr>
          <w:sz w:val="22"/>
        </w:rPr>
        <w:t>Programs</w:t>
      </w:r>
      <w:r>
        <w:rPr>
          <w:spacing w:val="-14"/>
          <w:sz w:val="22"/>
        </w:rPr>
        <w:t> </w:t>
      </w:r>
      <w:r>
        <w:rPr>
          <w:sz w:val="22"/>
        </w:rPr>
        <w:t>(MSPs)</w:t>
      </w:r>
      <w:r>
        <w:rPr>
          <w:spacing w:val="-16"/>
          <w:sz w:val="22"/>
        </w:rPr>
        <w:t> </w:t>
      </w:r>
      <w:r>
        <w:rPr>
          <w:sz w:val="22"/>
        </w:rPr>
        <w:t>and</w:t>
      </w:r>
      <w:r>
        <w:rPr>
          <w:spacing w:val="-14"/>
          <w:sz w:val="22"/>
        </w:rPr>
        <w:t> </w:t>
      </w:r>
      <w:r>
        <w:rPr>
          <w:sz w:val="22"/>
        </w:rPr>
        <w:t>Part</w:t>
      </w:r>
      <w:r>
        <w:rPr>
          <w:spacing w:val="-13"/>
          <w:sz w:val="22"/>
        </w:rPr>
        <w:t> </w:t>
      </w:r>
      <w:r>
        <w:rPr>
          <w:sz w:val="22"/>
        </w:rPr>
        <w:t>B</w:t>
      </w:r>
      <w:r>
        <w:rPr>
          <w:spacing w:val="-15"/>
          <w:sz w:val="22"/>
        </w:rPr>
        <w:t> </w:t>
      </w:r>
      <w:r>
        <w:rPr>
          <w:sz w:val="22"/>
        </w:rPr>
        <w:t>Buy-in</w:t>
      </w:r>
      <w:r>
        <w:rPr>
          <w:spacing w:val="-14"/>
          <w:sz w:val="22"/>
        </w:rPr>
        <w:t> </w:t>
      </w:r>
      <w:r>
        <w:rPr>
          <w:sz w:val="22"/>
        </w:rPr>
        <w:t>programs</w:t>
      </w:r>
      <w:r>
        <w:rPr>
          <w:spacing w:val="-11"/>
          <w:sz w:val="22"/>
        </w:rPr>
        <w:t> </w:t>
      </w:r>
      <w:r>
        <w:rPr>
          <w:sz w:val="22"/>
        </w:rPr>
        <w:t>are</w:t>
      </w:r>
      <w:r>
        <w:rPr>
          <w:spacing w:val="-14"/>
          <w:sz w:val="22"/>
        </w:rPr>
        <w:t> </w:t>
      </w:r>
      <w:r>
        <w:rPr>
          <w:sz w:val="22"/>
        </w:rPr>
        <w:t>not</w:t>
      </w:r>
      <w:r>
        <w:rPr>
          <w:spacing w:val="-16"/>
          <w:sz w:val="22"/>
        </w:rPr>
        <w:t> </w:t>
      </w:r>
      <w:r>
        <w:rPr>
          <w:sz w:val="22"/>
        </w:rPr>
        <w:t>available</w:t>
      </w:r>
      <w:r>
        <w:rPr>
          <w:spacing w:val="-14"/>
          <w:sz w:val="22"/>
        </w:rPr>
        <w:t> </w:t>
      </w:r>
      <w:r>
        <w:rPr>
          <w:sz w:val="22"/>
        </w:rPr>
        <w:t>given</w:t>
      </w:r>
      <w:r>
        <w:rPr>
          <w:spacing w:val="-14"/>
          <w:sz w:val="22"/>
        </w:rPr>
        <w:t> </w:t>
      </w:r>
      <w:r>
        <w:rPr>
          <w:sz w:val="22"/>
        </w:rPr>
        <w:t>the</w:t>
      </w:r>
      <w:r>
        <w:rPr>
          <w:spacing w:val="-14"/>
          <w:sz w:val="22"/>
        </w:rPr>
        <w:t> </w:t>
      </w:r>
      <w:r>
        <w:rPr>
          <w:sz w:val="22"/>
        </w:rPr>
        <w:t>history</w:t>
      </w:r>
      <w:r>
        <w:rPr>
          <w:spacing w:val="-17"/>
          <w:sz w:val="22"/>
        </w:rPr>
        <w:t> </w:t>
      </w:r>
      <w:r>
        <w:rPr>
          <w:sz w:val="22"/>
        </w:rPr>
        <w:t>of</w:t>
      </w:r>
      <w:r>
        <w:rPr>
          <w:spacing w:val="-16"/>
          <w:sz w:val="22"/>
        </w:rPr>
        <w:t> </w:t>
      </w:r>
      <w:r>
        <w:rPr>
          <w:sz w:val="22"/>
        </w:rPr>
        <w:t>the</w:t>
      </w:r>
      <w:r>
        <w:rPr>
          <w:spacing w:val="-16"/>
          <w:sz w:val="22"/>
        </w:rPr>
        <w:t> </w:t>
      </w:r>
      <w:r>
        <w:rPr>
          <w:sz w:val="22"/>
        </w:rPr>
        <w:t>statutorily fragmented and capped Medicaid program funding in Puerto Rico. Similarly situated beneficiaries residing</w:t>
      </w:r>
      <w:r>
        <w:rPr>
          <w:spacing w:val="-9"/>
          <w:sz w:val="22"/>
        </w:rPr>
        <w:t> </w:t>
      </w:r>
      <w:r>
        <w:rPr>
          <w:sz w:val="22"/>
        </w:rPr>
        <w:t>in</w:t>
      </w:r>
      <w:r>
        <w:rPr>
          <w:spacing w:val="-6"/>
          <w:sz w:val="22"/>
        </w:rPr>
        <w:t> </w:t>
      </w:r>
      <w:r>
        <w:rPr>
          <w:sz w:val="22"/>
        </w:rPr>
        <w:t>states</w:t>
      </w:r>
      <w:r>
        <w:rPr>
          <w:spacing w:val="-3"/>
          <w:sz w:val="22"/>
        </w:rPr>
        <w:t> </w:t>
      </w:r>
      <w:r>
        <w:rPr>
          <w:sz w:val="22"/>
        </w:rPr>
        <w:t>get</w:t>
      </w:r>
      <w:r>
        <w:rPr>
          <w:spacing w:val="-7"/>
          <w:sz w:val="22"/>
        </w:rPr>
        <w:t> </w:t>
      </w:r>
      <w:r>
        <w:rPr>
          <w:sz w:val="22"/>
        </w:rPr>
        <w:t>the</w:t>
      </w:r>
      <w:r>
        <w:rPr>
          <w:spacing w:val="-6"/>
          <w:sz w:val="22"/>
        </w:rPr>
        <w:t> </w:t>
      </w:r>
      <w:r>
        <w:rPr>
          <w:sz w:val="22"/>
        </w:rPr>
        <w:t>Part</w:t>
      </w:r>
      <w:r>
        <w:rPr>
          <w:spacing w:val="-5"/>
          <w:sz w:val="22"/>
        </w:rPr>
        <w:t> </w:t>
      </w:r>
      <w:r>
        <w:rPr>
          <w:sz w:val="22"/>
        </w:rPr>
        <w:t>B</w:t>
      </w:r>
      <w:r>
        <w:rPr>
          <w:spacing w:val="-5"/>
          <w:sz w:val="22"/>
        </w:rPr>
        <w:t> </w:t>
      </w:r>
      <w:r>
        <w:rPr>
          <w:sz w:val="22"/>
        </w:rPr>
        <w:t>premium</w:t>
      </w:r>
      <w:r>
        <w:rPr>
          <w:spacing w:val="-7"/>
          <w:sz w:val="22"/>
        </w:rPr>
        <w:t> </w:t>
      </w:r>
      <w:r>
        <w:rPr>
          <w:sz w:val="22"/>
        </w:rPr>
        <w:t>paid</w:t>
      </w:r>
      <w:r>
        <w:rPr>
          <w:spacing w:val="-6"/>
          <w:sz w:val="22"/>
        </w:rPr>
        <w:t> </w:t>
      </w:r>
      <w:r>
        <w:rPr>
          <w:sz w:val="22"/>
        </w:rPr>
        <w:t>under</w:t>
      </w:r>
      <w:r>
        <w:rPr>
          <w:spacing w:val="-3"/>
          <w:sz w:val="22"/>
        </w:rPr>
        <w:t> </w:t>
      </w:r>
      <w:r>
        <w:rPr>
          <w:sz w:val="22"/>
        </w:rPr>
        <w:t>Part</w:t>
      </w:r>
      <w:r>
        <w:rPr>
          <w:spacing w:val="-5"/>
          <w:sz w:val="22"/>
        </w:rPr>
        <w:t> </w:t>
      </w:r>
      <w:r>
        <w:rPr>
          <w:sz w:val="22"/>
        </w:rPr>
        <w:t>B</w:t>
      </w:r>
      <w:r>
        <w:rPr>
          <w:spacing w:val="-5"/>
          <w:sz w:val="22"/>
        </w:rPr>
        <w:t> </w:t>
      </w:r>
      <w:r>
        <w:rPr>
          <w:sz w:val="22"/>
        </w:rPr>
        <w:t>Buy-in</w:t>
      </w:r>
      <w:r>
        <w:rPr>
          <w:spacing w:val="-4"/>
          <w:sz w:val="22"/>
        </w:rPr>
        <w:t> </w:t>
      </w:r>
      <w:r>
        <w:rPr>
          <w:sz w:val="22"/>
        </w:rPr>
        <w:t>programs</w:t>
      </w:r>
      <w:r>
        <w:rPr>
          <w:spacing w:val="-3"/>
          <w:sz w:val="22"/>
        </w:rPr>
        <w:t> </w:t>
      </w:r>
      <w:r>
        <w:rPr>
          <w:sz w:val="22"/>
        </w:rPr>
        <w:t>as</w:t>
      </w:r>
      <w:r>
        <w:rPr>
          <w:spacing w:val="-5"/>
          <w:sz w:val="22"/>
        </w:rPr>
        <w:t> </w:t>
      </w:r>
      <w:r>
        <w:rPr>
          <w:sz w:val="22"/>
        </w:rPr>
        <w:t>a</w:t>
      </w:r>
      <w:r>
        <w:rPr>
          <w:spacing w:val="-6"/>
          <w:sz w:val="22"/>
        </w:rPr>
        <w:t> </w:t>
      </w:r>
      <w:r>
        <w:rPr>
          <w:sz w:val="22"/>
        </w:rPr>
        <w:t>core</w:t>
      </w:r>
      <w:r>
        <w:rPr>
          <w:spacing w:val="-6"/>
          <w:sz w:val="22"/>
        </w:rPr>
        <w:t> </w:t>
      </w:r>
      <w:r>
        <w:rPr>
          <w:sz w:val="22"/>
        </w:rPr>
        <w:t>mandatory</w:t>
      </w:r>
      <w:r>
        <w:rPr>
          <w:spacing w:val="-6"/>
          <w:sz w:val="22"/>
        </w:rPr>
        <w:t> </w:t>
      </w:r>
      <w:r>
        <w:rPr>
          <w:sz w:val="22"/>
        </w:rPr>
        <w:t>benefit. This helps to alleviate the benefit differential for the most fragile</w:t>
      </w:r>
      <w:r>
        <w:rPr>
          <w:spacing w:val="-27"/>
          <w:sz w:val="22"/>
        </w:rPr>
        <w:t> </w:t>
      </w:r>
      <w:r>
        <w:rPr>
          <w:sz w:val="22"/>
        </w:rPr>
        <w:t>population.</w:t>
      </w:r>
    </w:p>
    <w:p>
      <w:pPr>
        <w:pStyle w:val="BodyText"/>
        <w:spacing w:before="7"/>
        <w:rPr>
          <w:sz w:val="23"/>
        </w:rPr>
      </w:pPr>
    </w:p>
    <w:p>
      <w:pPr>
        <w:pStyle w:val="ListParagraph"/>
        <w:numPr>
          <w:ilvl w:val="0"/>
          <w:numId w:val="3"/>
        </w:numPr>
        <w:tabs>
          <w:tab w:pos="953" w:val="left" w:leader="none"/>
        </w:tabs>
        <w:spacing w:line="259" w:lineRule="auto" w:before="0" w:after="0"/>
        <w:ind w:left="952" w:right="105" w:hanging="360"/>
        <w:jc w:val="both"/>
        <w:rPr>
          <w:sz w:val="22"/>
        </w:rPr>
      </w:pPr>
      <w:r>
        <w:rPr>
          <w:b/>
          <w:sz w:val="22"/>
        </w:rPr>
        <w:t>Extend</w:t>
      </w:r>
      <w:r>
        <w:rPr>
          <w:b/>
          <w:spacing w:val="-2"/>
          <w:sz w:val="22"/>
        </w:rPr>
        <w:t> </w:t>
      </w:r>
      <w:r>
        <w:rPr>
          <w:b/>
          <w:sz w:val="22"/>
        </w:rPr>
        <w:t>double</w:t>
      </w:r>
      <w:r>
        <w:rPr>
          <w:b/>
          <w:spacing w:val="-4"/>
          <w:sz w:val="22"/>
        </w:rPr>
        <w:t> </w:t>
      </w:r>
      <w:r>
        <w:rPr>
          <w:b/>
          <w:sz w:val="22"/>
        </w:rPr>
        <w:t>bonus</w:t>
      </w:r>
      <w:r>
        <w:rPr>
          <w:b/>
          <w:spacing w:val="-4"/>
          <w:sz w:val="22"/>
        </w:rPr>
        <w:t> </w:t>
      </w:r>
      <w:r>
        <w:rPr>
          <w:b/>
          <w:sz w:val="22"/>
        </w:rPr>
        <w:t>eligibility</w:t>
      </w:r>
      <w:r>
        <w:rPr>
          <w:b/>
          <w:spacing w:val="-5"/>
          <w:sz w:val="22"/>
        </w:rPr>
        <w:t> </w:t>
      </w:r>
      <w:r>
        <w:rPr>
          <w:b/>
          <w:sz w:val="22"/>
        </w:rPr>
        <w:t>to</w:t>
      </w:r>
      <w:r>
        <w:rPr>
          <w:b/>
          <w:spacing w:val="-5"/>
          <w:sz w:val="22"/>
        </w:rPr>
        <w:t> </w:t>
      </w:r>
      <w:r>
        <w:rPr>
          <w:b/>
          <w:sz w:val="22"/>
        </w:rPr>
        <w:t>all</w:t>
      </w:r>
      <w:r>
        <w:rPr>
          <w:b/>
          <w:spacing w:val="-4"/>
          <w:sz w:val="22"/>
        </w:rPr>
        <w:t> </w:t>
      </w:r>
      <w:r>
        <w:rPr>
          <w:b/>
          <w:sz w:val="22"/>
        </w:rPr>
        <w:t>78</w:t>
      </w:r>
      <w:r>
        <w:rPr>
          <w:b/>
          <w:spacing w:val="-5"/>
          <w:sz w:val="22"/>
        </w:rPr>
        <w:t> </w:t>
      </w:r>
      <w:r>
        <w:rPr>
          <w:b/>
          <w:sz w:val="22"/>
        </w:rPr>
        <w:t>counties:</w:t>
      </w:r>
      <w:r>
        <w:rPr>
          <w:b/>
          <w:spacing w:val="-2"/>
          <w:sz w:val="22"/>
        </w:rPr>
        <w:t> </w:t>
      </w:r>
      <w:r>
        <w:rPr>
          <w:sz w:val="22"/>
        </w:rPr>
        <w:t>We</w:t>
      </w:r>
      <w:r>
        <w:rPr>
          <w:spacing w:val="-2"/>
          <w:sz w:val="22"/>
        </w:rPr>
        <w:t> </w:t>
      </w:r>
      <w:r>
        <w:rPr>
          <w:sz w:val="22"/>
        </w:rPr>
        <w:t>are</w:t>
      </w:r>
      <w:r>
        <w:rPr>
          <w:spacing w:val="-4"/>
          <w:sz w:val="22"/>
        </w:rPr>
        <w:t> </w:t>
      </w:r>
      <w:r>
        <w:rPr>
          <w:sz w:val="22"/>
        </w:rPr>
        <w:t>appreciative</w:t>
      </w:r>
      <w:r>
        <w:rPr>
          <w:spacing w:val="-2"/>
          <w:sz w:val="22"/>
        </w:rPr>
        <w:t> </w:t>
      </w:r>
      <w:r>
        <w:rPr>
          <w:sz w:val="22"/>
        </w:rPr>
        <w:t>of</w:t>
      </w:r>
      <w:r>
        <w:rPr>
          <w:spacing w:val="-4"/>
          <w:sz w:val="22"/>
        </w:rPr>
        <w:t> </w:t>
      </w:r>
      <w:r>
        <w:rPr>
          <w:sz w:val="22"/>
        </w:rPr>
        <w:t>the</w:t>
      </w:r>
      <w:r>
        <w:rPr>
          <w:spacing w:val="-4"/>
          <w:sz w:val="22"/>
        </w:rPr>
        <w:t> </w:t>
      </w:r>
      <w:r>
        <w:rPr>
          <w:sz w:val="22"/>
        </w:rPr>
        <w:t>CMS</w:t>
      </w:r>
      <w:r>
        <w:rPr>
          <w:spacing w:val="-4"/>
          <w:sz w:val="22"/>
        </w:rPr>
        <w:t> </w:t>
      </w:r>
      <w:r>
        <w:rPr>
          <w:sz w:val="22"/>
        </w:rPr>
        <w:t>re-interpretation</w:t>
      </w:r>
      <w:r>
        <w:rPr>
          <w:spacing w:val="-5"/>
          <w:sz w:val="22"/>
        </w:rPr>
        <w:t> </w:t>
      </w:r>
      <w:r>
        <w:rPr>
          <w:sz w:val="22"/>
        </w:rPr>
        <w:t>of the statute to define eligibility of counties for the stars double bonus. We respectfully want to request CMS</w:t>
      </w:r>
      <w:r>
        <w:rPr>
          <w:spacing w:val="-16"/>
          <w:sz w:val="22"/>
        </w:rPr>
        <w:t> </w:t>
      </w:r>
      <w:r>
        <w:rPr>
          <w:sz w:val="22"/>
        </w:rPr>
        <w:t>to</w:t>
      </w:r>
      <w:r>
        <w:rPr>
          <w:spacing w:val="-16"/>
          <w:sz w:val="22"/>
        </w:rPr>
        <w:t> </w:t>
      </w:r>
      <w:r>
        <w:rPr>
          <w:sz w:val="22"/>
        </w:rPr>
        <w:t>consider</w:t>
      </w:r>
      <w:r>
        <w:rPr>
          <w:spacing w:val="-15"/>
          <w:sz w:val="22"/>
        </w:rPr>
        <w:t> </w:t>
      </w:r>
      <w:r>
        <w:rPr>
          <w:sz w:val="22"/>
        </w:rPr>
        <w:t>the</w:t>
      </w:r>
      <w:r>
        <w:rPr>
          <w:spacing w:val="-15"/>
          <w:sz w:val="22"/>
        </w:rPr>
        <w:t> </w:t>
      </w:r>
      <w:r>
        <w:rPr>
          <w:sz w:val="22"/>
        </w:rPr>
        <w:t>extension</w:t>
      </w:r>
      <w:r>
        <w:rPr>
          <w:spacing w:val="-16"/>
          <w:sz w:val="22"/>
        </w:rPr>
        <w:t> </w:t>
      </w:r>
      <w:r>
        <w:rPr>
          <w:sz w:val="22"/>
        </w:rPr>
        <w:t>of</w:t>
      </w:r>
      <w:r>
        <w:rPr>
          <w:spacing w:val="-15"/>
          <w:sz w:val="22"/>
        </w:rPr>
        <w:t> </w:t>
      </w:r>
      <w:r>
        <w:rPr>
          <w:sz w:val="22"/>
        </w:rPr>
        <w:t>the</w:t>
      </w:r>
      <w:r>
        <w:rPr>
          <w:spacing w:val="-15"/>
          <w:sz w:val="22"/>
        </w:rPr>
        <w:t> </w:t>
      </w:r>
      <w:r>
        <w:rPr>
          <w:sz w:val="22"/>
        </w:rPr>
        <w:t>eligibility</w:t>
      </w:r>
      <w:r>
        <w:rPr>
          <w:spacing w:val="-18"/>
          <w:sz w:val="22"/>
        </w:rPr>
        <w:t> </w:t>
      </w:r>
      <w:r>
        <w:rPr>
          <w:sz w:val="22"/>
        </w:rPr>
        <w:t>to</w:t>
      </w:r>
      <w:r>
        <w:rPr>
          <w:spacing w:val="-16"/>
          <w:sz w:val="22"/>
        </w:rPr>
        <w:t> </w:t>
      </w:r>
      <w:r>
        <w:rPr>
          <w:sz w:val="22"/>
        </w:rPr>
        <w:t>all</w:t>
      </w:r>
      <w:r>
        <w:rPr>
          <w:spacing w:val="-12"/>
          <w:sz w:val="22"/>
        </w:rPr>
        <w:t> </w:t>
      </w:r>
      <w:r>
        <w:rPr>
          <w:sz w:val="22"/>
        </w:rPr>
        <w:t>78</w:t>
      </w:r>
      <w:r>
        <w:rPr>
          <w:spacing w:val="-16"/>
          <w:sz w:val="22"/>
        </w:rPr>
        <w:t> </w:t>
      </w:r>
      <w:r>
        <w:rPr>
          <w:sz w:val="22"/>
        </w:rPr>
        <w:t>counties</w:t>
      </w:r>
      <w:r>
        <w:rPr>
          <w:spacing w:val="-17"/>
          <w:sz w:val="22"/>
        </w:rPr>
        <w:t> </w:t>
      </w:r>
      <w:r>
        <w:rPr>
          <w:sz w:val="22"/>
        </w:rPr>
        <w:t>for</w:t>
      </w:r>
      <w:r>
        <w:rPr>
          <w:spacing w:val="-15"/>
          <w:sz w:val="22"/>
        </w:rPr>
        <w:t> </w:t>
      </w:r>
      <w:r>
        <w:rPr>
          <w:sz w:val="22"/>
        </w:rPr>
        <w:t>2019,</w:t>
      </w:r>
      <w:r>
        <w:rPr>
          <w:spacing w:val="-14"/>
          <w:sz w:val="22"/>
        </w:rPr>
        <w:t> </w:t>
      </w:r>
      <w:r>
        <w:rPr>
          <w:sz w:val="22"/>
          <w:u w:val="single"/>
        </w:rPr>
        <w:t>at</w:t>
      </w:r>
      <w:r>
        <w:rPr>
          <w:spacing w:val="-15"/>
          <w:sz w:val="22"/>
          <w:u w:val="single"/>
        </w:rPr>
        <w:t> </w:t>
      </w:r>
      <w:r>
        <w:rPr>
          <w:sz w:val="22"/>
          <w:u w:val="single"/>
        </w:rPr>
        <w:t>least</w:t>
      </w:r>
      <w:r>
        <w:rPr>
          <w:spacing w:val="-14"/>
          <w:sz w:val="22"/>
          <w:u w:val="single"/>
        </w:rPr>
        <w:t> </w:t>
      </w:r>
      <w:r>
        <w:rPr>
          <w:sz w:val="22"/>
          <w:u w:val="single"/>
        </w:rPr>
        <w:t>as</w:t>
      </w:r>
      <w:r>
        <w:rPr>
          <w:spacing w:val="-18"/>
          <w:sz w:val="22"/>
          <w:u w:val="single"/>
        </w:rPr>
        <w:t> </w:t>
      </w:r>
      <w:r>
        <w:rPr>
          <w:sz w:val="22"/>
          <w:u w:val="single"/>
        </w:rPr>
        <w:t>a</w:t>
      </w:r>
      <w:r>
        <w:rPr>
          <w:spacing w:val="-15"/>
          <w:sz w:val="22"/>
          <w:u w:val="single"/>
        </w:rPr>
        <w:t> </w:t>
      </w:r>
      <w:r>
        <w:rPr>
          <w:sz w:val="22"/>
          <w:u w:val="single"/>
        </w:rPr>
        <w:t>temporary</w:t>
      </w:r>
      <w:r>
        <w:rPr>
          <w:spacing w:val="-18"/>
          <w:sz w:val="22"/>
          <w:u w:val="single"/>
        </w:rPr>
        <w:t> </w:t>
      </w:r>
      <w:r>
        <w:rPr>
          <w:sz w:val="22"/>
          <w:u w:val="single"/>
        </w:rPr>
        <w:t>measure</w:t>
      </w:r>
      <w:r>
        <w:rPr>
          <w:sz w:val="22"/>
        </w:rPr>
        <w:t>. There</w:t>
      </w:r>
      <w:r>
        <w:rPr>
          <w:spacing w:val="-3"/>
          <w:sz w:val="22"/>
        </w:rPr>
        <w:t> </w:t>
      </w:r>
      <w:r>
        <w:rPr>
          <w:sz w:val="22"/>
        </w:rPr>
        <w:t>are</w:t>
      </w:r>
      <w:r>
        <w:rPr>
          <w:spacing w:val="-6"/>
          <w:sz w:val="22"/>
        </w:rPr>
        <w:t> </w:t>
      </w:r>
      <w:r>
        <w:rPr>
          <w:sz w:val="22"/>
        </w:rPr>
        <w:t>two</w:t>
      </w:r>
      <w:r>
        <w:rPr>
          <w:spacing w:val="-4"/>
          <w:sz w:val="22"/>
        </w:rPr>
        <w:t> </w:t>
      </w:r>
      <w:r>
        <w:rPr>
          <w:sz w:val="22"/>
        </w:rPr>
        <w:t>main</w:t>
      </w:r>
      <w:r>
        <w:rPr>
          <w:spacing w:val="-4"/>
          <w:sz w:val="22"/>
        </w:rPr>
        <w:t> </w:t>
      </w:r>
      <w:r>
        <w:rPr>
          <w:sz w:val="22"/>
        </w:rPr>
        <w:t>reasons</w:t>
      </w:r>
      <w:r>
        <w:rPr>
          <w:spacing w:val="-5"/>
          <w:sz w:val="22"/>
        </w:rPr>
        <w:t> </w:t>
      </w:r>
      <w:r>
        <w:rPr>
          <w:sz w:val="22"/>
        </w:rPr>
        <w:t>to</w:t>
      </w:r>
      <w:r>
        <w:rPr>
          <w:spacing w:val="-4"/>
          <w:sz w:val="22"/>
        </w:rPr>
        <w:t> </w:t>
      </w:r>
      <w:r>
        <w:rPr>
          <w:sz w:val="22"/>
        </w:rPr>
        <w:t>support</w:t>
      </w:r>
      <w:r>
        <w:rPr>
          <w:spacing w:val="-5"/>
          <w:sz w:val="22"/>
        </w:rPr>
        <w:t> </w:t>
      </w:r>
      <w:r>
        <w:rPr>
          <w:sz w:val="22"/>
        </w:rPr>
        <w:t>this</w:t>
      </w:r>
      <w:r>
        <w:rPr>
          <w:spacing w:val="-3"/>
          <w:sz w:val="22"/>
        </w:rPr>
        <w:t> </w:t>
      </w:r>
      <w:r>
        <w:rPr>
          <w:sz w:val="22"/>
        </w:rPr>
        <w:t>extension,</w:t>
      </w:r>
      <w:r>
        <w:rPr>
          <w:spacing w:val="-4"/>
          <w:sz w:val="22"/>
        </w:rPr>
        <w:t> </w:t>
      </w:r>
      <w:r>
        <w:rPr>
          <w:sz w:val="22"/>
        </w:rPr>
        <w:t>especially</w:t>
      </w:r>
      <w:r>
        <w:rPr>
          <w:spacing w:val="-6"/>
          <w:sz w:val="22"/>
        </w:rPr>
        <w:t> </w:t>
      </w:r>
      <w:r>
        <w:rPr>
          <w:sz w:val="22"/>
        </w:rPr>
        <w:t>in</w:t>
      </w:r>
      <w:r>
        <w:rPr>
          <w:spacing w:val="-4"/>
          <w:sz w:val="22"/>
        </w:rPr>
        <w:t> </w:t>
      </w:r>
      <w:r>
        <w:rPr>
          <w:sz w:val="22"/>
        </w:rPr>
        <w:t>the</w:t>
      </w:r>
      <w:r>
        <w:rPr>
          <w:spacing w:val="-3"/>
          <w:sz w:val="22"/>
        </w:rPr>
        <w:t> </w:t>
      </w:r>
      <w:r>
        <w:rPr>
          <w:sz w:val="22"/>
        </w:rPr>
        <w:t>short</w:t>
      </w:r>
      <w:r>
        <w:rPr>
          <w:spacing w:val="-5"/>
          <w:sz w:val="22"/>
        </w:rPr>
        <w:t> </w:t>
      </w:r>
      <w:r>
        <w:rPr>
          <w:sz w:val="22"/>
        </w:rPr>
        <w:t>term:</w:t>
      </w:r>
      <w:r>
        <w:rPr>
          <w:spacing w:val="-5"/>
          <w:sz w:val="22"/>
        </w:rPr>
        <w:t> </w:t>
      </w:r>
      <w:r>
        <w:rPr>
          <w:sz w:val="22"/>
        </w:rPr>
        <w:t>(a)</w:t>
      </w:r>
      <w:r>
        <w:rPr>
          <w:spacing w:val="-3"/>
          <w:sz w:val="22"/>
        </w:rPr>
        <w:t> </w:t>
      </w:r>
      <w:r>
        <w:rPr>
          <w:sz w:val="22"/>
        </w:rPr>
        <w:t>Puerto</w:t>
      </w:r>
      <w:r>
        <w:rPr>
          <w:spacing w:val="-4"/>
          <w:sz w:val="22"/>
        </w:rPr>
        <w:t> </w:t>
      </w:r>
      <w:r>
        <w:rPr>
          <w:sz w:val="22"/>
        </w:rPr>
        <w:t>Rico</w:t>
      </w:r>
      <w:r>
        <w:rPr>
          <w:spacing w:val="2"/>
          <w:sz w:val="22"/>
        </w:rPr>
        <w:t> </w:t>
      </w:r>
      <w:r>
        <w:rPr>
          <w:sz w:val="22"/>
        </w:rPr>
        <w:t>unique definition of the county, which result in a total of 78 counties within a very limited territory, results in beneficiaries in non-eligible counties getting care in eligible counties, and (b) the need to cover the full 78 counties as part of the hurricane Maria disaster relief</w:t>
      </w:r>
      <w:r>
        <w:rPr>
          <w:spacing w:val="-19"/>
          <w:sz w:val="22"/>
        </w:rPr>
        <w:t> </w:t>
      </w:r>
      <w:r>
        <w:rPr>
          <w:sz w:val="22"/>
        </w:rPr>
        <w:t>measures.</w:t>
      </w:r>
    </w:p>
    <w:p>
      <w:pPr>
        <w:pStyle w:val="BodyText"/>
        <w:spacing w:before="156"/>
        <w:ind w:left="232" w:right="106" w:firstLine="360"/>
        <w:jc w:val="both"/>
      </w:pPr>
      <w:r>
        <w:rPr/>
        <w:t>Medicare beneficiaries in Puerto Rico, the entire health care system, and the economy, need administrative action</w:t>
      </w:r>
      <w:r>
        <w:rPr>
          <w:spacing w:val="-13"/>
        </w:rPr>
        <w:t> </w:t>
      </w:r>
      <w:r>
        <w:rPr/>
        <w:t>by</w:t>
      </w:r>
      <w:r>
        <w:rPr>
          <w:spacing w:val="-16"/>
        </w:rPr>
        <w:t> </w:t>
      </w:r>
      <w:r>
        <w:rPr/>
        <w:t>HHS</w:t>
      </w:r>
      <w:r>
        <w:rPr>
          <w:spacing w:val="-13"/>
        </w:rPr>
        <w:t> </w:t>
      </w:r>
      <w:r>
        <w:rPr/>
        <w:t>and</w:t>
      </w:r>
      <w:r>
        <w:rPr>
          <w:spacing w:val="-13"/>
        </w:rPr>
        <w:t> </w:t>
      </w:r>
      <w:r>
        <w:rPr/>
        <w:t>CMS</w:t>
      </w:r>
      <w:r>
        <w:rPr>
          <w:spacing w:val="-13"/>
        </w:rPr>
        <w:t> </w:t>
      </w:r>
      <w:r>
        <w:rPr/>
        <w:t>for</w:t>
      </w:r>
      <w:r>
        <w:rPr>
          <w:spacing w:val="-15"/>
        </w:rPr>
        <w:t> </w:t>
      </w:r>
      <w:r>
        <w:rPr/>
        <w:t>2019</w:t>
      </w:r>
      <w:r>
        <w:rPr>
          <w:spacing w:val="-13"/>
        </w:rPr>
        <w:t> </w:t>
      </w:r>
      <w:r>
        <w:rPr/>
        <w:t>MA</w:t>
      </w:r>
      <w:r>
        <w:rPr>
          <w:spacing w:val="-16"/>
        </w:rPr>
        <w:t> </w:t>
      </w:r>
      <w:r>
        <w:rPr/>
        <w:t>rates.</w:t>
      </w:r>
      <w:r>
        <w:rPr>
          <w:spacing w:val="24"/>
        </w:rPr>
        <w:t> </w:t>
      </w:r>
      <w:r>
        <w:rPr/>
        <w:t>The</w:t>
      </w:r>
      <w:r>
        <w:rPr>
          <w:spacing w:val="-13"/>
        </w:rPr>
        <w:t> </w:t>
      </w:r>
      <w:r>
        <w:rPr/>
        <w:t>Secretary</w:t>
      </w:r>
      <w:r>
        <w:rPr>
          <w:spacing w:val="-16"/>
        </w:rPr>
        <w:t> </w:t>
      </w:r>
      <w:r>
        <w:rPr/>
        <w:t>has</w:t>
      </w:r>
      <w:r>
        <w:rPr>
          <w:spacing w:val="-15"/>
        </w:rPr>
        <w:t> </w:t>
      </w:r>
      <w:r>
        <w:rPr/>
        <w:t>taken</w:t>
      </w:r>
      <w:r>
        <w:rPr>
          <w:spacing w:val="-13"/>
        </w:rPr>
        <w:t> </w:t>
      </w:r>
      <w:r>
        <w:rPr/>
        <w:t>action</w:t>
      </w:r>
      <w:r>
        <w:rPr>
          <w:spacing w:val="-13"/>
        </w:rPr>
        <w:t> </w:t>
      </w:r>
      <w:r>
        <w:rPr/>
        <w:t>in</w:t>
      </w:r>
      <w:r>
        <w:rPr>
          <w:spacing w:val="-13"/>
        </w:rPr>
        <w:t> </w:t>
      </w:r>
      <w:r>
        <w:rPr/>
        <w:t>the</w:t>
      </w:r>
      <w:r>
        <w:rPr>
          <w:spacing w:val="-13"/>
        </w:rPr>
        <w:t> </w:t>
      </w:r>
      <w:r>
        <w:rPr/>
        <w:t>past</w:t>
      </w:r>
      <w:r>
        <w:rPr>
          <w:spacing w:val="-15"/>
        </w:rPr>
        <w:t> </w:t>
      </w:r>
      <w:r>
        <w:rPr/>
        <w:t>to</w:t>
      </w:r>
      <w:r>
        <w:rPr>
          <w:spacing w:val="-13"/>
        </w:rPr>
        <w:t> </w:t>
      </w:r>
      <w:r>
        <w:rPr/>
        <w:t>guide</w:t>
      </w:r>
      <w:r>
        <w:rPr>
          <w:spacing w:val="-15"/>
        </w:rPr>
        <w:t> </w:t>
      </w:r>
      <w:r>
        <w:rPr/>
        <w:t>policy</w:t>
      </w:r>
      <w:r>
        <w:rPr>
          <w:spacing w:val="-15"/>
        </w:rPr>
        <w:t> </w:t>
      </w:r>
      <w:r>
        <w:rPr/>
        <w:t>adjustments such as the zero-claims adjustment, while CMS has used national geographic adjustments like the 1.0 GPCI as proxy to create consistency in Medicare payment policy with the USVI (Part B). The issues, the questions, and, moreover, the policy solutions we are requesting will not be unprecedented as legitimate administrative action. However,</w:t>
      </w:r>
      <w:r>
        <w:rPr>
          <w:spacing w:val="-9"/>
        </w:rPr>
        <w:t> </w:t>
      </w:r>
      <w:r>
        <w:rPr/>
        <w:t>in</w:t>
      </w:r>
      <w:r>
        <w:rPr>
          <w:spacing w:val="-10"/>
        </w:rPr>
        <w:t> </w:t>
      </w:r>
      <w:r>
        <w:rPr/>
        <w:t>no</w:t>
      </w:r>
      <w:r>
        <w:rPr>
          <w:spacing w:val="-10"/>
        </w:rPr>
        <w:t> </w:t>
      </w:r>
      <w:r>
        <w:rPr/>
        <w:t>affirmative</w:t>
      </w:r>
      <w:r>
        <w:rPr>
          <w:spacing w:val="-9"/>
        </w:rPr>
        <w:t> </w:t>
      </w:r>
      <w:r>
        <w:rPr/>
        <w:t>action</w:t>
      </w:r>
      <w:r>
        <w:rPr>
          <w:spacing w:val="-12"/>
        </w:rPr>
        <w:t> </w:t>
      </w:r>
      <w:r>
        <w:rPr/>
        <w:t>is</w:t>
      </w:r>
      <w:r>
        <w:rPr>
          <w:spacing w:val="-9"/>
        </w:rPr>
        <w:t> </w:t>
      </w:r>
      <w:r>
        <w:rPr/>
        <w:t>taken</w:t>
      </w:r>
      <w:r>
        <w:rPr>
          <w:spacing w:val="-7"/>
        </w:rPr>
        <w:t> </w:t>
      </w:r>
      <w:r>
        <w:rPr/>
        <w:t>Puerto</w:t>
      </w:r>
      <w:r>
        <w:rPr>
          <w:spacing w:val="-10"/>
        </w:rPr>
        <w:t> </w:t>
      </w:r>
      <w:r>
        <w:rPr/>
        <w:t>Rico’s</w:t>
      </w:r>
      <w:r>
        <w:rPr>
          <w:spacing w:val="-9"/>
        </w:rPr>
        <w:t> </w:t>
      </w:r>
      <w:r>
        <w:rPr/>
        <w:t>78</w:t>
      </w:r>
      <w:r>
        <w:rPr>
          <w:spacing w:val="-9"/>
        </w:rPr>
        <w:t> </w:t>
      </w:r>
      <w:r>
        <w:rPr/>
        <w:t>counties</w:t>
      </w:r>
      <w:r>
        <w:rPr>
          <w:spacing w:val="-8"/>
        </w:rPr>
        <w:t> </w:t>
      </w:r>
      <w:r>
        <w:rPr/>
        <w:t>benchmark</w:t>
      </w:r>
      <w:r>
        <w:rPr>
          <w:spacing w:val="-11"/>
        </w:rPr>
        <w:t> </w:t>
      </w:r>
      <w:r>
        <w:rPr/>
        <w:t>continue</w:t>
      </w:r>
      <w:r>
        <w:rPr>
          <w:spacing w:val="-9"/>
        </w:rPr>
        <w:t> </w:t>
      </w:r>
      <w:r>
        <w:rPr/>
        <w:t>to</w:t>
      </w:r>
      <w:r>
        <w:rPr>
          <w:spacing w:val="-10"/>
        </w:rPr>
        <w:t> </w:t>
      </w:r>
      <w:r>
        <w:rPr/>
        <w:t>be</w:t>
      </w:r>
      <w:r>
        <w:rPr>
          <w:spacing w:val="-9"/>
        </w:rPr>
        <w:t> </w:t>
      </w:r>
      <w:r>
        <w:rPr/>
        <w:t>an</w:t>
      </w:r>
      <w:r>
        <w:rPr>
          <w:spacing w:val="-8"/>
        </w:rPr>
        <w:t> </w:t>
      </w:r>
      <w:r>
        <w:rPr/>
        <w:t>abysmal</w:t>
      </w:r>
      <w:r>
        <w:rPr>
          <w:spacing w:val="-8"/>
        </w:rPr>
        <w:t> </w:t>
      </w:r>
      <w:r>
        <w:rPr/>
        <w:t>outlier compared to the payment rate for all other jurisdictions, while disaster related needs are mounting. There is no doubt</w:t>
      </w:r>
      <w:r>
        <w:rPr>
          <w:spacing w:val="-5"/>
        </w:rPr>
        <w:t> </w:t>
      </w:r>
      <w:r>
        <w:rPr/>
        <w:t>that</w:t>
      </w:r>
      <w:r>
        <w:rPr>
          <w:spacing w:val="-3"/>
        </w:rPr>
        <w:t> </w:t>
      </w:r>
      <w:r>
        <w:rPr/>
        <w:t>a</w:t>
      </w:r>
      <w:r>
        <w:rPr>
          <w:spacing w:val="-3"/>
        </w:rPr>
        <w:t> </w:t>
      </w:r>
      <w:r>
        <w:rPr/>
        <w:t>meaningful</w:t>
      </w:r>
      <w:r>
        <w:rPr>
          <w:spacing w:val="-3"/>
        </w:rPr>
        <w:t> </w:t>
      </w:r>
      <w:r>
        <w:rPr/>
        <w:t>step</w:t>
      </w:r>
      <w:r>
        <w:rPr>
          <w:spacing w:val="-4"/>
        </w:rPr>
        <w:t> </w:t>
      </w:r>
      <w:r>
        <w:rPr/>
        <w:t>in</w:t>
      </w:r>
      <w:r>
        <w:rPr>
          <w:spacing w:val="-6"/>
        </w:rPr>
        <w:t> </w:t>
      </w:r>
      <w:r>
        <w:rPr/>
        <w:t>MA</w:t>
      </w:r>
      <w:r>
        <w:rPr>
          <w:spacing w:val="-4"/>
        </w:rPr>
        <w:t> </w:t>
      </w:r>
      <w:r>
        <w:rPr/>
        <w:t>rates</w:t>
      </w:r>
      <w:r>
        <w:rPr>
          <w:spacing w:val="-3"/>
        </w:rPr>
        <w:t> </w:t>
      </w:r>
      <w:r>
        <w:rPr/>
        <w:t>will</w:t>
      </w:r>
      <w:r>
        <w:rPr>
          <w:spacing w:val="-3"/>
        </w:rPr>
        <w:t> </w:t>
      </w:r>
      <w:r>
        <w:rPr/>
        <w:t>define</w:t>
      </w:r>
      <w:r>
        <w:rPr>
          <w:spacing w:val="-6"/>
        </w:rPr>
        <w:t> </w:t>
      </w:r>
      <w:r>
        <w:rPr/>
        <w:t>the</w:t>
      </w:r>
      <w:r>
        <w:rPr>
          <w:spacing w:val="-3"/>
        </w:rPr>
        <w:t> </w:t>
      </w:r>
      <w:r>
        <w:rPr/>
        <w:t>new</w:t>
      </w:r>
      <w:r>
        <w:rPr>
          <w:spacing w:val="-4"/>
        </w:rPr>
        <w:t> </w:t>
      </w:r>
      <w:r>
        <w:rPr/>
        <w:t>path</w:t>
      </w:r>
      <w:r>
        <w:rPr>
          <w:spacing w:val="-6"/>
        </w:rPr>
        <w:t> </w:t>
      </w:r>
      <w:r>
        <w:rPr/>
        <w:t>for</w:t>
      </w:r>
      <w:r>
        <w:rPr>
          <w:spacing w:val="-5"/>
        </w:rPr>
        <w:t> </w:t>
      </w:r>
      <w:r>
        <w:rPr/>
        <w:t>recovery</w:t>
      </w:r>
      <w:r>
        <w:rPr>
          <w:spacing w:val="-6"/>
        </w:rPr>
        <w:t> </w:t>
      </w:r>
      <w:r>
        <w:rPr/>
        <w:t>and</w:t>
      </w:r>
      <w:r>
        <w:rPr>
          <w:spacing w:val="-6"/>
        </w:rPr>
        <w:t> </w:t>
      </w:r>
      <w:r>
        <w:rPr/>
        <w:t>development</w:t>
      </w:r>
      <w:r>
        <w:rPr>
          <w:spacing w:val="-3"/>
        </w:rPr>
        <w:t> </w:t>
      </w:r>
      <w:r>
        <w:rPr/>
        <w:t>of</w:t>
      </w:r>
      <w:r>
        <w:rPr>
          <w:spacing w:val="-5"/>
        </w:rPr>
        <w:t> </w:t>
      </w:r>
      <w:r>
        <w:rPr/>
        <w:t>cost-effective high-quality care. We urge the Secretary and CMS to take action now and break the spiral to the bottom that the ACA fueled to the detriment of providers, beneficiaries, and US citizens of Puerto</w:t>
      </w:r>
      <w:r>
        <w:rPr>
          <w:spacing w:val="-28"/>
        </w:rPr>
        <w:t> </w:t>
      </w:r>
      <w:r>
        <w:rPr/>
        <w:t>Rico.</w:t>
      </w:r>
    </w:p>
    <w:p>
      <w:pPr>
        <w:pStyle w:val="BodyText"/>
        <w:spacing w:before="3"/>
        <w:rPr>
          <w:sz w:val="20"/>
        </w:rPr>
      </w:pPr>
      <w:r>
        <w:rPr/>
        <w:drawing>
          <wp:anchor distT="0" distB="0" distL="0" distR="0" allowOverlap="1" layoutInCell="1" locked="0" behindDoc="0" simplePos="0" relativeHeight="1168">
            <wp:simplePos x="0" y="0"/>
            <wp:positionH relativeFrom="page">
              <wp:posOffset>651509</wp:posOffset>
            </wp:positionH>
            <wp:positionV relativeFrom="paragraph">
              <wp:posOffset>173230</wp:posOffset>
            </wp:positionV>
            <wp:extent cx="6010663" cy="366702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6010663" cy="3667029"/>
                    </a:xfrm>
                    <a:prstGeom prst="rect">
                      <a:avLst/>
                    </a:prstGeom>
                  </pic:spPr>
                </pic:pic>
              </a:graphicData>
            </a:graphic>
          </wp:anchor>
        </w:drawing>
      </w:r>
    </w:p>
    <w:p>
      <w:pPr>
        <w:spacing w:after="0"/>
        <w:rPr>
          <w:sz w:val="20"/>
        </w:rPr>
        <w:sectPr>
          <w:pgSz w:w="12240" w:h="15840"/>
          <w:pgMar w:header="0" w:footer="1015" w:top="1380" w:bottom="1200" w:left="920" w:right="1040"/>
        </w:sectPr>
      </w:pPr>
    </w:p>
    <w:p>
      <w:pPr>
        <w:pStyle w:val="BodyText"/>
        <w:spacing w:before="79"/>
        <w:ind w:left="512"/>
      </w:pPr>
      <w:r>
        <w:rPr/>
        <w:t>Sincerely,</w:t>
      </w:r>
    </w:p>
    <w:p>
      <w:pPr>
        <w:pStyle w:val="BodyText"/>
        <w:spacing w:before="6"/>
        <w:rPr>
          <w:sz w:val="19"/>
        </w:rPr>
      </w:pPr>
      <w:r>
        <w:rPr/>
        <w:drawing>
          <wp:anchor distT="0" distB="0" distL="0" distR="0" allowOverlap="1" layoutInCell="1" locked="0" behindDoc="0" simplePos="0" relativeHeight="1192">
            <wp:simplePos x="0" y="0"/>
            <wp:positionH relativeFrom="page">
              <wp:posOffset>731519</wp:posOffset>
            </wp:positionH>
            <wp:positionV relativeFrom="paragraph">
              <wp:posOffset>208282</wp:posOffset>
            </wp:positionV>
            <wp:extent cx="1622485" cy="654176"/>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1622485" cy="654176"/>
                    </a:xfrm>
                    <a:prstGeom prst="rect">
                      <a:avLst/>
                    </a:prstGeom>
                  </pic:spPr>
                </pic:pic>
              </a:graphicData>
            </a:graphic>
          </wp:anchor>
        </w:drawing>
      </w:r>
      <w:r>
        <w:rPr/>
        <w:drawing>
          <wp:anchor distT="0" distB="0" distL="0" distR="0" allowOverlap="1" layoutInCell="1" locked="0" behindDoc="0" simplePos="0" relativeHeight="1216">
            <wp:simplePos x="0" y="0"/>
            <wp:positionH relativeFrom="page">
              <wp:posOffset>4244340</wp:posOffset>
            </wp:positionH>
            <wp:positionV relativeFrom="paragraph">
              <wp:posOffset>167642</wp:posOffset>
            </wp:positionV>
            <wp:extent cx="1877615" cy="814387"/>
            <wp:effectExtent l="0" t="0" r="0" b="0"/>
            <wp:wrapTopAndBottom/>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1877615" cy="814387"/>
                    </a:xfrm>
                    <a:prstGeom prst="rect">
                      <a:avLst/>
                    </a:prstGeom>
                  </pic:spPr>
                </pic:pic>
              </a:graphicData>
            </a:graphic>
          </wp:anchor>
        </w:drawing>
      </w:r>
    </w:p>
    <w:p>
      <w:pPr>
        <w:pStyle w:val="BodyText"/>
        <w:tabs>
          <w:tab w:pos="6273" w:val="left" w:leader="none"/>
        </w:tabs>
        <w:spacing w:line="194" w:lineRule="exact"/>
        <w:ind w:left="504"/>
      </w:pPr>
      <w:r>
        <w:rPr/>
        <w:t>Richard Shinto,</w:t>
      </w:r>
      <w:r>
        <w:rPr>
          <w:spacing w:val="-1"/>
        </w:rPr>
        <w:t> </w:t>
      </w:r>
      <w:r>
        <w:rPr/>
        <w:t>MD</w:t>
        <w:tab/>
        <w:t>James P.</w:t>
      </w:r>
      <w:r>
        <w:rPr>
          <w:spacing w:val="-7"/>
        </w:rPr>
        <w:t> </w:t>
      </w:r>
      <w:r>
        <w:rPr/>
        <w:t>O’Drobinak,</w:t>
      </w:r>
    </w:p>
    <w:p>
      <w:pPr>
        <w:pStyle w:val="BodyText"/>
        <w:tabs>
          <w:tab w:pos="6273" w:val="left" w:leader="none"/>
        </w:tabs>
        <w:spacing w:line="252" w:lineRule="exact"/>
        <w:ind w:left="504"/>
      </w:pPr>
      <w:r>
        <w:rPr/>
        <w:t>MMAPA President and</w:t>
      </w:r>
      <w:r>
        <w:rPr>
          <w:spacing w:val="-4"/>
        </w:rPr>
        <w:t> </w:t>
      </w:r>
      <w:r>
        <w:rPr/>
        <w:t>Board</w:t>
      </w:r>
      <w:r>
        <w:rPr>
          <w:spacing w:val="-4"/>
        </w:rPr>
        <w:t> </w:t>
      </w:r>
      <w:r>
        <w:rPr/>
        <w:t>Member</w:t>
        <w:tab/>
        <w:t>MMAPA Past President &amp; Board</w:t>
      </w:r>
      <w:r>
        <w:rPr>
          <w:spacing w:val="-9"/>
        </w:rPr>
        <w:t> </w:t>
      </w:r>
      <w:r>
        <w:rPr/>
        <w:t>Member</w:t>
      </w:r>
    </w:p>
    <w:p>
      <w:pPr>
        <w:pStyle w:val="BodyText"/>
        <w:tabs>
          <w:tab w:pos="6273" w:val="left" w:leader="none"/>
        </w:tabs>
        <w:spacing w:before="1"/>
        <w:ind w:left="504"/>
      </w:pPr>
      <w:r>
        <w:rPr/>
        <w:drawing>
          <wp:anchor distT="0" distB="0" distL="0" distR="0" allowOverlap="1" layoutInCell="1" locked="0" behindDoc="1" simplePos="0" relativeHeight="268413671">
            <wp:simplePos x="0" y="0"/>
            <wp:positionH relativeFrom="page">
              <wp:posOffset>632459</wp:posOffset>
            </wp:positionH>
            <wp:positionV relativeFrom="paragraph">
              <wp:posOffset>341751</wp:posOffset>
            </wp:positionV>
            <wp:extent cx="1141967" cy="733403"/>
            <wp:effectExtent l="0" t="0" r="0" b="0"/>
            <wp:wrapNone/>
            <wp:docPr id="9" name="image5.png" descr=""/>
            <wp:cNvGraphicFramePr>
              <a:graphicFrameLocks noChangeAspect="1"/>
            </wp:cNvGraphicFramePr>
            <a:graphic>
              <a:graphicData uri="http://schemas.openxmlformats.org/drawingml/2006/picture">
                <pic:pic>
                  <pic:nvPicPr>
                    <pic:cNvPr id="10" name="image5.png"/>
                    <pic:cNvPicPr/>
                  </pic:nvPicPr>
                  <pic:blipFill>
                    <a:blip r:embed="rId11" cstate="print"/>
                    <a:stretch>
                      <a:fillRect/>
                    </a:stretch>
                  </pic:blipFill>
                  <pic:spPr>
                    <a:xfrm>
                      <a:off x="0" y="0"/>
                      <a:ext cx="1141967" cy="733403"/>
                    </a:xfrm>
                    <a:prstGeom prst="rect">
                      <a:avLst/>
                    </a:prstGeom>
                  </pic:spPr>
                </pic:pic>
              </a:graphicData>
            </a:graphic>
          </wp:anchor>
        </w:drawing>
      </w:r>
      <w:r>
        <w:rPr/>
        <w:t>CEO of MMM</w:t>
      </w:r>
      <w:r>
        <w:rPr>
          <w:spacing w:val="-3"/>
        </w:rPr>
        <w:t> </w:t>
      </w:r>
      <w:r>
        <w:rPr/>
        <w:t>Holdings,</w:t>
      </w:r>
      <w:r>
        <w:rPr>
          <w:spacing w:val="-1"/>
        </w:rPr>
        <w:t> </w:t>
      </w:r>
      <w:r>
        <w:rPr/>
        <w:t>Inc.</w:t>
        <w:tab/>
        <w:t>CEO of Medical Card System,</w:t>
      </w:r>
      <w:r>
        <w:rPr>
          <w:spacing w:val="-8"/>
        </w:rPr>
        <w:t> </w:t>
      </w:r>
      <w:r>
        <w:rPr/>
        <w:t>Inc.</w:t>
      </w:r>
    </w:p>
    <w:p>
      <w:pPr>
        <w:pStyle w:val="BodyText"/>
        <w:spacing w:before="7"/>
        <w:rPr>
          <w:sz w:val="18"/>
        </w:rPr>
      </w:pPr>
      <w:r>
        <w:rPr/>
        <w:drawing>
          <wp:anchor distT="0" distB="0" distL="0" distR="0" allowOverlap="1" layoutInCell="1" locked="0" behindDoc="0" simplePos="0" relativeHeight="1240">
            <wp:simplePos x="0" y="0"/>
            <wp:positionH relativeFrom="page">
              <wp:posOffset>4259579</wp:posOffset>
            </wp:positionH>
            <wp:positionV relativeFrom="paragraph">
              <wp:posOffset>161157</wp:posOffset>
            </wp:positionV>
            <wp:extent cx="2532932" cy="496061"/>
            <wp:effectExtent l="0" t="0" r="0" b="0"/>
            <wp:wrapTopAndBottom/>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2" cstate="print"/>
                    <a:stretch>
                      <a:fillRect/>
                    </a:stretch>
                  </pic:blipFill>
                  <pic:spPr>
                    <a:xfrm>
                      <a:off x="0" y="0"/>
                      <a:ext cx="2532932" cy="496061"/>
                    </a:xfrm>
                    <a:prstGeom prst="rect">
                      <a:avLst/>
                    </a:prstGeom>
                  </pic:spPr>
                </pic:pic>
              </a:graphicData>
            </a:graphic>
          </wp:anchor>
        </w:drawing>
      </w:r>
    </w:p>
    <w:p>
      <w:pPr>
        <w:pStyle w:val="BodyText"/>
        <w:tabs>
          <w:tab w:pos="6273" w:val="left" w:leader="none"/>
        </w:tabs>
        <w:spacing w:line="200" w:lineRule="exact"/>
        <w:ind w:left="512"/>
      </w:pPr>
      <w:r>
        <w:rPr/>
        <w:t>Roberto</w:t>
      </w:r>
      <w:r>
        <w:rPr>
          <w:spacing w:val="-1"/>
        </w:rPr>
        <w:t> </w:t>
      </w:r>
      <w:r>
        <w:rPr/>
        <w:t>Garcia</w:t>
        <w:tab/>
        <w:t>Luis Torres</w:t>
      </w:r>
      <w:r>
        <w:rPr>
          <w:spacing w:val="-7"/>
        </w:rPr>
        <w:t> </w:t>
      </w:r>
      <w:r>
        <w:rPr/>
        <w:t>Olivera</w:t>
      </w:r>
    </w:p>
    <w:p>
      <w:pPr>
        <w:pStyle w:val="BodyText"/>
        <w:tabs>
          <w:tab w:pos="6273" w:val="left" w:leader="none"/>
        </w:tabs>
        <w:spacing w:line="252" w:lineRule="exact"/>
        <w:ind w:left="512"/>
      </w:pPr>
      <w:r>
        <w:rPr/>
        <w:t>MMAPA Past President &amp;</w:t>
      </w:r>
      <w:r>
        <w:rPr>
          <w:spacing w:val="-4"/>
        </w:rPr>
        <w:t> </w:t>
      </w:r>
      <w:r>
        <w:rPr/>
        <w:t>Board</w:t>
      </w:r>
      <w:r>
        <w:rPr>
          <w:spacing w:val="-4"/>
        </w:rPr>
        <w:t> </w:t>
      </w:r>
      <w:r>
        <w:rPr/>
        <w:t>Member</w:t>
        <w:tab/>
        <w:t>MMAPA Board</w:t>
      </w:r>
      <w:r>
        <w:rPr>
          <w:spacing w:val="-6"/>
        </w:rPr>
        <w:t> </w:t>
      </w:r>
      <w:r>
        <w:rPr/>
        <w:t>Member</w:t>
      </w:r>
    </w:p>
    <w:p>
      <w:pPr>
        <w:pStyle w:val="BodyText"/>
        <w:tabs>
          <w:tab w:pos="6273" w:val="left" w:leader="none"/>
        </w:tabs>
        <w:spacing w:before="1"/>
        <w:ind w:left="512"/>
      </w:pPr>
      <w:r>
        <w:rPr/>
        <w:drawing>
          <wp:anchor distT="0" distB="0" distL="0" distR="0" allowOverlap="1" layoutInCell="1" locked="0" behindDoc="1" simplePos="0" relativeHeight="268413695">
            <wp:simplePos x="0" y="0"/>
            <wp:positionH relativeFrom="page">
              <wp:posOffset>4356734</wp:posOffset>
            </wp:positionH>
            <wp:positionV relativeFrom="paragraph">
              <wp:posOffset>322701</wp:posOffset>
            </wp:positionV>
            <wp:extent cx="1638300" cy="552450"/>
            <wp:effectExtent l="0" t="0" r="0" b="0"/>
            <wp:wrapNone/>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3" cstate="print"/>
                    <a:stretch>
                      <a:fillRect/>
                    </a:stretch>
                  </pic:blipFill>
                  <pic:spPr>
                    <a:xfrm>
                      <a:off x="0" y="0"/>
                      <a:ext cx="1638300" cy="552450"/>
                    </a:xfrm>
                    <a:prstGeom prst="rect">
                      <a:avLst/>
                    </a:prstGeom>
                  </pic:spPr>
                </pic:pic>
              </a:graphicData>
            </a:graphic>
          </wp:anchor>
        </w:drawing>
      </w:r>
      <w:r>
        <w:rPr/>
        <w:t>President &amp; CEO Triple-S</w:t>
      </w:r>
      <w:r>
        <w:rPr>
          <w:spacing w:val="-6"/>
        </w:rPr>
        <w:t> </w:t>
      </w:r>
      <w:r>
        <w:rPr/>
        <w:t>Management Corp.</w:t>
        <w:tab/>
        <w:t>Market President of</w:t>
      </w:r>
      <w:r>
        <w:rPr>
          <w:spacing w:val="-9"/>
        </w:rPr>
        <w:t> </w:t>
      </w:r>
      <w:r>
        <w:rPr/>
        <w:t>Humana</w:t>
      </w:r>
    </w:p>
    <w:p>
      <w:pPr>
        <w:pStyle w:val="BodyText"/>
        <w:spacing w:before="5"/>
        <w:rPr>
          <w:sz w:val="29"/>
        </w:rPr>
      </w:pPr>
      <w:r>
        <w:rPr/>
        <w:drawing>
          <wp:anchor distT="0" distB="0" distL="0" distR="0" allowOverlap="1" layoutInCell="1" locked="0" behindDoc="0" simplePos="0" relativeHeight="1264">
            <wp:simplePos x="0" y="0"/>
            <wp:positionH relativeFrom="page">
              <wp:posOffset>480059</wp:posOffset>
            </wp:positionH>
            <wp:positionV relativeFrom="paragraph">
              <wp:posOffset>239858</wp:posOffset>
            </wp:positionV>
            <wp:extent cx="1614479" cy="410718"/>
            <wp:effectExtent l="0" t="0" r="0" b="0"/>
            <wp:wrapTopAndBottom/>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4" cstate="print"/>
                    <a:stretch>
                      <a:fillRect/>
                    </a:stretch>
                  </pic:blipFill>
                  <pic:spPr>
                    <a:xfrm>
                      <a:off x="0" y="0"/>
                      <a:ext cx="1614479" cy="410718"/>
                    </a:xfrm>
                    <a:prstGeom prst="rect">
                      <a:avLst/>
                    </a:prstGeom>
                  </pic:spPr>
                </pic:pic>
              </a:graphicData>
            </a:graphic>
          </wp:anchor>
        </w:drawing>
      </w:r>
    </w:p>
    <w:p>
      <w:pPr>
        <w:pStyle w:val="BodyText"/>
        <w:tabs>
          <w:tab w:pos="6273" w:val="left" w:leader="none"/>
        </w:tabs>
        <w:spacing w:line="209" w:lineRule="exact"/>
        <w:ind w:left="512"/>
      </w:pPr>
      <w:r>
        <w:rPr/>
        <w:t>Carlos</w:t>
      </w:r>
      <w:r>
        <w:rPr>
          <w:spacing w:val="-1"/>
        </w:rPr>
        <w:t> </w:t>
      </w:r>
      <w:r>
        <w:rPr/>
        <w:t>A.</w:t>
      </w:r>
      <w:r>
        <w:rPr>
          <w:spacing w:val="-1"/>
        </w:rPr>
        <w:t> </w:t>
      </w:r>
      <w:r>
        <w:rPr/>
        <w:t>Carrero</w:t>
        <w:tab/>
        <w:t>Juan</w:t>
      </w:r>
      <w:r>
        <w:rPr>
          <w:spacing w:val="-4"/>
        </w:rPr>
        <w:t> </w:t>
      </w:r>
      <w:r>
        <w:rPr/>
        <w:t>Domínguez</w:t>
      </w:r>
    </w:p>
    <w:p>
      <w:pPr>
        <w:pStyle w:val="BodyText"/>
        <w:tabs>
          <w:tab w:pos="6273" w:val="left" w:leader="none"/>
        </w:tabs>
        <w:spacing w:line="252" w:lineRule="exact"/>
        <w:ind w:left="512"/>
      </w:pPr>
      <w:r>
        <w:rPr/>
        <w:t>MMAPA</w:t>
      </w:r>
      <w:r>
        <w:rPr>
          <w:spacing w:val="-3"/>
        </w:rPr>
        <w:t> </w:t>
      </w:r>
      <w:r>
        <w:rPr/>
        <w:t>Board</w:t>
      </w:r>
      <w:r>
        <w:rPr>
          <w:spacing w:val="-1"/>
        </w:rPr>
        <w:t> </w:t>
      </w:r>
      <w:r>
        <w:rPr/>
        <w:t>Member</w:t>
        <w:tab/>
        <w:t>MMAPA Board</w:t>
      </w:r>
      <w:r>
        <w:rPr>
          <w:spacing w:val="-6"/>
        </w:rPr>
        <w:t> </w:t>
      </w:r>
      <w:r>
        <w:rPr/>
        <w:t>Member</w:t>
      </w:r>
    </w:p>
    <w:p>
      <w:pPr>
        <w:pStyle w:val="BodyText"/>
        <w:tabs>
          <w:tab w:pos="6273" w:val="left" w:leader="none"/>
        </w:tabs>
        <w:spacing w:line="252" w:lineRule="exact"/>
        <w:ind w:left="512"/>
      </w:pPr>
      <w:r>
        <w:rPr/>
        <w:t>President Molina Healthcare of</w:t>
      </w:r>
      <w:r>
        <w:rPr>
          <w:spacing w:val="-5"/>
        </w:rPr>
        <w:t> </w:t>
      </w:r>
      <w:r>
        <w:rPr/>
        <w:t>PR,</w:t>
      </w:r>
      <w:r>
        <w:rPr>
          <w:spacing w:val="-2"/>
        </w:rPr>
        <w:t> </w:t>
      </w:r>
      <w:r>
        <w:rPr/>
        <w:t>Inc.</w:t>
        <w:tab/>
        <w:t>First Medical Health Plan,</w:t>
      </w:r>
      <w:r>
        <w:rPr>
          <w:spacing w:val="-8"/>
        </w:rPr>
        <w:t> </w:t>
      </w:r>
      <w:r>
        <w:rPr/>
        <w:t>Inc.</w:t>
      </w:r>
    </w:p>
    <w:p>
      <w:pPr>
        <w:spacing w:after="0" w:line="252" w:lineRule="exact"/>
        <w:sectPr>
          <w:pgSz w:w="12240" w:h="15840"/>
          <w:pgMar w:header="0" w:footer="1015" w:top="1360" w:bottom="1200" w:left="640" w:right="1480"/>
        </w:sectPr>
      </w:pPr>
    </w:p>
    <w:p>
      <w:pPr>
        <w:pStyle w:val="Heading1"/>
        <w:ind w:left="132"/>
      </w:pPr>
      <w:r>
        <w:rPr>
          <w:u w:val="thick"/>
        </w:rPr>
        <w:t>Addendum</w:t>
      </w:r>
    </w:p>
    <w:p>
      <w:pPr>
        <w:pStyle w:val="BodyText"/>
        <w:spacing w:before="10"/>
        <w:rPr>
          <w:b/>
          <w:sz w:val="19"/>
        </w:rPr>
      </w:pPr>
      <w:r>
        <w:rPr/>
        <w:pict>
          <v:shape style="position:absolute;margin-left:56.16pt;margin-top:12.662041pt;width:499.8pt;height:13.8pt;mso-position-horizontal-relative:page;mso-position-vertical-relative:paragraph;z-index:1336;mso-wrap-distance-left:0;mso-wrap-distance-right:0" type="#_x0000_t202" filled="true" fillcolor="#d9d9d9" stroked="false">
            <v:textbox inset="0,0,0,0">
              <w:txbxContent>
                <w:p>
                  <w:pPr>
                    <w:spacing w:line="275" w:lineRule="exact" w:before="0"/>
                    <w:ind w:left="28" w:right="0" w:firstLine="0"/>
                    <w:jc w:val="left"/>
                    <w:rPr>
                      <w:b/>
                      <w:sz w:val="24"/>
                    </w:rPr>
                  </w:pPr>
                  <w:r>
                    <w:rPr>
                      <w:b/>
                      <w:sz w:val="24"/>
                      <w:u w:val="thick"/>
                    </w:rPr>
                    <w:t>Section 1 </w:t>
                  </w:r>
                  <w:r>
                    <w:rPr>
                      <w:b/>
                      <w:sz w:val="24"/>
                    </w:rPr>
                    <w:t>- Why are the current MA rates in Puerto Rico wrong?</w:t>
                  </w:r>
                </w:p>
              </w:txbxContent>
            </v:textbox>
            <v:fill type="solid"/>
            <w10:wrap type="topAndBottom"/>
          </v:shape>
        </w:pict>
      </w:r>
    </w:p>
    <w:p>
      <w:pPr>
        <w:pStyle w:val="BodyText"/>
        <w:spacing w:before="6"/>
        <w:rPr>
          <w:b/>
          <w:sz w:val="12"/>
        </w:rPr>
      </w:pPr>
    </w:p>
    <w:p>
      <w:pPr>
        <w:pStyle w:val="BodyText"/>
        <w:spacing w:before="91"/>
        <w:ind w:left="132" w:right="127" w:firstLine="360"/>
        <w:jc w:val="both"/>
        <w:rPr>
          <w:sz w:val="14"/>
        </w:rPr>
      </w:pPr>
      <w:r>
        <w:rPr/>
        <w:t>The</w:t>
      </w:r>
      <w:r>
        <w:rPr>
          <w:spacing w:val="-4"/>
        </w:rPr>
        <w:t> </w:t>
      </w:r>
      <w:r>
        <w:rPr/>
        <w:t>Affordable</w:t>
      </w:r>
      <w:r>
        <w:rPr>
          <w:spacing w:val="-2"/>
        </w:rPr>
        <w:t> </w:t>
      </w:r>
      <w:r>
        <w:rPr/>
        <w:t>Care</w:t>
      </w:r>
      <w:r>
        <w:rPr>
          <w:spacing w:val="-4"/>
        </w:rPr>
        <w:t> </w:t>
      </w:r>
      <w:r>
        <w:rPr/>
        <w:t>Act</w:t>
      </w:r>
      <w:r>
        <w:rPr>
          <w:spacing w:val="-3"/>
        </w:rPr>
        <w:t> </w:t>
      </w:r>
      <w:r>
        <w:rPr/>
        <w:t>(ACA)</w:t>
      </w:r>
      <w:r>
        <w:rPr>
          <w:spacing w:val="-2"/>
        </w:rPr>
        <w:t> </w:t>
      </w:r>
      <w:r>
        <w:rPr/>
        <w:t>derailed</w:t>
      </w:r>
      <w:r>
        <w:rPr>
          <w:spacing w:val="-4"/>
        </w:rPr>
        <w:t> </w:t>
      </w:r>
      <w:r>
        <w:rPr/>
        <w:t>the</w:t>
      </w:r>
      <w:r>
        <w:rPr>
          <w:spacing w:val="-4"/>
        </w:rPr>
        <w:t> </w:t>
      </w:r>
      <w:r>
        <w:rPr/>
        <w:t>Medicare</w:t>
      </w:r>
      <w:r>
        <w:rPr>
          <w:spacing w:val="-2"/>
        </w:rPr>
        <w:t> </w:t>
      </w:r>
      <w:r>
        <w:rPr/>
        <w:t>Advantage</w:t>
      </w:r>
      <w:r>
        <w:rPr>
          <w:spacing w:val="-2"/>
        </w:rPr>
        <w:t> </w:t>
      </w:r>
      <w:r>
        <w:rPr/>
        <w:t>program</w:t>
      </w:r>
      <w:r>
        <w:rPr>
          <w:spacing w:val="-6"/>
        </w:rPr>
        <w:t> </w:t>
      </w:r>
      <w:r>
        <w:rPr/>
        <w:t>in</w:t>
      </w:r>
      <w:r>
        <w:rPr>
          <w:spacing w:val="-2"/>
        </w:rPr>
        <w:t> </w:t>
      </w:r>
      <w:r>
        <w:rPr/>
        <w:t>Puerto</w:t>
      </w:r>
      <w:r>
        <w:rPr>
          <w:spacing w:val="-5"/>
        </w:rPr>
        <w:t> </w:t>
      </w:r>
      <w:r>
        <w:rPr/>
        <w:t>Rico,</w:t>
      </w:r>
      <w:r>
        <w:rPr>
          <w:spacing w:val="-4"/>
        </w:rPr>
        <w:t> </w:t>
      </w:r>
      <w:r>
        <w:rPr/>
        <w:t>pulling</w:t>
      </w:r>
      <w:r>
        <w:rPr>
          <w:spacing w:val="-5"/>
        </w:rPr>
        <w:t> </w:t>
      </w:r>
      <w:r>
        <w:rPr/>
        <w:t>MA</w:t>
      </w:r>
      <w:r>
        <w:rPr>
          <w:spacing w:val="-2"/>
        </w:rPr>
        <w:t> </w:t>
      </w:r>
      <w:r>
        <w:rPr/>
        <w:t>rates into an accelerated downward spiral to the bottom of funding that continues to depress rates even after the completion</w:t>
      </w:r>
      <w:r>
        <w:rPr>
          <w:spacing w:val="-12"/>
        </w:rPr>
        <w:t> </w:t>
      </w:r>
      <w:r>
        <w:rPr/>
        <w:t>of</w:t>
      </w:r>
      <w:r>
        <w:rPr>
          <w:spacing w:val="-14"/>
        </w:rPr>
        <w:t> </w:t>
      </w:r>
      <w:r>
        <w:rPr/>
        <w:t>the</w:t>
      </w:r>
      <w:r>
        <w:rPr>
          <w:spacing w:val="-13"/>
        </w:rPr>
        <w:t> </w:t>
      </w:r>
      <w:r>
        <w:rPr/>
        <w:t>six-year</w:t>
      </w:r>
      <w:r>
        <w:rPr>
          <w:spacing w:val="-11"/>
        </w:rPr>
        <w:t> </w:t>
      </w:r>
      <w:r>
        <w:rPr/>
        <w:t>phase</w:t>
      </w:r>
      <w:r>
        <w:rPr>
          <w:spacing w:val="-14"/>
        </w:rPr>
        <w:t> </w:t>
      </w:r>
      <w:r>
        <w:rPr/>
        <w:t>in</w:t>
      </w:r>
      <w:r>
        <w:rPr>
          <w:spacing w:val="-12"/>
        </w:rPr>
        <w:t> </w:t>
      </w:r>
      <w:r>
        <w:rPr/>
        <w:t>period.</w:t>
      </w:r>
      <w:r>
        <w:rPr>
          <w:spacing w:val="33"/>
        </w:rPr>
        <w:t> </w:t>
      </w:r>
      <w:r>
        <w:rPr/>
        <w:t>Average</w:t>
      </w:r>
      <w:r>
        <w:rPr>
          <w:spacing w:val="-12"/>
        </w:rPr>
        <w:t> </w:t>
      </w:r>
      <w:r>
        <w:rPr/>
        <w:t>MA</w:t>
      </w:r>
      <w:r>
        <w:rPr>
          <w:spacing w:val="-13"/>
        </w:rPr>
        <w:t> </w:t>
      </w:r>
      <w:r>
        <w:rPr/>
        <w:t>benchmarks</w:t>
      </w:r>
      <w:r>
        <w:rPr>
          <w:spacing w:val="-11"/>
        </w:rPr>
        <w:t> </w:t>
      </w:r>
      <w:r>
        <w:rPr/>
        <w:t>for</w:t>
      </w:r>
      <w:r>
        <w:rPr>
          <w:spacing w:val="-14"/>
        </w:rPr>
        <w:t> </w:t>
      </w:r>
      <w:r>
        <w:rPr/>
        <w:t>counties</w:t>
      </w:r>
      <w:r>
        <w:rPr>
          <w:spacing w:val="-14"/>
        </w:rPr>
        <w:t> </w:t>
      </w:r>
      <w:r>
        <w:rPr/>
        <w:t>in</w:t>
      </w:r>
      <w:r>
        <w:rPr>
          <w:spacing w:val="-12"/>
        </w:rPr>
        <w:t> </w:t>
      </w:r>
      <w:r>
        <w:rPr/>
        <w:t>Puerto</w:t>
      </w:r>
      <w:r>
        <w:rPr>
          <w:spacing w:val="-12"/>
        </w:rPr>
        <w:t> </w:t>
      </w:r>
      <w:r>
        <w:rPr/>
        <w:t>Rico</w:t>
      </w:r>
      <w:r>
        <w:rPr>
          <w:spacing w:val="-12"/>
        </w:rPr>
        <w:t> </w:t>
      </w:r>
      <w:r>
        <w:rPr/>
        <w:t>were</w:t>
      </w:r>
      <w:r>
        <w:rPr>
          <w:spacing w:val="-12"/>
        </w:rPr>
        <w:t> </w:t>
      </w:r>
      <w:r>
        <w:rPr/>
        <w:t>24%</w:t>
      </w:r>
      <w:r>
        <w:rPr>
          <w:spacing w:val="-11"/>
        </w:rPr>
        <w:t> </w:t>
      </w:r>
      <w:r>
        <w:rPr/>
        <w:t>below the US average in 2011, and now are 43% below the US average in 2018. </w:t>
      </w:r>
      <w:r>
        <w:rPr>
          <w:b/>
        </w:rPr>
        <w:t>Chart 1 </w:t>
      </w:r>
      <w:r>
        <w:rPr/>
        <w:t>below illustrates the MA benchmarks of all the counties in the US. The observed depletion in the graph reflects how much lower the funding is for all of the 78 counties of Puerto Rico. Regardless, the Medicare Advantage program is intended to provide</w:t>
      </w:r>
      <w:r>
        <w:rPr>
          <w:spacing w:val="-7"/>
        </w:rPr>
        <w:t> </w:t>
      </w:r>
      <w:r>
        <w:rPr/>
        <w:t>the</w:t>
      </w:r>
      <w:r>
        <w:rPr>
          <w:spacing w:val="-7"/>
        </w:rPr>
        <w:t> </w:t>
      </w:r>
      <w:r>
        <w:rPr/>
        <w:t>same</w:t>
      </w:r>
      <w:r>
        <w:rPr>
          <w:spacing w:val="-4"/>
        </w:rPr>
        <w:t> </w:t>
      </w:r>
      <w:r>
        <w:rPr/>
        <w:t>benefits</w:t>
      </w:r>
      <w:r>
        <w:rPr>
          <w:spacing w:val="-4"/>
        </w:rPr>
        <w:t> </w:t>
      </w:r>
      <w:r>
        <w:rPr/>
        <w:t>across</w:t>
      </w:r>
      <w:r>
        <w:rPr>
          <w:spacing w:val="-6"/>
        </w:rPr>
        <w:t> </w:t>
      </w:r>
      <w:r>
        <w:rPr/>
        <w:t>the</w:t>
      </w:r>
      <w:r>
        <w:rPr>
          <w:spacing w:val="-7"/>
        </w:rPr>
        <w:t> </w:t>
      </w:r>
      <w:r>
        <w:rPr/>
        <w:t>nation,</w:t>
      </w:r>
      <w:r>
        <w:rPr>
          <w:spacing w:val="-7"/>
        </w:rPr>
        <w:t> </w:t>
      </w:r>
      <w:r>
        <w:rPr/>
        <w:t>including</w:t>
      </w:r>
      <w:r>
        <w:rPr>
          <w:spacing w:val="-10"/>
        </w:rPr>
        <w:t> </w:t>
      </w:r>
      <w:r>
        <w:rPr/>
        <w:t>Puerto</w:t>
      </w:r>
      <w:r>
        <w:rPr>
          <w:spacing w:val="-5"/>
        </w:rPr>
        <w:t> </w:t>
      </w:r>
      <w:r>
        <w:rPr/>
        <w:t>Rico.</w:t>
      </w:r>
      <w:r>
        <w:rPr>
          <w:spacing w:val="45"/>
        </w:rPr>
        <w:t> </w:t>
      </w:r>
      <w:r>
        <w:rPr/>
        <w:t>In</w:t>
      </w:r>
      <w:r>
        <w:rPr>
          <w:spacing w:val="-5"/>
        </w:rPr>
        <w:t> </w:t>
      </w:r>
      <w:r>
        <w:rPr/>
        <w:t>fact,</w:t>
      </w:r>
      <w:r>
        <w:rPr>
          <w:spacing w:val="-7"/>
        </w:rPr>
        <w:t> </w:t>
      </w:r>
      <w:r>
        <w:rPr/>
        <w:t>health</w:t>
      </w:r>
      <w:r>
        <w:rPr>
          <w:spacing w:val="-7"/>
        </w:rPr>
        <w:t> </w:t>
      </w:r>
      <w:r>
        <w:rPr/>
        <w:t>care</w:t>
      </w:r>
      <w:r>
        <w:rPr>
          <w:spacing w:val="-7"/>
        </w:rPr>
        <w:t> </w:t>
      </w:r>
      <w:r>
        <w:rPr/>
        <w:t>in</w:t>
      </w:r>
      <w:r>
        <w:rPr>
          <w:spacing w:val="-5"/>
        </w:rPr>
        <w:t> </w:t>
      </w:r>
      <w:r>
        <w:rPr/>
        <w:t>Puerto</w:t>
      </w:r>
      <w:r>
        <w:rPr>
          <w:spacing w:val="-5"/>
        </w:rPr>
        <w:t> </w:t>
      </w:r>
      <w:r>
        <w:rPr/>
        <w:t>Rico</w:t>
      </w:r>
      <w:r>
        <w:rPr>
          <w:spacing w:val="-7"/>
        </w:rPr>
        <w:t> </w:t>
      </w:r>
      <w:r>
        <w:rPr/>
        <w:t>follows</w:t>
      </w:r>
      <w:r>
        <w:rPr>
          <w:spacing w:val="-7"/>
        </w:rPr>
        <w:t> </w:t>
      </w:r>
      <w:r>
        <w:rPr/>
        <w:t>the same rules, same managed care manuals, same compliance requirements, and same audit processes. Moreover, beneficiaries pay the same </w:t>
      </w:r>
      <w:r>
        <w:rPr>
          <w:b/>
          <w:i/>
        </w:rPr>
        <w:t>Medicare Payroll Tax</w:t>
      </w:r>
      <w:r>
        <w:rPr/>
        <w:t>, and physicians take the same boards, while our hospitals get accredited by the same</w:t>
      </w:r>
      <w:r>
        <w:rPr>
          <w:spacing w:val="-12"/>
        </w:rPr>
        <w:t> </w:t>
      </w:r>
      <w:r>
        <w:rPr/>
        <w:t>JCAHO.</w:t>
      </w:r>
      <w:r>
        <w:rPr>
          <w:position w:val="8"/>
          <w:sz w:val="14"/>
        </w:rPr>
        <w:t>1</w:t>
      </w:r>
    </w:p>
    <w:p>
      <w:pPr>
        <w:pStyle w:val="BodyText"/>
        <w:spacing w:before="9"/>
        <w:rPr>
          <w:sz w:val="21"/>
        </w:rPr>
      </w:pPr>
    </w:p>
    <w:p>
      <w:pPr>
        <w:pStyle w:val="Heading3"/>
        <w:ind w:left="1243"/>
        <w:rPr>
          <w:u w:val="none"/>
        </w:rPr>
      </w:pPr>
      <w:r>
        <w:rPr>
          <w:u w:val="thick"/>
        </w:rPr>
        <w:t>Chart 1: </w:t>
      </w:r>
      <w:r>
        <w:rPr>
          <w:u w:val="none"/>
        </w:rPr>
        <w:t>Comparison of MA benchmarks by Counties in All US for 2011 and 2018</w:t>
      </w:r>
    </w:p>
    <w:p>
      <w:pPr>
        <w:pStyle w:val="BodyText"/>
        <w:ind w:left="1080"/>
        <w:rPr>
          <w:sz w:val="20"/>
        </w:rPr>
      </w:pPr>
      <w:r>
        <w:rPr>
          <w:sz w:val="20"/>
        </w:rPr>
        <w:drawing>
          <wp:inline distT="0" distB="0" distL="0" distR="0">
            <wp:extent cx="5304768" cy="3240404"/>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15" cstate="print"/>
                    <a:stretch>
                      <a:fillRect/>
                    </a:stretch>
                  </pic:blipFill>
                  <pic:spPr>
                    <a:xfrm>
                      <a:off x="0" y="0"/>
                      <a:ext cx="5304768" cy="3240404"/>
                    </a:xfrm>
                    <a:prstGeom prst="rect">
                      <a:avLst/>
                    </a:prstGeom>
                  </pic:spPr>
                </pic:pic>
              </a:graphicData>
            </a:graphic>
          </wp:inline>
        </w:drawing>
      </w:r>
      <w:r>
        <w:rPr>
          <w:sz w:val="20"/>
        </w:rPr>
      </w:r>
    </w:p>
    <w:p>
      <w:pPr>
        <w:pStyle w:val="BodyText"/>
        <w:spacing w:before="26"/>
        <w:ind w:left="132" w:right="126" w:firstLine="360"/>
        <w:jc w:val="both"/>
      </w:pPr>
      <w:r>
        <w:rPr/>
        <w:t>Supported by the policies in the BBA (1997), BIPA (2000), and the MMA (2003), Medicare Advantage became the backbone to the Puerto Rico health care system during the years preceding the ACA. MA and Part D under the MMA made Medicare a program truly accessible to beneficiaries, and a core element of our socio- economic structure. However, by linking MA rates to the local FFS rates, the ACA is progressively degrading Puerto Rico’s Medicare and highlighting the anomalies and deficiencies of a Medicare FFS program that has a history of unique treatment in statute. Some of these include the discounted Part A payments, the lack of Supplemental Security Income (SSI) and the lack of Part D Low Income Subsidy (LIS). The best evidence of</w:t>
      </w:r>
      <w:r>
        <w:rPr>
          <w:spacing w:val="-31"/>
        </w:rPr>
        <w:t> </w:t>
      </w:r>
      <w:r>
        <w:rPr/>
        <w:t>the distinctly non-functional link between MA and FFS Medicare in Puerto Rico is that </w:t>
      </w:r>
      <w:r>
        <w:rPr>
          <w:u w:val="thick"/>
        </w:rPr>
        <w:t>t</w:t>
      </w:r>
      <w:r>
        <w:rPr>
          <w:b/>
          <w:u w:val="thick"/>
        </w:rPr>
        <w:t>here was never any </w:t>
      </w:r>
      <w:r>
        <w:rPr>
          <w:b/>
          <w:u w:val="single"/>
        </w:rPr>
        <w:t>Medicare</w:t>
      </w:r>
      <w:r>
        <w:rPr>
          <w:b/>
          <w:spacing w:val="-8"/>
          <w:u w:val="single"/>
        </w:rPr>
        <w:t> </w:t>
      </w:r>
      <w:r>
        <w:rPr>
          <w:b/>
          <w:u w:val="single"/>
        </w:rPr>
        <w:t>managed</w:t>
      </w:r>
      <w:r>
        <w:rPr>
          <w:b/>
          <w:spacing w:val="-9"/>
          <w:u w:val="single"/>
        </w:rPr>
        <w:t> </w:t>
      </w:r>
      <w:r>
        <w:rPr>
          <w:b/>
          <w:u w:val="single"/>
        </w:rPr>
        <w:t>care</w:t>
      </w:r>
      <w:r>
        <w:rPr>
          <w:b/>
          <w:spacing w:val="-6"/>
          <w:u w:val="single"/>
        </w:rPr>
        <w:t> </w:t>
      </w:r>
      <w:r>
        <w:rPr>
          <w:b/>
          <w:u w:val="single"/>
        </w:rPr>
        <w:t>offering</w:t>
      </w:r>
      <w:r>
        <w:rPr>
          <w:b/>
          <w:spacing w:val="-11"/>
          <w:u w:val="single"/>
        </w:rPr>
        <w:t> </w:t>
      </w:r>
      <w:r>
        <w:rPr>
          <w:b/>
          <w:u w:val="single"/>
        </w:rPr>
        <w:t>for</w:t>
      </w:r>
      <w:r>
        <w:rPr>
          <w:b/>
          <w:spacing w:val="-6"/>
          <w:u w:val="single"/>
        </w:rPr>
        <w:t> </w:t>
      </w:r>
      <w:r>
        <w:rPr>
          <w:b/>
          <w:u w:val="single"/>
        </w:rPr>
        <w:t>beneficiaries</w:t>
      </w:r>
      <w:r>
        <w:rPr>
          <w:b/>
          <w:spacing w:val="-8"/>
          <w:u w:val="single"/>
        </w:rPr>
        <w:t> </w:t>
      </w:r>
      <w:r>
        <w:rPr>
          <w:b/>
          <w:u w:val="single"/>
        </w:rPr>
        <w:t>in</w:t>
      </w:r>
      <w:r>
        <w:rPr>
          <w:b/>
          <w:spacing w:val="-9"/>
          <w:u w:val="single"/>
        </w:rPr>
        <w:t> </w:t>
      </w:r>
      <w:r>
        <w:rPr>
          <w:b/>
          <w:u w:val="single"/>
        </w:rPr>
        <w:t>Puerto</w:t>
      </w:r>
      <w:r>
        <w:rPr>
          <w:b/>
          <w:spacing w:val="-6"/>
          <w:u w:val="single"/>
        </w:rPr>
        <w:t> </w:t>
      </w:r>
      <w:r>
        <w:rPr>
          <w:b/>
          <w:u w:val="single"/>
        </w:rPr>
        <w:t>Rico</w:t>
      </w:r>
      <w:r>
        <w:rPr>
          <w:b/>
          <w:spacing w:val="-6"/>
          <w:u w:val="single"/>
        </w:rPr>
        <w:t> </w:t>
      </w:r>
      <w:r>
        <w:rPr>
          <w:b/>
          <w:u w:val="single"/>
        </w:rPr>
        <w:t>before</w:t>
      </w:r>
      <w:r>
        <w:rPr>
          <w:b/>
          <w:spacing w:val="-6"/>
          <w:u w:val="single"/>
        </w:rPr>
        <w:t> </w:t>
      </w:r>
      <w:r>
        <w:rPr>
          <w:b/>
          <w:u w:val="single"/>
        </w:rPr>
        <w:t>2001.</w:t>
      </w:r>
      <w:r>
        <w:rPr>
          <w:b/>
          <w:spacing w:val="42"/>
          <w:u w:val="single"/>
        </w:rPr>
        <w:t> </w:t>
      </w:r>
      <w:r>
        <w:rPr>
          <w:b/>
          <w:u w:val="single"/>
        </w:rPr>
        <w:t>It</w:t>
      </w:r>
      <w:r>
        <w:rPr>
          <w:b/>
          <w:spacing w:val="-7"/>
          <w:u w:val="single"/>
        </w:rPr>
        <w:t> </w:t>
      </w:r>
      <w:r>
        <w:rPr>
          <w:b/>
          <w:u w:val="single"/>
        </w:rPr>
        <w:t>was</w:t>
      </w:r>
      <w:r>
        <w:rPr>
          <w:b/>
          <w:spacing w:val="-8"/>
          <w:u w:val="single"/>
        </w:rPr>
        <w:t> </w:t>
      </w:r>
      <w:r>
        <w:rPr>
          <w:b/>
          <w:u w:val="single"/>
        </w:rPr>
        <w:t>not</w:t>
      </w:r>
      <w:r>
        <w:rPr>
          <w:b/>
          <w:spacing w:val="-8"/>
          <w:u w:val="single"/>
        </w:rPr>
        <w:t> </w:t>
      </w:r>
      <w:r>
        <w:rPr>
          <w:b/>
          <w:u w:val="single"/>
        </w:rPr>
        <w:t>viable</w:t>
      </w:r>
      <w:r>
        <w:rPr>
          <w:u w:val="single"/>
        </w:rPr>
        <w:t>,</w:t>
      </w:r>
      <w:r>
        <w:rPr>
          <w:spacing w:val="-9"/>
          <w:u w:val="single"/>
        </w:rPr>
        <w:t> </w:t>
      </w:r>
      <w:r>
        <w:rPr>
          <w:u w:val="single"/>
        </w:rPr>
        <w:t>and</w:t>
      </w:r>
      <w:r>
        <w:rPr>
          <w:spacing w:val="-8"/>
          <w:u w:val="single"/>
        </w:rPr>
        <w:t> </w:t>
      </w:r>
      <w:r>
        <w:rPr>
          <w:u w:val="single"/>
        </w:rPr>
        <w:t>a</w:t>
      </w:r>
      <w:r>
        <w:rPr>
          <w:spacing w:val="-6"/>
          <w:u w:val="single"/>
        </w:rPr>
        <w:t> </w:t>
      </w:r>
      <w:r>
        <w:rPr>
          <w:u w:val="single"/>
        </w:rPr>
        <w:t>break in the current downward spiral is needed to protect the program and beneficiaries on the island from going back to that</w:t>
      </w:r>
      <w:r>
        <w:rPr>
          <w:spacing w:val="-4"/>
          <w:u w:val="single"/>
        </w:rPr>
        <w:t> </w:t>
      </w:r>
      <w:r>
        <w:rPr>
          <w:u w:val="single"/>
        </w:rPr>
        <w:t>scenario</w:t>
      </w:r>
      <w:r>
        <w:rPr/>
        <w:t>.</w:t>
      </w:r>
    </w:p>
    <w:p>
      <w:pPr>
        <w:pStyle w:val="BodyText"/>
        <w:rPr>
          <w:sz w:val="20"/>
        </w:rPr>
      </w:pPr>
    </w:p>
    <w:p>
      <w:pPr>
        <w:pStyle w:val="BodyText"/>
        <w:spacing w:before="5"/>
        <w:rPr>
          <w:sz w:val="24"/>
        </w:rPr>
      </w:pPr>
      <w:r>
        <w:rPr/>
        <w:pict>
          <v:line style="position:absolute;mso-position-horizontal-relative:page;mso-position-vertical-relative:paragraph;z-index:1360;mso-wrap-distance-left:0;mso-wrap-distance-right:0" from="57.599998pt,16.307116pt" to="201.619998pt,16.307116pt" stroked="true" strokeweight=".599980pt" strokecolor="#000000">
            <v:stroke dashstyle="solid"/>
            <w10:wrap type="topAndBottom"/>
          </v:line>
        </w:pict>
      </w:r>
    </w:p>
    <w:p>
      <w:pPr>
        <w:spacing w:before="72"/>
        <w:ind w:left="132" w:right="0" w:firstLine="0"/>
        <w:jc w:val="left"/>
        <w:rPr>
          <w:rFonts w:ascii="Calibri"/>
          <w:sz w:val="20"/>
        </w:rPr>
      </w:pPr>
      <w:r>
        <w:rPr>
          <w:rFonts w:ascii="Calibri"/>
          <w:position w:val="7"/>
          <w:sz w:val="13"/>
        </w:rPr>
        <w:t>1   </w:t>
      </w:r>
      <w:r>
        <w:rPr>
          <w:rFonts w:ascii="Calibri"/>
          <w:sz w:val="20"/>
        </w:rPr>
        <w:t>JCAHO = Joint Commission on Accreditation of Healthcare Organizations</w:t>
      </w:r>
    </w:p>
    <w:p>
      <w:pPr>
        <w:spacing w:after="0"/>
        <w:jc w:val="left"/>
        <w:rPr>
          <w:rFonts w:ascii="Calibri"/>
          <w:sz w:val="20"/>
        </w:rPr>
        <w:sectPr>
          <w:pgSz w:w="12240" w:h="15840"/>
          <w:pgMar w:header="0" w:footer="1015" w:top="1380" w:bottom="1200" w:left="1020" w:right="1020"/>
        </w:sectPr>
      </w:pPr>
    </w:p>
    <w:p>
      <w:pPr>
        <w:pStyle w:val="BodyText"/>
        <w:spacing w:before="79"/>
        <w:ind w:left="112" w:right="106" w:firstLine="720"/>
        <w:jc w:val="both"/>
      </w:pPr>
      <w:r>
        <w:rPr/>
        <w:t>These same programmatic deficiencies, along with extreme socio-economic factors, have made MA the choice of nine out of every ten eligible beneficiaries in Puerto Rico. Before MA, beneficiaries would use the limited public system, would stay in the challenged Medicaid program, or simply did not get care given the high cost-sharing to access care in the traditional Parts A &amp; B Medicare program. Puerto Rico has much higher rates of poverty and significantly lower income than any state, and Medicare FFS was implemented with too many statutory exceptions and gaps. Traditional Medicare in Puerto Rico never served the population as it does in the mainland. Consequently, the MA program in Puerto Rico has the highest penetration (75%) primarily because it was able to close the accessibility gap and address the deficiencies in the disjoined traditional Medicare and Medicaid</w:t>
      </w:r>
      <w:r>
        <w:rPr>
          <w:spacing w:val="-17"/>
        </w:rPr>
        <w:t> </w:t>
      </w:r>
      <w:r>
        <w:rPr/>
        <w:t>programs</w:t>
      </w:r>
      <w:r>
        <w:rPr>
          <w:spacing w:val="-14"/>
        </w:rPr>
        <w:t> </w:t>
      </w:r>
      <w:r>
        <w:rPr/>
        <w:t>available</w:t>
      </w:r>
      <w:r>
        <w:rPr>
          <w:spacing w:val="-14"/>
        </w:rPr>
        <w:t> </w:t>
      </w:r>
      <w:r>
        <w:rPr/>
        <w:t>at</w:t>
      </w:r>
      <w:r>
        <w:rPr>
          <w:spacing w:val="-16"/>
        </w:rPr>
        <w:t> </w:t>
      </w:r>
      <w:r>
        <w:rPr/>
        <w:t>the</w:t>
      </w:r>
      <w:r>
        <w:rPr>
          <w:spacing w:val="-16"/>
        </w:rPr>
        <w:t> </w:t>
      </w:r>
      <w:r>
        <w:rPr/>
        <w:t>time.</w:t>
      </w:r>
      <w:r>
        <w:rPr>
          <w:spacing w:val="25"/>
        </w:rPr>
        <w:t> </w:t>
      </w:r>
      <w:r>
        <w:rPr/>
        <w:t>The</w:t>
      </w:r>
      <w:r>
        <w:rPr>
          <w:spacing w:val="-16"/>
        </w:rPr>
        <w:t> </w:t>
      </w:r>
      <w:r>
        <w:rPr/>
        <w:t>Medicare</w:t>
      </w:r>
      <w:r>
        <w:rPr>
          <w:spacing w:val="-19"/>
        </w:rPr>
        <w:t> </w:t>
      </w:r>
      <w:r>
        <w:rPr/>
        <w:t>Advantage</w:t>
      </w:r>
      <w:r>
        <w:rPr>
          <w:spacing w:val="-14"/>
        </w:rPr>
        <w:t> </w:t>
      </w:r>
      <w:r>
        <w:rPr/>
        <w:t>program</w:t>
      </w:r>
      <w:r>
        <w:rPr>
          <w:spacing w:val="-17"/>
        </w:rPr>
        <w:t> </w:t>
      </w:r>
      <w:r>
        <w:rPr/>
        <w:t>quickly</w:t>
      </w:r>
      <w:r>
        <w:rPr>
          <w:spacing w:val="-17"/>
        </w:rPr>
        <w:t> </w:t>
      </w:r>
      <w:r>
        <w:rPr/>
        <w:t>developed</w:t>
      </w:r>
      <w:r>
        <w:rPr>
          <w:spacing w:val="-16"/>
        </w:rPr>
        <w:t> </w:t>
      </w:r>
      <w:r>
        <w:rPr/>
        <w:t>as</w:t>
      </w:r>
      <w:r>
        <w:rPr>
          <w:spacing w:val="-16"/>
        </w:rPr>
        <w:t> </w:t>
      </w:r>
      <w:r>
        <w:rPr/>
        <w:t>the</w:t>
      </w:r>
      <w:r>
        <w:rPr>
          <w:spacing w:val="-14"/>
        </w:rPr>
        <w:t> </w:t>
      </w:r>
      <w:r>
        <w:rPr/>
        <w:t>only</w:t>
      </w:r>
      <w:r>
        <w:rPr>
          <w:spacing w:val="-17"/>
        </w:rPr>
        <w:t> </w:t>
      </w:r>
      <w:r>
        <w:rPr/>
        <w:t>reliable health care option for our elderly, disabled and poor. This is also the same reason why more than two thirds of the beneficiaries remaining in FFS Medicare DO NOT enroll in Part B. (See </w:t>
      </w:r>
      <w:r>
        <w:rPr>
          <w:b/>
          <w:i/>
        </w:rPr>
        <w:t>Appendix 9 – For more details on </w:t>
      </w:r>
      <w:r>
        <w:rPr>
          <w:b/>
          <w:i/>
        </w:rPr>
        <w:t>the History of Medicare in Puerto</w:t>
      </w:r>
      <w:r>
        <w:rPr>
          <w:b/>
          <w:i/>
          <w:spacing w:val="-13"/>
        </w:rPr>
        <w:t> </w:t>
      </w:r>
      <w:r>
        <w:rPr>
          <w:b/>
          <w:i/>
        </w:rPr>
        <w:t>Rico</w:t>
      </w:r>
      <w:r>
        <w:rPr/>
        <w:t>).</w:t>
      </w:r>
    </w:p>
    <w:p>
      <w:pPr>
        <w:pStyle w:val="BodyText"/>
      </w:pPr>
    </w:p>
    <w:p>
      <w:pPr>
        <w:pStyle w:val="BodyText"/>
        <w:ind w:left="112" w:right="105" w:firstLine="720"/>
        <w:jc w:val="both"/>
      </w:pPr>
      <w:r>
        <w:rPr/>
        <w:t>On</w:t>
      </w:r>
      <w:r>
        <w:rPr>
          <w:spacing w:val="-6"/>
        </w:rPr>
        <w:t> </w:t>
      </w:r>
      <w:r>
        <w:rPr/>
        <w:t>the</w:t>
      </w:r>
      <w:r>
        <w:rPr>
          <w:spacing w:val="-8"/>
        </w:rPr>
        <w:t> </w:t>
      </w:r>
      <w:r>
        <w:rPr/>
        <w:t>other</w:t>
      </w:r>
      <w:r>
        <w:rPr>
          <w:spacing w:val="-7"/>
        </w:rPr>
        <w:t> </w:t>
      </w:r>
      <w:r>
        <w:rPr/>
        <w:t>hand,</w:t>
      </w:r>
      <w:r>
        <w:rPr>
          <w:spacing w:val="-6"/>
        </w:rPr>
        <w:t> </w:t>
      </w:r>
      <w:r>
        <w:rPr/>
        <w:t>scarce</w:t>
      </w:r>
      <w:r>
        <w:rPr>
          <w:spacing w:val="-8"/>
        </w:rPr>
        <w:t> </w:t>
      </w:r>
      <w:r>
        <w:rPr/>
        <w:t>resources</w:t>
      </w:r>
      <w:r>
        <w:rPr>
          <w:spacing w:val="-8"/>
        </w:rPr>
        <w:t> </w:t>
      </w:r>
      <w:r>
        <w:rPr/>
        <w:t>have</w:t>
      </w:r>
      <w:r>
        <w:rPr>
          <w:spacing w:val="-6"/>
        </w:rPr>
        <w:t> </w:t>
      </w:r>
      <w:r>
        <w:rPr/>
        <w:t>also</w:t>
      </w:r>
      <w:r>
        <w:rPr>
          <w:spacing w:val="-8"/>
        </w:rPr>
        <w:t> </w:t>
      </w:r>
      <w:r>
        <w:rPr/>
        <w:t>created</w:t>
      </w:r>
      <w:r>
        <w:rPr>
          <w:spacing w:val="-6"/>
        </w:rPr>
        <w:t> </w:t>
      </w:r>
      <w:r>
        <w:rPr/>
        <w:t>a</w:t>
      </w:r>
      <w:r>
        <w:rPr>
          <w:spacing w:val="-11"/>
        </w:rPr>
        <w:t> </w:t>
      </w:r>
      <w:r>
        <w:rPr/>
        <w:t>unique</w:t>
      </w:r>
      <w:r>
        <w:rPr>
          <w:spacing w:val="-8"/>
        </w:rPr>
        <w:t> </w:t>
      </w:r>
      <w:r>
        <w:rPr/>
        <w:t>dynamic</w:t>
      </w:r>
      <w:r>
        <w:rPr>
          <w:spacing w:val="-6"/>
        </w:rPr>
        <w:t> </w:t>
      </w:r>
      <w:r>
        <w:rPr/>
        <w:t>where</w:t>
      </w:r>
      <w:r>
        <w:rPr>
          <w:spacing w:val="-6"/>
        </w:rPr>
        <w:t> </w:t>
      </w:r>
      <w:r>
        <w:rPr/>
        <w:t>market</w:t>
      </w:r>
      <w:r>
        <w:rPr>
          <w:spacing w:val="-5"/>
        </w:rPr>
        <w:t> </w:t>
      </w:r>
      <w:r>
        <w:rPr/>
        <w:t>forces</w:t>
      </w:r>
      <w:r>
        <w:rPr>
          <w:spacing w:val="-8"/>
        </w:rPr>
        <w:t> </w:t>
      </w:r>
      <w:r>
        <w:rPr/>
        <w:t>balance</w:t>
      </w:r>
      <w:r>
        <w:rPr>
          <w:spacing w:val="-8"/>
        </w:rPr>
        <w:t> </w:t>
      </w:r>
      <w:r>
        <w:rPr/>
        <w:t>MA supplemental benefits and provider compensation in a different manner as the states. There are tangible extraordinary elements that require the funding of critical supplemental benefits for Puerto Rico beneficiaries, many which are covered by additional Federal or State programs that are not available in Puerto Rico. Some of the key drivers for the need of this supplemental benefits</w:t>
      </w:r>
      <w:r>
        <w:rPr>
          <w:spacing w:val="-21"/>
        </w:rPr>
        <w:t> </w:t>
      </w:r>
      <w:r>
        <w:rPr/>
        <w:t>are:</w:t>
      </w:r>
    </w:p>
    <w:p>
      <w:pPr>
        <w:pStyle w:val="ListParagraph"/>
        <w:numPr>
          <w:ilvl w:val="0"/>
          <w:numId w:val="4"/>
        </w:numPr>
        <w:tabs>
          <w:tab w:pos="879" w:val="left" w:leader="none"/>
        </w:tabs>
        <w:spacing w:line="254" w:lineRule="exact" w:before="0" w:after="0"/>
        <w:ind w:left="878" w:right="0" w:hanging="360"/>
        <w:jc w:val="left"/>
        <w:rPr>
          <w:sz w:val="14"/>
        </w:rPr>
      </w:pPr>
      <w:r>
        <w:rPr>
          <w:sz w:val="22"/>
        </w:rPr>
        <w:t>Cost of living estimates are for Puerto Rico are on average 8%-12% higher than the US</w:t>
      </w:r>
      <w:r>
        <w:rPr>
          <w:spacing w:val="-25"/>
          <w:sz w:val="22"/>
        </w:rPr>
        <w:t> </w:t>
      </w:r>
      <w:r>
        <w:rPr>
          <w:sz w:val="22"/>
        </w:rPr>
        <w:t>average.</w:t>
      </w:r>
      <w:r>
        <w:rPr>
          <w:position w:val="8"/>
          <w:sz w:val="14"/>
        </w:rPr>
        <w:t>2</w:t>
      </w:r>
    </w:p>
    <w:p>
      <w:pPr>
        <w:pStyle w:val="ListParagraph"/>
        <w:numPr>
          <w:ilvl w:val="0"/>
          <w:numId w:val="4"/>
        </w:numPr>
        <w:tabs>
          <w:tab w:pos="879" w:val="left" w:leader="none"/>
        </w:tabs>
        <w:spacing w:line="259" w:lineRule="auto" w:before="21" w:after="0"/>
        <w:ind w:left="878" w:right="109" w:hanging="360"/>
        <w:jc w:val="both"/>
        <w:rPr>
          <w:sz w:val="22"/>
        </w:rPr>
      </w:pPr>
      <w:r>
        <w:rPr>
          <w:sz w:val="22"/>
        </w:rPr>
        <w:t>Non-labor costs and other the cost of other resources and inputs, like prescription drugs, utilities and equipment, are significantly higher in Puerto Rico than in the</w:t>
      </w:r>
      <w:r>
        <w:rPr>
          <w:spacing w:val="-20"/>
          <w:sz w:val="22"/>
        </w:rPr>
        <w:t> </w:t>
      </w:r>
      <w:r>
        <w:rPr>
          <w:sz w:val="22"/>
        </w:rPr>
        <w:t>mainland,</w:t>
      </w:r>
    </w:p>
    <w:p>
      <w:pPr>
        <w:pStyle w:val="ListParagraph"/>
        <w:numPr>
          <w:ilvl w:val="0"/>
          <w:numId w:val="4"/>
        </w:numPr>
        <w:tabs>
          <w:tab w:pos="879" w:val="left" w:leader="none"/>
        </w:tabs>
        <w:spacing w:line="256" w:lineRule="auto" w:before="1" w:after="0"/>
        <w:ind w:left="878" w:right="109" w:hanging="360"/>
        <w:jc w:val="both"/>
        <w:rPr>
          <w:sz w:val="22"/>
        </w:rPr>
      </w:pPr>
      <w:r>
        <w:rPr>
          <w:sz w:val="22"/>
        </w:rPr>
        <w:t>Deficiencies in the federal programs </w:t>
      </w:r>
      <w:r>
        <w:rPr>
          <w:sz w:val="22"/>
          <w:u w:val="single"/>
        </w:rPr>
        <w:t>exclude </w:t>
      </w:r>
      <w:r>
        <w:rPr>
          <w:sz w:val="22"/>
        </w:rPr>
        <w:t>core benefits for the low-income beneficiaries like a Medicaid</w:t>
      </w:r>
      <w:r>
        <w:rPr>
          <w:spacing w:val="-4"/>
          <w:sz w:val="22"/>
        </w:rPr>
        <w:t> </w:t>
      </w:r>
      <w:r>
        <w:rPr>
          <w:sz w:val="22"/>
        </w:rPr>
        <w:t>Part</w:t>
      </w:r>
      <w:r>
        <w:rPr>
          <w:spacing w:val="-3"/>
          <w:sz w:val="22"/>
        </w:rPr>
        <w:t> </w:t>
      </w:r>
      <w:r>
        <w:rPr>
          <w:sz w:val="22"/>
        </w:rPr>
        <w:t>B</w:t>
      </w:r>
      <w:r>
        <w:rPr>
          <w:spacing w:val="-7"/>
          <w:sz w:val="22"/>
        </w:rPr>
        <w:t> </w:t>
      </w:r>
      <w:r>
        <w:rPr>
          <w:sz w:val="22"/>
        </w:rPr>
        <w:t>buy</w:t>
      </w:r>
      <w:r>
        <w:rPr>
          <w:spacing w:val="-6"/>
          <w:sz w:val="22"/>
        </w:rPr>
        <w:t> </w:t>
      </w:r>
      <w:r>
        <w:rPr>
          <w:sz w:val="22"/>
        </w:rPr>
        <w:t>in</w:t>
      </w:r>
      <w:r>
        <w:rPr>
          <w:spacing w:val="-4"/>
          <w:sz w:val="22"/>
        </w:rPr>
        <w:t> </w:t>
      </w:r>
      <w:r>
        <w:rPr>
          <w:sz w:val="22"/>
        </w:rPr>
        <w:t>program</w:t>
      </w:r>
      <w:r>
        <w:rPr>
          <w:spacing w:val="-7"/>
          <w:sz w:val="22"/>
        </w:rPr>
        <w:t> </w:t>
      </w:r>
      <w:r>
        <w:rPr>
          <w:sz w:val="22"/>
        </w:rPr>
        <w:t>(help</w:t>
      </w:r>
      <w:r>
        <w:rPr>
          <w:spacing w:val="-4"/>
          <w:sz w:val="22"/>
        </w:rPr>
        <w:t> </w:t>
      </w:r>
      <w:r>
        <w:rPr>
          <w:sz w:val="22"/>
        </w:rPr>
        <w:t>to</w:t>
      </w:r>
      <w:r>
        <w:rPr>
          <w:spacing w:val="-6"/>
          <w:sz w:val="22"/>
        </w:rPr>
        <w:t> </w:t>
      </w:r>
      <w:r>
        <w:rPr>
          <w:sz w:val="22"/>
        </w:rPr>
        <w:t>pay</w:t>
      </w:r>
      <w:r>
        <w:rPr>
          <w:spacing w:val="-6"/>
          <w:sz w:val="22"/>
        </w:rPr>
        <w:t> </w:t>
      </w:r>
      <w:r>
        <w:rPr>
          <w:sz w:val="22"/>
        </w:rPr>
        <w:t>part</w:t>
      </w:r>
      <w:r>
        <w:rPr>
          <w:spacing w:val="-3"/>
          <w:sz w:val="22"/>
        </w:rPr>
        <w:t> </w:t>
      </w:r>
      <w:r>
        <w:rPr>
          <w:sz w:val="22"/>
        </w:rPr>
        <w:t>B</w:t>
      </w:r>
      <w:r>
        <w:rPr>
          <w:spacing w:val="-5"/>
          <w:sz w:val="22"/>
        </w:rPr>
        <w:t> </w:t>
      </w:r>
      <w:r>
        <w:rPr>
          <w:sz w:val="22"/>
        </w:rPr>
        <w:t>premium)</w:t>
      </w:r>
      <w:r>
        <w:rPr>
          <w:spacing w:val="-3"/>
          <w:sz w:val="22"/>
        </w:rPr>
        <w:t> </w:t>
      </w:r>
      <w:r>
        <w:rPr>
          <w:sz w:val="22"/>
        </w:rPr>
        <w:t>and</w:t>
      </w:r>
      <w:r>
        <w:rPr>
          <w:spacing w:val="-3"/>
          <w:sz w:val="22"/>
        </w:rPr>
        <w:t> </w:t>
      </w:r>
      <w:r>
        <w:rPr>
          <w:sz w:val="22"/>
        </w:rPr>
        <w:t>the</w:t>
      </w:r>
      <w:r>
        <w:rPr>
          <w:spacing w:val="-3"/>
          <w:sz w:val="22"/>
        </w:rPr>
        <w:t> </w:t>
      </w:r>
      <w:r>
        <w:rPr>
          <w:sz w:val="22"/>
        </w:rPr>
        <w:t>Part</w:t>
      </w:r>
      <w:r>
        <w:rPr>
          <w:spacing w:val="-5"/>
          <w:sz w:val="22"/>
        </w:rPr>
        <w:t> </w:t>
      </w:r>
      <w:r>
        <w:rPr>
          <w:sz w:val="22"/>
        </w:rPr>
        <w:t>D</w:t>
      </w:r>
      <w:r>
        <w:rPr>
          <w:spacing w:val="-5"/>
          <w:sz w:val="22"/>
        </w:rPr>
        <w:t> </w:t>
      </w:r>
      <w:r>
        <w:rPr>
          <w:sz w:val="22"/>
        </w:rPr>
        <w:t>Low</w:t>
      </w:r>
      <w:r>
        <w:rPr>
          <w:spacing w:val="-5"/>
          <w:sz w:val="22"/>
        </w:rPr>
        <w:t> </w:t>
      </w:r>
      <w:r>
        <w:rPr>
          <w:sz w:val="22"/>
        </w:rPr>
        <w:t>Income</w:t>
      </w:r>
      <w:r>
        <w:rPr>
          <w:spacing w:val="-3"/>
          <w:sz w:val="22"/>
        </w:rPr>
        <w:t> </w:t>
      </w:r>
      <w:r>
        <w:rPr>
          <w:sz w:val="22"/>
        </w:rPr>
        <w:t>Subsidy,</w:t>
      </w:r>
      <w:r>
        <w:rPr>
          <w:spacing w:val="-4"/>
          <w:sz w:val="22"/>
        </w:rPr>
        <w:t> </w:t>
      </w:r>
      <w:r>
        <w:rPr>
          <w:sz w:val="22"/>
        </w:rPr>
        <w:t>and,</w:t>
      </w:r>
    </w:p>
    <w:p>
      <w:pPr>
        <w:pStyle w:val="ListParagraph"/>
        <w:numPr>
          <w:ilvl w:val="0"/>
          <w:numId w:val="4"/>
        </w:numPr>
        <w:tabs>
          <w:tab w:pos="879" w:val="left" w:leader="none"/>
        </w:tabs>
        <w:spacing w:line="259" w:lineRule="auto" w:before="3" w:after="0"/>
        <w:ind w:left="878" w:right="108" w:hanging="360"/>
        <w:jc w:val="both"/>
        <w:rPr>
          <w:sz w:val="22"/>
        </w:rPr>
      </w:pPr>
      <w:r>
        <w:rPr>
          <w:sz w:val="22"/>
        </w:rPr>
        <w:t>The significantly higher poverty rate makes the purchasing of supplemental policies (i.e. Medigap), standalone</w:t>
      </w:r>
      <w:r>
        <w:rPr>
          <w:spacing w:val="-8"/>
          <w:sz w:val="22"/>
        </w:rPr>
        <w:t> </w:t>
      </w:r>
      <w:r>
        <w:rPr>
          <w:sz w:val="22"/>
        </w:rPr>
        <w:t>Part</w:t>
      </w:r>
      <w:r>
        <w:rPr>
          <w:spacing w:val="-8"/>
          <w:sz w:val="22"/>
        </w:rPr>
        <w:t> </w:t>
      </w:r>
      <w:r>
        <w:rPr>
          <w:sz w:val="22"/>
        </w:rPr>
        <w:t>D</w:t>
      </w:r>
      <w:r>
        <w:rPr>
          <w:spacing w:val="-10"/>
          <w:sz w:val="22"/>
        </w:rPr>
        <w:t> </w:t>
      </w:r>
      <w:r>
        <w:rPr>
          <w:sz w:val="22"/>
        </w:rPr>
        <w:t>(PDP)</w:t>
      </w:r>
      <w:r>
        <w:rPr>
          <w:spacing w:val="-8"/>
          <w:sz w:val="22"/>
        </w:rPr>
        <w:t> </w:t>
      </w:r>
      <w:r>
        <w:rPr>
          <w:sz w:val="22"/>
        </w:rPr>
        <w:t>coverage</w:t>
      </w:r>
      <w:r>
        <w:rPr>
          <w:spacing w:val="-8"/>
          <w:sz w:val="22"/>
        </w:rPr>
        <w:t> </w:t>
      </w:r>
      <w:r>
        <w:rPr>
          <w:sz w:val="22"/>
        </w:rPr>
        <w:t>or</w:t>
      </w:r>
      <w:r>
        <w:rPr>
          <w:spacing w:val="-8"/>
          <w:sz w:val="22"/>
        </w:rPr>
        <w:t> </w:t>
      </w:r>
      <w:r>
        <w:rPr>
          <w:sz w:val="22"/>
        </w:rPr>
        <w:t>even</w:t>
      </w:r>
      <w:r>
        <w:rPr>
          <w:spacing w:val="-8"/>
          <w:sz w:val="22"/>
        </w:rPr>
        <w:t> </w:t>
      </w:r>
      <w:r>
        <w:rPr>
          <w:sz w:val="22"/>
        </w:rPr>
        <w:t>paying</w:t>
      </w:r>
      <w:r>
        <w:rPr>
          <w:spacing w:val="-11"/>
          <w:sz w:val="22"/>
        </w:rPr>
        <w:t> </w:t>
      </w:r>
      <w:r>
        <w:rPr>
          <w:sz w:val="22"/>
        </w:rPr>
        <w:t>for</w:t>
      </w:r>
      <w:r>
        <w:rPr>
          <w:spacing w:val="-8"/>
          <w:sz w:val="22"/>
        </w:rPr>
        <w:t> </w:t>
      </w:r>
      <w:r>
        <w:rPr>
          <w:sz w:val="22"/>
        </w:rPr>
        <w:t>the</w:t>
      </w:r>
      <w:r>
        <w:rPr>
          <w:spacing w:val="-8"/>
          <w:sz w:val="22"/>
        </w:rPr>
        <w:t> </w:t>
      </w:r>
      <w:r>
        <w:rPr>
          <w:sz w:val="22"/>
        </w:rPr>
        <w:t>Part</w:t>
      </w:r>
      <w:r>
        <w:rPr>
          <w:spacing w:val="-8"/>
          <w:sz w:val="22"/>
        </w:rPr>
        <w:t> </w:t>
      </w:r>
      <w:r>
        <w:rPr>
          <w:sz w:val="22"/>
        </w:rPr>
        <w:t>B</w:t>
      </w:r>
      <w:r>
        <w:rPr>
          <w:spacing w:val="-9"/>
          <w:sz w:val="22"/>
        </w:rPr>
        <w:t> </w:t>
      </w:r>
      <w:r>
        <w:rPr>
          <w:sz w:val="22"/>
        </w:rPr>
        <w:t>premium</w:t>
      </w:r>
      <w:r>
        <w:rPr>
          <w:spacing w:val="-12"/>
          <w:sz w:val="22"/>
        </w:rPr>
        <w:t> </w:t>
      </w:r>
      <w:r>
        <w:rPr>
          <w:sz w:val="22"/>
        </w:rPr>
        <w:t>a</w:t>
      </w:r>
      <w:r>
        <w:rPr>
          <w:spacing w:val="-8"/>
          <w:sz w:val="22"/>
        </w:rPr>
        <w:t> </w:t>
      </w:r>
      <w:r>
        <w:rPr>
          <w:sz w:val="22"/>
        </w:rPr>
        <w:t>significant</w:t>
      </w:r>
      <w:r>
        <w:rPr>
          <w:spacing w:val="-7"/>
          <w:sz w:val="22"/>
        </w:rPr>
        <w:t> </w:t>
      </w:r>
      <w:r>
        <w:rPr>
          <w:sz w:val="22"/>
        </w:rPr>
        <w:t>challenge</w:t>
      </w:r>
      <w:r>
        <w:rPr>
          <w:spacing w:val="-8"/>
          <w:sz w:val="22"/>
        </w:rPr>
        <w:t> </w:t>
      </w:r>
      <w:r>
        <w:rPr>
          <w:sz w:val="22"/>
        </w:rPr>
        <w:t>to</w:t>
      </w:r>
      <w:r>
        <w:rPr>
          <w:spacing w:val="-9"/>
          <w:sz w:val="22"/>
        </w:rPr>
        <w:t> </w:t>
      </w:r>
      <w:r>
        <w:rPr>
          <w:sz w:val="22"/>
        </w:rPr>
        <w:t>many beneficiaries that must forgo access to care due to the high cost of entry</w:t>
      </w:r>
      <w:r>
        <w:rPr>
          <w:spacing w:val="-18"/>
          <w:sz w:val="22"/>
        </w:rPr>
        <w:t> </w:t>
      </w:r>
      <w:r>
        <w:rPr>
          <w:sz w:val="22"/>
        </w:rPr>
        <w:t>barriers.</w:t>
      </w:r>
    </w:p>
    <w:p>
      <w:pPr>
        <w:pStyle w:val="BodyText"/>
        <w:spacing w:before="156"/>
        <w:ind w:left="112" w:right="107"/>
        <w:jc w:val="both"/>
      </w:pPr>
      <w:r>
        <w:rPr/>
        <w:t>All these factors combined create unique pressure towards the use of MA funds to cover basic gaps in benefits which</w:t>
      </w:r>
      <w:r>
        <w:rPr>
          <w:spacing w:val="-13"/>
        </w:rPr>
        <w:t> </w:t>
      </w:r>
      <w:r>
        <w:rPr/>
        <w:t>fall</w:t>
      </w:r>
      <w:r>
        <w:rPr>
          <w:spacing w:val="-12"/>
        </w:rPr>
        <w:t> </w:t>
      </w:r>
      <w:r>
        <w:rPr/>
        <w:t>outside</w:t>
      </w:r>
      <w:r>
        <w:rPr>
          <w:spacing w:val="-13"/>
        </w:rPr>
        <w:t> </w:t>
      </w:r>
      <w:r>
        <w:rPr/>
        <w:t>of</w:t>
      </w:r>
      <w:r>
        <w:rPr>
          <w:spacing w:val="-13"/>
        </w:rPr>
        <w:t> </w:t>
      </w:r>
      <w:r>
        <w:rPr/>
        <w:t>the</w:t>
      </w:r>
      <w:r>
        <w:rPr>
          <w:spacing w:val="-13"/>
        </w:rPr>
        <w:t> </w:t>
      </w:r>
      <w:r>
        <w:rPr/>
        <w:t>MA</w:t>
      </w:r>
      <w:r>
        <w:rPr>
          <w:spacing w:val="-14"/>
        </w:rPr>
        <w:t> </w:t>
      </w:r>
      <w:r>
        <w:rPr/>
        <w:t>A/B</w:t>
      </w:r>
      <w:r>
        <w:rPr>
          <w:spacing w:val="-14"/>
        </w:rPr>
        <w:t> </w:t>
      </w:r>
      <w:r>
        <w:rPr/>
        <w:t>bid.</w:t>
      </w:r>
      <w:r>
        <w:rPr>
          <w:spacing w:val="29"/>
        </w:rPr>
        <w:t> </w:t>
      </w:r>
      <w:r>
        <w:rPr/>
        <w:t>Consequently,</w:t>
      </w:r>
      <w:r>
        <w:rPr>
          <w:spacing w:val="-13"/>
        </w:rPr>
        <w:t> </w:t>
      </w:r>
      <w:r>
        <w:rPr/>
        <w:t>the</w:t>
      </w:r>
      <w:r>
        <w:rPr>
          <w:spacing w:val="-13"/>
        </w:rPr>
        <w:t> </w:t>
      </w:r>
      <w:r>
        <w:rPr/>
        <w:t>relative</w:t>
      </w:r>
      <w:r>
        <w:rPr>
          <w:spacing w:val="-13"/>
        </w:rPr>
        <w:t> </w:t>
      </w:r>
      <w:r>
        <w:rPr/>
        <w:t>attractiveness</w:t>
      </w:r>
      <w:r>
        <w:rPr>
          <w:spacing w:val="-12"/>
        </w:rPr>
        <w:t> </w:t>
      </w:r>
      <w:r>
        <w:rPr/>
        <w:t>of</w:t>
      </w:r>
      <w:r>
        <w:rPr>
          <w:spacing w:val="-13"/>
        </w:rPr>
        <w:t> </w:t>
      </w:r>
      <w:r>
        <w:rPr/>
        <w:t>the</w:t>
      </w:r>
      <w:r>
        <w:rPr>
          <w:spacing w:val="-13"/>
        </w:rPr>
        <w:t> </w:t>
      </w:r>
      <w:r>
        <w:rPr/>
        <w:t>MA</w:t>
      </w:r>
      <w:r>
        <w:rPr>
          <w:spacing w:val="-14"/>
        </w:rPr>
        <w:t> </w:t>
      </w:r>
      <w:r>
        <w:rPr/>
        <w:t>program</w:t>
      </w:r>
      <w:r>
        <w:rPr>
          <w:spacing w:val="-16"/>
        </w:rPr>
        <w:t> </w:t>
      </w:r>
      <w:r>
        <w:rPr/>
        <w:t>as</w:t>
      </w:r>
      <w:r>
        <w:rPr>
          <w:spacing w:val="-13"/>
        </w:rPr>
        <w:t> </w:t>
      </w:r>
      <w:r>
        <w:rPr/>
        <w:t>a</w:t>
      </w:r>
      <w:r>
        <w:rPr>
          <w:spacing w:val="-13"/>
        </w:rPr>
        <w:t> </w:t>
      </w:r>
      <w:r>
        <w:rPr/>
        <w:t>successful health</w:t>
      </w:r>
      <w:r>
        <w:rPr>
          <w:spacing w:val="-6"/>
        </w:rPr>
        <w:t> </w:t>
      </w:r>
      <w:r>
        <w:rPr/>
        <w:t>care</w:t>
      </w:r>
      <w:r>
        <w:rPr>
          <w:spacing w:val="-3"/>
        </w:rPr>
        <w:t> </w:t>
      </w:r>
      <w:r>
        <w:rPr/>
        <w:t>policy</w:t>
      </w:r>
      <w:r>
        <w:rPr>
          <w:spacing w:val="-6"/>
        </w:rPr>
        <w:t> </w:t>
      </w:r>
      <w:r>
        <w:rPr/>
        <w:t>for</w:t>
      </w:r>
      <w:r>
        <w:rPr>
          <w:spacing w:val="-5"/>
        </w:rPr>
        <w:t> </w:t>
      </w:r>
      <w:r>
        <w:rPr/>
        <w:t>the</w:t>
      </w:r>
      <w:r>
        <w:rPr>
          <w:spacing w:val="-3"/>
        </w:rPr>
        <w:t> </w:t>
      </w:r>
      <w:r>
        <w:rPr/>
        <w:t>neediest</w:t>
      </w:r>
      <w:r>
        <w:rPr>
          <w:spacing w:val="-5"/>
        </w:rPr>
        <w:t> </w:t>
      </w:r>
      <w:r>
        <w:rPr/>
        <w:t>should</w:t>
      </w:r>
      <w:r>
        <w:rPr>
          <w:spacing w:val="-6"/>
        </w:rPr>
        <w:t> </w:t>
      </w:r>
      <w:r>
        <w:rPr/>
        <w:t>not</w:t>
      </w:r>
      <w:r>
        <w:rPr>
          <w:spacing w:val="-5"/>
        </w:rPr>
        <w:t> </w:t>
      </w:r>
      <w:r>
        <w:rPr/>
        <w:t>be</w:t>
      </w:r>
      <w:r>
        <w:rPr>
          <w:spacing w:val="-6"/>
        </w:rPr>
        <w:t> </w:t>
      </w:r>
      <w:r>
        <w:rPr/>
        <w:t>a</w:t>
      </w:r>
      <w:r>
        <w:rPr>
          <w:spacing w:val="-3"/>
        </w:rPr>
        <w:t> </w:t>
      </w:r>
      <w:r>
        <w:rPr/>
        <w:t>deterrent</w:t>
      </w:r>
      <w:r>
        <w:rPr>
          <w:spacing w:val="-5"/>
        </w:rPr>
        <w:t> </w:t>
      </w:r>
      <w:r>
        <w:rPr/>
        <w:t>for</w:t>
      </w:r>
      <w:r>
        <w:rPr>
          <w:spacing w:val="-5"/>
        </w:rPr>
        <w:t> </w:t>
      </w:r>
      <w:r>
        <w:rPr/>
        <w:t>the</w:t>
      </w:r>
      <w:r>
        <w:rPr>
          <w:spacing w:val="-6"/>
        </w:rPr>
        <w:t> </w:t>
      </w:r>
      <w:r>
        <w:rPr/>
        <w:t>implementation</w:t>
      </w:r>
      <w:r>
        <w:rPr>
          <w:spacing w:val="-9"/>
        </w:rPr>
        <w:t> </w:t>
      </w:r>
      <w:r>
        <w:rPr/>
        <w:t>of</w:t>
      </w:r>
      <w:r>
        <w:rPr>
          <w:spacing w:val="-5"/>
        </w:rPr>
        <w:t> </w:t>
      </w:r>
      <w:r>
        <w:rPr/>
        <w:t>tangible</w:t>
      </w:r>
      <w:r>
        <w:rPr>
          <w:spacing w:val="-3"/>
        </w:rPr>
        <w:t> </w:t>
      </w:r>
      <w:r>
        <w:rPr/>
        <w:t>policy</w:t>
      </w:r>
      <w:r>
        <w:rPr>
          <w:spacing w:val="-6"/>
        </w:rPr>
        <w:t> </w:t>
      </w:r>
      <w:r>
        <w:rPr/>
        <w:t>adjustments to</w:t>
      </w:r>
      <w:r>
        <w:rPr>
          <w:spacing w:val="-12"/>
        </w:rPr>
        <w:t> </w:t>
      </w:r>
      <w:r>
        <w:rPr/>
        <w:t>mitigate</w:t>
      </w:r>
      <w:r>
        <w:rPr>
          <w:spacing w:val="-13"/>
        </w:rPr>
        <w:t> </w:t>
      </w:r>
      <w:r>
        <w:rPr/>
        <w:t>the</w:t>
      </w:r>
      <w:r>
        <w:rPr>
          <w:spacing w:val="-12"/>
        </w:rPr>
        <w:t> </w:t>
      </w:r>
      <w:r>
        <w:rPr/>
        <w:t>gap</w:t>
      </w:r>
      <w:r>
        <w:rPr>
          <w:spacing w:val="-12"/>
        </w:rPr>
        <w:t> </w:t>
      </w:r>
      <w:r>
        <w:rPr/>
        <w:t>in</w:t>
      </w:r>
      <w:r>
        <w:rPr>
          <w:spacing w:val="-13"/>
        </w:rPr>
        <w:t> </w:t>
      </w:r>
      <w:r>
        <w:rPr/>
        <w:t>MA</w:t>
      </w:r>
      <w:r>
        <w:rPr>
          <w:spacing w:val="-12"/>
        </w:rPr>
        <w:t> </w:t>
      </w:r>
      <w:r>
        <w:rPr/>
        <w:t>rates.</w:t>
      </w:r>
      <w:r>
        <w:rPr>
          <w:spacing w:val="33"/>
        </w:rPr>
        <w:t> </w:t>
      </w:r>
      <w:r>
        <w:rPr/>
        <w:t>Puerto</w:t>
      </w:r>
      <w:r>
        <w:rPr>
          <w:spacing w:val="-12"/>
        </w:rPr>
        <w:t> </w:t>
      </w:r>
      <w:r>
        <w:rPr/>
        <w:t>Rico</w:t>
      </w:r>
      <w:r>
        <w:rPr>
          <w:spacing w:val="-12"/>
        </w:rPr>
        <w:t> </w:t>
      </w:r>
      <w:r>
        <w:rPr/>
        <w:t>will</w:t>
      </w:r>
      <w:r>
        <w:rPr>
          <w:spacing w:val="-11"/>
        </w:rPr>
        <w:t> </w:t>
      </w:r>
      <w:r>
        <w:rPr/>
        <w:t>continue</w:t>
      </w:r>
      <w:r>
        <w:rPr>
          <w:spacing w:val="-12"/>
        </w:rPr>
        <w:t> </w:t>
      </w:r>
      <w:r>
        <w:rPr/>
        <w:t>to</w:t>
      </w:r>
      <w:r>
        <w:rPr>
          <w:spacing w:val="-12"/>
        </w:rPr>
        <w:t> </w:t>
      </w:r>
      <w:r>
        <w:rPr/>
        <w:t>be</w:t>
      </w:r>
      <w:r>
        <w:rPr>
          <w:spacing w:val="-13"/>
        </w:rPr>
        <w:t> </w:t>
      </w:r>
      <w:r>
        <w:rPr/>
        <w:t>the</w:t>
      </w:r>
      <w:r>
        <w:rPr>
          <w:spacing w:val="-12"/>
        </w:rPr>
        <w:t> </w:t>
      </w:r>
      <w:r>
        <w:rPr/>
        <w:t>most</w:t>
      </w:r>
      <w:r>
        <w:rPr>
          <w:spacing w:val="-7"/>
        </w:rPr>
        <w:t> </w:t>
      </w:r>
      <w:r>
        <w:rPr/>
        <w:t>cost-effective</w:t>
      </w:r>
      <w:r>
        <w:rPr>
          <w:spacing w:val="-12"/>
        </w:rPr>
        <w:t> </w:t>
      </w:r>
      <w:r>
        <w:rPr/>
        <w:t>MA</w:t>
      </w:r>
      <w:r>
        <w:rPr>
          <w:spacing w:val="-12"/>
        </w:rPr>
        <w:t> </w:t>
      </w:r>
      <w:r>
        <w:rPr/>
        <w:t>program</w:t>
      </w:r>
      <w:r>
        <w:rPr>
          <w:spacing w:val="-14"/>
        </w:rPr>
        <w:t> </w:t>
      </w:r>
      <w:r>
        <w:rPr/>
        <w:t>in</w:t>
      </w:r>
      <w:r>
        <w:rPr>
          <w:spacing w:val="-12"/>
        </w:rPr>
        <w:t> </w:t>
      </w:r>
      <w:r>
        <w:rPr/>
        <w:t>the</w:t>
      </w:r>
      <w:r>
        <w:rPr>
          <w:spacing w:val="-12"/>
        </w:rPr>
        <w:t> </w:t>
      </w:r>
      <w:r>
        <w:rPr/>
        <w:t>United States even after the implementation of the proposals listed below that address the aggravating</w:t>
      </w:r>
      <w:r>
        <w:rPr>
          <w:spacing w:val="-34"/>
        </w:rPr>
        <w:t> </w:t>
      </w:r>
      <w:r>
        <w:rPr/>
        <w:t>anomalies.</w:t>
      </w:r>
    </w:p>
    <w:p>
      <w:pPr>
        <w:pStyle w:val="BodyText"/>
        <w:spacing w:before="9"/>
        <w:rPr>
          <w:sz w:val="21"/>
        </w:rPr>
      </w:pPr>
    </w:p>
    <w:p>
      <w:pPr>
        <w:pStyle w:val="Heading2"/>
        <w:jc w:val="both"/>
        <w:rPr>
          <w:u w:val="none"/>
        </w:rPr>
      </w:pPr>
      <w:r>
        <w:rPr>
          <w:u w:val="thick"/>
        </w:rPr>
        <w:t>The Widening Gap in Benchmarks is Impacting the System</w:t>
      </w:r>
    </w:p>
    <w:p>
      <w:pPr>
        <w:pStyle w:val="BodyText"/>
        <w:spacing w:before="1"/>
        <w:rPr>
          <w:b/>
          <w:sz w:val="14"/>
        </w:rPr>
      </w:pPr>
    </w:p>
    <w:p>
      <w:pPr>
        <w:pStyle w:val="BodyText"/>
        <w:spacing w:before="91"/>
        <w:ind w:left="112" w:right="108" w:firstLine="720"/>
        <w:jc w:val="both"/>
      </w:pPr>
      <w:r>
        <w:rPr>
          <w:b/>
        </w:rPr>
        <w:t>Accelerating Physician Migration</w:t>
      </w:r>
      <w:r>
        <w:rPr/>
        <w:t>. A direct consequence of the extremely low MA benchmarks is the persisting gap in provider compensation that fuels physician migration. The Puerto Rico College of Physicians and Surgeons maintains a registry of active doctors. Last year, before the hurricanes hit, they reported that over 5,000 physicians left Puerto Rico from 2006 to 2016, which is a 36% decline in the total amount of physicians available to care for over 3 million residents. In addition, early estimates indicate that another 500 to 700 physicians</w:t>
      </w:r>
      <w:r>
        <w:rPr>
          <w:spacing w:val="-6"/>
        </w:rPr>
        <w:t> </w:t>
      </w:r>
      <w:r>
        <w:rPr/>
        <w:t>may</w:t>
      </w:r>
      <w:r>
        <w:rPr>
          <w:spacing w:val="-9"/>
        </w:rPr>
        <w:t> </w:t>
      </w:r>
      <w:r>
        <w:rPr/>
        <w:t>have</w:t>
      </w:r>
      <w:r>
        <w:rPr>
          <w:spacing w:val="-7"/>
        </w:rPr>
        <w:t> </w:t>
      </w:r>
      <w:r>
        <w:rPr/>
        <w:t>left</w:t>
      </w:r>
      <w:r>
        <w:rPr>
          <w:spacing w:val="-9"/>
        </w:rPr>
        <w:t> </w:t>
      </w:r>
      <w:r>
        <w:rPr/>
        <w:t>the</w:t>
      </w:r>
      <w:r>
        <w:rPr>
          <w:spacing w:val="-7"/>
        </w:rPr>
        <w:t> </w:t>
      </w:r>
      <w:r>
        <w:rPr/>
        <w:t>island</w:t>
      </w:r>
      <w:r>
        <w:rPr>
          <w:spacing w:val="-7"/>
        </w:rPr>
        <w:t> </w:t>
      </w:r>
      <w:r>
        <w:rPr/>
        <w:t>in</w:t>
      </w:r>
      <w:r>
        <w:rPr>
          <w:spacing w:val="-7"/>
        </w:rPr>
        <w:t> </w:t>
      </w:r>
      <w:r>
        <w:rPr/>
        <w:t>the</w:t>
      </w:r>
      <w:r>
        <w:rPr>
          <w:spacing w:val="-7"/>
        </w:rPr>
        <w:t> </w:t>
      </w:r>
      <w:r>
        <w:rPr/>
        <w:t>past</w:t>
      </w:r>
      <w:r>
        <w:rPr>
          <w:spacing w:val="-8"/>
        </w:rPr>
        <w:t> </w:t>
      </w:r>
      <w:r>
        <w:rPr/>
        <w:t>year</w:t>
      </w:r>
      <w:r>
        <w:rPr>
          <w:position w:val="8"/>
          <w:sz w:val="14"/>
        </w:rPr>
        <w:t>3</w:t>
      </w:r>
      <w:r>
        <w:rPr>
          <w:spacing w:val="13"/>
          <w:position w:val="8"/>
          <w:sz w:val="14"/>
        </w:rPr>
        <w:t> </w:t>
      </w:r>
      <w:r>
        <w:rPr/>
        <w:t>and</w:t>
      </w:r>
      <w:r>
        <w:rPr>
          <w:spacing w:val="-9"/>
        </w:rPr>
        <w:t> </w:t>
      </w:r>
      <w:r>
        <w:rPr/>
        <w:t>while</w:t>
      </w:r>
      <w:r>
        <w:rPr>
          <w:spacing w:val="-7"/>
        </w:rPr>
        <w:t> </w:t>
      </w:r>
      <w:r>
        <w:rPr/>
        <w:t>it</w:t>
      </w:r>
      <w:r>
        <w:rPr>
          <w:spacing w:val="-9"/>
        </w:rPr>
        <w:t> </w:t>
      </w:r>
      <w:r>
        <w:rPr/>
        <w:t>is</w:t>
      </w:r>
      <w:r>
        <w:rPr>
          <w:spacing w:val="-9"/>
        </w:rPr>
        <w:t> </w:t>
      </w:r>
      <w:r>
        <w:rPr/>
        <w:t>too</w:t>
      </w:r>
      <w:r>
        <w:rPr>
          <w:spacing w:val="-9"/>
        </w:rPr>
        <w:t> </w:t>
      </w:r>
      <w:r>
        <w:rPr/>
        <w:t>early</w:t>
      </w:r>
      <w:r>
        <w:rPr>
          <w:spacing w:val="-8"/>
        </w:rPr>
        <w:t> </w:t>
      </w:r>
      <w:r>
        <w:rPr/>
        <w:t>to</w:t>
      </w:r>
      <w:r>
        <w:rPr>
          <w:spacing w:val="-9"/>
        </w:rPr>
        <w:t> </w:t>
      </w:r>
      <w:r>
        <w:rPr/>
        <w:t>have</w:t>
      </w:r>
      <w:r>
        <w:rPr>
          <w:spacing w:val="-9"/>
        </w:rPr>
        <w:t> </w:t>
      </w:r>
      <w:r>
        <w:rPr/>
        <w:t>a</w:t>
      </w:r>
      <w:r>
        <w:rPr>
          <w:spacing w:val="-7"/>
        </w:rPr>
        <w:t> </w:t>
      </w:r>
      <w:r>
        <w:rPr/>
        <w:t>clear</w:t>
      </w:r>
      <w:r>
        <w:rPr>
          <w:spacing w:val="-6"/>
        </w:rPr>
        <w:t> </w:t>
      </w:r>
      <w:r>
        <w:rPr/>
        <w:t>view</w:t>
      </w:r>
      <w:r>
        <w:rPr>
          <w:spacing w:val="-8"/>
        </w:rPr>
        <w:t> </w:t>
      </w:r>
      <w:r>
        <w:rPr/>
        <w:t>of</w:t>
      </w:r>
      <w:r>
        <w:rPr>
          <w:spacing w:val="-6"/>
        </w:rPr>
        <w:t> </w:t>
      </w:r>
      <w:r>
        <w:rPr/>
        <w:t>post-hurricane numbers, all indications are that the situation has gotten</w:t>
      </w:r>
      <w:r>
        <w:rPr>
          <w:spacing w:val="-22"/>
        </w:rPr>
        <w:t> </w:t>
      </w:r>
      <w:r>
        <w:rPr/>
        <w:t>worse.</w:t>
      </w:r>
    </w:p>
    <w:p>
      <w:pPr>
        <w:pStyle w:val="BodyText"/>
        <w:spacing w:before="11"/>
        <w:rPr>
          <w:sz w:val="21"/>
        </w:rPr>
      </w:pPr>
    </w:p>
    <w:p>
      <w:pPr>
        <w:pStyle w:val="BodyText"/>
        <w:ind w:left="112" w:right="107" w:firstLine="720"/>
        <w:jc w:val="both"/>
      </w:pPr>
      <w:r>
        <w:rPr/>
        <w:t>On</w:t>
      </w:r>
      <w:r>
        <w:rPr>
          <w:spacing w:val="-9"/>
        </w:rPr>
        <w:t> </w:t>
      </w:r>
      <w:r>
        <w:rPr/>
        <w:t>the</w:t>
      </w:r>
      <w:r>
        <w:rPr>
          <w:spacing w:val="-11"/>
        </w:rPr>
        <w:t> </w:t>
      </w:r>
      <w:r>
        <w:rPr/>
        <w:t>other</w:t>
      </w:r>
      <w:r>
        <w:rPr>
          <w:spacing w:val="-10"/>
        </w:rPr>
        <w:t> </w:t>
      </w:r>
      <w:r>
        <w:rPr/>
        <w:t>hand,</w:t>
      </w:r>
      <w:r>
        <w:rPr>
          <w:spacing w:val="-9"/>
        </w:rPr>
        <w:t> </w:t>
      </w:r>
      <w:r>
        <w:rPr/>
        <w:t>as</w:t>
      </w:r>
      <w:r>
        <w:rPr>
          <w:spacing w:val="-10"/>
        </w:rPr>
        <w:t> </w:t>
      </w:r>
      <w:r>
        <w:rPr/>
        <w:t>stated</w:t>
      </w:r>
      <w:r>
        <w:rPr>
          <w:spacing w:val="-13"/>
        </w:rPr>
        <w:t> </w:t>
      </w:r>
      <w:r>
        <w:rPr/>
        <w:t>in</w:t>
      </w:r>
      <w:r>
        <w:rPr>
          <w:spacing w:val="-11"/>
        </w:rPr>
        <w:t> </w:t>
      </w:r>
      <w:r>
        <w:rPr/>
        <w:t>the</w:t>
      </w:r>
      <w:r>
        <w:rPr>
          <w:spacing w:val="-11"/>
        </w:rPr>
        <w:t> </w:t>
      </w:r>
      <w:r>
        <w:rPr/>
        <w:t>White</w:t>
      </w:r>
      <w:r>
        <w:rPr>
          <w:spacing w:val="-8"/>
        </w:rPr>
        <w:t> </w:t>
      </w:r>
      <w:r>
        <w:rPr/>
        <w:t>House</w:t>
      </w:r>
      <w:r>
        <w:rPr>
          <w:spacing w:val="-11"/>
        </w:rPr>
        <w:t> </w:t>
      </w:r>
      <w:r>
        <w:rPr/>
        <w:t>Task</w:t>
      </w:r>
      <w:r>
        <w:rPr>
          <w:spacing w:val="-11"/>
        </w:rPr>
        <w:t> </w:t>
      </w:r>
      <w:r>
        <w:rPr/>
        <w:t>Force</w:t>
      </w:r>
      <w:r>
        <w:rPr>
          <w:spacing w:val="-10"/>
        </w:rPr>
        <w:t> </w:t>
      </w:r>
      <w:r>
        <w:rPr/>
        <w:t>on</w:t>
      </w:r>
      <w:r>
        <w:rPr>
          <w:spacing w:val="-9"/>
        </w:rPr>
        <w:t> </w:t>
      </w:r>
      <w:r>
        <w:rPr/>
        <w:t>Puerto</w:t>
      </w:r>
      <w:r>
        <w:rPr>
          <w:spacing w:val="-9"/>
        </w:rPr>
        <w:t> </w:t>
      </w:r>
      <w:r>
        <w:rPr/>
        <w:t>Rico</w:t>
      </w:r>
      <w:r>
        <w:rPr>
          <w:spacing w:val="-11"/>
        </w:rPr>
        <w:t> </w:t>
      </w:r>
      <w:r>
        <w:rPr/>
        <w:t>End</w:t>
      </w:r>
      <w:r>
        <w:rPr>
          <w:spacing w:val="-11"/>
        </w:rPr>
        <w:t> </w:t>
      </w:r>
      <w:r>
        <w:rPr/>
        <w:t>of</w:t>
      </w:r>
      <w:r>
        <w:rPr>
          <w:spacing w:val="-10"/>
        </w:rPr>
        <w:t> </w:t>
      </w:r>
      <w:r>
        <w:rPr/>
        <w:t>Administration</w:t>
      </w:r>
      <w:r>
        <w:rPr>
          <w:spacing w:val="-9"/>
        </w:rPr>
        <w:t> </w:t>
      </w:r>
      <w:r>
        <w:rPr/>
        <w:t>Report, the U.S. Department of Health and Human Services includes in the future goals and sections the importance  </w:t>
      </w:r>
      <w:r>
        <w:rPr>
          <w:spacing w:val="41"/>
        </w:rPr>
        <w:t> </w:t>
      </w:r>
      <w:r>
        <w:rPr/>
        <w:t>of</w:t>
      </w:r>
    </w:p>
    <w:p>
      <w:pPr>
        <w:pStyle w:val="BodyText"/>
        <w:rPr>
          <w:sz w:val="20"/>
        </w:rPr>
      </w:pPr>
    </w:p>
    <w:p>
      <w:pPr>
        <w:pStyle w:val="BodyText"/>
        <w:rPr>
          <w:sz w:val="20"/>
        </w:rPr>
      </w:pPr>
    </w:p>
    <w:p>
      <w:pPr>
        <w:pStyle w:val="BodyText"/>
        <w:spacing w:before="1"/>
        <w:rPr>
          <w:sz w:val="12"/>
        </w:rPr>
      </w:pPr>
      <w:r>
        <w:rPr/>
        <w:pict>
          <v:line style="position:absolute;mso-position-horizontal-relative:page;mso-position-vertical-relative:paragraph;z-index:1384;mso-wrap-distance-left:0;mso-wrap-distance-right:0" from="57.599998pt,9.219339pt" to="201.619998pt,9.219339pt" stroked="true" strokeweight=".599980pt" strokecolor="#000000">
            <v:stroke dashstyle="solid"/>
            <w10:wrap type="topAndBottom"/>
          </v:line>
        </w:pict>
      </w:r>
    </w:p>
    <w:p>
      <w:pPr>
        <w:spacing w:before="72"/>
        <w:ind w:left="112" w:right="27" w:firstLine="0"/>
        <w:jc w:val="left"/>
        <w:rPr>
          <w:rFonts w:ascii="Calibri"/>
          <w:sz w:val="20"/>
        </w:rPr>
      </w:pPr>
      <w:r>
        <w:rPr>
          <w:rFonts w:ascii="Calibri"/>
          <w:position w:val="7"/>
          <w:sz w:val="13"/>
        </w:rPr>
        <w:t>2 </w:t>
      </w:r>
      <w:hyperlink r:id="rId16">
        <w:r>
          <w:rPr>
            <w:rFonts w:ascii="Calibri"/>
            <w:color w:val="0462C1"/>
            <w:sz w:val="20"/>
            <w:u w:val="single" w:color="0462C1"/>
          </w:rPr>
          <w:t>https://www.c2er.org/</w:t>
        </w:r>
      </w:hyperlink>
      <w:r>
        <w:rPr>
          <w:rFonts w:ascii="Calibri"/>
          <w:color w:val="0462C1"/>
          <w:sz w:val="20"/>
          <w:u w:val="single" w:color="0462C1"/>
        </w:rPr>
        <w:t> </w:t>
      </w:r>
      <w:hyperlink r:id="rId17">
        <w:r>
          <w:rPr>
            <w:rFonts w:ascii="Calibri"/>
            <w:color w:val="0462C1"/>
            <w:sz w:val="20"/>
            <w:u w:val="single" w:color="0462C1"/>
          </w:rPr>
          <w:t>http://www.estadisticas.gobierno.pr/iepr/Publicaciones/Encuestas/IndicedeCostodeVida.aspx</w:t>
        </w:r>
      </w:hyperlink>
      <w:r>
        <w:rPr>
          <w:rFonts w:ascii="Calibri"/>
          <w:color w:val="0462C1"/>
          <w:sz w:val="20"/>
          <w:u w:val="single" w:color="0462C1"/>
        </w:rPr>
        <w:t> </w:t>
      </w:r>
      <w:r>
        <w:rPr>
          <w:rFonts w:ascii="Calibri"/>
          <w:sz w:val="20"/>
        </w:rPr>
        <w:t>Based on the review of the reports for the last 4 Trimesters between 2016 and the beginning of 2017.</w:t>
      </w:r>
    </w:p>
    <w:p>
      <w:pPr>
        <w:spacing w:line="245" w:lineRule="exact" w:before="0"/>
        <w:ind w:left="112" w:right="0" w:firstLine="0"/>
        <w:jc w:val="left"/>
        <w:rPr>
          <w:rFonts w:ascii="Calibri"/>
          <w:sz w:val="20"/>
        </w:rPr>
      </w:pPr>
      <w:r>
        <w:rPr>
          <w:rFonts w:ascii="Calibri"/>
          <w:position w:val="7"/>
          <w:sz w:val="13"/>
        </w:rPr>
        <w:t>3 </w:t>
      </w:r>
      <w:hyperlink r:id="rId18">
        <w:r>
          <w:rPr>
            <w:rFonts w:ascii="Calibri"/>
            <w:color w:val="0462C1"/>
            <w:sz w:val="20"/>
            <w:u w:val="single" w:color="0462C1"/>
          </w:rPr>
          <w:t>http://www.colegiomedicopr.org/peligrosa-fuga-de-miles-de-medicos/</w:t>
        </w:r>
      </w:hyperlink>
    </w:p>
    <w:p>
      <w:pPr>
        <w:spacing w:after="0" w:line="245" w:lineRule="exact"/>
        <w:jc w:val="left"/>
        <w:rPr>
          <w:rFonts w:ascii="Calibri"/>
          <w:sz w:val="20"/>
        </w:rPr>
        <w:sectPr>
          <w:pgSz w:w="12240" w:h="15840"/>
          <w:pgMar w:header="0" w:footer="1015" w:top="1360" w:bottom="1200" w:left="1040" w:right="1040"/>
        </w:sectPr>
      </w:pPr>
    </w:p>
    <w:p>
      <w:pPr>
        <w:pStyle w:val="BodyText"/>
        <w:spacing w:before="73"/>
        <w:ind w:left="112" w:right="105"/>
        <w:jc w:val="both"/>
        <w:rPr>
          <w:sz w:val="14"/>
        </w:rPr>
      </w:pPr>
      <w:r>
        <w:rPr/>
        <w:t>working with Puerto Rico to address health care provider shortage</w:t>
      </w:r>
      <w:r>
        <w:rPr>
          <w:position w:val="8"/>
          <w:sz w:val="14"/>
        </w:rPr>
        <w:t>4</w:t>
      </w:r>
      <w:r>
        <w:rPr/>
        <w:t>. Also, the Office of the Assistant Secretary for</w:t>
      </w:r>
      <w:r>
        <w:rPr>
          <w:spacing w:val="-10"/>
        </w:rPr>
        <w:t> </w:t>
      </w:r>
      <w:r>
        <w:rPr/>
        <w:t>Planning</w:t>
      </w:r>
      <w:r>
        <w:rPr>
          <w:spacing w:val="-13"/>
        </w:rPr>
        <w:t> </w:t>
      </w:r>
      <w:r>
        <w:rPr/>
        <w:t>and</w:t>
      </w:r>
      <w:r>
        <w:rPr>
          <w:spacing w:val="-11"/>
        </w:rPr>
        <w:t> </w:t>
      </w:r>
      <w:r>
        <w:rPr/>
        <w:t>Evaluation</w:t>
      </w:r>
      <w:r>
        <w:rPr>
          <w:spacing w:val="-13"/>
        </w:rPr>
        <w:t> </w:t>
      </w:r>
      <w:r>
        <w:rPr/>
        <w:t>has</w:t>
      </w:r>
      <w:r>
        <w:rPr>
          <w:spacing w:val="-10"/>
        </w:rPr>
        <w:t> </w:t>
      </w:r>
      <w:r>
        <w:rPr/>
        <w:t>recognized</w:t>
      </w:r>
      <w:r>
        <w:rPr>
          <w:spacing w:val="-11"/>
        </w:rPr>
        <w:t> </w:t>
      </w:r>
      <w:r>
        <w:rPr/>
        <w:t>that</w:t>
      </w:r>
      <w:r>
        <w:rPr>
          <w:spacing w:val="-10"/>
        </w:rPr>
        <w:t> </w:t>
      </w:r>
      <w:r>
        <w:rPr/>
        <w:t>“Puerto</w:t>
      </w:r>
      <w:r>
        <w:rPr>
          <w:spacing w:val="-13"/>
        </w:rPr>
        <w:t> </w:t>
      </w:r>
      <w:r>
        <w:rPr/>
        <w:t>Rico</w:t>
      </w:r>
      <w:r>
        <w:rPr>
          <w:spacing w:val="-11"/>
        </w:rPr>
        <w:t> </w:t>
      </w:r>
      <w:r>
        <w:rPr/>
        <w:t>has</w:t>
      </w:r>
      <w:r>
        <w:rPr>
          <w:spacing w:val="-10"/>
        </w:rPr>
        <w:t> </w:t>
      </w:r>
      <w:r>
        <w:rPr/>
        <w:t>less</w:t>
      </w:r>
      <w:r>
        <w:rPr>
          <w:spacing w:val="-13"/>
        </w:rPr>
        <w:t> </w:t>
      </w:r>
      <w:r>
        <w:rPr/>
        <w:t>than</w:t>
      </w:r>
      <w:r>
        <w:rPr>
          <w:spacing w:val="-11"/>
        </w:rPr>
        <w:t> </w:t>
      </w:r>
      <w:r>
        <w:rPr/>
        <w:t>half</w:t>
      </w:r>
      <w:r>
        <w:rPr>
          <w:spacing w:val="-10"/>
        </w:rPr>
        <w:t> </w:t>
      </w:r>
      <w:r>
        <w:rPr/>
        <w:t>the</w:t>
      </w:r>
      <w:r>
        <w:rPr>
          <w:spacing w:val="-13"/>
        </w:rPr>
        <w:t> </w:t>
      </w:r>
      <w:r>
        <w:rPr/>
        <w:t>rates</w:t>
      </w:r>
      <w:r>
        <w:rPr>
          <w:spacing w:val="-10"/>
        </w:rPr>
        <w:t> </w:t>
      </w:r>
      <w:r>
        <w:rPr/>
        <w:t>of</w:t>
      </w:r>
      <w:r>
        <w:rPr>
          <w:spacing w:val="-10"/>
        </w:rPr>
        <w:t> </w:t>
      </w:r>
      <w:r>
        <w:rPr/>
        <w:t>emergency</w:t>
      </w:r>
      <w:r>
        <w:rPr>
          <w:spacing w:val="-13"/>
        </w:rPr>
        <w:t> </w:t>
      </w:r>
      <w:r>
        <w:rPr/>
        <w:t>physicians; neurosurgeons; orthopedists and hand surgeons; plastic surgeons; and ear, nose, and throat specialists, compared to the availability of these providers on the U.S. mainland. Available evidence clearly indicates a shortage of specialists, and anecdotal evidence suggests a significant emigration of health care professionals to the U.S. mainland.”</w:t>
      </w:r>
      <w:r>
        <w:rPr>
          <w:position w:val="8"/>
          <w:sz w:val="14"/>
        </w:rPr>
        <w:t>5</w:t>
      </w:r>
      <w:r>
        <w:rPr>
          <w:spacing w:val="9"/>
          <w:position w:val="8"/>
          <w:sz w:val="14"/>
        </w:rPr>
        <w:t> </w:t>
      </w:r>
      <w:r>
        <w:rPr/>
        <w:t>Urban</w:t>
      </w:r>
      <w:r>
        <w:rPr>
          <w:spacing w:val="-11"/>
        </w:rPr>
        <w:t> </w:t>
      </w:r>
      <w:r>
        <w:rPr/>
        <w:t>Institute</w:t>
      </w:r>
      <w:r>
        <w:rPr>
          <w:spacing w:val="-13"/>
        </w:rPr>
        <w:t> </w:t>
      </w:r>
      <w:r>
        <w:rPr/>
        <w:t>also</w:t>
      </w:r>
      <w:r>
        <w:rPr>
          <w:spacing w:val="-10"/>
        </w:rPr>
        <w:t> </w:t>
      </w:r>
      <w:r>
        <w:rPr/>
        <w:t>analyzed</w:t>
      </w:r>
      <w:r>
        <w:rPr>
          <w:spacing w:val="-11"/>
        </w:rPr>
        <w:t> </w:t>
      </w:r>
      <w:r>
        <w:rPr/>
        <w:t>this</w:t>
      </w:r>
      <w:r>
        <w:rPr>
          <w:spacing w:val="-10"/>
        </w:rPr>
        <w:t> </w:t>
      </w:r>
      <w:r>
        <w:rPr/>
        <w:t>situation</w:t>
      </w:r>
      <w:r>
        <w:rPr>
          <w:spacing w:val="-10"/>
        </w:rPr>
        <w:t> </w:t>
      </w:r>
      <w:r>
        <w:rPr/>
        <w:t>and</w:t>
      </w:r>
      <w:r>
        <w:rPr>
          <w:spacing w:val="-11"/>
        </w:rPr>
        <w:t> </w:t>
      </w:r>
      <w:r>
        <w:rPr/>
        <w:t>concluded</w:t>
      </w:r>
      <w:r>
        <w:rPr>
          <w:spacing w:val="-11"/>
        </w:rPr>
        <w:t> </w:t>
      </w:r>
      <w:r>
        <w:rPr/>
        <w:t>that:</w:t>
      </w:r>
      <w:r>
        <w:rPr>
          <w:spacing w:val="-10"/>
        </w:rPr>
        <w:t> </w:t>
      </w:r>
      <w:r>
        <w:rPr/>
        <w:t>“Our</w:t>
      </w:r>
      <w:r>
        <w:rPr>
          <w:spacing w:val="-10"/>
        </w:rPr>
        <w:t> </w:t>
      </w:r>
      <w:r>
        <w:rPr/>
        <w:t>environmental</w:t>
      </w:r>
      <w:r>
        <w:rPr>
          <w:spacing w:val="-10"/>
        </w:rPr>
        <w:t> </w:t>
      </w:r>
      <w:r>
        <w:rPr/>
        <w:t>scan</w:t>
      </w:r>
      <w:r>
        <w:rPr>
          <w:spacing w:val="-11"/>
        </w:rPr>
        <w:t> </w:t>
      </w:r>
      <w:r>
        <w:rPr/>
        <w:t>and</w:t>
      </w:r>
      <w:r>
        <w:rPr>
          <w:spacing w:val="-11"/>
        </w:rPr>
        <w:t> </w:t>
      </w:r>
      <w:r>
        <w:rPr/>
        <w:t>site</w:t>
      </w:r>
      <w:r>
        <w:rPr>
          <w:spacing w:val="-11"/>
        </w:rPr>
        <w:t> </w:t>
      </w:r>
      <w:r>
        <w:rPr/>
        <w:t>visit also provided some evidence of long wait times to see specialists. One government official has stated that specialized services have exceptionally longer waiting times, as many as nine months for some specialties. Separately,</w:t>
      </w:r>
      <w:r>
        <w:rPr>
          <w:spacing w:val="-5"/>
        </w:rPr>
        <w:t> </w:t>
      </w:r>
      <w:r>
        <w:rPr/>
        <w:t>several</w:t>
      </w:r>
      <w:r>
        <w:rPr>
          <w:spacing w:val="-4"/>
        </w:rPr>
        <w:t> </w:t>
      </w:r>
      <w:r>
        <w:rPr/>
        <w:t>site</w:t>
      </w:r>
      <w:r>
        <w:rPr>
          <w:spacing w:val="-6"/>
        </w:rPr>
        <w:t> </w:t>
      </w:r>
      <w:r>
        <w:rPr/>
        <w:t>visit</w:t>
      </w:r>
      <w:r>
        <w:rPr>
          <w:spacing w:val="-5"/>
        </w:rPr>
        <w:t> </w:t>
      </w:r>
      <w:r>
        <w:rPr/>
        <w:t>respondents</w:t>
      </w:r>
      <w:r>
        <w:rPr>
          <w:spacing w:val="-5"/>
        </w:rPr>
        <w:t> </w:t>
      </w:r>
      <w:r>
        <w:rPr/>
        <w:t>also</w:t>
      </w:r>
      <w:r>
        <w:rPr>
          <w:spacing w:val="-5"/>
        </w:rPr>
        <w:t> </w:t>
      </w:r>
      <w:r>
        <w:rPr/>
        <w:t>stated</w:t>
      </w:r>
      <w:r>
        <w:rPr>
          <w:spacing w:val="-4"/>
        </w:rPr>
        <w:t> </w:t>
      </w:r>
      <w:r>
        <w:rPr/>
        <w:t>that</w:t>
      </w:r>
      <w:r>
        <w:rPr>
          <w:spacing w:val="-4"/>
        </w:rPr>
        <w:t> </w:t>
      </w:r>
      <w:r>
        <w:rPr/>
        <w:t>long</w:t>
      </w:r>
      <w:r>
        <w:rPr>
          <w:spacing w:val="-6"/>
        </w:rPr>
        <w:t> </w:t>
      </w:r>
      <w:r>
        <w:rPr/>
        <w:t>waiting</w:t>
      </w:r>
      <w:r>
        <w:rPr>
          <w:spacing w:val="-6"/>
        </w:rPr>
        <w:t> </w:t>
      </w:r>
      <w:r>
        <w:rPr/>
        <w:t>times</w:t>
      </w:r>
      <w:r>
        <w:rPr>
          <w:spacing w:val="-4"/>
        </w:rPr>
        <w:t> </w:t>
      </w:r>
      <w:r>
        <w:rPr/>
        <w:t>are</w:t>
      </w:r>
      <w:r>
        <w:rPr>
          <w:spacing w:val="-6"/>
        </w:rPr>
        <w:t> </w:t>
      </w:r>
      <w:r>
        <w:rPr/>
        <w:t>a</w:t>
      </w:r>
      <w:r>
        <w:rPr>
          <w:spacing w:val="-4"/>
        </w:rPr>
        <w:t> </w:t>
      </w:r>
      <w:r>
        <w:rPr/>
        <w:t>problem</w:t>
      </w:r>
      <w:r>
        <w:rPr>
          <w:spacing w:val="-7"/>
        </w:rPr>
        <w:t> </w:t>
      </w:r>
      <w:r>
        <w:rPr/>
        <w:t>for</w:t>
      </w:r>
      <w:r>
        <w:rPr>
          <w:spacing w:val="-4"/>
        </w:rPr>
        <w:t> </w:t>
      </w:r>
      <w:r>
        <w:rPr/>
        <w:t>adults</w:t>
      </w:r>
      <w:r>
        <w:rPr>
          <w:spacing w:val="-5"/>
        </w:rPr>
        <w:t> </w:t>
      </w:r>
      <w:r>
        <w:rPr/>
        <w:t>and</w:t>
      </w:r>
      <w:r>
        <w:rPr>
          <w:spacing w:val="-4"/>
        </w:rPr>
        <w:t> </w:t>
      </w:r>
      <w:r>
        <w:rPr/>
        <w:t>children, especially when making appointments with</w:t>
      </w:r>
      <w:r>
        <w:rPr>
          <w:spacing w:val="-15"/>
        </w:rPr>
        <w:t> </w:t>
      </w:r>
      <w:r>
        <w:rPr/>
        <w:t>specialists.”</w:t>
      </w:r>
      <w:r>
        <w:rPr>
          <w:position w:val="8"/>
          <w:sz w:val="14"/>
        </w:rPr>
        <w:t>6</w:t>
      </w:r>
    </w:p>
    <w:p>
      <w:pPr>
        <w:pStyle w:val="BodyText"/>
        <w:spacing w:before="8"/>
        <w:rPr>
          <w:sz w:val="21"/>
        </w:rPr>
      </w:pPr>
    </w:p>
    <w:p>
      <w:pPr>
        <w:pStyle w:val="BodyText"/>
        <w:spacing w:before="1"/>
        <w:ind w:left="112" w:right="108" w:firstLine="720"/>
        <w:jc w:val="both"/>
      </w:pPr>
      <w:r>
        <w:rPr/>
        <w:t>This</w:t>
      </w:r>
      <w:r>
        <w:rPr>
          <w:spacing w:val="-7"/>
        </w:rPr>
        <w:t> </w:t>
      </w:r>
      <w:r>
        <w:rPr/>
        <w:t>situation</w:t>
      </w:r>
      <w:r>
        <w:rPr>
          <w:spacing w:val="-8"/>
        </w:rPr>
        <w:t> </w:t>
      </w:r>
      <w:r>
        <w:rPr/>
        <w:t>is</w:t>
      </w:r>
      <w:r>
        <w:rPr>
          <w:spacing w:val="-8"/>
        </w:rPr>
        <w:t> </w:t>
      </w:r>
      <w:r>
        <w:rPr/>
        <w:t>also</w:t>
      </w:r>
      <w:r>
        <w:rPr>
          <w:spacing w:val="-7"/>
        </w:rPr>
        <w:t> </w:t>
      </w:r>
      <w:r>
        <w:rPr/>
        <w:t>reflected</w:t>
      </w:r>
      <w:r>
        <w:rPr>
          <w:spacing w:val="-5"/>
        </w:rPr>
        <w:t> </w:t>
      </w:r>
      <w:r>
        <w:rPr/>
        <w:t>thru</w:t>
      </w:r>
      <w:r>
        <w:rPr>
          <w:spacing w:val="-8"/>
        </w:rPr>
        <w:t> </w:t>
      </w:r>
      <w:r>
        <w:rPr/>
        <w:t>the</w:t>
      </w:r>
      <w:r>
        <w:rPr>
          <w:spacing w:val="-5"/>
        </w:rPr>
        <w:t> </w:t>
      </w:r>
      <w:r>
        <w:rPr/>
        <w:t>Health</w:t>
      </w:r>
      <w:r>
        <w:rPr>
          <w:spacing w:val="-6"/>
        </w:rPr>
        <w:t> </w:t>
      </w:r>
      <w:r>
        <w:rPr/>
        <w:t>Resources</w:t>
      </w:r>
      <w:r>
        <w:rPr>
          <w:spacing w:val="-5"/>
        </w:rPr>
        <w:t> </w:t>
      </w:r>
      <w:r>
        <w:rPr/>
        <w:t>and</w:t>
      </w:r>
      <w:r>
        <w:rPr>
          <w:spacing w:val="-5"/>
        </w:rPr>
        <w:t> </w:t>
      </w:r>
      <w:r>
        <w:rPr/>
        <w:t>Services</w:t>
      </w:r>
      <w:r>
        <w:rPr>
          <w:spacing w:val="-8"/>
        </w:rPr>
        <w:t> </w:t>
      </w:r>
      <w:r>
        <w:rPr/>
        <w:t>Administration</w:t>
      </w:r>
      <w:r>
        <w:rPr>
          <w:spacing w:val="-6"/>
        </w:rPr>
        <w:t> </w:t>
      </w:r>
      <w:r>
        <w:rPr/>
        <w:t>(HRSA)</w:t>
      </w:r>
      <w:r>
        <w:rPr>
          <w:spacing w:val="-7"/>
        </w:rPr>
        <w:t> </w:t>
      </w:r>
      <w:r>
        <w:rPr/>
        <w:t>within</w:t>
      </w:r>
      <w:r>
        <w:rPr>
          <w:spacing w:val="-8"/>
        </w:rPr>
        <w:t> </w:t>
      </w:r>
      <w:r>
        <w:rPr/>
        <w:t>the US Department of Health and Human Services, Health Professional Shortage Areas (HPSAs) Designation. The Shortage Designation Branch in the HRSA, Bureau of Health Professions National Center for Health Workforce Analysis, develops shortage designation criteria and uses them to decide whether or not a geographic area or population group is a Medically Underserved</w:t>
      </w:r>
      <w:r>
        <w:rPr>
          <w:spacing w:val="-15"/>
        </w:rPr>
        <w:t> </w:t>
      </w:r>
      <w:r>
        <w:rPr/>
        <w:t>Area.</w:t>
      </w:r>
    </w:p>
    <w:p>
      <w:pPr>
        <w:pStyle w:val="BodyText"/>
        <w:spacing w:before="6"/>
        <w:rPr>
          <w:sz w:val="21"/>
        </w:rPr>
      </w:pPr>
    </w:p>
    <w:p>
      <w:pPr>
        <w:pStyle w:val="Heading3"/>
        <w:ind w:left="652"/>
        <w:rPr>
          <w:sz w:val="14"/>
          <w:u w:val="none"/>
        </w:rPr>
      </w:pPr>
      <w:r>
        <w:rPr>
          <w:u w:val="thick"/>
        </w:rPr>
        <w:t>Chart 2: </w:t>
      </w:r>
      <w:r>
        <w:rPr>
          <w:u w:val="none"/>
        </w:rPr>
        <w:t>Health Professional Shortage Areas (HPSAs), Puerto Rico: January 2018 </w:t>
      </w:r>
      <w:r>
        <w:rPr>
          <w:position w:val="8"/>
          <w:sz w:val="14"/>
          <w:u w:val="none"/>
        </w:rPr>
        <w:t>7</w:t>
      </w:r>
    </w:p>
    <w:p>
      <w:pPr>
        <w:pStyle w:val="BodyText"/>
        <w:spacing w:before="10"/>
        <w:rPr>
          <w:b/>
          <w:sz w:val="19"/>
        </w:rPr>
      </w:pPr>
      <w:r>
        <w:rPr/>
        <w:pict>
          <v:group style="position:absolute;margin-left:85.349998pt;margin-top:13.376382pt;width:425.75pt;height:293.7pt;mso-position-horizontal-relative:page;mso-position-vertical-relative:paragraph;z-index:1408;mso-wrap-distance-left:0;mso-wrap-distance-right:0" coordorigin="1707,268" coordsize="8515,5874">
            <v:shape style="position:absolute;left:1722;top:282;width:8485;height:5843" type="#_x0000_t75" stroked="false">
              <v:imagedata r:id="rId19" o:title=""/>
            </v:shape>
            <v:rect style="position:absolute;left:1714;top:275;width:8500;height:5858" filled="false" stroked="true" strokeweight=".75pt" strokecolor="#92d050">
              <v:stroke dashstyle="solid"/>
            </v:rect>
            <w10:wrap type="topAndBottom"/>
          </v:group>
        </w:pict>
      </w:r>
    </w:p>
    <w:p>
      <w:pPr>
        <w:pStyle w:val="BodyText"/>
        <w:rPr>
          <w:b/>
          <w:sz w:val="20"/>
        </w:rPr>
      </w:pPr>
    </w:p>
    <w:p>
      <w:pPr>
        <w:pStyle w:val="BodyText"/>
        <w:spacing w:before="2"/>
        <w:rPr>
          <w:b/>
          <w:sz w:val="13"/>
        </w:rPr>
      </w:pPr>
      <w:r>
        <w:rPr/>
        <w:pict>
          <v:line style="position:absolute;mso-position-horizontal-relative:page;mso-position-vertical-relative:paragraph;z-index:1432;mso-wrap-distance-left:0;mso-wrap-distance-right:0" from="57.599998pt,9.855957pt" to="201.619998pt,9.855957pt" stroked="true" strokeweight=".60004pt" strokecolor="#000000">
            <v:stroke dashstyle="solid"/>
            <w10:wrap type="topAndBottom"/>
          </v:line>
        </w:pict>
      </w:r>
    </w:p>
    <w:p>
      <w:pPr>
        <w:spacing w:before="70"/>
        <w:ind w:left="112" w:right="27" w:firstLine="0"/>
        <w:jc w:val="left"/>
        <w:rPr>
          <w:sz w:val="20"/>
        </w:rPr>
      </w:pPr>
      <w:r>
        <w:rPr>
          <w:position w:val="7"/>
          <w:sz w:val="13"/>
        </w:rPr>
        <w:t>4 </w:t>
      </w:r>
      <w:r>
        <w:rPr>
          <w:sz w:val="20"/>
        </w:rPr>
        <w:t>Department of Health and Human Services, White House Task Force on Puerto Rico End of Administration Report; November 18, 2016.</w:t>
      </w:r>
    </w:p>
    <w:p>
      <w:pPr>
        <w:spacing w:line="252" w:lineRule="auto" w:before="0"/>
        <w:ind w:left="112" w:right="547" w:firstLine="0"/>
        <w:jc w:val="left"/>
        <w:rPr>
          <w:rFonts w:ascii="Calibri"/>
          <w:sz w:val="20"/>
        </w:rPr>
      </w:pPr>
      <w:r>
        <w:rPr>
          <w:rFonts w:ascii="Calibri"/>
          <w:position w:val="8"/>
          <w:sz w:val="16"/>
        </w:rPr>
        <w:t>5 </w:t>
      </w:r>
      <w:r>
        <w:rPr>
          <w:rFonts w:ascii="Calibri"/>
          <w:sz w:val="20"/>
        </w:rPr>
        <w:t>Department of Health and Human Services Office of the Assistant Secretary for Planning and Evaluation, ASPE Issue Brief: Evidence Indicates a Range of Challenges for Puerto Rico Health Care System; January 12, 2017</w:t>
      </w:r>
    </w:p>
    <w:p>
      <w:pPr>
        <w:spacing w:line="228" w:lineRule="exact" w:before="4"/>
        <w:ind w:left="112" w:right="0" w:firstLine="0"/>
        <w:jc w:val="left"/>
        <w:rPr>
          <w:rFonts w:ascii="Calibri" w:hAnsi="Calibri"/>
          <w:sz w:val="20"/>
        </w:rPr>
      </w:pPr>
      <w:r>
        <w:rPr>
          <w:rFonts w:ascii="Calibri" w:hAnsi="Calibri"/>
          <w:position w:val="7"/>
          <w:sz w:val="13"/>
        </w:rPr>
        <w:t>6 </w:t>
      </w:r>
      <w:r>
        <w:rPr>
          <w:rFonts w:ascii="Calibri" w:hAnsi="Calibri"/>
          <w:sz w:val="20"/>
        </w:rPr>
        <w:t>Urban Institute, Environmental Scan of Puerto Rico’s Health Care Infrastructure; January 2017</w:t>
      </w:r>
    </w:p>
    <w:p>
      <w:pPr>
        <w:spacing w:line="240" w:lineRule="auto" w:before="0"/>
        <w:ind w:left="112" w:right="27" w:firstLine="0"/>
        <w:jc w:val="left"/>
        <w:rPr>
          <w:sz w:val="20"/>
        </w:rPr>
      </w:pPr>
      <w:r>
        <w:rPr>
          <w:position w:val="7"/>
          <w:sz w:val="13"/>
        </w:rPr>
        <w:t>7 </w:t>
      </w:r>
      <w:r>
        <w:rPr>
          <w:sz w:val="20"/>
        </w:rPr>
        <w:t>Health Resources and Services Administration (HRSA) Data Warehouse, Health Professional Shortage Area (HPSA); January 2018, Retrieved February 20 2018 at https://datawarehouse.hrsa.gov/topics/shortageAreas.aspx</w:t>
      </w:r>
    </w:p>
    <w:p>
      <w:pPr>
        <w:spacing w:after="0" w:line="240" w:lineRule="auto"/>
        <w:jc w:val="left"/>
        <w:rPr>
          <w:sz w:val="20"/>
        </w:rPr>
        <w:sectPr>
          <w:pgSz w:w="12240" w:h="15840"/>
          <w:pgMar w:header="0" w:footer="1015" w:top="1360" w:bottom="1200" w:left="1040" w:right="1040"/>
        </w:sectPr>
      </w:pPr>
    </w:p>
    <w:p>
      <w:pPr>
        <w:pStyle w:val="BodyText"/>
        <w:spacing w:before="191"/>
        <w:ind w:left="112" w:right="128" w:firstLine="540"/>
        <w:jc w:val="both"/>
      </w:pPr>
      <w:r>
        <w:rPr/>
        <w:t>According</w:t>
      </w:r>
      <w:r>
        <w:rPr>
          <w:spacing w:val="-14"/>
        </w:rPr>
        <w:t> </w:t>
      </w:r>
      <w:r>
        <w:rPr/>
        <w:t>to</w:t>
      </w:r>
      <w:r>
        <w:rPr>
          <w:spacing w:val="-14"/>
        </w:rPr>
        <w:t> </w:t>
      </w:r>
      <w:r>
        <w:rPr/>
        <w:t>the</w:t>
      </w:r>
      <w:r>
        <w:rPr>
          <w:spacing w:val="-12"/>
        </w:rPr>
        <w:t> </w:t>
      </w:r>
      <w:r>
        <w:rPr/>
        <w:t>HRSA</w:t>
      </w:r>
      <w:r>
        <w:rPr>
          <w:spacing w:val="-13"/>
        </w:rPr>
        <w:t> </w:t>
      </w:r>
      <w:r>
        <w:rPr/>
        <w:t>Data</w:t>
      </w:r>
      <w:r>
        <w:rPr>
          <w:spacing w:val="-12"/>
        </w:rPr>
        <w:t> </w:t>
      </w:r>
      <w:r>
        <w:rPr/>
        <w:t>Warehouse</w:t>
      </w:r>
      <w:r>
        <w:rPr>
          <w:spacing w:val="-13"/>
        </w:rPr>
        <w:t> </w:t>
      </w:r>
      <w:r>
        <w:rPr/>
        <w:t>in</w:t>
      </w:r>
      <w:r>
        <w:rPr>
          <w:spacing w:val="-14"/>
        </w:rPr>
        <w:t> </w:t>
      </w:r>
      <w:r>
        <w:rPr/>
        <w:t>February</w:t>
      </w:r>
      <w:r>
        <w:rPr>
          <w:spacing w:val="-14"/>
        </w:rPr>
        <w:t> </w:t>
      </w:r>
      <w:r>
        <w:rPr/>
        <w:t>2018,</w:t>
      </w:r>
      <w:r>
        <w:rPr>
          <w:spacing w:val="-12"/>
        </w:rPr>
        <w:t> </w:t>
      </w:r>
      <w:r>
        <w:rPr/>
        <w:t>all</w:t>
      </w:r>
      <w:r>
        <w:rPr>
          <w:spacing w:val="-13"/>
        </w:rPr>
        <w:t> </w:t>
      </w:r>
      <w:r>
        <w:rPr/>
        <w:t>of</w:t>
      </w:r>
      <w:r>
        <w:rPr>
          <w:spacing w:val="-13"/>
        </w:rPr>
        <w:t> </w:t>
      </w:r>
      <w:r>
        <w:rPr/>
        <w:t>Puerto</w:t>
      </w:r>
      <w:r>
        <w:rPr>
          <w:spacing w:val="-14"/>
        </w:rPr>
        <w:t> </w:t>
      </w:r>
      <w:r>
        <w:rPr/>
        <w:t>Rico</w:t>
      </w:r>
      <w:r>
        <w:rPr>
          <w:spacing w:val="-14"/>
        </w:rPr>
        <w:t> </w:t>
      </w:r>
      <w:r>
        <w:rPr/>
        <w:t>counties</w:t>
      </w:r>
      <w:r>
        <w:rPr>
          <w:spacing w:val="-11"/>
        </w:rPr>
        <w:t> </w:t>
      </w:r>
      <w:r>
        <w:rPr/>
        <w:t>(78)</w:t>
      </w:r>
      <w:r>
        <w:rPr>
          <w:spacing w:val="-13"/>
        </w:rPr>
        <w:t> </w:t>
      </w:r>
      <w:r>
        <w:rPr/>
        <w:t>were</w:t>
      </w:r>
      <w:r>
        <w:rPr>
          <w:spacing w:val="-12"/>
        </w:rPr>
        <w:t> </w:t>
      </w:r>
      <w:r>
        <w:rPr/>
        <w:t>designated Medically</w:t>
      </w:r>
      <w:r>
        <w:rPr>
          <w:spacing w:val="-9"/>
        </w:rPr>
        <w:t> </w:t>
      </w:r>
      <w:r>
        <w:rPr/>
        <w:t>Underserved</w:t>
      </w:r>
      <w:r>
        <w:rPr>
          <w:spacing w:val="-6"/>
        </w:rPr>
        <w:t> </w:t>
      </w:r>
      <w:r>
        <w:rPr/>
        <w:t>Areas</w:t>
      </w:r>
      <w:r>
        <w:rPr>
          <w:position w:val="8"/>
          <w:sz w:val="14"/>
        </w:rPr>
        <w:t>8</w:t>
      </w:r>
      <w:r>
        <w:rPr/>
        <w:t>.</w:t>
      </w:r>
      <w:r>
        <w:rPr>
          <w:spacing w:val="-6"/>
        </w:rPr>
        <w:t> </w:t>
      </w:r>
      <w:r>
        <w:rPr/>
        <w:t>When</w:t>
      </w:r>
      <w:r>
        <w:rPr>
          <w:spacing w:val="-6"/>
        </w:rPr>
        <w:t> </w:t>
      </w:r>
      <w:r>
        <w:rPr/>
        <w:t>performing</w:t>
      </w:r>
      <w:r>
        <w:rPr>
          <w:spacing w:val="-9"/>
        </w:rPr>
        <w:t> </w:t>
      </w:r>
      <w:r>
        <w:rPr/>
        <w:t>a</w:t>
      </w:r>
      <w:r>
        <w:rPr>
          <w:spacing w:val="-4"/>
        </w:rPr>
        <w:t> </w:t>
      </w:r>
      <w:r>
        <w:rPr/>
        <w:t>more</w:t>
      </w:r>
      <w:r>
        <w:rPr>
          <w:spacing w:val="-6"/>
        </w:rPr>
        <w:t> </w:t>
      </w:r>
      <w:r>
        <w:rPr/>
        <w:t>detailed</w:t>
      </w:r>
      <w:r>
        <w:rPr>
          <w:spacing w:val="-6"/>
        </w:rPr>
        <w:t> </w:t>
      </w:r>
      <w:r>
        <w:rPr/>
        <w:t>analysis,</w:t>
      </w:r>
      <w:r>
        <w:rPr>
          <w:spacing w:val="-5"/>
        </w:rPr>
        <w:t> </w:t>
      </w:r>
      <w:r>
        <w:rPr/>
        <w:t>72</w:t>
      </w:r>
      <w:r>
        <w:rPr>
          <w:spacing w:val="-6"/>
        </w:rPr>
        <w:t> </w:t>
      </w:r>
      <w:r>
        <w:rPr/>
        <w:t>out</w:t>
      </w:r>
      <w:r>
        <w:rPr>
          <w:spacing w:val="-5"/>
        </w:rPr>
        <w:t> </w:t>
      </w:r>
      <w:r>
        <w:rPr/>
        <w:t>of</w:t>
      </w:r>
      <w:r>
        <w:rPr>
          <w:spacing w:val="-5"/>
        </w:rPr>
        <w:t> </w:t>
      </w:r>
      <w:r>
        <w:rPr/>
        <w:t>those</w:t>
      </w:r>
      <w:r>
        <w:rPr>
          <w:spacing w:val="-5"/>
        </w:rPr>
        <w:t> </w:t>
      </w:r>
      <w:r>
        <w:rPr/>
        <w:t>78</w:t>
      </w:r>
      <w:r>
        <w:rPr>
          <w:spacing w:val="-6"/>
        </w:rPr>
        <w:t> </w:t>
      </w:r>
      <w:r>
        <w:rPr/>
        <w:t>had</w:t>
      </w:r>
      <w:r>
        <w:rPr>
          <w:spacing w:val="-6"/>
        </w:rPr>
        <w:t> </w:t>
      </w:r>
      <w:r>
        <w:rPr/>
        <w:t>an</w:t>
      </w:r>
      <w:r>
        <w:rPr>
          <w:spacing w:val="-6"/>
        </w:rPr>
        <w:t> </w:t>
      </w:r>
      <w:r>
        <w:rPr/>
        <w:t>Index</w:t>
      </w:r>
      <w:r>
        <w:rPr>
          <w:spacing w:val="-6"/>
        </w:rPr>
        <w:t> </w:t>
      </w:r>
      <w:r>
        <w:rPr/>
        <w:t>Score of</w:t>
      </w:r>
      <w:r>
        <w:rPr>
          <w:spacing w:val="-8"/>
        </w:rPr>
        <w:t> </w:t>
      </w:r>
      <w:r>
        <w:rPr/>
        <w:t>0,</w:t>
      </w:r>
      <w:r>
        <w:rPr>
          <w:spacing w:val="-9"/>
        </w:rPr>
        <w:t> </w:t>
      </w:r>
      <w:r>
        <w:rPr/>
        <w:t>which</w:t>
      </w:r>
      <w:r>
        <w:rPr>
          <w:spacing w:val="-8"/>
        </w:rPr>
        <w:t> </w:t>
      </w:r>
      <w:r>
        <w:rPr/>
        <w:t>is</w:t>
      </w:r>
      <w:r>
        <w:rPr>
          <w:spacing w:val="-8"/>
        </w:rPr>
        <w:t> </w:t>
      </w:r>
      <w:r>
        <w:rPr/>
        <w:t>the</w:t>
      </w:r>
      <w:r>
        <w:rPr>
          <w:spacing w:val="-8"/>
        </w:rPr>
        <w:t> </w:t>
      </w:r>
      <w:r>
        <w:rPr/>
        <w:t>highest</w:t>
      </w:r>
      <w:r>
        <w:rPr>
          <w:spacing w:val="-8"/>
        </w:rPr>
        <w:t> </w:t>
      </w:r>
      <w:r>
        <w:rPr/>
        <w:t>score</w:t>
      </w:r>
      <w:r>
        <w:rPr>
          <w:spacing w:val="-8"/>
        </w:rPr>
        <w:t> </w:t>
      </w:r>
      <w:r>
        <w:rPr/>
        <w:t>that</w:t>
      </w:r>
      <w:r>
        <w:rPr>
          <w:spacing w:val="-7"/>
        </w:rPr>
        <w:t> </w:t>
      </w:r>
      <w:r>
        <w:rPr/>
        <w:t>a</w:t>
      </w:r>
      <w:r>
        <w:rPr>
          <w:spacing w:val="-8"/>
        </w:rPr>
        <w:t> </w:t>
      </w:r>
      <w:r>
        <w:rPr/>
        <w:t>county</w:t>
      </w:r>
      <w:r>
        <w:rPr>
          <w:spacing w:val="-11"/>
        </w:rPr>
        <w:t> </w:t>
      </w:r>
      <w:r>
        <w:rPr/>
        <w:t>can</w:t>
      </w:r>
      <w:r>
        <w:rPr>
          <w:spacing w:val="-9"/>
        </w:rPr>
        <w:t> </w:t>
      </w:r>
      <w:r>
        <w:rPr/>
        <w:t>receive</w:t>
      </w:r>
      <w:r>
        <w:rPr>
          <w:spacing w:val="-8"/>
        </w:rPr>
        <w:t> </w:t>
      </w:r>
      <w:r>
        <w:rPr/>
        <w:t>representing</w:t>
      </w:r>
      <w:r>
        <w:rPr>
          <w:spacing w:val="-11"/>
        </w:rPr>
        <w:t> </w:t>
      </w:r>
      <w:r>
        <w:rPr/>
        <w:t>that</w:t>
      </w:r>
      <w:r>
        <w:rPr>
          <w:spacing w:val="-7"/>
        </w:rPr>
        <w:t> </w:t>
      </w:r>
      <w:r>
        <w:rPr/>
        <w:t>its</w:t>
      </w:r>
      <w:r>
        <w:rPr>
          <w:spacing w:val="-8"/>
        </w:rPr>
        <w:t> </w:t>
      </w:r>
      <w:r>
        <w:rPr/>
        <w:t>residents</w:t>
      </w:r>
      <w:r>
        <w:rPr>
          <w:spacing w:val="-8"/>
        </w:rPr>
        <w:t> </w:t>
      </w:r>
      <w:r>
        <w:rPr/>
        <w:t>have</w:t>
      </w:r>
      <w:r>
        <w:rPr>
          <w:spacing w:val="-8"/>
        </w:rPr>
        <w:t> </w:t>
      </w:r>
      <w:r>
        <w:rPr/>
        <w:t>a</w:t>
      </w:r>
      <w:r>
        <w:rPr>
          <w:spacing w:val="-8"/>
        </w:rPr>
        <w:t> </w:t>
      </w:r>
      <w:r>
        <w:rPr/>
        <w:t>shortage</w:t>
      </w:r>
      <w:r>
        <w:rPr>
          <w:spacing w:val="-8"/>
        </w:rPr>
        <w:t> </w:t>
      </w:r>
      <w:r>
        <w:rPr/>
        <w:t>of</w:t>
      </w:r>
      <w:r>
        <w:rPr>
          <w:spacing w:val="-8"/>
        </w:rPr>
        <w:t> </w:t>
      </w:r>
      <w:r>
        <w:rPr/>
        <w:t>personal health services. Also, as presented in figure 2, Puerto Rico currently has 96 HPSAs spread among 66 counties ranging between 1 to 7 areas per</w:t>
      </w:r>
      <w:r>
        <w:rPr>
          <w:spacing w:val="-10"/>
        </w:rPr>
        <w:t> </w:t>
      </w:r>
      <w:r>
        <w:rPr/>
        <w:t>county.</w:t>
      </w:r>
    </w:p>
    <w:p>
      <w:pPr>
        <w:pStyle w:val="BodyText"/>
      </w:pPr>
    </w:p>
    <w:p>
      <w:pPr>
        <w:pStyle w:val="Heading3"/>
        <w:ind w:left="112" w:firstLine="720"/>
        <w:rPr>
          <w:u w:val="none"/>
        </w:rPr>
      </w:pPr>
      <w:r>
        <w:rPr>
          <w:u w:val="thick"/>
        </w:rPr>
        <w:t>The Puerto Rico Medicare uniqueness has been acknowledged in the past, and common sense regulatory adjustments have been made to make the programs work.</w:t>
      </w:r>
    </w:p>
    <w:p>
      <w:pPr>
        <w:pStyle w:val="BodyText"/>
        <w:rPr>
          <w:b/>
          <w:sz w:val="14"/>
        </w:rPr>
      </w:pPr>
    </w:p>
    <w:p>
      <w:pPr>
        <w:pStyle w:val="BodyText"/>
        <w:spacing w:before="92"/>
        <w:ind w:left="112" w:right="126" w:firstLine="326"/>
        <w:jc w:val="both"/>
      </w:pPr>
      <w:r>
        <w:rPr/>
        <w:t>The MA bids for counties in Puerto Rico reflect adjustments related to pre-existing anomalies in the program and the FFS data. Particularly, the dual Special Needs Plans (D-SNPs) bids are different to mainland D-SNPs given the statutory exclusion from the regular Part D Low Income Subsidy (LIS) program, compared to beneficiaries</w:t>
      </w:r>
      <w:r>
        <w:rPr>
          <w:spacing w:val="-5"/>
        </w:rPr>
        <w:t> </w:t>
      </w:r>
      <w:r>
        <w:rPr/>
        <w:t>residing</w:t>
      </w:r>
      <w:r>
        <w:rPr>
          <w:spacing w:val="-9"/>
        </w:rPr>
        <w:t> </w:t>
      </w:r>
      <w:r>
        <w:rPr/>
        <w:t>in</w:t>
      </w:r>
      <w:r>
        <w:rPr>
          <w:spacing w:val="-6"/>
        </w:rPr>
        <w:t> </w:t>
      </w:r>
      <w:r>
        <w:rPr/>
        <w:t>the</w:t>
      </w:r>
      <w:r>
        <w:rPr>
          <w:spacing w:val="-8"/>
        </w:rPr>
        <w:t> </w:t>
      </w:r>
      <w:r>
        <w:rPr/>
        <w:t>US.</w:t>
      </w:r>
      <w:r>
        <w:rPr>
          <w:spacing w:val="43"/>
        </w:rPr>
        <w:t> </w:t>
      </w:r>
      <w:r>
        <w:rPr/>
        <w:t>The</w:t>
      </w:r>
      <w:r>
        <w:rPr>
          <w:spacing w:val="-8"/>
        </w:rPr>
        <w:t> </w:t>
      </w:r>
      <w:r>
        <w:rPr/>
        <w:t>MA</w:t>
      </w:r>
      <w:r>
        <w:rPr>
          <w:spacing w:val="-7"/>
        </w:rPr>
        <w:t> </w:t>
      </w:r>
      <w:r>
        <w:rPr/>
        <w:t>bids</w:t>
      </w:r>
      <w:r>
        <w:rPr>
          <w:spacing w:val="-8"/>
        </w:rPr>
        <w:t> </w:t>
      </w:r>
      <w:r>
        <w:rPr/>
        <w:t>for</w:t>
      </w:r>
      <w:r>
        <w:rPr>
          <w:spacing w:val="-5"/>
        </w:rPr>
        <w:t> </w:t>
      </w:r>
      <w:r>
        <w:rPr/>
        <w:t>Puerto</w:t>
      </w:r>
      <w:r>
        <w:rPr>
          <w:spacing w:val="-6"/>
        </w:rPr>
        <w:t> </w:t>
      </w:r>
      <w:r>
        <w:rPr/>
        <w:t>Rico</w:t>
      </w:r>
      <w:r>
        <w:rPr>
          <w:spacing w:val="-6"/>
        </w:rPr>
        <w:t> </w:t>
      </w:r>
      <w:r>
        <w:rPr/>
        <w:t>were</w:t>
      </w:r>
      <w:r>
        <w:rPr>
          <w:spacing w:val="-6"/>
        </w:rPr>
        <w:t> </w:t>
      </w:r>
      <w:r>
        <w:rPr/>
        <w:t>purposely</w:t>
      </w:r>
      <w:r>
        <w:rPr>
          <w:spacing w:val="-9"/>
        </w:rPr>
        <w:t> </w:t>
      </w:r>
      <w:r>
        <w:rPr/>
        <w:t>adapted</w:t>
      </w:r>
      <w:r>
        <w:rPr>
          <w:spacing w:val="-6"/>
        </w:rPr>
        <w:t> </w:t>
      </w:r>
      <w:r>
        <w:rPr/>
        <w:t>with</w:t>
      </w:r>
      <w:r>
        <w:rPr>
          <w:spacing w:val="-9"/>
        </w:rPr>
        <w:t> </w:t>
      </w:r>
      <w:r>
        <w:rPr/>
        <w:t>the</w:t>
      </w:r>
      <w:r>
        <w:rPr>
          <w:spacing w:val="-6"/>
        </w:rPr>
        <w:t> </w:t>
      </w:r>
      <w:r>
        <w:rPr/>
        <w:t>approval</w:t>
      </w:r>
      <w:r>
        <w:rPr>
          <w:spacing w:val="-5"/>
        </w:rPr>
        <w:t> </w:t>
      </w:r>
      <w:r>
        <w:rPr/>
        <w:t>of</w:t>
      </w:r>
      <w:r>
        <w:rPr>
          <w:spacing w:val="-5"/>
        </w:rPr>
        <w:t> </w:t>
      </w:r>
      <w:r>
        <w:rPr/>
        <w:t>CMS to manage the disparity in treatment under the statute. Puerto Rico has an MA benchmark that is too low, but plans are forced to adapt, and one of the results is that prices of professional health services are forcefully kept low to make the system work under the available budget (MA</w:t>
      </w:r>
      <w:r>
        <w:rPr>
          <w:spacing w:val="-20"/>
        </w:rPr>
        <w:t> </w:t>
      </w:r>
      <w:r>
        <w:rPr/>
        <w:t>benchmark).</w:t>
      </w:r>
    </w:p>
    <w:p>
      <w:pPr>
        <w:pStyle w:val="BodyText"/>
        <w:spacing w:before="9"/>
        <w:rPr>
          <w:sz w:val="21"/>
        </w:rPr>
      </w:pPr>
    </w:p>
    <w:p>
      <w:pPr>
        <w:pStyle w:val="BodyText"/>
        <w:ind w:left="112" w:right="131" w:firstLine="271"/>
        <w:jc w:val="both"/>
      </w:pPr>
      <w:r>
        <w:rPr/>
        <w:t>The apparent margins in the gain/loss portions of the MA bids are just an adaptation of the system to such anomalies as the lack of LIS. As such, Puerto Rico bids reflect a margin in gain/loss that allows plans to cover the</w:t>
      </w:r>
      <w:r>
        <w:rPr>
          <w:spacing w:val="-9"/>
        </w:rPr>
        <w:t> </w:t>
      </w:r>
      <w:r>
        <w:rPr/>
        <w:t>losses</w:t>
      </w:r>
      <w:r>
        <w:rPr>
          <w:spacing w:val="-9"/>
        </w:rPr>
        <w:t> </w:t>
      </w:r>
      <w:r>
        <w:rPr/>
        <w:t>incurred</w:t>
      </w:r>
      <w:r>
        <w:rPr>
          <w:spacing w:val="-7"/>
        </w:rPr>
        <w:t> </w:t>
      </w:r>
      <w:r>
        <w:rPr/>
        <w:t>providing</w:t>
      </w:r>
      <w:r>
        <w:rPr>
          <w:spacing w:val="-10"/>
        </w:rPr>
        <w:t> </w:t>
      </w:r>
      <w:r>
        <w:rPr/>
        <w:t>coverage</w:t>
      </w:r>
      <w:r>
        <w:rPr>
          <w:spacing w:val="-7"/>
        </w:rPr>
        <w:t> </w:t>
      </w:r>
      <w:r>
        <w:rPr/>
        <w:t>for</w:t>
      </w:r>
      <w:r>
        <w:rPr>
          <w:spacing w:val="-9"/>
        </w:rPr>
        <w:t> </w:t>
      </w:r>
      <w:r>
        <w:rPr/>
        <w:t>the</w:t>
      </w:r>
      <w:r>
        <w:rPr>
          <w:spacing w:val="-9"/>
        </w:rPr>
        <w:t> </w:t>
      </w:r>
      <w:r>
        <w:rPr/>
        <w:t>Part</w:t>
      </w:r>
      <w:r>
        <w:rPr>
          <w:spacing w:val="-6"/>
        </w:rPr>
        <w:t> </w:t>
      </w:r>
      <w:r>
        <w:rPr/>
        <w:t>D</w:t>
      </w:r>
      <w:r>
        <w:rPr>
          <w:spacing w:val="-8"/>
        </w:rPr>
        <w:t> </w:t>
      </w:r>
      <w:r>
        <w:rPr/>
        <w:t>gaps</w:t>
      </w:r>
      <w:r>
        <w:rPr>
          <w:spacing w:val="-6"/>
        </w:rPr>
        <w:t> </w:t>
      </w:r>
      <w:r>
        <w:rPr/>
        <w:t>for</w:t>
      </w:r>
      <w:r>
        <w:rPr>
          <w:spacing w:val="-6"/>
        </w:rPr>
        <w:t> </w:t>
      </w:r>
      <w:r>
        <w:rPr/>
        <w:t>dual</w:t>
      </w:r>
      <w:r>
        <w:rPr>
          <w:spacing w:val="-8"/>
        </w:rPr>
        <w:t> </w:t>
      </w:r>
      <w:r>
        <w:rPr/>
        <w:t>eligible</w:t>
      </w:r>
      <w:r>
        <w:rPr>
          <w:spacing w:val="-7"/>
        </w:rPr>
        <w:t> </w:t>
      </w:r>
      <w:r>
        <w:rPr/>
        <w:t>beneficiaries.</w:t>
      </w:r>
      <w:r>
        <w:rPr>
          <w:spacing w:val="37"/>
        </w:rPr>
        <w:t> </w:t>
      </w:r>
      <w:r>
        <w:rPr/>
        <w:t>Therefore,</w:t>
      </w:r>
      <w:r>
        <w:rPr>
          <w:spacing w:val="-9"/>
        </w:rPr>
        <w:t> </w:t>
      </w:r>
      <w:r>
        <w:rPr/>
        <w:t>this</w:t>
      </w:r>
      <w:r>
        <w:rPr>
          <w:spacing w:val="-9"/>
        </w:rPr>
        <w:t> </w:t>
      </w:r>
      <w:r>
        <w:rPr/>
        <w:t>apparent margin</w:t>
      </w:r>
      <w:r>
        <w:rPr>
          <w:spacing w:val="-12"/>
        </w:rPr>
        <w:t> </w:t>
      </w:r>
      <w:r>
        <w:rPr/>
        <w:t>does</w:t>
      </w:r>
      <w:r>
        <w:rPr>
          <w:spacing w:val="-11"/>
        </w:rPr>
        <w:t> </w:t>
      </w:r>
      <w:r>
        <w:rPr/>
        <w:t>not</w:t>
      </w:r>
      <w:r>
        <w:rPr>
          <w:spacing w:val="-13"/>
        </w:rPr>
        <w:t> </w:t>
      </w:r>
      <w:r>
        <w:rPr/>
        <w:t>translate</w:t>
      </w:r>
      <w:r>
        <w:rPr>
          <w:spacing w:val="-14"/>
        </w:rPr>
        <w:t> </w:t>
      </w:r>
      <w:r>
        <w:rPr/>
        <w:t>into</w:t>
      </w:r>
      <w:r>
        <w:rPr>
          <w:spacing w:val="-12"/>
        </w:rPr>
        <w:t> </w:t>
      </w:r>
      <w:r>
        <w:rPr/>
        <w:t>profit</w:t>
      </w:r>
      <w:r>
        <w:rPr>
          <w:spacing w:val="-13"/>
        </w:rPr>
        <w:t> </w:t>
      </w:r>
      <w:r>
        <w:rPr/>
        <w:t>to</w:t>
      </w:r>
      <w:r>
        <w:rPr>
          <w:spacing w:val="-14"/>
        </w:rPr>
        <w:t> </w:t>
      </w:r>
      <w:r>
        <w:rPr/>
        <w:t>the</w:t>
      </w:r>
      <w:r>
        <w:rPr>
          <w:spacing w:val="-14"/>
        </w:rPr>
        <w:t> </w:t>
      </w:r>
      <w:r>
        <w:rPr/>
        <w:t>plan,</w:t>
      </w:r>
      <w:r>
        <w:rPr>
          <w:spacing w:val="-12"/>
        </w:rPr>
        <w:t> </w:t>
      </w:r>
      <w:r>
        <w:rPr/>
        <w:t>but</w:t>
      </w:r>
      <w:r>
        <w:rPr>
          <w:spacing w:val="-11"/>
        </w:rPr>
        <w:t> </w:t>
      </w:r>
      <w:r>
        <w:rPr/>
        <w:t>rather</w:t>
      </w:r>
      <w:r>
        <w:rPr>
          <w:spacing w:val="-11"/>
        </w:rPr>
        <w:t> </w:t>
      </w:r>
      <w:r>
        <w:rPr/>
        <w:t>serves</w:t>
      </w:r>
      <w:r>
        <w:rPr>
          <w:spacing w:val="-11"/>
        </w:rPr>
        <w:t> </w:t>
      </w:r>
      <w:r>
        <w:rPr/>
        <w:t>as</w:t>
      </w:r>
      <w:r>
        <w:rPr>
          <w:spacing w:val="-11"/>
        </w:rPr>
        <w:t> </w:t>
      </w:r>
      <w:r>
        <w:rPr/>
        <w:t>a</w:t>
      </w:r>
      <w:r>
        <w:rPr>
          <w:spacing w:val="-12"/>
        </w:rPr>
        <w:t> </w:t>
      </w:r>
      <w:r>
        <w:rPr/>
        <w:t>mechanism</w:t>
      </w:r>
      <w:r>
        <w:rPr>
          <w:spacing w:val="-15"/>
        </w:rPr>
        <w:t> </w:t>
      </w:r>
      <w:r>
        <w:rPr/>
        <w:t>within</w:t>
      </w:r>
      <w:r>
        <w:rPr>
          <w:spacing w:val="-14"/>
        </w:rPr>
        <w:t> </w:t>
      </w:r>
      <w:r>
        <w:rPr/>
        <w:t>the</w:t>
      </w:r>
      <w:r>
        <w:rPr>
          <w:spacing w:val="-12"/>
        </w:rPr>
        <w:t> </w:t>
      </w:r>
      <w:r>
        <w:rPr/>
        <w:t>bid</w:t>
      </w:r>
      <w:r>
        <w:rPr>
          <w:spacing w:val="-12"/>
        </w:rPr>
        <w:t> </w:t>
      </w:r>
      <w:r>
        <w:rPr/>
        <w:t>to</w:t>
      </w:r>
      <w:r>
        <w:rPr>
          <w:spacing w:val="-14"/>
        </w:rPr>
        <w:t> </w:t>
      </w:r>
      <w:r>
        <w:rPr/>
        <w:t>cover</w:t>
      </w:r>
      <w:r>
        <w:rPr>
          <w:spacing w:val="-11"/>
        </w:rPr>
        <w:t> </w:t>
      </w:r>
      <w:r>
        <w:rPr/>
        <w:t>a</w:t>
      </w:r>
      <w:r>
        <w:rPr>
          <w:spacing w:val="-14"/>
        </w:rPr>
        <w:t> </w:t>
      </w:r>
      <w:r>
        <w:rPr/>
        <w:t>shortfall in financing support that US citizens of similar demographic and coverage qualifications enjoy</w:t>
      </w:r>
      <w:r>
        <w:rPr>
          <w:spacing w:val="-26"/>
        </w:rPr>
        <w:t> </w:t>
      </w:r>
      <w:r>
        <w:rPr/>
        <w:t>elsewhere.</w:t>
      </w:r>
    </w:p>
    <w:p>
      <w:pPr>
        <w:pStyle w:val="BodyText"/>
        <w:spacing w:before="11"/>
        <w:rPr>
          <w:sz w:val="21"/>
        </w:rPr>
      </w:pPr>
    </w:p>
    <w:p>
      <w:pPr>
        <w:pStyle w:val="Heading4"/>
        <w:rPr>
          <w:i/>
        </w:rPr>
      </w:pPr>
      <w:r>
        <w:rPr>
          <w:i/>
          <w:u w:val="thick"/>
        </w:rPr>
        <w:t>Milliman analysis of MA profit margins reveals that margins in Puerto Rico are consistently lower</w:t>
      </w:r>
    </w:p>
    <w:p>
      <w:pPr>
        <w:pStyle w:val="BodyText"/>
        <w:rPr>
          <w:b/>
          <w:i/>
          <w:sz w:val="14"/>
        </w:rPr>
      </w:pPr>
    </w:p>
    <w:p>
      <w:pPr>
        <w:pStyle w:val="BodyText"/>
        <w:spacing w:before="92"/>
        <w:ind w:left="112" w:right="127" w:firstLine="720"/>
        <w:jc w:val="both"/>
      </w:pPr>
      <w:r>
        <w:rPr/>
        <w:t>To better understand the actual profit margins of MA plans in Puerto Rico, the Actuarial firm Milliman reviewed the financial statements submitted by MA companies across the nation to the National Association of Insurance Commissioners (NAIC). The financial statements from 2012 to 2016 reflected that US mainland MA plans reported profit margins that were 2.25 times higher than the profit margins of MA plans in Puerto Rico during the period. The MA program and the dual eligible program in Puerto Rico are cost efficient and have demonstrated lower than average margins while continuing to improve quality as exhibited by the higher STARs Ratings</w:t>
      </w:r>
      <w:r>
        <w:rPr>
          <w:spacing w:val="-7"/>
        </w:rPr>
        <w:t> </w:t>
      </w:r>
      <w:r>
        <w:rPr/>
        <w:t>achieved</w:t>
      </w:r>
      <w:r>
        <w:rPr>
          <w:spacing w:val="-8"/>
        </w:rPr>
        <w:t> </w:t>
      </w:r>
      <w:r>
        <w:rPr/>
        <w:t>by</w:t>
      </w:r>
      <w:r>
        <w:rPr>
          <w:spacing w:val="-11"/>
        </w:rPr>
        <w:t> </w:t>
      </w:r>
      <w:r>
        <w:rPr/>
        <w:t>Puerto</w:t>
      </w:r>
      <w:r>
        <w:rPr>
          <w:spacing w:val="-11"/>
        </w:rPr>
        <w:t> </w:t>
      </w:r>
      <w:r>
        <w:rPr/>
        <w:t>Rico</w:t>
      </w:r>
      <w:r>
        <w:rPr>
          <w:spacing w:val="-8"/>
        </w:rPr>
        <w:t> </w:t>
      </w:r>
      <w:r>
        <w:rPr/>
        <w:t>plans.</w:t>
      </w:r>
      <w:r>
        <w:rPr>
          <w:spacing w:val="39"/>
        </w:rPr>
        <w:t> </w:t>
      </w:r>
      <w:r>
        <w:rPr/>
        <w:t>(See</w:t>
      </w:r>
      <w:r>
        <w:rPr>
          <w:spacing w:val="-7"/>
        </w:rPr>
        <w:t> </w:t>
      </w:r>
      <w:r>
        <w:rPr>
          <w:b/>
          <w:i/>
        </w:rPr>
        <w:t>Appendix</w:t>
      </w:r>
      <w:r>
        <w:rPr>
          <w:b/>
          <w:i/>
          <w:spacing w:val="-11"/>
        </w:rPr>
        <w:t> </w:t>
      </w:r>
      <w:r>
        <w:rPr>
          <w:b/>
          <w:i/>
        </w:rPr>
        <w:t>7</w:t>
      </w:r>
      <w:r>
        <w:rPr>
          <w:b/>
          <w:i/>
          <w:spacing w:val="-8"/>
        </w:rPr>
        <w:t> </w:t>
      </w:r>
      <w:r>
        <w:rPr>
          <w:b/>
          <w:i/>
        </w:rPr>
        <w:t>–</w:t>
      </w:r>
      <w:r>
        <w:rPr>
          <w:b/>
          <w:i/>
          <w:spacing w:val="-8"/>
        </w:rPr>
        <w:t> </w:t>
      </w:r>
      <w:r>
        <w:rPr>
          <w:b/>
          <w:i/>
        </w:rPr>
        <w:t>Comparison</w:t>
      </w:r>
      <w:r>
        <w:rPr>
          <w:b/>
          <w:i/>
          <w:spacing w:val="-8"/>
        </w:rPr>
        <w:t> </w:t>
      </w:r>
      <w:r>
        <w:rPr>
          <w:b/>
          <w:i/>
        </w:rPr>
        <w:t>of</w:t>
      </w:r>
      <w:r>
        <w:rPr>
          <w:b/>
          <w:i/>
          <w:spacing w:val="-8"/>
        </w:rPr>
        <w:t> </w:t>
      </w:r>
      <w:r>
        <w:rPr>
          <w:b/>
          <w:i/>
        </w:rPr>
        <w:t>Medicare</w:t>
      </w:r>
      <w:r>
        <w:rPr>
          <w:b/>
          <w:i/>
          <w:spacing w:val="-8"/>
        </w:rPr>
        <w:t> </w:t>
      </w:r>
      <w:r>
        <w:rPr>
          <w:b/>
          <w:i/>
        </w:rPr>
        <w:t>Part</w:t>
      </w:r>
      <w:r>
        <w:rPr>
          <w:b/>
          <w:i/>
          <w:spacing w:val="-8"/>
        </w:rPr>
        <w:t> </w:t>
      </w:r>
      <w:r>
        <w:rPr>
          <w:b/>
          <w:i/>
        </w:rPr>
        <w:t>C</w:t>
      </w:r>
      <w:r>
        <w:rPr>
          <w:b/>
          <w:i/>
          <w:spacing w:val="-9"/>
        </w:rPr>
        <w:t> </w:t>
      </w:r>
      <w:r>
        <w:rPr>
          <w:b/>
          <w:i/>
        </w:rPr>
        <w:t>and</w:t>
      </w:r>
      <w:r>
        <w:rPr>
          <w:b/>
          <w:i/>
          <w:spacing w:val="-9"/>
        </w:rPr>
        <w:t> </w:t>
      </w:r>
      <w:r>
        <w:rPr>
          <w:b/>
          <w:i/>
        </w:rPr>
        <w:t>Part</w:t>
      </w:r>
      <w:r>
        <w:rPr>
          <w:b/>
          <w:i/>
          <w:spacing w:val="-8"/>
        </w:rPr>
        <w:t> </w:t>
      </w:r>
      <w:r>
        <w:rPr>
          <w:b/>
          <w:i/>
        </w:rPr>
        <w:t>D</w:t>
      </w:r>
      <w:r>
        <w:rPr>
          <w:b/>
          <w:i/>
          <w:spacing w:val="-10"/>
        </w:rPr>
        <w:t> </w:t>
      </w:r>
      <w:r>
        <w:rPr>
          <w:b/>
          <w:i/>
        </w:rPr>
        <w:t>Margins </w:t>
      </w:r>
      <w:r>
        <w:rPr>
          <w:b/>
          <w:i/>
        </w:rPr>
        <w:t>in Puerto Rico and the Total United</w:t>
      </w:r>
      <w:r>
        <w:rPr>
          <w:b/>
          <w:i/>
          <w:spacing w:val="-10"/>
        </w:rPr>
        <w:t> </w:t>
      </w:r>
      <w:r>
        <w:rPr>
          <w:b/>
          <w:i/>
        </w:rPr>
        <w:t>States</w:t>
      </w:r>
      <w:r>
        <w:rPr/>
        <w:t>)</w:t>
      </w:r>
    </w:p>
    <w:p>
      <w:pPr>
        <w:pStyle w:val="BodyText"/>
        <w:rPr>
          <w:sz w:val="20"/>
        </w:rPr>
      </w:pPr>
    </w:p>
    <w:p>
      <w:pPr>
        <w:pStyle w:val="BodyText"/>
        <w:spacing w:before="6"/>
        <w:rPr>
          <w:sz w:val="16"/>
        </w:rPr>
      </w:pPr>
    </w:p>
    <w:p>
      <w:pPr>
        <w:pStyle w:val="Heading1"/>
        <w:tabs>
          <w:tab w:pos="10078" w:val="left" w:leader="none"/>
        </w:tabs>
        <w:spacing w:before="89"/>
      </w:pPr>
      <w:r>
        <w:rPr>
          <w:shd w:fill="D9D9D9" w:color="auto" w:val="clear"/>
        </w:rPr>
        <w:t>Section 2 - What is our main policy proposal and</w:t>
      </w:r>
      <w:r>
        <w:rPr>
          <w:spacing w:val="-20"/>
          <w:shd w:fill="D9D9D9" w:color="auto" w:val="clear"/>
        </w:rPr>
        <w:t> </w:t>
      </w:r>
      <w:r>
        <w:rPr>
          <w:shd w:fill="D9D9D9" w:color="auto" w:val="clear"/>
        </w:rPr>
        <w:t>why?</w:t>
        <w:tab/>
      </w:r>
    </w:p>
    <w:p>
      <w:pPr>
        <w:pStyle w:val="Heading3"/>
        <w:spacing w:before="249"/>
        <w:ind w:left="112"/>
        <w:rPr>
          <w:u w:val="none"/>
        </w:rPr>
      </w:pPr>
      <w:r>
        <w:rPr>
          <w:u w:val="thick"/>
        </w:rPr>
        <w:t>Establish a Floor for the Average Geographic Adjustment (AGA) Factor, Phase-in Period</w:t>
      </w:r>
    </w:p>
    <w:p>
      <w:pPr>
        <w:pStyle w:val="BodyText"/>
        <w:rPr>
          <w:b/>
          <w:sz w:val="14"/>
        </w:rPr>
      </w:pPr>
    </w:p>
    <w:p>
      <w:pPr>
        <w:pStyle w:val="BodyText"/>
        <w:spacing w:before="91"/>
        <w:ind w:left="112" w:right="126" w:firstLine="720"/>
        <w:jc w:val="both"/>
      </w:pPr>
      <w:r>
        <w:rPr/>
        <w:t>The benchmarking process for Puerto Rico continues to create inadequate funding for the healthcare system. The ratio of having 10% of the population that remains in the Medicare fee for service being used to represent</w:t>
      </w:r>
      <w:r>
        <w:rPr>
          <w:spacing w:val="-14"/>
        </w:rPr>
        <w:t> </w:t>
      </w:r>
      <w:r>
        <w:rPr/>
        <w:t>the</w:t>
      </w:r>
      <w:r>
        <w:rPr>
          <w:spacing w:val="-13"/>
        </w:rPr>
        <w:t> </w:t>
      </w:r>
      <w:r>
        <w:rPr/>
        <w:t>other</w:t>
      </w:r>
      <w:r>
        <w:rPr>
          <w:spacing w:val="-12"/>
        </w:rPr>
        <w:t> </w:t>
      </w:r>
      <w:r>
        <w:rPr/>
        <w:t>90%</w:t>
      </w:r>
      <w:r>
        <w:rPr>
          <w:spacing w:val="-12"/>
        </w:rPr>
        <w:t> </w:t>
      </w:r>
      <w:r>
        <w:rPr/>
        <w:t>of</w:t>
      </w:r>
      <w:r>
        <w:rPr>
          <w:spacing w:val="-12"/>
        </w:rPr>
        <w:t> </w:t>
      </w:r>
      <w:r>
        <w:rPr/>
        <w:t>beneficiaries</w:t>
      </w:r>
      <w:r>
        <w:rPr>
          <w:spacing w:val="-12"/>
        </w:rPr>
        <w:t> </w:t>
      </w:r>
      <w:r>
        <w:rPr/>
        <w:t>that</w:t>
      </w:r>
      <w:r>
        <w:rPr>
          <w:spacing w:val="-14"/>
        </w:rPr>
        <w:t> </w:t>
      </w:r>
      <w:r>
        <w:rPr/>
        <w:t>select</w:t>
      </w:r>
      <w:r>
        <w:rPr>
          <w:spacing w:val="-12"/>
        </w:rPr>
        <w:t> </w:t>
      </w:r>
      <w:r>
        <w:rPr/>
        <w:t>an</w:t>
      </w:r>
      <w:r>
        <w:rPr>
          <w:spacing w:val="-15"/>
        </w:rPr>
        <w:t> </w:t>
      </w:r>
      <w:r>
        <w:rPr/>
        <w:t>MA</w:t>
      </w:r>
      <w:r>
        <w:rPr>
          <w:spacing w:val="-14"/>
        </w:rPr>
        <w:t> </w:t>
      </w:r>
      <w:r>
        <w:rPr/>
        <w:t>plan</w:t>
      </w:r>
      <w:r>
        <w:rPr>
          <w:spacing w:val="-9"/>
        </w:rPr>
        <w:t> </w:t>
      </w:r>
      <w:r>
        <w:rPr/>
        <w:t>creates</w:t>
      </w:r>
      <w:r>
        <w:rPr>
          <w:spacing w:val="-12"/>
        </w:rPr>
        <w:t> </w:t>
      </w:r>
      <w:r>
        <w:rPr/>
        <w:t>significant</w:t>
      </w:r>
      <w:r>
        <w:rPr>
          <w:spacing w:val="-12"/>
        </w:rPr>
        <w:t> </w:t>
      </w:r>
      <w:r>
        <w:rPr/>
        <w:t>concerns</w:t>
      </w:r>
      <w:r>
        <w:rPr>
          <w:spacing w:val="-12"/>
        </w:rPr>
        <w:t> </w:t>
      </w:r>
      <w:r>
        <w:rPr/>
        <w:t>that</w:t>
      </w:r>
      <w:r>
        <w:rPr>
          <w:spacing w:val="-14"/>
        </w:rPr>
        <w:t> </w:t>
      </w:r>
      <w:r>
        <w:rPr/>
        <w:t>the</w:t>
      </w:r>
      <w:r>
        <w:rPr>
          <w:spacing w:val="-13"/>
        </w:rPr>
        <w:t> </w:t>
      </w:r>
      <w:r>
        <w:rPr/>
        <w:t>small</w:t>
      </w:r>
      <w:r>
        <w:rPr>
          <w:spacing w:val="-12"/>
        </w:rPr>
        <w:t> </w:t>
      </w:r>
      <w:r>
        <w:rPr/>
        <w:t>minority of members left of the fee for service may </w:t>
      </w:r>
      <w:r>
        <w:rPr>
          <w:spacing w:val="2"/>
        </w:rPr>
        <w:t>be </w:t>
      </w:r>
      <w:r>
        <w:rPr/>
        <w:t>credible but not representative of the larger population. This deficiency</w:t>
      </w:r>
      <w:r>
        <w:rPr>
          <w:spacing w:val="-7"/>
        </w:rPr>
        <w:t> </w:t>
      </w:r>
      <w:r>
        <w:rPr/>
        <w:t>is</w:t>
      </w:r>
      <w:r>
        <w:rPr>
          <w:spacing w:val="-6"/>
        </w:rPr>
        <w:t> </w:t>
      </w:r>
      <w:r>
        <w:rPr/>
        <w:t>even</w:t>
      </w:r>
      <w:r>
        <w:rPr>
          <w:spacing w:val="-4"/>
        </w:rPr>
        <w:t> </w:t>
      </w:r>
      <w:r>
        <w:rPr/>
        <w:t>more</w:t>
      </w:r>
      <w:r>
        <w:rPr>
          <w:spacing w:val="-4"/>
        </w:rPr>
        <w:t> </w:t>
      </w:r>
      <w:r>
        <w:rPr/>
        <w:t>pronounced</w:t>
      </w:r>
      <w:r>
        <w:rPr>
          <w:spacing w:val="-7"/>
        </w:rPr>
        <w:t> </w:t>
      </w:r>
      <w:r>
        <w:rPr/>
        <w:t>for</w:t>
      </w:r>
      <w:r>
        <w:rPr>
          <w:spacing w:val="-4"/>
        </w:rPr>
        <w:t> </w:t>
      </w:r>
      <w:r>
        <w:rPr/>
        <w:t>the</w:t>
      </w:r>
      <w:r>
        <w:rPr>
          <w:spacing w:val="-4"/>
        </w:rPr>
        <w:t> </w:t>
      </w:r>
      <w:r>
        <w:rPr/>
        <w:t>dual</w:t>
      </w:r>
      <w:r>
        <w:rPr>
          <w:spacing w:val="-4"/>
        </w:rPr>
        <w:t> </w:t>
      </w:r>
      <w:r>
        <w:rPr/>
        <w:t>eligible</w:t>
      </w:r>
      <w:r>
        <w:rPr>
          <w:spacing w:val="-4"/>
        </w:rPr>
        <w:t> </w:t>
      </w:r>
      <w:r>
        <w:rPr/>
        <w:t>members,</w:t>
      </w:r>
      <w:r>
        <w:rPr>
          <w:spacing w:val="-4"/>
        </w:rPr>
        <w:t> </w:t>
      </w:r>
      <w:r>
        <w:rPr/>
        <w:t>where approximately</w:t>
      </w:r>
      <w:r>
        <w:rPr>
          <w:spacing w:val="-7"/>
        </w:rPr>
        <w:t> </w:t>
      </w:r>
      <w:r>
        <w:rPr/>
        <w:t>6,000</w:t>
      </w:r>
      <w:r>
        <w:rPr>
          <w:spacing w:val="-5"/>
        </w:rPr>
        <w:t> </w:t>
      </w:r>
      <w:r>
        <w:rPr/>
        <w:t>dual</w:t>
      </w:r>
      <w:r>
        <w:rPr>
          <w:spacing w:val="-4"/>
        </w:rPr>
        <w:t> </w:t>
      </w:r>
      <w:r>
        <w:rPr/>
        <w:t>beneficiaries are</w:t>
      </w:r>
      <w:r>
        <w:rPr>
          <w:spacing w:val="-8"/>
        </w:rPr>
        <w:t> </w:t>
      </w:r>
      <w:r>
        <w:rPr/>
        <w:t>representing</w:t>
      </w:r>
      <w:r>
        <w:rPr>
          <w:spacing w:val="-11"/>
        </w:rPr>
        <w:t> </w:t>
      </w:r>
      <w:r>
        <w:rPr/>
        <w:t>almost</w:t>
      </w:r>
      <w:r>
        <w:rPr>
          <w:spacing w:val="-7"/>
        </w:rPr>
        <w:t> </w:t>
      </w:r>
      <w:r>
        <w:rPr/>
        <w:t>275,000</w:t>
      </w:r>
      <w:r>
        <w:rPr>
          <w:spacing w:val="-7"/>
        </w:rPr>
        <w:t> </w:t>
      </w:r>
      <w:r>
        <w:rPr/>
        <w:t>duals</w:t>
      </w:r>
      <w:r>
        <w:rPr>
          <w:spacing w:val="-8"/>
        </w:rPr>
        <w:t> </w:t>
      </w:r>
      <w:r>
        <w:rPr/>
        <w:t>enrolled</w:t>
      </w:r>
      <w:r>
        <w:rPr>
          <w:spacing w:val="-11"/>
        </w:rPr>
        <w:t> </w:t>
      </w:r>
      <w:r>
        <w:rPr/>
        <w:t>in</w:t>
      </w:r>
      <w:r>
        <w:rPr>
          <w:spacing w:val="-9"/>
        </w:rPr>
        <w:t> </w:t>
      </w:r>
      <w:r>
        <w:rPr/>
        <w:t>the</w:t>
      </w:r>
      <w:r>
        <w:rPr>
          <w:spacing w:val="-8"/>
        </w:rPr>
        <w:t> </w:t>
      </w:r>
      <w:r>
        <w:rPr/>
        <w:t>D-SNP</w:t>
      </w:r>
      <w:r>
        <w:rPr>
          <w:spacing w:val="-9"/>
        </w:rPr>
        <w:t> </w:t>
      </w:r>
      <w:r>
        <w:rPr/>
        <w:t>Platino</w:t>
      </w:r>
      <w:r>
        <w:rPr>
          <w:spacing w:val="-9"/>
        </w:rPr>
        <w:t> </w:t>
      </w:r>
      <w:r>
        <w:rPr/>
        <w:t>program.</w:t>
      </w:r>
      <w:r>
        <w:rPr>
          <w:spacing w:val="40"/>
        </w:rPr>
        <w:t> </w:t>
      </w:r>
      <w:r>
        <w:rPr/>
        <w:t>Please</w:t>
      </w:r>
      <w:r>
        <w:rPr>
          <w:spacing w:val="-8"/>
        </w:rPr>
        <w:t> </w:t>
      </w:r>
      <w:r>
        <w:rPr/>
        <w:t>refer</w:t>
      </w:r>
      <w:r>
        <w:rPr>
          <w:spacing w:val="-8"/>
        </w:rPr>
        <w:t> </w:t>
      </w:r>
      <w:r>
        <w:rPr/>
        <w:t>to</w:t>
      </w:r>
      <w:r>
        <w:rPr>
          <w:spacing w:val="-7"/>
        </w:rPr>
        <w:t> </w:t>
      </w:r>
      <w:r>
        <w:rPr>
          <w:b/>
          <w:i/>
        </w:rPr>
        <w:t>Appendix</w:t>
      </w:r>
      <w:r>
        <w:rPr>
          <w:b/>
          <w:i/>
          <w:spacing w:val="-9"/>
        </w:rPr>
        <w:t> </w:t>
      </w:r>
      <w:r>
        <w:rPr>
          <w:b/>
          <w:i/>
        </w:rPr>
        <w:t>1</w:t>
      </w:r>
      <w:r>
        <w:rPr>
          <w:b/>
          <w:i/>
          <w:spacing w:val="-8"/>
        </w:rPr>
        <w:t> </w:t>
      </w:r>
      <w:r>
        <w:rPr/>
        <w:t>for</w:t>
      </w:r>
      <w:r>
        <w:rPr>
          <w:spacing w:val="-10"/>
        </w:rPr>
        <w:t> </w:t>
      </w:r>
      <w:r>
        <w:rPr>
          <w:u w:val="single"/>
        </w:rPr>
        <w:t>The Moran Company Report </w:t>
      </w:r>
      <w:r>
        <w:rPr/>
        <w:t>detailing the anomalies in the data for Puerto Rico beyond just the pure population</w:t>
      </w:r>
      <w:r>
        <w:rPr>
          <w:spacing w:val="34"/>
        </w:rPr>
        <w:t> </w:t>
      </w:r>
      <w:r>
        <w:rPr/>
        <w:t>size</w:t>
      </w:r>
    </w:p>
    <w:p>
      <w:pPr>
        <w:pStyle w:val="BodyText"/>
        <w:spacing w:before="5"/>
        <w:rPr>
          <w:sz w:val="12"/>
        </w:rPr>
      </w:pPr>
      <w:r>
        <w:rPr/>
        <w:pict>
          <v:line style="position:absolute;mso-position-horizontal-relative:page;mso-position-vertical-relative:paragraph;z-index:1456;mso-wrap-distance-left:0;mso-wrap-distance-right:0" from="57.599998pt,9.400649pt" to="201.619998pt,9.400649pt" stroked="true" strokeweight=".599980pt" strokecolor="#000000">
            <v:stroke dashstyle="solid"/>
            <w10:wrap type="topAndBottom"/>
          </v:line>
        </w:pict>
      </w:r>
    </w:p>
    <w:p>
      <w:pPr>
        <w:spacing w:line="244" w:lineRule="auto" w:before="70"/>
        <w:ind w:left="112" w:right="0" w:firstLine="0"/>
        <w:jc w:val="left"/>
        <w:rPr>
          <w:sz w:val="20"/>
        </w:rPr>
      </w:pPr>
      <w:r>
        <w:rPr>
          <w:rFonts w:ascii="Calibri"/>
          <w:position w:val="7"/>
          <w:sz w:val="13"/>
        </w:rPr>
        <w:t>8 </w:t>
      </w:r>
      <w:r>
        <w:rPr>
          <w:sz w:val="20"/>
        </w:rPr>
        <w:t>Health Resources and Services Administration (HRSA) Data Warehouse, Medically Underserved Areas (MUA); February 2018, Retrieved February 13 2018 at https://datawarehouse.hrsa.gov/tools/DataPortalResults.aspx?paramServiceId=MUA&amp;paramFilterId=D</w:t>
      </w:r>
    </w:p>
    <w:p>
      <w:pPr>
        <w:spacing w:after="0" w:line="244" w:lineRule="auto"/>
        <w:jc w:val="left"/>
        <w:rPr>
          <w:sz w:val="20"/>
        </w:rPr>
        <w:sectPr>
          <w:pgSz w:w="12240" w:h="15840"/>
          <w:pgMar w:header="0" w:footer="1015" w:top="1500" w:bottom="1200" w:left="1040" w:right="1020"/>
        </w:sectPr>
      </w:pPr>
    </w:p>
    <w:p>
      <w:pPr>
        <w:pStyle w:val="BodyText"/>
        <w:spacing w:before="79"/>
        <w:ind w:left="112" w:right="27"/>
      </w:pPr>
      <w:r>
        <w:rPr/>
        <w:t>issue. We believe this discrepancy requires further research beyond the standard credibility review, but in the meantime, action is required to prevent significant damage MA program.</w:t>
      </w:r>
    </w:p>
    <w:p>
      <w:pPr>
        <w:pStyle w:val="BodyText"/>
      </w:pPr>
    </w:p>
    <w:p>
      <w:pPr>
        <w:pStyle w:val="BodyText"/>
        <w:ind w:left="112" w:right="106" w:firstLine="720"/>
        <w:jc w:val="both"/>
      </w:pPr>
      <w:r>
        <w:rPr/>
        <w:t>This issue is highlighted is in the resulting AGA factors for Puerto Rico that are extreme outliers. In simplest</w:t>
      </w:r>
      <w:r>
        <w:rPr>
          <w:spacing w:val="-6"/>
        </w:rPr>
        <w:t> </w:t>
      </w:r>
      <w:r>
        <w:rPr/>
        <w:t>terms,</w:t>
      </w:r>
      <w:r>
        <w:rPr>
          <w:spacing w:val="-4"/>
        </w:rPr>
        <w:t> </w:t>
      </w:r>
      <w:r>
        <w:rPr/>
        <w:t>the</w:t>
      </w:r>
      <w:r>
        <w:rPr>
          <w:spacing w:val="-4"/>
        </w:rPr>
        <w:t> </w:t>
      </w:r>
      <w:r>
        <w:rPr/>
        <w:t>AGA</w:t>
      </w:r>
      <w:r>
        <w:rPr>
          <w:spacing w:val="-6"/>
        </w:rPr>
        <w:t> </w:t>
      </w:r>
      <w:r>
        <w:rPr/>
        <w:t>factor</w:t>
      </w:r>
      <w:r>
        <w:rPr>
          <w:spacing w:val="-6"/>
        </w:rPr>
        <w:t> </w:t>
      </w:r>
      <w:r>
        <w:rPr/>
        <w:t>is</w:t>
      </w:r>
      <w:r>
        <w:rPr>
          <w:spacing w:val="-7"/>
        </w:rPr>
        <w:t> </w:t>
      </w:r>
      <w:r>
        <w:rPr/>
        <w:t>the</w:t>
      </w:r>
      <w:r>
        <w:rPr>
          <w:spacing w:val="-4"/>
        </w:rPr>
        <w:t> </w:t>
      </w:r>
      <w:r>
        <w:rPr/>
        <w:t>ratio</w:t>
      </w:r>
      <w:r>
        <w:rPr>
          <w:spacing w:val="-5"/>
        </w:rPr>
        <w:t> </w:t>
      </w:r>
      <w:r>
        <w:rPr/>
        <w:t>to</w:t>
      </w:r>
      <w:r>
        <w:rPr>
          <w:spacing w:val="-5"/>
        </w:rPr>
        <w:t> </w:t>
      </w:r>
      <w:r>
        <w:rPr/>
        <w:t>National</w:t>
      </w:r>
      <w:r>
        <w:rPr>
          <w:spacing w:val="-6"/>
        </w:rPr>
        <w:t> </w:t>
      </w:r>
      <w:r>
        <w:rPr/>
        <w:t>Average</w:t>
      </w:r>
      <w:r>
        <w:rPr>
          <w:spacing w:val="-4"/>
        </w:rPr>
        <w:t> </w:t>
      </w:r>
      <w:r>
        <w:rPr/>
        <w:t>(1.0)</w:t>
      </w:r>
      <w:r>
        <w:rPr>
          <w:spacing w:val="-2"/>
        </w:rPr>
        <w:t> </w:t>
      </w:r>
      <w:r>
        <w:rPr/>
        <w:t>fee</w:t>
      </w:r>
      <w:r>
        <w:rPr>
          <w:spacing w:val="-7"/>
        </w:rPr>
        <w:t> </w:t>
      </w:r>
      <w:r>
        <w:rPr/>
        <w:t>for</w:t>
      </w:r>
      <w:r>
        <w:rPr>
          <w:spacing w:val="-6"/>
        </w:rPr>
        <w:t> </w:t>
      </w:r>
      <w:r>
        <w:rPr/>
        <w:t>service</w:t>
      </w:r>
      <w:r>
        <w:rPr>
          <w:spacing w:val="-4"/>
        </w:rPr>
        <w:t> </w:t>
      </w:r>
      <w:r>
        <w:rPr/>
        <w:t>cost</w:t>
      </w:r>
      <w:r>
        <w:rPr>
          <w:spacing w:val="-3"/>
        </w:rPr>
        <w:t> </w:t>
      </w:r>
      <w:r>
        <w:rPr/>
        <w:t>for</w:t>
      </w:r>
      <w:r>
        <w:rPr>
          <w:spacing w:val="-4"/>
        </w:rPr>
        <w:t> </w:t>
      </w:r>
      <w:r>
        <w:rPr/>
        <w:t>a</w:t>
      </w:r>
      <w:r>
        <w:rPr>
          <w:spacing w:val="-7"/>
        </w:rPr>
        <w:t> </w:t>
      </w:r>
      <w:r>
        <w:rPr/>
        <w:t>given</w:t>
      </w:r>
      <w:r>
        <w:rPr>
          <w:spacing w:val="-4"/>
        </w:rPr>
        <w:t> </w:t>
      </w:r>
      <w:r>
        <w:rPr/>
        <w:t>county</w:t>
      </w:r>
      <w:r>
        <w:rPr>
          <w:spacing w:val="-7"/>
        </w:rPr>
        <w:t> </w:t>
      </w:r>
      <w:r>
        <w:rPr/>
        <w:t>and</w:t>
      </w:r>
      <w:r>
        <w:rPr>
          <w:spacing w:val="-5"/>
        </w:rPr>
        <w:t> </w:t>
      </w:r>
      <w:r>
        <w:rPr/>
        <w:t>it is used to determine the benchmark or payment rate for each county. </w:t>
      </w:r>
      <w:r>
        <w:rPr>
          <w:b/>
        </w:rPr>
        <w:t>The table below shows that the overwhelming majority of counties have AGA factors within a range of 0.70 and 1.30 of the National Average. </w:t>
      </w:r>
      <w:r>
        <w:rPr/>
        <w:t>There is a single county with very low MA penetration in the high end of the distribution, there is a relatively large distribution of beneficiaries below this threshold. Out of the 79 counties in the low end, 78 of them</w:t>
      </w:r>
      <w:r>
        <w:rPr>
          <w:spacing w:val="-14"/>
        </w:rPr>
        <w:t> </w:t>
      </w:r>
      <w:r>
        <w:rPr/>
        <w:t>are</w:t>
      </w:r>
      <w:r>
        <w:rPr>
          <w:spacing w:val="-11"/>
        </w:rPr>
        <w:t> </w:t>
      </w:r>
      <w:r>
        <w:rPr/>
        <w:t>in</w:t>
      </w:r>
      <w:r>
        <w:rPr>
          <w:spacing w:val="-11"/>
        </w:rPr>
        <w:t> </w:t>
      </w:r>
      <w:r>
        <w:rPr/>
        <w:t>Puerto</w:t>
      </w:r>
      <w:r>
        <w:rPr>
          <w:spacing w:val="-11"/>
        </w:rPr>
        <w:t> </w:t>
      </w:r>
      <w:r>
        <w:rPr/>
        <w:t>Rico</w:t>
      </w:r>
      <w:r>
        <w:rPr>
          <w:spacing w:val="-10"/>
        </w:rPr>
        <w:t> </w:t>
      </w:r>
      <w:r>
        <w:rPr/>
        <w:t>while</w:t>
      </w:r>
      <w:r>
        <w:rPr>
          <w:spacing w:val="-10"/>
        </w:rPr>
        <w:t> </w:t>
      </w:r>
      <w:r>
        <w:rPr/>
        <w:t>the</w:t>
      </w:r>
      <w:r>
        <w:rPr>
          <w:spacing w:val="-11"/>
        </w:rPr>
        <w:t> </w:t>
      </w:r>
      <w:r>
        <w:rPr/>
        <w:t>other</w:t>
      </w:r>
      <w:r>
        <w:rPr>
          <w:spacing w:val="-11"/>
        </w:rPr>
        <w:t> </w:t>
      </w:r>
      <w:r>
        <w:rPr/>
        <w:t>is</w:t>
      </w:r>
      <w:r>
        <w:rPr>
          <w:spacing w:val="-10"/>
        </w:rPr>
        <w:t> </w:t>
      </w:r>
      <w:r>
        <w:rPr/>
        <w:t>again</w:t>
      </w:r>
      <w:r>
        <w:rPr>
          <w:spacing w:val="-13"/>
        </w:rPr>
        <w:t> </w:t>
      </w:r>
      <w:r>
        <w:rPr/>
        <w:t>a</w:t>
      </w:r>
      <w:r>
        <w:rPr>
          <w:spacing w:val="-10"/>
        </w:rPr>
        <w:t> </w:t>
      </w:r>
      <w:r>
        <w:rPr/>
        <w:t>very</w:t>
      </w:r>
      <w:r>
        <w:rPr>
          <w:spacing w:val="-13"/>
        </w:rPr>
        <w:t> </w:t>
      </w:r>
      <w:r>
        <w:rPr/>
        <w:t>low</w:t>
      </w:r>
      <w:r>
        <w:rPr>
          <w:spacing w:val="-12"/>
        </w:rPr>
        <w:t> </w:t>
      </w:r>
      <w:r>
        <w:rPr/>
        <w:t>MA</w:t>
      </w:r>
      <w:r>
        <w:rPr>
          <w:spacing w:val="-11"/>
        </w:rPr>
        <w:t> </w:t>
      </w:r>
      <w:r>
        <w:rPr/>
        <w:t>penetration</w:t>
      </w:r>
      <w:r>
        <w:rPr>
          <w:spacing w:val="-10"/>
        </w:rPr>
        <w:t> </w:t>
      </w:r>
      <w:r>
        <w:rPr/>
        <w:t>rate</w:t>
      </w:r>
      <w:r>
        <w:rPr>
          <w:spacing w:val="-13"/>
        </w:rPr>
        <w:t> </w:t>
      </w:r>
      <w:r>
        <w:rPr/>
        <w:t>county.</w:t>
      </w:r>
      <w:r>
        <w:rPr>
          <w:spacing w:val="34"/>
        </w:rPr>
        <w:t> </w:t>
      </w:r>
      <w:r>
        <w:rPr/>
        <w:t>This</w:t>
      </w:r>
      <w:r>
        <w:rPr>
          <w:spacing w:val="-10"/>
        </w:rPr>
        <w:t> </w:t>
      </w:r>
      <w:r>
        <w:rPr/>
        <w:t>dispersion</w:t>
      </w:r>
      <w:r>
        <w:rPr>
          <w:spacing w:val="-11"/>
        </w:rPr>
        <w:t> </w:t>
      </w:r>
      <w:r>
        <w:rPr/>
        <w:t>in</w:t>
      </w:r>
      <w:r>
        <w:rPr>
          <w:spacing w:val="-13"/>
        </w:rPr>
        <w:t> </w:t>
      </w:r>
      <w:r>
        <w:rPr/>
        <w:t>relative payment rate, especially will virtually all other counties within a reasonable range but all of the Puerto Rico counties</w:t>
      </w:r>
      <w:r>
        <w:rPr>
          <w:spacing w:val="-11"/>
        </w:rPr>
        <w:t> </w:t>
      </w:r>
      <w:r>
        <w:rPr/>
        <w:t>as</w:t>
      </w:r>
      <w:r>
        <w:rPr>
          <w:spacing w:val="-11"/>
        </w:rPr>
        <w:t> </w:t>
      </w:r>
      <w:r>
        <w:rPr/>
        <w:t>a</w:t>
      </w:r>
      <w:r>
        <w:rPr>
          <w:spacing w:val="-9"/>
        </w:rPr>
        <w:t> </w:t>
      </w:r>
      <w:r>
        <w:rPr/>
        <w:t>significant</w:t>
      </w:r>
      <w:r>
        <w:rPr>
          <w:spacing w:val="-9"/>
        </w:rPr>
        <w:t> </w:t>
      </w:r>
      <w:r>
        <w:rPr/>
        <w:t>outlier</w:t>
      </w:r>
      <w:r>
        <w:rPr>
          <w:spacing w:val="-9"/>
        </w:rPr>
        <w:t> </w:t>
      </w:r>
      <w:r>
        <w:rPr/>
        <w:t>illustrates</w:t>
      </w:r>
      <w:r>
        <w:rPr>
          <w:spacing w:val="-11"/>
        </w:rPr>
        <w:t> </w:t>
      </w:r>
      <w:r>
        <w:rPr/>
        <w:t>the</w:t>
      </w:r>
      <w:r>
        <w:rPr>
          <w:spacing w:val="-12"/>
        </w:rPr>
        <w:t> </w:t>
      </w:r>
      <w:r>
        <w:rPr/>
        <w:t>underfunding</w:t>
      </w:r>
      <w:r>
        <w:rPr>
          <w:spacing w:val="-12"/>
        </w:rPr>
        <w:t> </w:t>
      </w:r>
      <w:r>
        <w:rPr/>
        <w:t>of</w:t>
      </w:r>
      <w:r>
        <w:rPr>
          <w:spacing w:val="-9"/>
        </w:rPr>
        <w:t> </w:t>
      </w:r>
      <w:r>
        <w:rPr/>
        <w:t>MA</w:t>
      </w:r>
      <w:r>
        <w:rPr>
          <w:spacing w:val="-11"/>
        </w:rPr>
        <w:t> </w:t>
      </w:r>
      <w:r>
        <w:rPr/>
        <w:t>payments</w:t>
      </w:r>
      <w:r>
        <w:rPr>
          <w:spacing w:val="-9"/>
        </w:rPr>
        <w:t> </w:t>
      </w:r>
      <w:r>
        <w:rPr/>
        <w:t>for</w:t>
      </w:r>
      <w:r>
        <w:rPr>
          <w:spacing w:val="-9"/>
        </w:rPr>
        <w:t> </w:t>
      </w:r>
      <w:r>
        <w:rPr/>
        <w:t>Puerto</w:t>
      </w:r>
      <w:r>
        <w:rPr>
          <w:spacing w:val="-10"/>
        </w:rPr>
        <w:t> </w:t>
      </w:r>
      <w:r>
        <w:rPr/>
        <w:t>Rico</w:t>
      </w:r>
      <w:r>
        <w:rPr>
          <w:spacing w:val="-10"/>
        </w:rPr>
        <w:t> </w:t>
      </w:r>
      <w:r>
        <w:rPr/>
        <w:t>counties.</w:t>
      </w:r>
      <w:r>
        <w:rPr>
          <w:spacing w:val="40"/>
        </w:rPr>
        <w:t> </w:t>
      </w:r>
      <w:r>
        <w:rPr/>
        <w:t>See</w:t>
      </w:r>
      <w:r>
        <w:rPr>
          <w:spacing w:val="-9"/>
        </w:rPr>
        <w:t> </w:t>
      </w:r>
      <w:r>
        <w:rPr>
          <w:b/>
          <w:u w:val="thick"/>
        </w:rPr>
        <w:t>Chart 3 </w:t>
      </w:r>
      <w:r>
        <w:rPr/>
        <w:t>below for additional details on the disparity of the distribution of AGA factors across all</w:t>
      </w:r>
      <w:r>
        <w:rPr>
          <w:spacing w:val="-28"/>
        </w:rPr>
        <w:t> </w:t>
      </w:r>
      <w:r>
        <w:rPr/>
        <w:t>areas.</w:t>
      </w:r>
    </w:p>
    <w:p>
      <w:pPr>
        <w:pStyle w:val="BodyText"/>
        <w:rPr>
          <w:sz w:val="20"/>
        </w:rPr>
      </w:pPr>
    </w:p>
    <w:p>
      <w:pPr>
        <w:pStyle w:val="BodyText"/>
        <w:rPr>
          <w:sz w:val="16"/>
        </w:rPr>
      </w:pPr>
    </w:p>
    <w:p>
      <w:pPr>
        <w:pStyle w:val="Heading3"/>
        <w:spacing w:before="91"/>
        <w:ind w:left="1403"/>
        <w:rPr>
          <w:u w:val="none"/>
        </w:rPr>
      </w:pPr>
      <w:r>
        <w:rPr>
          <w:u w:val="thick"/>
        </w:rPr>
        <w:t>Chart 3: </w:t>
      </w:r>
      <w:r>
        <w:rPr>
          <w:u w:val="none"/>
        </w:rPr>
        <w:t>Distribution of MA Enrollment by ranges of county MA Benchmarks</w:t>
      </w:r>
    </w:p>
    <w:p>
      <w:pPr>
        <w:pStyle w:val="BodyText"/>
        <w:spacing w:before="7"/>
        <w:rPr>
          <w:b/>
          <w:sz w:val="18"/>
        </w:rPr>
      </w:pPr>
      <w:r>
        <w:rPr/>
        <w:drawing>
          <wp:anchor distT="0" distB="0" distL="0" distR="0" allowOverlap="1" layoutInCell="1" locked="0" behindDoc="0" simplePos="0" relativeHeight="1480">
            <wp:simplePos x="0" y="0"/>
            <wp:positionH relativeFrom="page">
              <wp:posOffset>731519</wp:posOffset>
            </wp:positionH>
            <wp:positionV relativeFrom="paragraph">
              <wp:posOffset>160776</wp:posOffset>
            </wp:positionV>
            <wp:extent cx="6183507" cy="2749295"/>
            <wp:effectExtent l="0" t="0" r="0" b="0"/>
            <wp:wrapTopAndBottom/>
            <wp:docPr id="19" name="image11.png" descr=""/>
            <wp:cNvGraphicFramePr>
              <a:graphicFrameLocks noChangeAspect="1"/>
            </wp:cNvGraphicFramePr>
            <a:graphic>
              <a:graphicData uri="http://schemas.openxmlformats.org/drawingml/2006/picture">
                <pic:pic>
                  <pic:nvPicPr>
                    <pic:cNvPr id="20" name="image11.png"/>
                    <pic:cNvPicPr/>
                  </pic:nvPicPr>
                  <pic:blipFill>
                    <a:blip r:embed="rId20" cstate="print"/>
                    <a:stretch>
                      <a:fillRect/>
                    </a:stretch>
                  </pic:blipFill>
                  <pic:spPr>
                    <a:xfrm>
                      <a:off x="0" y="0"/>
                      <a:ext cx="6183507" cy="2749295"/>
                    </a:xfrm>
                    <a:prstGeom prst="rect">
                      <a:avLst/>
                    </a:prstGeom>
                  </pic:spPr>
                </pic:pic>
              </a:graphicData>
            </a:graphic>
          </wp:anchor>
        </w:drawing>
      </w:r>
    </w:p>
    <w:p>
      <w:pPr>
        <w:pStyle w:val="BodyText"/>
        <w:spacing w:before="213"/>
        <w:ind w:left="112" w:right="104" w:firstLine="720"/>
        <w:jc w:val="both"/>
      </w:pPr>
      <w:r>
        <w:rPr/>
        <w:t>Assuming the utilization of services for Puerto Rico beneficiaries in the MA plans is consistent with utilization</w:t>
      </w:r>
      <w:r>
        <w:rPr>
          <w:spacing w:val="-10"/>
        </w:rPr>
        <w:t> </w:t>
      </w:r>
      <w:r>
        <w:rPr/>
        <w:t>patterns</w:t>
      </w:r>
      <w:r>
        <w:rPr>
          <w:spacing w:val="-9"/>
        </w:rPr>
        <w:t> </w:t>
      </w:r>
      <w:r>
        <w:rPr/>
        <w:t>in</w:t>
      </w:r>
      <w:r>
        <w:rPr>
          <w:spacing w:val="-10"/>
        </w:rPr>
        <w:t> </w:t>
      </w:r>
      <w:r>
        <w:rPr/>
        <w:t>the</w:t>
      </w:r>
      <w:r>
        <w:rPr>
          <w:spacing w:val="-8"/>
        </w:rPr>
        <w:t> </w:t>
      </w:r>
      <w:r>
        <w:rPr/>
        <w:t>US,</w:t>
      </w:r>
      <w:r>
        <w:rPr>
          <w:spacing w:val="-7"/>
        </w:rPr>
        <w:t> </w:t>
      </w:r>
      <w:r>
        <w:rPr/>
        <w:t>the</w:t>
      </w:r>
      <w:r>
        <w:rPr>
          <w:spacing w:val="-7"/>
        </w:rPr>
        <w:t> </w:t>
      </w:r>
      <w:r>
        <w:rPr/>
        <w:t>conclusion</w:t>
      </w:r>
      <w:r>
        <w:rPr>
          <w:spacing w:val="-7"/>
        </w:rPr>
        <w:t> </w:t>
      </w:r>
      <w:r>
        <w:rPr/>
        <w:t>one</w:t>
      </w:r>
      <w:r>
        <w:rPr>
          <w:spacing w:val="-7"/>
        </w:rPr>
        <w:t> </w:t>
      </w:r>
      <w:r>
        <w:rPr/>
        <w:t>draws</w:t>
      </w:r>
      <w:r>
        <w:rPr>
          <w:spacing w:val="-9"/>
        </w:rPr>
        <w:t> </w:t>
      </w:r>
      <w:r>
        <w:rPr/>
        <w:t>from</w:t>
      </w:r>
      <w:r>
        <w:rPr>
          <w:spacing w:val="-11"/>
        </w:rPr>
        <w:t> </w:t>
      </w:r>
      <w:r>
        <w:rPr/>
        <w:t>the</w:t>
      </w:r>
      <w:r>
        <w:rPr>
          <w:spacing w:val="-7"/>
        </w:rPr>
        <w:t> </w:t>
      </w:r>
      <w:r>
        <w:rPr/>
        <w:t>chart</w:t>
      </w:r>
      <w:r>
        <w:rPr>
          <w:spacing w:val="-9"/>
        </w:rPr>
        <w:t> </w:t>
      </w:r>
      <w:r>
        <w:rPr/>
        <w:t>above</w:t>
      </w:r>
      <w:r>
        <w:rPr>
          <w:spacing w:val="-6"/>
        </w:rPr>
        <w:t> </w:t>
      </w:r>
      <w:r>
        <w:rPr/>
        <w:t>is</w:t>
      </w:r>
      <w:r>
        <w:rPr>
          <w:spacing w:val="-9"/>
        </w:rPr>
        <w:t> </w:t>
      </w:r>
      <w:r>
        <w:rPr/>
        <w:t>that</w:t>
      </w:r>
      <w:r>
        <w:rPr>
          <w:spacing w:val="-8"/>
        </w:rPr>
        <w:t> </w:t>
      </w:r>
      <w:r>
        <w:rPr/>
        <w:t>there</w:t>
      </w:r>
      <w:r>
        <w:rPr>
          <w:spacing w:val="-9"/>
        </w:rPr>
        <w:t> </w:t>
      </w:r>
      <w:r>
        <w:rPr/>
        <w:t>is</w:t>
      </w:r>
      <w:r>
        <w:rPr>
          <w:spacing w:val="-6"/>
        </w:rPr>
        <w:t> </w:t>
      </w:r>
      <w:r>
        <w:rPr/>
        <w:t>a</w:t>
      </w:r>
      <w:r>
        <w:rPr>
          <w:spacing w:val="-9"/>
        </w:rPr>
        <w:t> </w:t>
      </w:r>
      <w:r>
        <w:rPr/>
        <w:t>severe</w:t>
      </w:r>
      <w:r>
        <w:rPr>
          <w:spacing w:val="-7"/>
        </w:rPr>
        <w:t> </w:t>
      </w:r>
      <w:r>
        <w:rPr/>
        <w:t>underfunding that will hinder the ability to properly fund the cost per service component. While some contracting efficiencies can</w:t>
      </w:r>
      <w:r>
        <w:rPr>
          <w:spacing w:val="-9"/>
        </w:rPr>
        <w:t> </w:t>
      </w:r>
      <w:r>
        <w:rPr/>
        <w:t>and</w:t>
      </w:r>
      <w:r>
        <w:rPr>
          <w:spacing w:val="-8"/>
        </w:rPr>
        <w:t> </w:t>
      </w:r>
      <w:r>
        <w:rPr/>
        <w:t>should</w:t>
      </w:r>
      <w:r>
        <w:rPr>
          <w:spacing w:val="-9"/>
        </w:rPr>
        <w:t> </w:t>
      </w:r>
      <w:r>
        <w:rPr/>
        <w:t>be</w:t>
      </w:r>
      <w:r>
        <w:rPr>
          <w:spacing w:val="-8"/>
        </w:rPr>
        <w:t> </w:t>
      </w:r>
      <w:r>
        <w:rPr/>
        <w:t>expected,</w:t>
      </w:r>
      <w:r>
        <w:rPr>
          <w:spacing w:val="-8"/>
        </w:rPr>
        <w:t> </w:t>
      </w:r>
      <w:r>
        <w:rPr/>
        <w:t>this</w:t>
      </w:r>
      <w:r>
        <w:rPr>
          <w:spacing w:val="-8"/>
        </w:rPr>
        <w:t> </w:t>
      </w:r>
      <w:r>
        <w:rPr/>
        <w:t>large</w:t>
      </w:r>
      <w:r>
        <w:rPr>
          <w:spacing w:val="-7"/>
        </w:rPr>
        <w:t> </w:t>
      </w:r>
      <w:r>
        <w:rPr/>
        <w:t>disparity</w:t>
      </w:r>
      <w:r>
        <w:rPr>
          <w:spacing w:val="-9"/>
        </w:rPr>
        <w:t> </w:t>
      </w:r>
      <w:r>
        <w:rPr/>
        <w:t>points</w:t>
      </w:r>
      <w:r>
        <w:rPr>
          <w:spacing w:val="-8"/>
        </w:rPr>
        <w:t> </w:t>
      </w:r>
      <w:r>
        <w:rPr/>
        <w:t>to</w:t>
      </w:r>
      <w:r>
        <w:rPr>
          <w:spacing w:val="-7"/>
        </w:rPr>
        <w:t> </w:t>
      </w:r>
      <w:r>
        <w:rPr/>
        <w:t>a</w:t>
      </w:r>
      <w:r>
        <w:rPr>
          <w:spacing w:val="-8"/>
        </w:rPr>
        <w:t> </w:t>
      </w:r>
      <w:r>
        <w:rPr/>
        <w:t>more</w:t>
      </w:r>
      <w:r>
        <w:rPr>
          <w:spacing w:val="-8"/>
        </w:rPr>
        <w:t> </w:t>
      </w:r>
      <w:r>
        <w:rPr/>
        <w:t>systemic</w:t>
      </w:r>
      <w:r>
        <w:rPr>
          <w:spacing w:val="-7"/>
        </w:rPr>
        <w:t> </w:t>
      </w:r>
      <w:r>
        <w:rPr/>
        <w:t>problem.</w:t>
      </w:r>
      <w:r>
        <w:rPr>
          <w:spacing w:val="40"/>
        </w:rPr>
        <w:t> </w:t>
      </w:r>
      <w:r>
        <w:rPr/>
        <w:t>When</w:t>
      </w:r>
      <w:r>
        <w:rPr>
          <w:spacing w:val="-9"/>
        </w:rPr>
        <w:t> </w:t>
      </w:r>
      <w:r>
        <w:rPr/>
        <w:t>viewed</w:t>
      </w:r>
      <w:r>
        <w:rPr>
          <w:spacing w:val="-9"/>
        </w:rPr>
        <w:t> </w:t>
      </w:r>
      <w:r>
        <w:rPr/>
        <w:t>considering</w:t>
      </w:r>
      <w:r>
        <w:rPr>
          <w:spacing w:val="-11"/>
        </w:rPr>
        <w:t> </w:t>
      </w:r>
      <w:r>
        <w:rPr/>
        <w:t>the realities of the Puerto Rico healthcare system, including but not limited to the mass migration of physicians and basic health care infrastructure deficiencies, it is evident that the benchmark development process is not appropriate when data anomalies are as evident as they are for Puerto</w:t>
      </w:r>
      <w:r>
        <w:rPr>
          <w:spacing w:val="-19"/>
        </w:rPr>
        <w:t> </w:t>
      </w:r>
      <w:r>
        <w:rPr/>
        <w:t>Rico.</w:t>
      </w:r>
    </w:p>
    <w:p>
      <w:pPr>
        <w:pStyle w:val="BodyText"/>
      </w:pPr>
    </w:p>
    <w:p>
      <w:pPr>
        <w:pStyle w:val="BodyText"/>
        <w:ind w:left="112" w:right="106" w:firstLine="720"/>
        <w:jc w:val="both"/>
      </w:pPr>
      <w:r>
        <w:rPr/>
        <w:t>While</w:t>
      </w:r>
      <w:r>
        <w:rPr>
          <w:spacing w:val="-9"/>
        </w:rPr>
        <w:t> </w:t>
      </w:r>
      <w:r>
        <w:rPr/>
        <w:t>these</w:t>
      </w:r>
      <w:r>
        <w:rPr>
          <w:spacing w:val="-9"/>
        </w:rPr>
        <w:t> </w:t>
      </w:r>
      <w:r>
        <w:rPr/>
        <w:t>objective</w:t>
      </w:r>
      <w:r>
        <w:rPr>
          <w:spacing w:val="-7"/>
        </w:rPr>
        <w:t> </w:t>
      </w:r>
      <w:r>
        <w:rPr/>
        <w:t>data</w:t>
      </w:r>
      <w:r>
        <w:rPr>
          <w:spacing w:val="-9"/>
        </w:rPr>
        <w:t> </w:t>
      </w:r>
      <w:r>
        <w:rPr/>
        <w:t>points</w:t>
      </w:r>
      <w:r>
        <w:rPr>
          <w:spacing w:val="-6"/>
        </w:rPr>
        <w:t> </w:t>
      </w:r>
      <w:r>
        <w:rPr/>
        <w:t>provide</w:t>
      </w:r>
      <w:r>
        <w:rPr>
          <w:spacing w:val="-9"/>
        </w:rPr>
        <w:t> </w:t>
      </w:r>
      <w:r>
        <w:rPr/>
        <w:t>insight</w:t>
      </w:r>
      <w:r>
        <w:rPr>
          <w:spacing w:val="-6"/>
        </w:rPr>
        <w:t> </w:t>
      </w:r>
      <w:r>
        <w:rPr/>
        <w:t>into</w:t>
      </w:r>
      <w:r>
        <w:rPr>
          <w:spacing w:val="-7"/>
        </w:rPr>
        <w:t> </w:t>
      </w:r>
      <w:r>
        <w:rPr/>
        <w:t>cause</w:t>
      </w:r>
      <w:r>
        <w:rPr>
          <w:spacing w:val="-9"/>
        </w:rPr>
        <w:t> </w:t>
      </w:r>
      <w:r>
        <w:rPr/>
        <w:t>and</w:t>
      </w:r>
      <w:r>
        <w:rPr>
          <w:spacing w:val="-9"/>
        </w:rPr>
        <w:t> </w:t>
      </w:r>
      <w:r>
        <w:rPr/>
        <w:t>effect,</w:t>
      </w:r>
      <w:r>
        <w:rPr>
          <w:spacing w:val="-7"/>
        </w:rPr>
        <w:t> </w:t>
      </w:r>
      <w:r>
        <w:rPr/>
        <w:t>we</w:t>
      </w:r>
      <w:r>
        <w:rPr>
          <w:spacing w:val="-9"/>
        </w:rPr>
        <w:t> </w:t>
      </w:r>
      <w:r>
        <w:rPr/>
        <w:t>have</w:t>
      </w:r>
      <w:r>
        <w:rPr>
          <w:spacing w:val="-7"/>
        </w:rPr>
        <w:t> </w:t>
      </w:r>
      <w:r>
        <w:rPr/>
        <w:t>also</w:t>
      </w:r>
      <w:r>
        <w:rPr>
          <w:spacing w:val="-7"/>
        </w:rPr>
        <w:t> </w:t>
      </w:r>
      <w:r>
        <w:rPr/>
        <w:t>calculated</w:t>
      </w:r>
      <w:r>
        <w:rPr>
          <w:spacing w:val="-9"/>
        </w:rPr>
        <w:t> </w:t>
      </w:r>
      <w:r>
        <w:rPr/>
        <w:t>a</w:t>
      </w:r>
      <w:r>
        <w:rPr>
          <w:spacing w:val="-7"/>
        </w:rPr>
        <w:t> </w:t>
      </w:r>
      <w:r>
        <w:rPr/>
        <w:t>Relative Benchmark to GPCI measure to validate if there is a disparity between the Physician Fee Schedule (RBRVS) payments and the funding provided to MA plans. We took the MA Enrollment Weighted Average Benchmark to national average ratio divided by the Weighted Average GPCI for each Medicare Locality to see how the main Medicare Fee Schedule component compares to MA reimbursement. Once again, Puerto Rico is an extreme outlier</w:t>
      </w:r>
      <w:r>
        <w:rPr>
          <w:spacing w:val="-15"/>
        </w:rPr>
        <w:t> </w:t>
      </w:r>
      <w:r>
        <w:rPr/>
        <w:t>on</w:t>
      </w:r>
      <w:r>
        <w:rPr>
          <w:spacing w:val="-16"/>
        </w:rPr>
        <w:t> </w:t>
      </w:r>
      <w:r>
        <w:rPr/>
        <w:t>the</w:t>
      </w:r>
      <w:r>
        <w:rPr>
          <w:spacing w:val="-18"/>
        </w:rPr>
        <w:t> </w:t>
      </w:r>
      <w:r>
        <w:rPr/>
        <w:t>low</w:t>
      </w:r>
      <w:r>
        <w:rPr>
          <w:spacing w:val="-17"/>
        </w:rPr>
        <w:t> </w:t>
      </w:r>
      <w:r>
        <w:rPr/>
        <w:t>end,</w:t>
      </w:r>
      <w:r>
        <w:rPr>
          <w:spacing w:val="-15"/>
        </w:rPr>
        <w:t> </w:t>
      </w:r>
      <w:r>
        <w:rPr/>
        <w:t>validating</w:t>
      </w:r>
      <w:r>
        <w:rPr>
          <w:spacing w:val="-18"/>
        </w:rPr>
        <w:t> </w:t>
      </w:r>
      <w:r>
        <w:rPr/>
        <w:t>the</w:t>
      </w:r>
      <w:r>
        <w:rPr>
          <w:spacing w:val="-15"/>
        </w:rPr>
        <w:t> </w:t>
      </w:r>
      <w:r>
        <w:rPr/>
        <w:t>disparity</w:t>
      </w:r>
      <w:r>
        <w:rPr>
          <w:spacing w:val="-18"/>
        </w:rPr>
        <w:t> </w:t>
      </w:r>
      <w:r>
        <w:rPr/>
        <w:t>between</w:t>
      </w:r>
      <w:r>
        <w:rPr>
          <w:spacing w:val="-16"/>
        </w:rPr>
        <w:t> </w:t>
      </w:r>
      <w:r>
        <w:rPr/>
        <w:t>expected</w:t>
      </w:r>
      <w:r>
        <w:rPr>
          <w:spacing w:val="-15"/>
        </w:rPr>
        <w:t> </w:t>
      </w:r>
      <w:r>
        <w:rPr/>
        <w:t>fee</w:t>
      </w:r>
      <w:r>
        <w:rPr>
          <w:spacing w:val="-15"/>
        </w:rPr>
        <w:t> </w:t>
      </w:r>
      <w:r>
        <w:rPr/>
        <w:t>schedule</w:t>
      </w:r>
      <w:r>
        <w:rPr>
          <w:spacing w:val="-15"/>
        </w:rPr>
        <w:t> </w:t>
      </w:r>
      <w:r>
        <w:rPr/>
        <w:t>levels</w:t>
      </w:r>
      <w:r>
        <w:rPr>
          <w:spacing w:val="-15"/>
        </w:rPr>
        <w:t> </w:t>
      </w:r>
      <w:r>
        <w:rPr/>
        <w:t>and</w:t>
      </w:r>
      <w:r>
        <w:rPr>
          <w:spacing w:val="-15"/>
        </w:rPr>
        <w:t> </w:t>
      </w:r>
      <w:r>
        <w:rPr/>
        <w:t>MA</w:t>
      </w:r>
      <w:r>
        <w:rPr>
          <w:spacing w:val="-16"/>
        </w:rPr>
        <w:t> </w:t>
      </w:r>
      <w:r>
        <w:rPr/>
        <w:t>funding.</w:t>
      </w:r>
      <w:r>
        <w:rPr>
          <w:spacing w:val="29"/>
        </w:rPr>
        <w:t> </w:t>
      </w:r>
      <w:r>
        <w:rPr/>
        <w:t>As</w:t>
      </w:r>
      <w:r>
        <w:rPr>
          <w:spacing w:val="-15"/>
        </w:rPr>
        <w:t> </w:t>
      </w:r>
      <w:r>
        <w:rPr/>
        <w:t>provided in </w:t>
      </w:r>
      <w:r>
        <w:rPr>
          <w:b/>
          <w:u w:val="thick"/>
        </w:rPr>
        <w:t>Chart 4 </w:t>
      </w:r>
      <w:r>
        <w:rPr/>
        <w:t>below, the index for Puerto Rico is 0.59 on this scale, while US Virgin Islands (USVI) is the next closest at 0.76 and finally Alaska is the next closest locality at 0.81 and the weighted average for this measure</w:t>
      </w:r>
      <w:r>
        <w:rPr>
          <w:spacing w:val="26"/>
        </w:rPr>
        <w:t> </w:t>
      </w:r>
      <w:r>
        <w:rPr/>
        <w:t>is</w:t>
      </w:r>
    </w:p>
    <w:p>
      <w:pPr>
        <w:spacing w:after="0"/>
        <w:jc w:val="both"/>
        <w:sectPr>
          <w:pgSz w:w="12240" w:h="15840"/>
          <w:pgMar w:header="0" w:footer="1015" w:top="1360" w:bottom="1200" w:left="1040" w:right="1040"/>
        </w:sectPr>
      </w:pPr>
    </w:p>
    <w:p>
      <w:pPr>
        <w:pStyle w:val="BodyText"/>
        <w:spacing w:before="79"/>
        <w:ind w:left="112" w:right="108"/>
        <w:jc w:val="both"/>
      </w:pPr>
      <w:r>
        <w:rPr/>
        <w:t>0.99. The weighted GPCI is the same for Puerto Rico and USVI, yet Puerto Rico benchmarks on average are approximately 26% below the USVI, a disparity highlighted by this measure. When considering that Puerto</w:t>
      </w:r>
      <w:r>
        <w:rPr>
          <w:spacing w:val="-37"/>
        </w:rPr>
        <w:t> </w:t>
      </w:r>
      <w:r>
        <w:rPr/>
        <w:t>Rico MA utilization is on par with the National MA metrics, it is clear there is significant pressure on reimbursement that a system should not be expected to</w:t>
      </w:r>
      <w:r>
        <w:rPr>
          <w:spacing w:val="-10"/>
        </w:rPr>
        <w:t> </w:t>
      </w:r>
      <w:r>
        <w:rPr/>
        <w:t>bear.</w:t>
      </w:r>
    </w:p>
    <w:p>
      <w:pPr>
        <w:pStyle w:val="BodyText"/>
      </w:pPr>
    </w:p>
    <w:p>
      <w:pPr>
        <w:pStyle w:val="Heading3"/>
        <w:ind w:left="2728"/>
        <w:rPr>
          <w:u w:val="none"/>
        </w:rPr>
      </w:pPr>
      <w:r>
        <w:rPr/>
        <w:pict>
          <v:group style="position:absolute;margin-left:84.375pt;margin-top:24.97451pt;width:442.6pt;height:241.15pt;mso-position-horizontal-relative:page;mso-position-vertical-relative:paragraph;z-index:1672" coordorigin="1688,499" coordsize="8852,4823">
            <v:shape style="position:absolute;left:2283;top:2547;width:8168;height:1577" coordorigin="2283,2547" coordsize="8168,1577" path="m2283,4124l10451,4124m2283,3493l10451,3493m2283,3179l10451,3179m2283,2862l10451,2862m2283,2547l10451,2547e" filled="false" stroked="true" strokeweight=".75pt" strokecolor="#d9d9d9">
              <v:path arrowok="t"/>
              <v:stroke dashstyle="solid"/>
            </v:shape>
            <v:shape style="position:absolute;left:2319;top:2498;width:8024;height:1667" coordorigin="2319,2498" coordsize="8024,1667" path="m2319,2498l2390,2598,2465,2593,2537,2651,2609,2715,2681,2641,2753,2665,2825,2600,2897,2655,2969,2631,3043,2600,3115,2627,3187,2667,3259,2691,3331,2711,3403,2742,3475,2814,3547,2723,3619,2754,3694,2696,3766,2773,3838,2991,3910,2742,3982,2737,4054,2684,4126,2780,4198,2811,4272,3018,4344,2807,4416,2811,4488,2706,4560,2852,4632,2871,4704,2840,4776,2826,4848,2917,4922,2711,4994,2783,5066,2843,5138,2797,5210,2723,5282,2708,5354,2869,5426,2893,5501,2903,5573,2919,5645,4165,5717,3618,5789,2574,5861,2641,5933,2648,6005,2943,6077,2523,6151,2967,6223,2521,6295,2886,6367,2927,6439,3078,6511,2761,6583,2936,6655,3071,6730,2991,6802,2996,6874,3018,6946,2977,7018,2876,7090,2965,7162,3035,7234,2943,7306,2943,7380,2991,7452,3248,7524,2963,7596,3025,7668,2991,7740,2845,7812,2905,7884,2927,7958,3030,8030,2970,8102,2989,8174,3080,8246,3080,8318,3351,8390,2955,8462,3066,8537,3013,8609,2915,8681,3020,8753,2967,8825,2504,8897,3075,8969,2660,9041,3111,9113,2965,9187,3063,9259,3128,9331,2953,9403,3054,9475,3164,9547,3231,9619,3191,9691,3347,9766,2991,9838,3234,9910,3275,9982,3407,10054,3236,10126,3231,10198,3332,10270,3347,10343,3450e" filled="false" stroked="true" strokeweight="2.25pt" strokecolor="#44536a">
              <v:path arrowok="t"/>
              <v:stroke dashstyle="solid"/>
            </v:shape>
            <v:shape style="position:absolute;left:5644;top:4011;width:1660;height:307" coordorigin="5644,4011" coordsize="1660,307" path="m7304,4139l5754,4139,5754,4318,7304,4318,7304,4139xm7304,4011l5754,4011,5754,4062,5644,4165,5754,4139,7304,4139,7304,4011xe" filled="true" fillcolor="#d0cece" stroked="false">
              <v:path arrowok="t"/>
              <v:fill type="solid"/>
            </v:shape>
            <v:shape style="position:absolute;left:5644;top:4011;width:1660;height:307" coordorigin="5644,4011" coordsize="1660,307" path="m5754,4011l6013,4011,6400,4011,7304,4011,7304,4062,7304,4139,7304,4318,6400,4318,6013,4318,5754,4318,5754,4139,5644,4165,5754,4062,5754,4011xe" filled="false" stroked="true" strokeweight=".75pt" strokecolor="#bebebe">
              <v:path arrowok="t"/>
              <v:stroke dashstyle="solid"/>
            </v:shape>
            <v:shape style="position:absolute;left:5717;top:3448;width:2058;height:307" coordorigin="5717,3448" coordsize="2058,307" path="m5717,3617l6073,3704,6073,3755,7774,3755,7774,3627,6073,3627,5717,3617xm7774,3448l6073,3448,6073,3627,7774,3627,7774,3448xe" filled="true" fillcolor="#d0cece" stroked="false">
              <v:path arrowok="t"/>
              <v:fill type="solid"/>
            </v:shape>
            <v:shape style="position:absolute;left:5717;top:3448;width:2058;height:307" coordorigin="5717,3448" coordsize="2058,307" path="m6073,3448l6356,3448,6782,3448,7774,3448,7774,3627,7774,3704,7774,3755,6782,3755,6356,3755,6073,3755,6073,3704,5717,3617,6073,3627,6073,3448xe" filled="false" stroked="true" strokeweight=".75pt" strokecolor="#bebebe">
              <v:path arrowok="t"/>
              <v:stroke dashstyle="solid"/>
            </v:shape>
            <v:shape style="position:absolute;left:8633;top:3449;width:1710;height:435" coordorigin="8633,3449" coordsize="1710,435" path="m9864,3576l8633,3576,8633,3883,9864,3883,9864,3576xm10343,3449l9351,3576,9659,3576,10343,3449xe" filled="true" fillcolor="#d0cece" stroked="false">
              <v:path arrowok="t"/>
              <v:fill type="solid"/>
            </v:shape>
            <v:shape style="position:absolute;left:8633;top:3449;width:1710;height:435" coordorigin="8633,3449" coordsize="1710,435" path="m8633,3576l9351,3576,10343,3449,9659,3576,9864,3576,9864,3627,9864,3704,9864,3883,9659,3883,9351,3883,8633,3883,8633,3704,8633,3627,8633,3576xe" filled="false" stroked="true" strokeweight=".75pt" strokecolor="#bebebe">
              <v:path arrowok="t"/>
              <v:stroke dashstyle="solid"/>
            </v:shape>
            <v:shape style="position:absolute;left:2283;top:1287;width:8168;height:3153" coordorigin="2283,1287" coordsize="8168,3153" path="m2283,2233l10451,2233m2283,1916l10451,1916m2283,1602l10451,1602m2283,1287l10451,1287m2283,4439l10451,4439e" filled="false" stroked="true" strokeweight=".75pt" strokecolor="#d9d9d9">
              <v:path arrowok="t"/>
              <v:stroke dashstyle="solid"/>
            </v:shape>
            <v:rect style="position:absolute;left:1695;top:507;width:8837;height:4808" filled="false" stroked="true" strokeweight=".75pt" strokecolor="#d9d9d9">
              <v:stroke dashstyle="solid"/>
            </v:rect>
            <v:shape style="position:absolute;left:2879;top:667;width:6475;height:451" type="#_x0000_t202" filled="false" stroked="false">
              <v:textbox inset="0,0,0,0">
                <w:txbxContent>
                  <w:p>
                    <w:pPr>
                      <w:spacing w:line="221" w:lineRule="exact" w:before="0"/>
                      <w:ind w:left="0" w:right="4" w:firstLine="0"/>
                      <w:jc w:val="center"/>
                      <w:rPr>
                        <w:sz w:val="20"/>
                      </w:rPr>
                    </w:pPr>
                    <w:r>
                      <w:rPr>
                        <w:color w:val="585858"/>
                        <w:sz w:val="20"/>
                      </w:rPr>
                      <w:t>Benchmark Factor to GPCI Factor</w:t>
                    </w:r>
                  </w:p>
                  <w:p>
                    <w:pPr>
                      <w:spacing w:before="0"/>
                      <w:ind w:left="0" w:right="18" w:firstLine="0"/>
                      <w:jc w:val="center"/>
                      <w:rPr>
                        <w:i/>
                        <w:sz w:val="20"/>
                      </w:rPr>
                    </w:pPr>
                    <w:r>
                      <w:rPr>
                        <w:i/>
                        <w:color w:val="585858"/>
                        <w:sz w:val="20"/>
                      </w:rPr>
                      <w:t>[(2018 Avg Benchmark/2018 National Avg Benchmark)/Weighted GPCI</w:t>
                    </w:r>
                    <w:r>
                      <w:rPr>
                        <w:i/>
                        <w:color w:val="585858"/>
                        <w:spacing w:val="-18"/>
                        <w:sz w:val="20"/>
                      </w:rPr>
                      <w:t> </w:t>
                    </w:r>
                    <w:r>
                      <w:rPr>
                        <w:i/>
                        <w:color w:val="585858"/>
                        <w:sz w:val="20"/>
                      </w:rPr>
                      <w:t>Factor]</w:t>
                    </w:r>
                  </w:p>
                </w:txbxContent>
              </v:textbox>
              <w10:wrap type="none"/>
            </v:shape>
            <v:shape style="position:absolute;left:1725;top:1183;width:425;height:2091" type="#_x0000_t202" filled="false" stroked="false">
              <v:textbox inset="0,0,0,0">
                <w:txbxContent>
                  <w:p>
                    <w:pPr>
                      <w:spacing w:line="199" w:lineRule="exact" w:before="0"/>
                      <w:ind w:left="0" w:right="0" w:firstLine="0"/>
                      <w:jc w:val="left"/>
                      <w:rPr>
                        <w:sz w:val="18"/>
                      </w:rPr>
                    </w:pPr>
                    <w:r>
                      <w:rPr>
                        <w:color w:val="585858"/>
                        <w:sz w:val="18"/>
                      </w:rPr>
                      <w:t>1.500</w:t>
                    </w:r>
                  </w:p>
                  <w:p>
                    <w:pPr>
                      <w:spacing w:before="108"/>
                      <w:ind w:left="0" w:right="0" w:firstLine="0"/>
                      <w:jc w:val="left"/>
                      <w:rPr>
                        <w:sz w:val="18"/>
                      </w:rPr>
                    </w:pPr>
                    <w:r>
                      <w:rPr>
                        <w:color w:val="585858"/>
                        <w:sz w:val="18"/>
                      </w:rPr>
                      <w:t>1.400</w:t>
                    </w:r>
                  </w:p>
                  <w:p>
                    <w:pPr>
                      <w:spacing w:before="107"/>
                      <w:ind w:left="0" w:right="0" w:firstLine="0"/>
                      <w:jc w:val="left"/>
                      <w:rPr>
                        <w:sz w:val="18"/>
                      </w:rPr>
                    </w:pPr>
                    <w:r>
                      <w:rPr>
                        <w:color w:val="585858"/>
                        <w:sz w:val="18"/>
                      </w:rPr>
                      <w:t>1.300</w:t>
                    </w:r>
                  </w:p>
                  <w:p>
                    <w:pPr>
                      <w:spacing w:before="107"/>
                      <w:ind w:left="0" w:right="0" w:firstLine="0"/>
                      <w:jc w:val="left"/>
                      <w:rPr>
                        <w:sz w:val="18"/>
                      </w:rPr>
                    </w:pPr>
                    <w:r>
                      <w:rPr>
                        <w:color w:val="585858"/>
                        <w:sz w:val="18"/>
                      </w:rPr>
                      <w:t>1.200</w:t>
                    </w:r>
                  </w:p>
                  <w:p>
                    <w:pPr>
                      <w:spacing w:before="107"/>
                      <w:ind w:left="0" w:right="0" w:firstLine="0"/>
                      <w:jc w:val="left"/>
                      <w:rPr>
                        <w:sz w:val="18"/>
                      </w:rPr>
                    </w:pPr>
                    <w:r>
                      <w:rPr>
                        <w:color w:val="585858"/>
                        <w:sz w:val="18"/>
                      </w:rPr>
                      <w:t>1.100</w:t>
                    </w:r>
                  </w:p>
                  <w:p>
                    <w:pPr>
                      <w:spacing w:before="108"/>
                      <w:ind w:left="0" w:right="0" w:firstLine="0"/>
                      <w:jc w:val="left"/>
                      <w:rPr>
                        <w:sz w:val="18"/>
                      </w:rPr>
                    </w:pPr>
                    <w:r>
                      <w:rPr>
                        <w:color w:val="585858"/>
                        <w:sz w:val="18"/>
                      </w:rPr>
                      <w:t>1.000</w:t>
                    </w:r>
                  </w:p>
                  <w:p>
                    <w:pPr>
                      <w:spacing w:before="108"/>
                      <w:ind w:left="0" w:right="0" w:firstLine="0"/>
                      <w:jc w:val="left"/>
                      <w:rPr>
                        <w:sz w:val="18"/>
                      </w:rPr>
                    </w:pPr>
                    <w:r>
                      <w:rPr>
                        <w:color w:val="585858"/>
                        <w:sz w:val="18"/>
                      </w:rPr>
                      <w:t>0.900</w:t>
                    </w:r>
                  </w:p>
                </w:txbxContent>
              </v:textbox>
              <w10:wrap type="none"/>
            </v:shape>
            <v:shape style="position:absolute;left:1725;top:3390;width:425;height:1145" type="#_x0000_t202" filled="false" stroked="false">
              <v:textbox inset="0,0,0,0">
                <w:txbxContent>
                  <w:p>
                    <w:pPr>
                      <w:spacing w:line="199" w:lineRule="exact" w:before="0"/>
                      <w:ind w:left="0" w:right="0" w:firstLine="0"/>
                      <w:jc w:val="left"/>
                      <w:rPr>
                        <w:sz w:val="18"/>
                      </w:rPr>
                    </w:pPr>
                    <w:r>
                      <w:rPr>
                        <w:color w:val="585858"/>
                        <w:sz w:val="18"/>
                      </w:rPr>
                      <w:t>0.800</w:t>
                    </w:r>
                  </w:p>
                  <w:p>
                    <w:pPr>
                      <w:spacing w:before="108"/>
                      <w:ind w:left="0" w:right="0" w:firstLine="0"/>
                      <w:jc w:val="left"/>
                      <w:rPr>
                        <w:sz w:val="18"/>
                      </w:rPr>
                    </w:pPr>
                    <w:r>
                      <w:rPr>
                        <w:color w:val="585858"/>
                        <w:sz w:val="18"/>
                      </w:rPr>
                      <w:t>0.700</w:t>
                    </w:r>
                  </w:p>
                  <w:p>
                    <w:pPr>
                      <w:spacing w:before="108"/>
                      <w:ind w:left="0" w:right="0" w:firstLine="0"/>
                      <w:jc w:val="left"/>
                      <w:rPr>
                        <w:sz w:val="18"/>
                      </w:rPr>
                    </w:pPr>
                    <w:r>
                      <w:rPr>
                        <w:color w:val="585858"/>
                        <w:sz w:val="18"/>
                      </w:rPr>
                      <w:t>0.600</w:t>
                    </w:r>
                  </w:p>
                  <w:p>
                    <w:pPr>
                      <w:spacing w:before="108"/>
                      <w:ind w:left="0" w:right="0" w:firstLine="0"/>
                      <w:jc w:val="left"/>
                      <w:rPr>
                        <w:sz w:val="18"/>
                      </w:rPr>
                    </w:pPr>
                    <w:r>
                      <w:rPr>
                        <w:color w:val="585858"/>
                        <w:sz w:val="18"/>
                      </w:rPr>
                      <w:t>0.500</w:t>
                    </w:r>
                  </w:p>
                </w:txbxContent>
              </v:textbox>
              <w10:wrap type="none"/>
            </v:shape>
            <v:shape style="position:absolute;left:2283;top:3649;width:8188;height:200" type="#_x0000_t202" filled="false" stroked="false">
              <v:textbox inset="0,0,0,0">
                <w:txbxContent>
                  <w:p>
                    <w:pPr>
                      <w:tabs>
                        <w:tab w:pos="6418" w:val="left" w:leader="none"/>
                        <w:tab w:pos="8167" w:val="left" w:leader="none"/>
                      </w:tabs>
                      <w:spacing w:line="199" w:lineRule="exact" w:before="0"/>
                      <w:ind w:left="0" w:right="0" w:firstLine="0"/>
                      <w:jc w:val="left"/>
                      <w:rPr>
                        <w:rFonts w:ascii="Calibri"/>
                        <w:b/>
                        <w:sz w:val="20"/>
                      </w:rPr>
                    </w:pPr>
                    <w:r>
                      <w:rPr>
                        <w:rFonts w:ascii="Calibri"/>
                        <w:b/>
                        <w:color w:val="585858"/>
                        <w:w w:val="99"/>
                        <w:sz w:val="20"/>
                        <w:u w:val="single" w:color="D9D9D9"/>
                      </w:rPr>
                      <w:t> </w:t>
                    </w:r>
                    <w:r>
                      <w:rPr>
                        <w:rFonts w:ascii="Calibri"/>
                        <w:b/>
                        <w:color w:val="585858"/>
                        <w:sz w:val="20"/>
                        <w:u w:val="single" w:color="D9D9D9"/>
                      </w:rPr>
                      <w:tab/>
                      <w:t>Alaska,</w:t>
                    </w:r>
                    <w:r>
                      <w:rPr>
                        <w:rFonts w:ascii="Calibri"/>
                        <w:b/>
                        <w:color w:val="585858"/>
                        <w:spacing w:val="-3"/>
                        <w:sz w:val="20"/>
                        <w:u w:val="single" w:color="D9D9D9"/>
                      </w:rPr>
                      <w:t> </w:t>
                    </w:r>
                    <w:r>
                      <w:rPr>
                        <w:rFonts w:ascii="Calibri"/>
                        <w:b/>
                        <w:color w:val="585858"/>
                        <w:sz w:val="20"/>
                        <w:u w:val="single" w:color="D9D9D9"/>
                      </w:rPr>
                      <w:t>0.814</w:t>
                      <w:tab/>
                    </w:r>
                  </w:p>
                </w:txbxContent>
              </v:textbox>
              <w10:wrap type="none"/>
            </v:shape>
            <v:shape style="position:absolute;left:6144;top:3521;width:1582;height:200" type="#_x0000_t202" filled="false" stroked="false">
              <v:textbox inset="0,0,0,0">
                <w:txbxContent>
                  <w:p>
                    <w:pPr>
                      <w:spacing w:line="199" w:lineRule="exact" w:before="0"/>
                      <w:ind w:left="0" w:right="0" w:firstLine="0"/>
                      <w:jc w:val="left"/>
                      <w:rPr>
                        <w:rFonts w:ascii="Calibri"/>
                        <w:b/>
                        <w:sz w:val="20"/>
                      </w:rPr>
                    </w:pPr>
                    <w:r>
                      <w:rPr>
                        <w:rFonts w:ascii="Calibri"/>
                        <w:b/>
                        <w:color w:val="585858"/>
                        <w:sz w:val="20"/>
                      </w:rPr>
                      <w:t>Virgin Islands, .761</w:t>
                    </w:r>
                  </w:p>
                </w:txbxContent>
              </v:textbox>
              <w10:wrap type="none"/>
            </v:shape>
            <v:shape style="position:absolute;left:5825;top:4084;width:1430;height:200" type="#_x0000_t202" filled="false" stroked="false">
              <v:textbox inset="0,0,0,0">
                <w:txbxContent>
                  <w:p>
                    <w:pPr>
                      <w:spacing w:line="199" w:lineRule="exact" w:before="0"/>
                      <w:ind w:left="0" w:right="0" w:firstLine="0"/>
                      <w:jc w:val="left"/>
                      <w:rPr>
                        <w:rFonts w:ascii="Calibri"/>
                        <w:b/>
                        <w:sz w:val="20"/>
                      </w:rPr>
                    </w:pPr>
                    <w:r>
                      <w:rPr>
                        <w:rFonts w:ascii="Calibri"/>
                        <w:b/>
                        <w:color w:val="585858"/>
                        <w:sz w:val="20"/>
                      </w:rPr>
                      <w:t>Puerto Rico, .587</w:t>
                    </w:r>
                  </w:p>
                </w:txbxContent>
              </v:textbox>
              <w10:wrap type="none"/>
            </v:shape>
            <v:shape style="position:absolute;left:5338;top:5040;width:2708;height:200" type="#_x0000_t202" filled="false" stroked="false">
              <v:textbox inset="0,0,0,0">
                <w:txbxContent>
                  <w:p>
                    <w:pPr>
                      <w:spacing w:line="199" w:lineRule="exact" w:before="0"/>
                      <w:ind w:left="0" w:right="0" w:firstLine="0"/>
                      <w:jc w:val="left"/>
                      <w:rPr>
                        <w:rFonts w:ascii="Calibri"/>
                        <w:sz w:val="20"/>
                      </w:rPr>
                    </w:pPr>
                    <w:r>
                      <w:rPr>
                        <w:rFonts w:ascii="Calibri"/>
                        <w:color w:val="585858"/>
                        <w:sz w:val="20"/>
                      </w:rPr>
                      <w:t>Weighted GPCI Factor by Locality</w:t>
                    </w:r>
                  </w:p>
                </w:txbxContent>
              </v:textbox>
              <w10:wrap type="none"/>
            </v:shape>
            <w10:wrap type="none"/>
          </v:group>
        </w:pict>
      </w:r>
      <w:r>
        <w:rPr>
          <w:u w:val="thick"/>
        </w:rPr>
        <w:t>Chart 4</w:t>
      </w:r>
      <w:r>
        <w:rPr>
          <w:u w:val="none"/>
        </w:rPr>
        <w:t>: Ratio of MA Benchmark to GPCI Factor</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16"/>
        </w:rPr>
      </w:pPr>
    </w:p>
    <w:p>
      <w:pPr>
        <w:pStyle w:val="BodyText"/>
        <w:spacing w:before="92"/>
        <w:ind w:left="112" w:right="105" w:firstLine="720"/>
        <w:jc w:val="both"/>
      </w:pPr>
      <w:r>
        <w:rPr/>
        <w:pict>
          <v:shape style="position:absolute;margin-left:110.019981pt;margin-top:-48.50547pt;width:413.25pt;height:22.25pt;mso-position-horizontal-relative:page;mso-position-vertical-relative:paragraph;z-index:1696" type="#_x0000_t202" filled="false" stroked="false">
            <v:textbox inset="0,0,0,0" style="layout-flow:vertical;mso-layout-flow-alt:bottom-to-top">
              <w:txbxContent>
                <w:p>
                  <w:pPr>
                    <w:spacing w:before="12"/>
                    <w:ind w:left="20" w:right="0" w:firstLine="0"/>
                    <w:jc w:val="left"/>
                    <w:rPr>
                      <w:sz w:val="18"/>
                    </w:rPr>
                  </w:pPr>
                  <w:r>
                    <w:rPr>
                      <w:color w:val="585858"/>
                      <w:spacing w:val="1"/>
                      <w:sz w:val="18"/>
                    </w:rPr>
                    <w:t>0</w:t>
                  </w:r>
                  <w:r>
                    <w:rPr>
                      <w:color w:val="585858"/>
                      <w:spacing w:val="-2"/>
                      <w:sz w:val="18"/>
                    </w:rPr>
                    <w:t>.</w:t>
                  </w:r>
                  <w:r>
                    <w:rPr>
                      <w:color w:val="585858"/>
                      <w:spacing w:val="1"/>
                      <w:sz w:val="18"/>
                    </w:rPr>
                    <w:t>8</w:t>
                  </w:r>
                  <w:r>
                    <w:rPr>
                      <w:color w:val="585858"/>
                      <w:spacing w:val="-2"/>
                      <w:sz w:val="18"/>
                    </w:rPr>
                    <w:t>9</w:t>
                  </w:r>
                  <w:r>
                    <w:rPr>
                      <w:color w:val="585858"/>
                      <w:sz w:val="18"/>
                    </w:rPr>
                    <w:t>5</w:t>
                  </w:r>
                </w:p>
                <w:p>
                  <w:pPr>
                    <w:spacing w:before="9"/>
                    <w:ind w:left="20" w:right="0" w:firstLine="0"/>
                    <w:jc w:val="left"/>
                    <w:rPr>
                      <w:sz w:val="18"/>
                    </w:rPr>
                  </w:pPr>
                  <w:r>
                    <w:rPr>
                      <w:color w:val="585858"/>
                      <w:spacing w:val="1"/>
                      <w:sz w:val="18"/>
                    </w:rPr>
                    <w:t>0</w:t>
                  </w:r>
                  <w:r>
                    <w:rPr>
                      <w:color w:val="585858"/>
                      <w:spacing w:val="-2"/>
                      <w:sz w:val="18"/>
                    </w:rPr>
                    <w:t>.</w:t>
                  </w:r>
                  <w:r>
                    <w:rPr>
                      <w:color w:val="585858"/>
                      <w:spacing w:val="1"/>
                      <w:sz w:val="18"/>
                    </w:rPr>
                    <w:t>9</w:t>
                  </w:r>
                  <w:r>
                    <w:rPr>
                      <w:color w:val="585858"/>
                      <w:spacing w:val="-2"/>
                      <w:sz w:val="18"/>
                    </w:rPr>
                    <w:t>1</w:t>
                  </w:r>
                  <w:r>
                    <w:rPr>
                      <w:color w:val="585858"/>
                      <w:sz w:val="18"/>
                    </w:rPr>
                    <w:t>6</w:t>
                  </w:r>
                </w:p>
                <w:p>
                  <w:pPr>
                    <w:spacing w:before="9"/>
                    <w:ind w:left="20" w:right="0" w:firstLine="0"/>
                    <w:jc w:val="left"/>
                    <w:rPr>
                      <w:sz w:val="18"/>
                    </w:rPr>
                  </w:pPr>
                  <w:r>
                    <w:rPr>
                      <w:color w:val="585858"/>
                      <w:spacing w:val="1"/>
                      <w:sz w:val="18"/>
                    </w:rPr>
                    <w:t>0</w:t>
                  </w:r>
                  <w:r>
                    <w:rPr>
                      <w:color w:val="585858"/>
                      <w:spacing w:val="-2"/>
                      <w:sz w:val="18"/>
                    </w:rPr>
                    <w:t>.</w:t>
                  </w:r>
                  <w:r>
                    <w:rPr>
                      <w:color w:val="585858"/>
                      <w:spacing w:val="1"/>
                      <w:sz w:val="18"/>
                    </w:rPr>
                    <w:t>9</w:t>
                  </w:r>
                  <w:r>
                    <w:rPr>
                      <w:color w:val="585858"/>
                      <w:spacing w:val="-2"/>
                      <w:sz w:val="18"/>
                    </w:rPr>
                    <w:t>1</w:t>
                  </w:r>
                  <w:r>
                    <w:rPr>
                      <w:color w:val="585858"/>
                      <w:sz w:val="18"/>
                    </w:rPr>
                    <w:t>8</w:t>
                  </w:r>
                </w:p>
                <w:p>
                  <w:pPr>
                    <w:spacing w:before="9"/>
                    <w:ind w:left="20" w:right="0" w:firstLine="0"/>
                    <w:jc w:val="left"/>
                    <w:rPr>
                      <w:sz w:val="18"/>
                    </w:rPr>
                  </w:pPr>
                  <w:r>
                    <w:rPr>
                      <w:color w:val="585858"/>
                      <w:spacing w:val="1"/>
                      <w:sz w:val="18"/>
                    </w:rPr>
                    <w:t>0</w:t>
                  </w:r>
                  <w:r>
                    <w:rPr>
                      <w:color w:val="585858"/>
                      <w:spacing w:val="-2"/>
                      <w:sz w:val="18"/>
                    </w:rPr>
                    <w:t>.</w:t>
                  </w:r>
                  <w:r>
                    <w:rPr>
                      <w:color w:val="585858"/>
                      <w:spacing w:val="1"/>
                      <w:sz w:val="18"/>
                    </w:rPr>
                    <w:t>9</w:t>
                  </w:r>
                  <w:r>
                    <w:rPr>
                      <w:color w:val="585858"/>
                      <w:spacing w:val="-2"/>
                      <w:sz w:val="18"/>
                    </w:rPr>
                    <w:t>2</w:t>
                  </w:r>
                  <w:r>
                    <w:rPr>
                      <w:color w:val="585858"/>
                      <w:sz w:val="18"/>
                    </w:rPr>
                    <w:t>5</w:t>
                  </w:r>
                </w:p>
                <w:p>
                  <w:pPr>
                    <w:spacing w:before="9"/>
                    <w:ind w:left="20" w:right="0" w:firstLine="0"/>
                    <w:jc w:val="left"/>
                    <w:rPr>
                      <w:sz w:val="18"/>
                    </w:rPr>
                  </w:pPr>
                  <w:r>
                    <w:rPr>
                      <w:color w:val="585858"/>
                      <w:w w:val="100"/>
                      <w:sz w:val="18"/>
                    </w:rPr>
                    <w:t>0</w:t>
                  </w:r>
                  <w:r>
                    <w:rPr>
                      <w:color w:val="585858"/>
                      <w:spacing w:val="-2"/>
                      <w:w w:val="100"/>
                      <w:sz w:val="18"/>
                    </w:rPr>
                    <w:t>.</w:t>
                  </w:r>
                  <w:r>
                    <w:rPr>
                      <w:color w:val="585858"/>
                      <w:w w:val="100"/>
                      <w:sz w:val="18"/>
                    </w:rPr>
                    <w:t>9</w:t>
                  </w:r>
                  <w:r>
                    <w:rPr>
                      <w:color w:val="585858"/>
                      <w:spacing w:val="-2"/>
                      <w:w w:val="100"/>
                      <w:sz w:val="18"/>
                    </w:rPr>
                    <w:t>3</w:t>
                  </w:r>
                  <w:r>
                    <w:rPr>
                      <w:color w:val="585858"/>
                      <w:w w:val="100"/>
                      <w:sz w:val="18"/>
                    </w:rPr>
                    <w:t>0</w:t>
                  </w:r>
                </w:p>
                <w:p>
                  <w:pPr>
                    <w:spacing w:before="10"/>
                    <w:ind w:left="20" w:right="0" w:firstLine="0"/>
                    <w:jc w:val="left"/>
                    <w:rPr>
                      <w:sz w:val="18"/>
                    </w:rPr>
                  </w:pPr>
                  <w:r>
                    <w:rPr>
                      <w:color w:val="585858"/>
                      <w:spacing w:val="1"/>
                      <w:sz w:val="18"/>
                    </w:rPr>
                    <w:t>0</w:t>
                  </w:r>
                  <w:r>
                    <w:rPr>
                      <w:color w:val="585858"/>
                      <w:spacing w:val="-2"/>
                      <w:sz w:val="18"/>
                    </w:rPr>
                    <w:t>.</w:t>
                  </w:r>
                  <w:r>
                    <w:rPr>
                      <w:color w:val="585858"/>
                      <w:spacing w:val="1"/>
                      <w:sz w:val="18"/>
                    </w:rPr>
                    <w:t>9</w:t>
                  </w:r>
                  <w:r>
                    <w:rPr>
                      <w:color w:val="585858"/>
                      <w:spacing w:val="-2"/>
                      <w:sz w:val="18"/>
                    </w:rPr>
                    <w:t>4</w:t>
                  </w:r>
                  <w:r>
                    <w:rPr>
                      <w:color w:val="585858"/>
                      <w:sz w:val="18"/>
                    </w:rPr>
                    <w:t>3</w:t>
                  </w:r>
                </w:p>
                <w:p>
                  <w:pPr>
                    <w:spacing w:before="10"/>
                    <w:ind w:left="20" w:right="0" w:firstLine="0"/>
                    <w:jc w:val="left"/>
                    <w:rPr>
                      <w:sz w:val="18"/>
                    </w:rPr>
                  </w:pPr>
                  <w:r>
                    <w:rPr>
                      <w:color w:val="585858"/>
                      <w:spacing w:val="1"/>
                      <w:sz w:val="18"/>
                    </w:rPr>
                    <w:t>0</w:t>
                  </w:r>
                  <w:r>
                    <w:rPr>
                      <w:color w:val="585858"/>
                      <w:spacing w:val="-2"/>
                      <w:sz w:val="18"/>
                    </w:rPr>
                    <w:t>.</w:t>
                  </w:r>
                  <w:r>
                    <w:rPr>
                      <w:color w:val="585858"/>
                      <w:spacing w:val="1"/>
                      <w:sz w:val="18"/>
                    </w:rPr>
                    <w:t>9</w:t>
                  </w:r>
                  <w:r>
                    <w:rPr>
                      <w:color w:val="585858"/>
                      <w:spacing w:val="-2"/>
                      <w:sz w:val="18"/>
                    </w:rPr>
                    <w:t>4</w:t>
                  </w:r>
                  <w:r>
                    <w:rPr>
                      <w:color w:val="585858"/>
                      <w:sz w:val="18"/>
                    </w:rPr>
                    <w:t>8</w:t>
                  </w:r>
                </w:p>
                <w:p>
                  <w:pPr>
                    <w:spacing w:before="10"/>
                    <w:ind w:left="20" w:right="0" w:firstLine="0"/>
                    <w:jc w:val="left"/>
                    <w:rPr>
                      <w:sz w:val="18"/>
                    </w:rPr>
                  </w:pPr>
                  <w:r>
                    <w:rPr>
                      <w:color w:val="585858"/>
                      <w:spacing w:val="1"/>
                      <w:sz w:val="18"/>
                    </w:rPr>
                    <w:t>0</w:t>
                  </w:r>
                  <w:r>
                    <w:rPr>
                      <w:color w:val="585858"/>
                      <w:spacing w:val="-2"/>
                      <w:sz w:val="18"/>
                    </w:rPr>
                    <w:t>.</w:t>
                  </w:r>
                  <w:r>
                    <w:rPr>
                      <w:color w:val="585858"/>
                      <w:spacing w:val="1"/>
                      <w:sz w:val="18"/>
                    </w:rPr>
                    <w:t>9</w:t>
                  </w:r>
                  <w:r>
                    <w:rPr>
                      <w:color w:val="585858"/>
                      <w:spacing w:val="-2"/>
                      <w:sz w:val="18"/>
                    </w:rPr>
                    <w:t>5</w:t>
                  </w:r>
                  <w:r>
                    <w:rPr>
                      <w:color w:val="585858"/>
                      <w:sz w:val="18"/>
                    </w:rPr>
                    <w:t>4</w:t>
                  </w:r>
                </w:p>
                <w:p>
                  <w:pPr>
                    <w:spacing w:before="10"/>
                    <w:ind w:left="20" w:right="0" w:firstLine="0"/>
                    <w:jc w:val="left"/>
                    <w:rPr>
                      <w:sz w:val="18"/>
                    </w:rPr>
                  </w:pPr>
                  <w:r>
                    <w:rPr>
                      <w:color w:val="585858"/>
                      <w:spacing w:val="1"/>
                      <w:sz w:val="18"/>
                    </w:rPr>
                    <w:t>0</w:t>
                  </w:r>
                  <w:r>
                    <w:rPr>
                      <w:color w:val="585858"/>
                      <w:spacing w:val="-2"/>
                      <w:sz w:val="18"/>
                    </w:rPr>
                    <w:t>.</w:t>
                  </w:r>
                  <w:r>
                    <w:rPr>
                      <w:color w:val="585858"/>
                      <w:spacing w:val="1"/>
                      <w:sz w:val="18"/>
                    </w:rPr>
                    <w:t>9</w:t>
                  </w:r>
                  <w:r>
                    <w:rPr>
                      <w:color w:val="585858"/>
                      <w:spacing w:val="-2"/>
                      <w:sz w:val="18"/>
                    </w:rPr>
                    <w:t>5</w:t>
                  </w:r>
                  <w:r>
                    <w:rPr>
                      <w:color w:val="585858"/>
                      <w:sz w:val="18"/>
                    </w:rPr>
                    <w:t>8</w:t>
                  </w:r>
                </w:p>
                <w:p>
                  <w:pPr>
                    <w:spacing w:before="10"/>
                    <w:ind w:left="20" w:right="0" w:firstLine="0"/>
                    <w:jc w:val="left"/>
                    <w:rPr>
                      <w:sz w:val="18"/>
                    </w:rPr>
                  </w:pPr>
                  <w:r>
                    <w:rPr>
                      <w:color w:val="585858"/>
                      <w:spacing w:val="1"/>
                      <w:sz w:val="18"/>
                    </w:rPr>
                    <w:t>0</w:t>
                  </w:r>
                  <w:r>
                    <w:rPr>
                      <w:color w:val="585858"/>
                      <w:spacing w:val="-2"/>
                      <w:sz w:val="18"/>
                    </w:rPr>
                    <w:t>.</w:t>
                  </w:r>
                  <w:r>
                    <w:rPr>
                      <w:color w:val="585858"/>
                      <w:spacing w:val="1"/>
                      <w:sz w:val="18"/>
                    </w:rPr>
                    <w:t>9</w:t>
                  </w:r>
                  <w:r>
                    <w:rPr>
                      <w:color w:val="585858"/>
                      <w:spacing w:val="-2"/>
                      <w:sz w:val="18"/>
                    </w:rPr>
                    <w:t>6</w:t>
                  </w:r>
                  <w:r>
                    <w:rPr>
                      <w:color w:val="585858"/>
                      <w:sz w:val="18"/>
                    </w:rPr>
                    <w:t>6</w:t>
                  </w:r>
                </w:p>
                <w:p>
                  <w:pPr>
                    <w:spacing w:before="10"/>
                    <w:ind w:left="20" w:right="0" w:firstLine="0"/>
                    <w:jc w:val="left"/>
                    <w:rPr>
                      <w:sz w:val="18"/>
                    </w:rPr>
                  </w:pPr>
                  <w:r>
                    <w:rPr>
                      <w:color w:val="585858"/>
                      <w:spacing w:val="1"/>
                      <w:sz w:val="18"/>
                    </w:rPr>
                    <w:t>0</w:t>
                  </w:r>
                  <w:r>
                    <w:rPr>
                      <w:color w:val="585858"/>
                      <w:spacing w:val="-2"/>
                      <w:sz w:val="18"/>
                    </w:rPr>
                    <w:t>.</w:t>
                  </w:r>
                  <w:r>
                    <w:rPr>
                      <w:color w:val="585858"/>
                      <w:spacing w:val="1"/>
                      <w:sz w:val="18"/>
                    </w:rPr>
                    <w:t>9</w:t>
                  </w:r>
                  <w:r>
                    <w:rPr>
                      <w:color w:val="585858"/>
                      <w:spacing w:val="-2"/>
                      <w:sz w:val="18"/>
                    </w:rPr>
                    <w:t>7</w:t>
                  </w:r>
                  <w:r>
                    <w:rPr>
                      <w:color w:val="585858"/>
                      <w:sz w:val="18"/>
                    </w:rPr>
                    <w:t>0</w:t>
                  </w:r>
                </w:p>
                <w:p>
                  <w:pPr>
                    <w:spacing w:before="9"/>
                    <w:ind w:left="20" w:right="0" w:firstLine="0"/>
                    <w:jc w:val="left"/>
                    <w:rPr>
                      <w:sz w:val="18"/>
                    </w:rPr>
                  </w:pPr>
                  <w:r>
                    <w:rPr>
                      <w:color w:val="585858"/>
                      <w:spacing w:val="1"/>
                      <w:sz w:val="18"/>
                    </w:rPr>
                    <w:t>0</w:t>
                  </w:r>
                  <w:r>
                    <w:rPr>
                      <w:color w:val="585858"/>
                      <w:spacing w:val="-2"/>
                      <w:sz w:val="18"/>
                    </w:rPr>
                    <w:t>.</w:t>
                  </w:r>
                  <w:r>
                    <w:rPr>
                      <w:color w:val="585858"/>
                      <w:spacing w:val="1"/>
                      <w:sz w:val="18"/>
                    </w:rPr>
                    <w:t>9</w:t>
                  </w:r>
                  <w:r>
                    <w:rPr>
                      <w:color w:val="585858"/>
                      <w:spacing w:val="-2"/>
                      <w:sz w:val="18"/>
                    </w:rPr>
                    <w:t>7</w:t>
                  </w:r>
                  <w:r>
                    <w:rPr>
                      <w:color w:val="585858"/>
                      <w:sz w:val="18"/>
                    </w:rPr>
                    <w:t>7</w:t>
                  </w:r>
                </w:p>
                <w:p>
                  <w:pPr>
                    <w:spacing w:before="9"/>
                    <w:ind w:left="20" w:right="0" w:firstLine="0"/>
                    <w:jc w:val="left"/>
                    <w:rPr>
                      <w:sz w:val="18"/>
                    </w:rPr>
                  </w:pPr>
                  <w:r>
                    <w:rPr>
                      <w:color w:val="585858"/>
                      <w:spacing w:val="1"/>
                      <w:sz w:val="18"/>
                    </w:rPr>
                    <w:t>0</w:t>
                  </w:r>
                  <w:r>
                    <w:rPr>
                      <w:color w:val="585858"/>
                      <w:spacing w:val="-2"/>
                      <w:sz w:val="18"/>
                    </w:rPr>
                    <w:t>.</w:t>
                  </w:r>
                  <w:r>
                    <w:rPr>
                      <w:color w:val="585858"/>
                      <w:spacing w:val="1"/>
                      <w:sz w:val="18"/>
                    </w:rPr>
                    <w:t>9</w:t>
                  </w:r>
                  <w:r>
                    <w:rPr>
                      <w:color w:val="585858"/>
                      <w:spacing w:val="-2"/>
                      <w:sz w:val="18"/>
                    </w:rPr>
                    <w:t>7</w:t>
                  </w:r>
                  <w:r>
                    <w:rPr>
                      <w:color w:val="585858"/>
                      <w:sz w:val="18"/>
                    </w:rPr>
                    <w:t>9</w:t>
                  </w:r>
                </w:p>
                <w:p>
                  <w:pPr>
                    <w:spacing w:before="9"/>
                    <w:ind w:left="20" w:right="0" w:firstLine="0"/>
                    <w:jc w:val="left"/>
                    <w:rPr>
                      <w:sz w:val="18"/>
                    </w:rPr>
                  </w:pPr>
                  <w:r>
                    <w:rPr>
                      <w:color w:val="585858"/>
                      <w:spacing w:val="1"/>
                      <w:sz w:val="18"/>
                    </w:rPr>
                    <w:t>0</w:t>
                  </w:r>
                  <w:r>
                    <w:rPr>
                      <w:color w:val="585858"/>
                      <w:spacing w:val="-2"/>
                      <w:sz w:val="18"/>
                    </w:rPr>
                    <w:t>.</w:t>
                  </w:r>
                  <w:r>
                    <w:rPr>
                      <w:color w:val="585858"/>
                      <w:spacing w:val="1"/>
                      <w:sz w:val="18"/>
                    </w:rPr>
                    <w:t>9</w:t>
                  </w:r>
                  <w:r>
                    <w:rPr>
                      <w:color w:val="585858"/>
                      <w:spacing w:val="-2"/>
                      <w:sz w:val="18"/>
                    </w:rPr>
                    <w:t>8</w:t>
                  </w:r>
                  <w:r>
                    <w:rPr>
                      <w:color w:val="585858"/>
                      <w:sz w:val="18"/>
                    </w:rPr>
                    <w:t>6</w:t>
                  </w:r>
                </w:p>
                <w:p>
                  <w:pPr>
                    <w:spacing w:before="9"/>
                    <w:ind w:left="20" w:right="0" w:firstLine="0"/>
                    <w:jc w:val="left"/>
                    <w:rPr>
                      <w:sz w:val="18"/>
                    </w:rPr>
                  </w:pPr>
                  <w:r>
                    <w:rPr>
                      <w:color w:val="585858"/>
                      <w:spacing w:val="1"/>
                      <w:sz w:val="18"/>
                    </w:rPr>
                    <w:t>0</w:t>
                  </w:r>
                  <w:r>
                    <w:rPr>
                      <w:color w:val="585858"/>
                      <w:spacing w:val="-2"/>
                      <w:sz w:val="18"/>
                    </w:rPr>
                    <w:t>.</w:t>
                  </w:r>
                  <w:r>
                    <w:rPr>
                      <w:color w:val="585858"/>
                      <w:spacing w:val="1"/>
                      <w:sz w:val="18"/>
                    </w:rPr>
                    <w:t>9</w:t>
                  </w:r>
                  <w:r>
                    <w:rPr>
                      <w:color w:val="585858"/>
                      <w:spacing w:val="-2"/>
                      <w:sz w:val="18"/>
                    </w:rPr>
                    <w:t>9</w:t>
                  </w:r>
                  <w:r>
                    <w:rPr>
                      <w:color w:val="585858"/>
                      <w:sz w:val="18"/>
                    </w:rPr>
                    <w:t>5</w:t>
                  </w:r>
                </w:p>
                <w:p>
                  <w:pPr>
                    <w:spacing w:before="9"/>
                    <w:ind w:left="20" w:right="0" w:firstLine="0"/>
                    <w:jc w:val="left"/>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0</w:t>
                  </w:r>
                  <w:r>
                    <w:rPr>
                      <w:color w:val="585858"/>
                      <w:sz w:val="18"/>
                    </w:rPr>
                    <w:t>1</w:t>
                  </w:r>
                </w:p>
                <w:p>
                  <w:pPr>
                    <w:spacing w:before="9"/>
                    <w:ind w:left="20" w:right="0" w:firstLine="0"/>
                    <w:jc w:val="left"/>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0</w:t>
                  </w:r>
                  <w:r>
                    <w:rPr>
                      <w:color w:val="585858"/>
                      <w:sz w:val="18"/>
                    </w:rPr>
                    <w:t>2</w:t>
                  </w:r>
                </w:p>
                <w:p>
                  <w:pPr>
                    <w:spacing w:before="9"/>
                    <w:ind w:left="20" w:right="0" w:firstLine="0"/>
                    <w:jc w:val="left"/>
                    <w:rPr>
                      <w:sz w:val="18"/>
                    </w:rPr>
                  </w:pPr>
                  <w:r>
                    <w:rPr>
                      <w:color w:val="585858"/>
                      <w:w w:val="100"/>
                      <w:sz w:val="18"/>
                    </w:rPr>
                    <w:t>1</w:t>
                  </w:r>
                  <w:r>
                    <w:rPr>
                      <w:color w:val="585858"/>
                      <w:spacing w:val="-2"/>
                      <w:w w:val="100"/>
                      <w:sz w:val="18"/>
                    </w:rPr>
                    <w:t>.</w:t>
                  </w:r>
                  <w:r>
                    <w:rPr>
                      <w:color w:val="585858"/>
                      <w:w w:val="100"/>
                      <w:sz w:val="18"/>
                    </w:rPr>
                    <w:t>0</w:t>
                  </w:r>
                  <w:r>
                    <w:rPr>
                      <w:color w:val="585858"/>
                      <w:spacing w:val="-2"/>
                      <w:w w:val="100"/>
                      <w:sz w:val="18"/>
                    </w:rPr>
                    <w:t>0</w:t>
                  </w:r>
                  <w:r>
                    <w:rPr>
                      <w:color w:val="585858"/>
                      <w:w w:val="100"/>
                      <w:sz w:val="18"/>
                    </w:rPr>
                    <w:t>8</w:t>
                  </w:r>
                </w:p>
                <w:p>
                  <w:pPr>
                    <w:spacing w:before="10"/>
                    <w:ind w:left="20" w:right="0" w:firstLine="0"/>
                    <w:jc w:val="left"/>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1</w:t>
                  </w:r>
                  <w:r>
                    <w:rPr>
                      <w:color w:val="585858"/>
                      <w:sz w:val="18"/>
                    </w:rPr>
                    <w:t>3</w:t>
                  </w:r>
                </w:p>
                <w:p>
                  <w:pPr>
                    <w:spacing w:before="10"/>
                    <w:ind w:left="20" w:right="0" w:firstLine="0"/>
                    <w:jc w:val="left"/>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2</w:t>
                  </w:r>
                  <w:r>
                    <w:rPr>
                      <w:color w:val="585858"/>
                      <w:sz w:val="18"/>
                    </w:rPr>
                    <w:t>0</w:t>
                  </w:r>
                </w:p>
                <w:p>
                  <w:pPr>
                    <w:spacing w:before="10"/>
                    <w:ind w:left="20" w:right="0" w:firstLine="0"/>
                    <w:jc w:val="left"/>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2</w:t>
                  </w:r>
                  <w:r>
                    <w:rPr>
                      <w:color w:val="585858"/>
                      <w:sz w:val="18"/>
                    </w:rPr>
                    <w:t>5</w:t>
                  </w:r>
                </w:p>
                <w:p>
                  <w:pPr>
                    <w:spacing w:before="10"/>
                    <w:ind w:left="20" w:right="0" w:firstLine="0"/>
                    <w:jc w:val="left"/>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2</w:t>
                  </w:r>
                  <w:r>
                    <w:rPr>
                      <w:color w:val="585858"/>
                      <w:sz w:val="18"/>
                    </w:rPr>
                    <w:t>5</w:t>
                  </w:r>
                </w:p>
                <w:p>
                  <w:pPr>
                    <w:spacing w:before="9"/>
                    <w:ind w:left="20" w:right="0" w:firstLine="0"/>
                    <w:jc w:val="left"/>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2</w:t>
                  </w:r>
                  <w:r>
                    <w:rPr>
                      <w:color w:val="585858"/>
                      <w:sz w:val="18"/>
                    </w:rPr>
                    <w:t>5</w:t>
                  </w:r>
                </w:p>
                <w:p>
                  <w:pPr>
                    <w:spacing w:before="9"/>
                    <w:ind w:left="20" w:right="0" w:firstLine="0"/>
                    <w:jc w:val="left"/>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2</w:t>
                  </w:r>
                  <w:r>
                    <w:rPr>
                      <w:color w:val="585858"/>
                      <w:sz w:val="18"/>
                    </w:rPr>
                    <w:t>5</w:t>
                  </w:r>
                </w:p>
                <w:p>
                  <w:pPr>
                    <w:spacing w:before="9"/>
                    <w:ind w:left="20" w:right="0" w:firstLine="0"/>
                    <w:jc w:val="left"/>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2</w:t>
                  </w:r>
                  <w:r>
                    <w:rPr>
                      <w:color w:val="585858"/>
                      <w:sz w:val="18"/>
                    </w:rPr>
                    <w:t>6</w:t>
                  </w:r>
                </w:p>
                <w:p>
                  <w:pPr>
                    <w:spacing w:before="9"/>
                    <w:ind w:left="20" w:right="0" w:firstLine="0"/>
                    <w:jc w:val="left"/>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3</w:t>
                  </w:r>
                  <w:r>
                    <w:rPr>
                      <w:color w:val="585858"/>
                      <w:sz w:val="18"/>
                    </w:rPr>
                    <w:t>1</w:t>
                  </w:r>
                </w:p>
                <w:p>
                  <w:pPr>
                    <w:spacing w:before="9"/>
                    <w:ind w:left="20" w:right="0" w:firstLine="0"/>
                    <w:jc w:val="left"/>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3</w:t>
                  </w:r>
                  <w:r>
                    <w:rPr>
                      <w:color w:val="585858"/>
                      <w:sz w:val="18"/>
                    </w:rPr>
                    <w:t>6</w:t>
                  </w:r>
                </w:p>
                <w:p>
                  <w:pPr>
                    <w:spacing w:before="9"/>
                    <w:ind w:left="20" w:right="0" w:firstLine="0"/>
                    <w:jc w:val="left"/>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4</w:t>
                  </w:r>
                  <w:r>
                    <w:rPr>
                      <w:color w:val="585858"/>
                      <w:sz w:val="18"/>
                    </w:rPr>
                    <w:t>3</w:t>
                  </w:r>
                </w:p>
                <w:p>
                  <w:pPr>
                    <w:spacing w:before="9"/>
                    <w:ind w:left="20" w:right="0" w:firstLine="0"/>
                    <w:jc w:val="left"/>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5</w:t>
                  </w:r>
                  <w:r>
                    <w:rPr>
                      <w:color w:val="585858"/>
                      <w:sz w:val="18"/>
                    </w:rPr>
                    <w:t>3</w:t>
                  </w:r>
                </w:p>
                <w:p>
                  <w:pPr>
                    <w:spacing w:before="9"/>
                    <w:ind w:left="20" w:right="0" w:firstLine="0"/>
                    <w:jc w:val="left"/>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5</w:t>
                  </w:r>
                  <w:r>
                    <w:rPr>
                      <w:color w:val="585858"/>
                      <w:sz w:val="18"/>
                    </w:rPr>
                    <w:t>9</w:t>
                  </w:r>
                </w:p>
                <w:p>
                  <w:pPr>
                    <w:spacing w:before="9"/>
                    <w:ind w:left="20" w:right="0" w:firstLine="0"/>
                    <w:jc w:val="left"/>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6</w:t>
                  </w:r>
                  <w:r>
                    <w:rPr>
                      <w:color w:val="585858"/>
                      <w:sz w:val="18"/>
                    </w:rPr>
                    <w:t>7</w:t>
                  </w:r>
                </w:p>
                <w:p>
                  <w:pPr>
                    <w:spacing w:before="9"/>
                    <w:ind w:left="20" w:right="0" w:firstLine="0"/>
                    <w:jc w:val="left"/>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7</w:t>
                  </w:r>
                  <w:r>
                    <w:rPr>
                      <w:color w:val="585858"/>
                      <w:sz w:val="18"/>
                    </w:rPr>
                    <w:t>6</w:t>
                  </w:r>
                </w:p>
                <w:p>
                  <w:pPr>
                    <w:spacing w:before="9"/>
                    <w:ind w:left="20" w:right="0" w:firstLine="0"/>
                    <w:jc w:val="left"/>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9</w:t>
                  </w:r>
                  <w:r>
                    <w:rPr>
                      <w:color w:val="585858"/>
                      <w:sz w:val="18"/>
                    </w:rPr>
                    <w:t>0</w:t>
                  </w:r>
                </w:p>
                <w:p>
                  <w:pPr>
                    <w:spacing w:before="9"/>
                    <w:ind w:left="20" w:right="0" w:firstLine="0"/>
                    <w:jc w:val="left"/>
                    <w:rPr>
                      <w:sz w:val="18"/>
                    </w:rPr>
                  </w:pPr>
                  <w:r>
                    <w:rPr>
                      <w:color w:val="585858"/>
                      <w:spacing w:val="1"/>
                      <w:sz w:val="18"/>
                    </w:rPr>
                    <w:t>1</w:t>
                  </w:r>
                  <w:r>
                    <w:rPr>
                      <w:color w:val="585858"/>
                      <w:spacing w:val="-2"/>
                      <w:sz w:val="18"/>
                    </w:rPr>
                    <w:t>.</w:t>
                  </w:r>
                  <w:r>
                    <w:rPr>
                      <w:color w:val="585858"/>
                      <w:spacing w:val="1"/>
                      <w:sz w:val="18"/>
                    </w:rPr>
                    <w:t>1</w:t>
                  </w:r>
                  <w:r>
                    <w:rPr>
                      <w:color w:val="585858"/>
                      <w:spacing w:val="-2"/>
                      <w:sz w:val="18"/>
                    </w:rPr>
                    <w:t>0</w:t>
                  </w:r>
                  <w:r>
                    <w:rPr>
                      <w:color w:val="585858"/>
                      <w:sz w:val="18"/>
                    </w:rPr>
                    <w:t>0</w:t>
                  </w:r>
                </w:p>
                <w:p>
                  <w:pPr>
                    <w:spacing w:before="10"/>
                    <w:ind w:left="20" w:right="0" w:firstLine="0"/>
                    <w:jc w:val="left"/>
                    <w:rPr>
                      <w:sz w:val="18"/>
                    </w:rPr>
                  </w:pPr>
                  <w:r>
                    <w:rPr>
                      <w:color w:val="585858"/>
                      <w:spacing w:val="1"/>
                      <w:sz w:val="18"/>
                    </w:rPr>
                    <w:t>1</w:t>
                  </w:r>
                  <w:r>
                    <w:rPr>
                      <w:color w:val="585858"/>
                      <w:spacing w:val="-2"/>
                      <w:sz w:val="18"/>
                    </w:rPr>
                    <w:t>.</w:t>
                  </w:r>
                  <w:r>
                    <w:rPr>
                      <w:color w:val="585858"/>
                      <w:spacing w:val="1"/>
                      <w:sz w:val="18"/>
                    </w:rPr>
                    <w:t>1</w:t>
                  </w:r>
                  <w:r>
                    <w:rPr>
                      <w:color w:val="585858"/>
                      <w:spacing w:val="-2"/>
                      <w:sz w:val="18"/>
                    </w:rPr>
                    <w:t>2</w:t>
                  </w:r>
                  <w:r>
                    <w:rPr>
                      <w:color w:val="585858"/>
                      <w:sz w:val="18"/>
                    </w:rPr>
                    <w:t>6</w:t>
                  </w:r>
                </w:p>
                <w:p>
                  <w:pPr>
                    <w:spacing w:before="10"/>
                    <w:ind w:left="20" w:right="0" w:firstLine="0"/>
                    <w:jc w:val="left"/>
                    <w:rPr>
                      <w:sz w:val="18"/>
                    </w:rPr>
                  </w:pPr>
                  <w:r>
                    <w:rPr>
                      <w:color w:val="585858"/>
                      <w:spacing w:val="1"/>
                      <w:sz w:val="18"/>
                    </w:rPr>
                    <w:t>1</w:t>
                  </w:r>
                  <w:r>
                    <w:rPr>
                      <w:color w:val="585858"/>
                      <w:spacing w:val="-2"/>
                      <w:sz w:val="18"/>
                    </w:rPr>
                    <w:t>.</w:t>
                  </w:r>
                  <w:r>
                    <w:rPr>
                      <w:color w:val="585858"/>
                      <w:spacing w:val="1"/>
                      <w:sz w:val="18"/>
                    </w:rPr>
                    <w:t>1</w:t>
                  </w:r>
                  <w:r>
                    <w:rPr>
                      <w:color w:val="585858"/>
                      <w:spacing w:val="-2"/>
                      <w:sz w:val="18"/>
                    </w:rPr>
                    <w:t>5</w:t>
                  </w:r>
                  <w:r>
                    <w:rPr>
                      <w:color w:val="585858"/>
                      <w:sz w:val="18"/>
                    </w:rPr>
                    <w:t>9</w:t>
                  </w:r>
                </w:p>
                <w:p>
                  <w:pPr>
                    <w:spacing w:before="10"/>
                    <w:ind w:left="20" w:right="0" w:firstLine="0"/>
                    <w:jc w:val="left"/>
                    <w:rPr>
                      <w:sz w:val="18"/>
                    </w:rPr>
                  </w:pPr>
                  <w:r>
                    <w:rPr>
                      <w:color w:val="585858"/>
                      <w:spacing w:val="1"/>
                      <w:sz w:val="18"/>
                    </w:rPr>
                    <w:t>1</w:t>
                  </w:r>
                  <w:r>
                    <w:rPr>
                      <w:color w:val="585858"/>
                      <w:spacing w:val="-2"/>
                      <w:sz w:val="18"/>
                    </w:rPr>
                    <w:t>.</w:t>
                  </w:r>
                  <w:r>
                    <w:rPr>
                      <w:color w:val="585858"/>
                      <w:spacing w:val="1"/>
                      <w:sz w:val="18"/>
                    </w:rPr>
                    <w:t>1</w:t>
                  </w:r>
                  <w:r>
                    <w:rPr>
                      <w:color w:val="585858"/>
                      <w:spacing w:val="-2"/>
                      <w:sz w:val="18"/>
                    </w:rPr>
                    <w:t>6</w:t>
                  </w:r>
                  <w:r>
                    <w:rPr>
                      <w:color w:val="585858"/>
                      <w:sz w:val="18"/>
                    </w:rPr>
                    <w:t>2</w:t>
                  </w:r>
                </w:p>
                <w:p>
                  <w:pPr>
                    <w:spacing w:before="9"/>
                    <w:ind w:left="20" w:right="0" w:firstLine="0"/>
                    <w:jc w:val="left"/>
                    <w:rPr>
                      <w:sz w:val="18"/>
                    </w:rPr>
                  </w:pPr>
                  <w:r>
                    <w:rPr>
                      <w:color w:val="585858"/>
                      <w:w w:val="100"/>
                      <w:sz w:val="18"/>
                    </w:rPr>
                    <w:t>1</w:t>
                  </w:r>
                  <w:r>
                    <w:rPr>
                      <w:color w:val="585858"/>
                      <w:spacing w:val="-2"/>
                      <w:w w:val="100"/>
                      <w:sz w:val="18"/>
                    </w:rPr>
                    <w:t>.</w:t>
                  </w:r>
                  <w:r>
                    <w:rPr>
                      <w:color w:val="585858"/>
                      <w:w w:val="100"/>
                      <w:sz w:val="18"/>
                    </w:rPr>
                    <w:t>2</w:t>
                  </w:r>
                  <w:r>
                    <w:rPr>
                      <w:color w:val="585858"/>
                      <w:spacing w:val="-2"/>
                      <w:w w:val="100"/>
                      <w:sz w:val="18"/>
                    </w:rPr>
                    <w:t>9</w:t>
                  </w:r>
                  <w:r>
                    <w:rPr>
                      <w:color w:val="585858"/>
                      <w:w w:val="100"/>
                      <w:sz w:val="18"/>
                    </w:rPr>
                    <w:t>4</w:t>
                  </w:r>
                </w:p>
              </w:txbxContent>
            </v:textbox>
            <w10:wrap type="none"/>
          </v:shape>
        </w:pict>
      </w:r>
      <w:r>
        <w:rPr/>
        <w:t>We believe further study is required to ensure that the Puerto Rico healthcare system is properly funded. There is great concern in the fact that fee schedules and other areas with existing adjustments for Puerto Rico’s unique</w:t>
      </w:r>
      <w:r>
        <w:rPr>
          <w:spacing w:val="-6"/>
        </w:rPr>
        <w:t> </w:t>
      </w:r>
      <w:r>
        <w:rPr/>
        <w:t>circumstances</w:t>
      </w:r>
      <w:r>
        <w:rPr>
          <w:spacing w:val="-4"/>
        </w:rPr>
        <w:t> </w:t>
      </w:r>
      <w:r>
        <w:rPr/>
        <w:t>seem</w:t>
      </w:r>
      <w:r>
        <w:rPr>
          <w:spacing w:val="-7"/>
        </w:rPr>
        <w:t> </w:t>
      </w:r>
      <w:r>
        <w:rPr/>
        <w:t>to</w:t>
      </w:r>
      <w:r>
        <w:rPr>
          <w:spacing w:val="-4"/>
        </w:rPr>
        <w:t> </w:t>
      </w:r>
      <w:r>
        <w:rPr/>
        <w:t>be</w:t>
      </w:r>
      <w:r>
        <w:rPr>
          <w:spacing w:val="-2"/>
        </w:rPr>
        <w:t> </w:t>
      </w:r>
      <w:r>
        <w:rPr/>
        <w:t>swallowed</w:t>
      </w:r>
      <w:r>
        <w:rPr>
          <w:spacing w:val="-3"/>
        </w:rPr>
        <w:t> </w:t>
      </w:r>
      <w:r>
        <w:rPr/>
        <w:t>up</w:t>
      </w:r>
      <w:r>
        <w:rPr>
          <w:spacing w:val="-4"/>
        </w:rPr>
        <w:t> </w:t>
      </w:r>
      <w:r>
        <w:rPr/>
        <w:t>by</w:t>
      </w:r>
      <w:r>
        <w:rPr>
          <w:spacing w:val="-6"/>
        </w:rPr>
        <w:t> </w:t>
      </w:r>
      <w:r>
        <w:rPr/>
        <w:t>a</w:t>
      </w:r>
      <w:r>
        <w:rPr>
          <w:spacing w:val="-3"/>
        </w:rPr>
        <w:t> </w:t>
      </w:r>
      <w:r>
        <w:rPr/>
        <w:t>calculation</w:t>
      </w:r>
      <w:r>
        <w:rPr>
          <w:spacing w:val="-4"/>
        </w:rPr>
        <w:t> </w:t>
      </w:r>
      <w:r>
        <w:rPr/>
        <w:t>reliant</w:t>
      </w:r>
      <w:r>
        <w:rPr>
          <w:spacing w:val="-3"/>
        </w:rPr>
        <w:t> </w:t>
      </w:r>
      <w:r>
        <w:rPr/>
        <w:t>on</w:t>
      </w:r>
      <w:r>
        <w:rPr>
          <w:spacing w:val="-4"/>
        </w:rPr>
        <w:t> </w:t>
      </w:r>
      <w:r>
        <w:rPr/>
        <w:t>the</w:t>
      </w:r>
      <w:r>
        <w:rPr>
          <w:spacing w:val="-3"/>
        </w:rPr>
        <w:t> </w:t>
      </w:r>
      <w:r>
        <w:rPr/>
        <w:t>very</w:t>
      </w:r>
      <w:r>
        <w:rPr>
          <w:spacing w:val="-6"/>
        </w:rPr>
        <w:t> </w:t>
      </w:r>
      <w:r>
        <w:rPr/>
        <w:t>data</w:t>
      </w:r>
      <w:r>
        <w:rPr>
          <w:spacing w:val="-6"/>
        </w:rPr>
        <w:t> </w:t>
      </w:r>
      <w:r>
        <w:rPr/>
        <w:t>that</w:t>
      </w:r>
      <w:r>
        <w:rPr>
          <w:spacing w:val="-3"/>
        </w:rPr>
        <w:t> </w:t>
      </w:r>
      <w:r>
        <w:rPr/>
        <w:t>continues</w:t>
      </w:r>
      <w:r>
        <w:rPr>
          <w:spacing w:val="-5"/>
        </w:rPr>
        <w:t> </w:t>
      </w:r>
      <w:r>
        <w:rPr/>
        <w:t>to</w:t>
      </w:r>
      <w:r>
        <w:rPr>
          <w:spacing w:val="-6"/>
        </w:rPr>
        <w:t> </w:t>
      </w:r>
      <w:r>
        <w:rPr/>
        <w:t>result</w:t>
      </w:r>
      <w:r>
        <w:rPr>
          <w:spacing w:val="-5"/>
        </w:rPr>
        <w:t> </w:t>
      </w:r>
      <w:r>
        <w:rPr/>
        <w:t>in anomalous large decreases beyond the ACA cuts that already imposed over a 20% decrease to rates. We realize this will take a significant amount of time to properly analyze and identify all the drivers of the issues identified so far for Puerto Rico. As such, we are recommending that an AGA floor be implemented now to prevent further erosion and irreparable harm. Therefore, </w:t>
      </w:r>
      <w:r>
        <w:rPr>
          <w:b/>
        </w:rPr>
        <w:t>we strongly suggest CMS implement for 2019 an AGA floor of 0.70 phased in over a 2-3-year period to provide sufficient time to study and determine a long-term solution. </w:t>
      </w:r>
      <w:r>
        <w:rPr/>
        <w:t>Even after this adjustment, Puerto Rico will lag well behind the payment for even the lowest State and areas similar in non-healthcare cost of living, but this will be a significant step in bridging the gap and at least bring Puerto Rico on par with</w:t>
      </w:r>
      <w:r>
        <w:rPr>
          <w:spacing w:val="-11"/>
        </w:rPr>
        <w:t> </w:t>
      </w:r>
      <w:r>
        <w:rPr/>
        <w:t>USVI.</w:t>
      </w:r>
    </w:p>
    <w:p>
      <w:pPr>
        <w:pStyle w:val="BodyText"/>
        <w:rPr>
          <w:sz w:val="24"/>
        </w:rPr>
      </w:pPr>
    </w:p>
    <w:p>
      <w:pPr>
        <w:pStyle w:val="BodyText"/>
      </w:pPr>
    </w:p>
    <w:p>
      <w:pPr>
        <w:spacing w:before="0"/>
        <w:ind w:left="112" w:right="0" w:firstLine="0"/>
        <w:jc w:val="left"/>
        <w:rPr>
          <w:b/>
          <w:sz w:val="24"/>
        </w:rPr>
      </w:pPr>
      <w:r>
        <w:rPr>
          <w:b/>
          <w:sz w:val="24"/>
          <w:u w:val="thick"/>
        </w:rPr>
        <w:t>Creating Consistency in Medicare Payment Policy across Caribbean Territories</w:t>
      </w:r>
    </w:p>
    <w:p>
      <w:pPr>
        <w:pStyle w:val="BodyText"/>
        <w:spacing w:before="10"/>
        <w:rPr>
          <w:b/>
          <w:sz w:val="13"/>
        </w:rPr>
      </w:pPr>
    </w:p>
    <w:p>
      <w:pPr>
        <w:pStyle w:val="BodyText"/>
        <w:spacing w:before="92"/>
        <w:ind w:left="112" w:right="106" w:firstLine="360"/>
        <w:jc w:val="both"/>
      </w:pPr>
      <w:r>
        <w:rPr/>
        <w:t>Our proposal focus on referencing the USVI benchmarks to define an alternative for Puerto Rico’s MA benchmark is driven by CMS’s prior use of geographic factors to determine payment policies when analogous situations are present. The most relevant case is CMS’ decision to treat Caribbean Island territories (the Virgin Islands</w:t>
      </w:r>
      <w:r>
        <w:rPr>
          <w:spacing w:val="-4"/>
        </w:rPr>
        <w:t> </w:t>
      </w:r>
      <w:r>
        <w:rPr/>
        <w:t>and</w:t>
      </w:r>
      <w:r>
        <w:rPr>
          <w:spacing w:val="-4"/>
        </w:rPr>
        <w:t> </w:t>
      </w:r>
      <w:r>
        <w:rPr/>
        <w:t>Puerto</w:t>
      </w:r>
      <w:r>
        <w:rPr>
          <w:spacing w:val="-5"/>
        </w:rPr>
        <w:t> </w:t>
      </w:r>
      <w:r>
        <w:rPr/>
        <w:t>Rico)</w:t>
      </w:r>
      <w:r>
        <w:rPr>
          <w:spacing w:val="-6"/>
        </w:rPr>
        <w:t> </w:t>
      </w:r>
      <w:r>
        <w:rPr/>
        <w:t>in</w:t>
      </w:r>
      <w:r>
        <w:rPr>
          <w:spacing w:val="-7"/>
        </w:rPr>
        <w:t> </w:t>
      </w:r>
      <w:r>
        <w:rPr/>
        <w:t>a</w:t>
      </w:r>
      <w:r>
        <w:rPr>
          <w:spacing w:val="-4"/>
        </w:rPr>
        <w:t> </w:t>
      </w:r>
      <w:r>
        <w:rPr/>
        <w:t>consistent</w:t>
      </w:r>
      <w:r>
        <w:rPr>
          <w:spacing w:val="-4"/>
        </w:rPr>
        <w:t> </w:t>
      </w:r>
      <w:r>
        <w:rPr/>
        <w:t>manner</w:t>
      </w:r>
      <w:r>
        <w:rPr>
          <w:spacing w:val="-4"/>
        </w:rPr>
        <w:t> </w:t>
      </w:r>
      <w:r>
        <w:rPr/>
        <w:t>by</w:t>
      </w:r>
      <w:r>
        <w:rPr>
          <w:spacing w:val="-7"/>
        </w:rPr>
        <w:t> </w:t>
      </w:r>
      <w:r>
        <w:rPr/>
        <w:t>applying</w:t>
      </w:r>
      <w:r>
        <w:rPr>
          <w:spacing w:val="-7"/>
        </w:rPr>
        <w:t> </w:t>
      </w:r>
      <w:r>
        <w:rPr/>
        <w:t>the</w:t>
      </w:r>
      <w:r>
        <w:rPr>
          <w:spacing w:val="-4"/>
        </w:rPr>
        <w:t> </w:t>
      </w:r>
      <w:r>
        <w:rPr/>
        <w:t>1.0</w:t>
      </w:r>
      <w:r>
        <w:rPr>
          <w:spacing w:val="-5"/>
        </w:rPr>
        <w:t> </w:t>
      </w:r>
      <w:r>
        <w:rPr/>
        <w:t>National</w:t>
      </w:r>
      <w:r>
        <w:rPr>
          <w:spacing w:val="-4"/>
        </w:rPr>
        <w:t> </w:t>
      </w:r>
      <w:r>
        <w:rPr/>
        <w:t>Average</w:t>
      </w:r>
      <w:r>
        <w:rPr>
          <w:spacing w:val="-4"/>
        </w:rPr>
        <w:t> </w:t>
      </w:r>
      <w:r>
        <w:rPr/>
        <w:t>GPCI</w:t>
      </w:r>
      <w:r>
        <w:rPr>
          <w:spacing w:val="-6"/>
        </w:rPr>
        <w:t> </w:t>
      </w:r>
      <w:r>
        <w:rPr/>
        <w:t>Index</w:t>
      </w:r>
      <w:r>
        <w:rPr>
          <w:spacing w:val="-4"/>
        </w:rPr>
        <w:t> </w:t>
      </w:r>
      <w:r>
        <w:rPr/>
        <w:t>to</w:t>
      </w:r>
      <w:r>
        <w:rPr>
          <w:spacing w:val="-5"/>
        </w:rPr>
        <w:t> </w:t>
      </w:r>
      <w:r>
        <w:rPr/>
        <w:t>both</w:t>
      </w:r>
      <w:r>
        <w:rPr>
          <w:spacing w:val="-5"/>
        </w:rPr>
        <w:t> </w:t>
      </w:r>
      <w:r>
        <w:rPr/>
        <w:t>Puerto Rico and USVI. The underlying conditions that drove the use of alternate factors by CMS for territories in Part  B is due to data insufficiencies and anomalies identified in the underlying data used to develop such factors. We believe that is the exact same situation that is driving the underfunding of MA rates, as support CMS in taking similar steps to address such</w:t>
      </w:r>
      <w:r>
        <w:rPr>
          <w:spacing w:val="-6"/>
        </w:rPr>
        <w:t> </w:t>
      </w:r>
      <w:r>
        <w:rPr/>
        <w:t>issues.</w:t>
      </w:r>
    </w:p>
    <w:p>
      <w:pPr>
        <w:spacing w:after="0"/>
        <w:jc w:val="both"/>
        <w:sectPr>
          <w:pgSz w:w="12240" w:h="15840"/>
          <w:pgMar w:header="0" w:footer="1015" w:top="1360" w:bottom="1200" w:left="1040" w:right="1040"/>
        </w:sectPr>
      </w:pPr>
    </w:p>
    <w:p>
      <w:pPr>
        <w:pStyle w:val="BodyText"/>
        <w:spacing w:before="79"/>
        <w:ind w:left="192" w:firstLine="360"/>
      </w:pPr>
      <w:r>
        <w:rPr/>
        <w:t>Below is the discussion provided by CMS supporting their policy change, and the data anomalies referenced are consistent with the findings identified in the </w:t>
      </w:r>
      <w:r>
        <w:rPr>
          <w:u w:val="single"/>
        </w:rPr>
        <w:t>The Moran Company </w:t>
      </w:r>
      <w:r>
        <w:rPr/>
        <w:t>study (</w:t>
      </w:r>
      <w:r>
        <w:rPr>
          <w:b/>
          <w:i/>
        </w:rPr>
        <w:t>See Appendix 1</w:t>
      </w:r>
      <w:r>
        <w:rPr/>
        <w:t>).</w:t>
      </w:r>
    </w:p>
    <w:p>
      <w:pPr>
        <w:pStyle w:val="BodyText"/>
        <w:spacing w:before="1"/>
        <w:rPr>
          <w:sz w:val="14"/>
        </w:rPr>
      </w:pPr>
    </w:p>
    <w:p>
      <w:pPr>
        <w:pStyle w:val="Heading4"/>
        <w:spacing w:before="91"/>
        <w:ind w:left="2222"/>
        <w:rPr>
          <w:i/>
        </w:rPr>
      </w:pPr>
      <w:r>
        <w:rPr>
          <w:i/>
          <w:u w:val="thick"/>
        </w:rPr>
        <w:t>From CMS Final Rule – Medicare Physician Fee Schedule 2017</w:t>
      </w:r>
    </w:p>
    <w:p>
      <w:pPr>
        <w:pStyle w:val="BodyText"/>
        <w:spacing w:before="1"/>
        <w:rPr>
          <w:b/>
          <w:i/>
          <w:sz w:val="26"/>
        </w:rPr>
      </w:pPr>
      <w:r>
        <w:rPr/>
        <w:pict>
          <v:shape style="position:absolute;margin-left:70.584pt;margin-top:16.199265pt;width:470.95pt;height:126.55pt;mso-position-horizontal-relative:page;mso-position-vertical-relative:paragraph;z-index:1720;mso-wrap-distance-left:0;mso-wrap-distance-right:0" type="#_x0000_t202" filled="true" fillcolor="#e1eed9" stroked="false">
            <v:textbox inset="0,0,0,0">
              <w:txbxContent>
                <w:p>
                  <w:pPr>
                    <w:pStyle w:val="BodyText"/>
                    <w:ind w:left="28" w:right="27"/>
                    <w:jc w:val="both"/>
                    <w:rPr>
                      <w:sz w:val="14"/>
                    </w:rPr>
                  </w:pPr>
                  <w:r>
                    <w:rPr/>
                    <w:t>[…]</w:t>
                  </w:r>
                  <w:r>
                    <w:rPr>
                      <w:spacing w:val="-3"/>
                    </w:rPr>
                    <w:t> </w:t>
                  </w:r>
                  <w:r>
                    <w:rPr/>
                    <w:t>For</w:t>
                  </w:r>
                  <w:r>
                    <w:rPr>
                      <w:spacing w:val="-3"/>
                    </w:rPr>
                    <w:t> </w:t>
                  </w:r>
                  <w:r>
                    <w:rPr/>
                    <w:t>all</w:t>
                  </w:r>
                  <w:r>
                    <w:rPr>
                      <w:spacing w:val="-5"/>
                    </w:rPr>
                    <w:t> </w:t>
                  </w:r>
                  <w:r>
                    <w:rPr/>
                    <w:t>the</w:t>
                  </w:r>
                  <w:r>
                    <w:rPr>
                      <w:spacing w:val="-6"/>
                    </w:rPr>
                    <w:t> </w:t>
                  </w:r>
                  <w:r>
                    <w:rPr/>
                    <w:t>island</w:t>
                  </w:r>
                  <w:r>
                    <w:rPr>
                      <w:spacing w:val="-6"/>
                    </w:rPr>
                    <w:t> </w:t>
                  </w:r>
                  <w:r>
                    <w:rPr/>
                    <w:t>territories</w:t>
                  </w:r>
                  <w:r>
                    <w:rPr>
                      <w:spacing w:val="-3"/>
                    </w:rPr>
                    <w:t> </w:t>
                  </w:r>
                  <w:r>
                    <w:rPr/>
                    <w:t>other</w:t>
                  </w:r>
                  <w:r>
                    <w:rPr>
                      <w:spacing w:val="-5"/>
                    </w:rPr>
                    <w:t> </w:t>
                  </w:r>
                  <w:r>
                    <w:rPr/>
                    <w:t>than</w:t>
                  </w:r>
                  <w:r>
                    <w:rPr>
                      <w:spacing w:val="-4"/>
                    </w:rPr>
                    <w:t> </w:t>
                  </w:r>
                  <w:r>
                    <w:rPr/>
                    <w:t>Puerto</w:t>
                  </w:r>
                  <w:r>
                    <w:rPr>
                      <w:spacing w:val="-4"/>
                    </w:rPr>
                    <w:t> </w:t>
                  </w:r>
                  <w:r>
                    <w:rPr/>
                    <w:t>Rico,</w:t>
                  </w:r>
                  <w:r>
                    <w:rPr>
                      <w:spacing w:val="-4"/>
                    </w:rPr>
                    <w:t> </w:t>
                  </w:r>
                  <w:r>
                    <w:rPr/>
                    <w:t>the</w:t>
                  </w:r>
                  <w:r>
                    <w:rPr>
                      <w:spacing w:val="-6"/>
                    </w:rPr>
                    <w:t> </w:t>
                  </w:r>
                  <w:r>
                    <w:rPr/>
                    <w:t>lack</w:t>
                  </w:r>
                  <w:r>
                    <w:rPr>
                      <w:spacing w:val="-6"/>
                    </w:rPr>
                    <w:t> </w:t>
                  </w:r>
                  <w:r>
                    <w:rPr/>
                    <w:t>of</w:t>
                  </w:r>
                  <w:r>
                    <w:rPr>
                      <w:spacing w:val="-3"/>
                    </w:rPr>
                    <w:t> </w:t>
                  </w:r>
                  <w:r>
                    <w:rPr/>
                    <w:t>comprehensive</w:t>
                  </w:r>
                  <w:r>
                    <w:rPr>
                      <w:spacing w:val="-3"/>
                    </w:rPr>
                    <w:t> </w:t>
                  </w:r>
                  <w:r>
                    <w:rPr/>
                    <w:t>data</w:t>
                  </w:r>
                  <w:r>
                    <w:rPr>
                      <w:spacing w:val="-3"/>
                    </w:rPr>
                    <w:t> </w:t>
                  </w:r>
                  <w:r>
                    <w:rPr/>
                    <w:t>about</w:t>
                  </w:r>
                  <w:r>
                    <w:rPr>
                      <w:spacing w:val="-3"/>
                    </w:rPr>
                    <w:t> </w:t>
                  </w:r>
                  <w:r>
                    <w:rPr/>
                    <w:t>unique</w:t>
                  </w:r>
                  <w:r>
                    <w:rPr>
                      <w:spacing w:val="-6"/>
                    </w:rPr>
                    <w:t> </w:t>
                  </w:r>
                  <w:r>
                    <w:rPr/>
                    <w:t>costs for</w:t>
                  </w:r>
                  <w:r>
                    <w:rPr>
                      <w:spacing w:val="-7"/>
                    </w:rPr>
                    <w:t> </w:t>
                  </w:r>
                  <w:r>
                    <w:rPr/>
                    <w:t>island</w:t>
                  </w:r>
                  <w:r>
                    <w:rPr>
                      <w:spacing w:val="-8"/>
                    </w:rPr>
                    <w:t> </w:t>
                  </w:r>
                  <w:r>
                    <w:rPr/>
                    <w:t>territories</w:t>
                  </w:r>
                  <w:r>
                    <w:rPr>
                      <w:spacing w:val="-5"/>
                    </w:rPr>
                    <w:t> </w:t>
                  </w:r>
                  <w:r>
                    <w:rPr/>
                    <w:t>has</w:t>
                  </w:r>
                  <w:r>
                    <w:rPr>
                      <w:spacing w:val="-5"/>
                    </w:rPr>
                    <w:t> </w:t>
                  </w:r>
                  <w:r>
                    <w:rPr/>
                    <w:t>had</w:t>
                  </w:r>
                  <w:r>
                    <w:rPr>
                      <w:spacing w:val="-8"/>
                    </w:rPr>
                    <w:t> </w:t>
                  </w:r>
                  <w:r>
                    <w:rPr/>
                    <w:t>minimal</w:t>
                  </w:r>
                  <w:r>
                    <w:rPr>
                      <w:spacing w:val="-5"/>
                    </w:rPr>
                    <w:t> </w:t>
                  </w:r>
                  <w:r>
                    <w:rPr/>
                    <w:t>impact</w:t>
                  </w:r>
                  <w:r>
                    <w:rPr>
                      <w:spacing w:val="-5"/>
                    </w:rPr>
                    <w:t> </w:t>
                  </w:r>
                  <w:r>
                    <w:rPr/>
                    <w:t>on</w:t>
                  </w:r>
                  <w:r>
                    <w:rPr>
                      <w:spacing w:val="-6"/>
                    </w:rPr>
                    <w:t> </w:t>
                  </w:r>
                  <w:r>
                    <w:rPr/>
                    <w:t>GPCIs</w:t>
                  </w:r>
                  <w:r>
                    <w:rPr>
                      <w:spacing w:val="-5"/>
                    </w:rPr>
                    <w:t> </w:t>
                  </w:r>
                  <w:r>
                    <w:rPr/>
                    <w:t>because</w:t>
                  </w:r>
                  <w:r>
                    <w:rPr>
                      <w:spacing w:val="-5"/>
                    </w:rPr>
                    <w:t> </w:t>
                  </w:r>
                  <w:r>
                    <w:rPr/>
                    <w:t>we</w:t>
                  </w:r>
                  <w:r>
                    <w:rPr>
                      <w:spacing w:val="-8"/>
                    </w:rPr>
                    <w:t> </w:t>
                  </w:r>
                  <w:r>
                    <w:rPr/>
                    <w:t>have</w:t>
                  </w:r>
                  <w:r>
                    <w:rPr>
                      <w:spacing w:val="-5"/>
                    </w:rPr>
                    <w:t> </w:t>
                  </w:r>
                  <w:r>
                    <w:rPr/>
                    <w:t>used</w:t>
                  </w:r>
                  <w:r>
                    <w:rPr>
                      <w:spacing w:val="-8"/>
                    </w:rPr>
                    <w:t> </w:t>
                  </w:r>
                  <w:r>
                    <w:rPr/>
                    <w:t>either</w:t>
                  </w:r>
                  <w:r>
                    <w:rPr>
                      <w:spacing w:val="-5"/>
                    </w:rPr>
                    <w:t> </w:t>
                  </w:r>
                  <w:r>
                    <w:rPr/>
                    <w:t>the</w:t>
                  </w:r>
                  <w:r>
                    <w:rPr>
                      <w:spacing w:val="-5"/>
                    </w:rPr>
                    <w:t> </w:t>
                  </w:r>
                  <w:r>
                    <w:rPr/>
                    <w:t>Hawaii</w:t>
                  </w:r>
                  <w:r>
                    <w:rPr>
                      <w:spacing w:val="-5"/>
                    </w:rPr>
                    <w:t> </w:t>
                  </w:r>
                  <w:r>
                    <w:rPr/>
                    <w:t>GPCIs</w:t>
                  </w:r>
                  <w:r>
                    <w:rPr>
                      <w:spacing w:val="-5"/>
                    </w:rPr>
                    <w:t> </w:t>
                  </w:r>
                  <w:r>
                    <w:rPr/>
                    <w:t>(for the Pacific territories) or used the unadjusted national averages (for the Virgin Islands). In an effort to provide</w:t>
                  </w:r>
                  <w:r>
                    <w:rPr>
                      <w:spacing w:val="-7"/>
                    </w:rPr>
                    <w:t> </w:t>
                  </w:r>
                  <w:r>
                    <w:rPr/>
                    <w:t>greater</w:t>
                  </w:r>
                  <w:r>
                    <w:rPr>
                      <w:spacing w:val="-8"/>
                    </w:rPr>
                    <w:t> </w:t>
                  </w:r>
                  <w:r>
                    <w:rPr/>
                    <w:t>consistency</w:t>
                  </w:r>
                  <w:r>
                    <w:rPr>
                      <w:spacing w:val="-9"/>
                    </w:rPr>
                    <w:t> </w:t>
                  </w:r>
                  <w:r>
                    <w:rPr/>
                    <w:t>in</w:t>
                  </w:r>
                  <w:r>
                    <w:rPr>
                      <w:spacing w:val="-7"/>
                    </w:rPr>
                    <w:t> </w:t>
                  </w:r>
                  <w:r>
                    <w:rPr/>
                    <w:t>the</w:t>
                  </w:r>
                  <w:r>
                    <w:rPr>
                      <w:spacing w:val="-7"/>
                    </w:rPr>
                    <w:t> </w:t>
                  </w:r>
                  <w:r>
                    <w:rPr/>
                    <w:t>calculation</w:t>
                  </w:r>
                  <w:r>
                    <w:rPr>
                      <w:spacing w:val="-7"/>
                    </w:rPr>
                    <w:t> </w:t>
                  </w:r>
                  <w:r>
                    <w:rPr/>
                    <w:t>of</w:t>
                  </w:r>
                  <w:r>
                    <w:rPr>
                      <w:spacing w:val="-6"/>
                    </w:rPr>
                    <w:t> </w:t>
                  </w:r>
                  <w:r>
                    <w:rPr/>
                    <w:t>GPCIs</w:t>
                  </w:r>
                  <w:r>
                    <w:rPr>
                      <w:spacing w:val="-4"/>
                    </w:rPr>
                    <w:t> </w:t>
                  </w:r>
                  <w:r>
                    <w:rPr/>
                    <w:t>given</w:t>
                  </w:r>
                  <w:r>
                    <w:rPr>
                      <w:spacing w:val="-7"/>
                    </w:rPr>
                    <w:t> </w:t>
                  </w:r>
                  <w:r>
                    <w:rPr/>
                    <w:t>the</w:t>
                  </w:r>
                  <w:r>
                    <w:rPr>
                      <w:spacing w:val="-7"/>
                    </w:rPr>
                    <w:t> </w:t>
                  </w:r>
                  <w:r>
                    <w:rPr/>
                    <w:t>lack</w:t>
                  </w:r>
                  <w:r>
                    <w:rPr>
                      <w:spacing w:val="-10"/>
                    </w:rPr>
                    <w:t> </w:t>
                  </w:r>
                  <w:r>
                    <w:rPr/>
                    <w:t>of</w:t>
                  </w:r>
                  <w:r>
                    <w:rPr>
                      <w:spacing w:val="-6"/>
                    </w:rPr>
                    <w:t> </w:t>
                  </w:r>
                  <w:r>
                    <w:rPr/>
                    <w:t>comprehensive</w:t>
                  </w:r>
                  <w:r>
                    <w:rPr>
                      <w:spacing w:val="-7"/>
                    </w:rPr>
                    <w:t> </w:t>
                  </w:r>
                  <w:r>
                    <w:rPr/>
                    <w:t>data</w:t>
                  </w:r>
                  <w:r>
                    <w:rPr>
                      <w:spacing w:val="-7"/>
                    </w:rPr>
                    <w:t> </w:t>
                  </w:r>
                  <w:r>
                    <w:rPr/>
                    <w:t>regarding</w:t>
                  </w:r>
                  <w:r>
                    <w:rPr>
                      <w:spacing w:val="-10"/>
                    </w:rPr>
                    <w:t> </w:t>
                  </w:r>
                  <w:r>
                    <w:rPr/>
                    <w:t>the validity of applying the proxy data used in the States in accurately accounting for variability of costs for these island territories, </w:t>
                  </w:r>
                  <w:r>
                    <w:rPr>
                      <w:b/>
                    </w:rPr>
                    <w:t>we proposed to treat the Caribbean Island territories (the Virgin Islands and Puerto Rico) in a consistent manner. </w:t>
                  </w:r>
                  <w:r>
                    <w:rPr/>
                    <w:t>We proposed to do so by assigning the national average of 1.0 to each</w:t>
                  </w:r>
                  <w:r>
                    <w:rPr>
                      <w:spacing w:val="-6"/>
                    </w:rPr>
                    <w:t> </w:t>
                  </w:r>
                  <w:r>
                    <w:rPr/>
                    <w:t>GPCI</w:t>
                  </w:r>
                  <w:r>
                    <w:rPr>
                      <w:spacing w:val="-10"/>
                    </w:rPr>
                    <w:t> </w:t>
                  </w:r>
                  <w:r>
                    <w:rPr/>
                    <w:t>index</w:t>
                  </w:r>
                  <w:r>
                    <w:rPr>
                      <w:spacing w:val="-6"/>
                    </w:rPr>
                    <w:t> </w:t>
                  </w:r>
                  <w:r>
                    <w:rPr/>
                    <w:t>for</w:t>
                  </w:r>
                  <w:r>
                    <w:rPr>
                      <w:spacing w:val="-5"/>
                    </w:rPr>
                    <w:t> </w:t>
                  </w:r>
                  <w:r>
                    <w:rPr/>
                    <w:t>both</w:t>
                  </w:r>
                  <w:r>
                    <w:rPr>
                      <w:spacing w:val="-5"/>
                    </w:rPr>
                    <w:t> </w:t>
                  </w:r>
                  <w:r>
                    <w:rPr/>
                    <w:t>Puerto</w:t>
                  </w:r>
                  <w:r>
                    <w:rPr>
                      <w:spacing w:val="-6"/>
                    </w:rPr>
                    <w:t> </w:t>
                  </w:r>
                  <w:r>
                    <w:rPr/>
                    <w:t>Rico</w:t>
                  </w:r>
                  <w:r>
                    <w:rPr>
                      <w:spacing w:val="-8"/>
                    </w:rPr>
                    <w:t> </w:t>
                  </w:r>
                  <w:r>
                    <w:rPr/>
                    <w:t>and</w:t>
                  </w:r>
                  <w:r>
                    <w:rPr>
                      <w:spacing w:val="-8"/>
                    </w:rPr>
                    <w:t> </w:t>
                  </w:r>
                  <w:r>
                    <w:rPr/>
                    <w:t>the</w:t>
                  </w:r>
                  <w:r>
                    <w:rPr>
                      <w:spacing w:val="-8"/>
                    </w:rPr>
                    <w:t> </w:t>
                  </w:r>
                  <w:r>
                    <w:rPr/>
                    <w:t>Virgin</w:t>
                  </w:r>
                  <w:r>
                    <w:rPr>
                      <w:spacing w:val="-6"/>
                    </w:rPr>
                    <w:t> </w:t>
                  </w:r>
                  <w:r>
                    <w:rPr/>
                    <w:t>Islands.</w:t>
                  </w:r>
                  <w:r>
                    <w:rPr>
                      <w:spacing w:val="-6"/>
                    </w:rPr>
                    <w:t> </w:t>
                  </w:r>
                  <w:r>
                    <w:rPr/>
                    <w:t>We</w:t>
                  </w:r>
                  <w:r>
                    <w:rPr>
                      <w:spacing w:val="-6"/>
                    </w:rPr>
                    <w:t> </w:t>
                  </w:r>
                  <w:r>
                    <w:rPr/>
                    <w:t>did</w:t>
                  </w:r>
                  <w:r>
                    <w:rPr>
                      <w:spacing w:val="-6"/>
                    </w:rPr>
                    <w:t> </w:t>
                  </w:r>
                  <w:r>
                    <w:rPr/>
                    <w:t>not</w:t>
                  </w:r>
                  <w:r>
                    <w:rPr>
                      <w:spacing w:val="-5"/>
                    </w:rPr>
                    <w:t> </w:t>
                  </w:r>
                  <w:r>
                    <w:rPr/>
                    <w:t>propose</w:t>
                  </w:r>
                  <w:r>
                    <w:rPr>
                      <w:spacing w:val="-6"/>
                    </w:rPr>
                    <w:t> </w:t>
                  </w:r>
                  <w:r>
                    <w:rPr/>
                    <w:t>any</w:t>
                  </w:r>
                  <w:r>
                    <w:rPr>
                      <w:spacing w:val="-9"/>
                    </w:rPr>
                    <w:t> </w:t>
                  </w:r>
                  <w:r>
                    <w:rPr/>
                    <w:t>changes</w:t>
                  </w:r>
                  <w:r>
                    <w:rPr>
                      <w:spacing w:val="-5"/>
                    </w:rPr>
                    <w:t> </w:t>
                  </w:r>
                  <w:r>
                    <w:rPr/>
                    <w:t>to</w:t>
                  </w:r>
                  <w:r>
                    <w:rPr>
                      <w:spacing w:val="-6"/>
                    </w:rPr>
                    <w:t> </w:t>
                  </w:r>
                  <w:r>
                    <w:rPr/>
                    <w:t>the</w:t>
                  </w:r>
                  <w:r>
                    <w:rPr>
                      <w:spacing w:val="-6"/>
                    </w:rPr>
                    <w:t> </w:t>
                  </w:r>
                  <w:r>
                    <w:rPr/>
                    <w:t>GPCI methodology for the Pacific Island territories (Guam, American Samoa, and Northern Marianas Islands) </w:t>
                  </w:r>
                  <w:r>
                    <w:rPr>
                      <w:b/>
                    </w:rPr>
                    <w:t>where we already consistently assign the Hawaii GPCI values </w:t>
                  </w:r>
                  <w:r>
                    <w:rPr/>
                    <w:t>for each of the three GPCIs. […]</w:t>
                  </w:r>
                  <w:r>
                    <w:rPr>
                      <w:spacing w:val="-21"/>
                    </w:rPr>
                    <w:t> </w:t>
                  </w:r>
                  <w:r>
                    <w:rPr>
                      <w:position w:val="8"/>
                      <w:sz w:val="14"/>
                    </w:rPr>
                    <w:t>9</w:t>
                  </w:r>
                </w:p>
              </w:txbxContent>
            </v:textbox>
            <v:fill type="solid"/>
            <w10:wrap type="topAndBottom"/>
          </v:shape>
        </w:pict>
      </w:r>
    </w:p>
    <w:p>
      <w:pPr>
        <w:pStyle w:val="BodyText"/>
        <w:rPr>
          <w:b/>
          <w:i/>
          <w:sz w:val="20"/>
        </w:rPr>
      </w:pPr>
    </w:p>
    <w:p>
      <w:pPr>
        <w:pStyle w:val="BodyText"/>
        <w:spacing w:before="7"/>
        <w:rPr>
          <w:b/>
          <w:i/>
        </w:rPr>
      </w:pPr>
    </w:p>
    <w:p>
      <w:pPr>
        <w:pStyle w:val="BodyText"/>
        <w:ind w:left="192" w:firstLine="360"/>
      </w:pPr>
      <w:r>
        <w:rPr/>
        <w:t>Chart 4 below illustrates the discrepancy between PR and USVI as it relates to GPCI ratios and the MA and ESRD benchmarks.</w:t>
      </w:r>
    </w:p>
    <w:p>
      <w:pPr>
        <w:pStyle w:val="BodyText"/>
      </w:pPr>
    </w:p>
    <w:p>
      <w:pPr>
        <w:spacing w:before="0"/>
        <w:ind w:left="492" w:right="0" w:firstLine="0"/>
        <w:jc w:val="left"/>
        <w:rPr>
          <w:b/>
          <w:sz w:val="22"/>
        </w:rPr>
      </w:pPr>
      <w:r>
        <w:rPr>
          <w:b/>
          <w:sz w:val="22"/>
          <w:u w:val="thick"/>
        </w:rPr>
        <w:t>Chart 4: PR Part B GPCI Change, relation to USVI Levels, and Comparison with MA Benchmarks</w:t>
      </w:r>
    </w:p>
    <w:p>
      <w:pPr>
        <w:pStyle w:val="BodyText"/>
        <w:spacing w:before="6"/>
        <w:rPr>
          <w:b/>
          <w:sz w:val="27"/>
        </w:rPr>
      </w:pPr>
      <w:r>
        <w:rPr/>
        <w:pict>
          <v:group style="position:absolute;margin-left:53.25pt;margin-top:17.785955pt;width:475.75pt;height:309.2pt;mso-position-horizontal-relative:page;mso-position-vertical-relative:paragraph;z-index:1744;mso-wrap-distance-left:0;mso-wrap-distance-right:0" coordorigin="1065,356" coordsize="9515,6184">
            <v:shape style="position:absolute;left:1080;top:371;width:9485;height:6154" type="#_x0000_t75" stroked="false">
              <v:imagedata r:id="rId21" o:title=""/>
            </v:shape>
            <v:rect style="position:absolute;left:1073;top:363;width:9500;height:6169" filled="false" stroked="true" strokeweight=".75pt" strokecolor="#5b9bd4">
              <v:stroke dashstyle="solid"/>
            </v:rect>
            <w10:wrap type="topAndBottom"/>
          </v:group>
        </w:pict>
      </w:r>
    </w:p>
    <w:p>
      <w:pPr>
        <w:pStyle w:val="BodyText"/>
        <w:rPr>
          <w:b/>
          <w:sz w:val="20"/>
        </w:rPr>
      </w:pPr>
    </w:p>
    <w:p>
      <w:pPr>
        <w:pStyle w:val="BodyText"/>
        <w:rPr>
          <w:b/>
          <w:sz w:val="20"/>
        </w:rPr>
      </w:pPr>
    </w:p>
    <w:p>
      <w:pPr>
        <w:pStyle w:val="BodyText"/>
        <w:spacing w:before="2"/>
        <w:rPr>
          <w:b/>
          <w:sz w:val="13"/>
        </w:rPr>
      </w:pPr>
      <w:r>
        <w:rPr/>
        <w:pict>
          <v:line style="position:absolute;mso-position-horizontal-relative:page;mso-position-vertical-relative:paragraph;z-index:1768;mso-wrap-distance-left:0;mso-wrap-distance-right:0" from="57.599998pt,9.872963pt" to="201.619998pt,9.872963pt" stroked="true" strokeweight=".599980pt" strokecolor="#000000">
            <v:stroke dashstyle="solid"/>
            <w10:wrap type="topAndBottom"/>
          </v:line>
        </w:pict>
      </w:r>
    </w:p>
    <w:p>
      <w:pPr>
        <w:spacing w:before="72"/>
        <w:ind w:left="192" w:right="0" w:firstLine="0"/>
        <w:jc w:val="left"/>
        <w:rPr>
          <w:rFonts w:ascii="Cambria"/>
          <w:b/>
          <w:sz w:val="20"/>
        </w:rPr>
      </w:pPr>
      <w:r>
        <w:rPr>
          <w:rFonts w:ascii="Calibri"/>
          <w:position w:val="7"/>
          <w:sz w:val="13"/>
        </w:rPr>
        <w:t>9 </w:t>
      </w:r>
      <w:r>
        <w:rPr>
          <w:rFonts w:ascii="Cambria"/>
          <w:b/>
          <w:sz w:val="20"/>
        </w:rPr>
        <w:t>Federal Register </w:t>
      </w:r>
      <w:r>
        <w:rPr>
          <w:rFonts w:ascii="Cambria"/>
          <w:sz w:val="20"/>
        </w:rPr>
        <w:t>/Vol. 81, No. 220 /Tuesday, November 15, 2016 /Rules and Regulations </w:t>
      </w:r>
      <w:r>
        <w:rPr>
          <w:rFonts w:ascii="Cambria"/>
          <w:b/>
          <w:sz w:val="20"/>
        </w:rPr>
        <w:t>80269</w:t>
      </w:r>
    </w:p>
    <w:p>
      <w:pPr>
        <w:spacing w:after="0"/>
        <w:jc w:val="left"/>
        <w:rPr>
          <w:rFonts w:ascii="Cambria"/>
          <w:sz w:val="20"/>
        </w:rPr>
        <w:sectPr>
          <w:pgSz w:w="12240" w:h="15840"/>
          <w:pgMar w:header="0" w:footer="1015" w:top="1360" w:bottom="1200" w:left="960" w:right="1040"/>
        </w:sectPr>
      </w:pPr>
    </w:p>
    <w:p>
      <w:pPr>
        <w:pStyle w:val="BodyText"/>
        <w:spacing w:before="79"/>
        <w:ind w:left="112" w:right="385" w:firstLine="451"/>
        <w:jc w:val="both"/>
      </w:pPr>
      <w:r>
        <w:rPr/>
        <w:t>MMAPA has worked for over 2 years with CMS and the Moran Company to analyze the universe </w:t>
      </w:r>
      <w:r>
        <w:rPr>
          <w:spacing w:val="-3"/>
        </w:rPr>
        <w:t>of </w:t>
      </w:r>
      <w:r>
        <w:rPr/>
        <w:t>Traditional Medicare (FFS) data from Puerto Rico. The most recent study, just finalized in February 2018, revealed</w:t>
      </w:r>
      <w:r>
        <w:rPr>
          <w:spacing w:val="-11"/>
        </w:rPr>
        <w:t> </w:t>
      </w:r>
      <w:r>
        <w:rPr/>
        <w:t>continuing</w:t>
      </w:r>
      <w:r>
        <w:rPr>
          <w:spacing w:val="-13"/>
        </w:rPr>
        <w:t> </w:t>
      </w:r>
      <w:r>
        <w:rPr/>
        <w:t>deterioration</w:t>
      </w:r>
      <w:r>
        <w:rPr>
          <w:spacing w:val="-11"/>
        </w:rPr>
        <w:t> </w:t>
      </w:r>
      <w:r>
        <w:rPr/>
        <w:t>in</w:t>
      </w:r>
      <w:r>
        <w:rPr>
          <w:spacing w:val="-13"/>
        </w:rPr>
        <w:t> </w:t>
      </w:r>
      <w:r>
        <w:rPr/>
        <w:t>the</w:t>
      </w:r>
      <w:r>
        <w:rPr>
          <w:spacing w:val="-11"/>
        </w:rPr>
        <w:t> </w:t>
      </w:r>
      <w:r>
        <w:rPr/>
        <w:t>data</w:t>
      </w:r>
      <w:r>
        <w:rPr>
          <w:spacing w:val="-11"/>
        </w:rPr>
        <w:t> </w:t>
      </w:r>
      <w:r>
        <w:rPr/>
        <w:t>for</w:t>
      </w:r>
      <w:r>
        <w:rPr>
          <w:spacing w:val="-10"/>
        </w:rPr>
        <w:t> </w:t>
      </w:r>
      <w:r>
        <w:rPr/>
        <w:t>Puerto</w:t>
      </w:r>
      <w:r>
        <w:rPr>
          <w:spacing w:val="-9"/>
        </w:rPr>
        <w:t> </w:t>
      </w:r>
      <w:r>
        <w:rPr/>
        <w:t>Rico.</w:t>
      </w:r>
      <w:r>
        <w:rPr>
          <w:spacing w:val="34"/>
        </w:rPr>
        <w:t> </w:t>
      </w:r>
      <w:r>
        <w:rPr/>
        <w:t>Due</w:t>
      </w:r>
      <w:r>
        <w:rPr>
          <w:spacing w:val="-11"/>
        </w:rPr>
        <w:t> </w:t>
      </w:r>
      <w:r>
        <w:rPr/>
        <w:t>to</w:t>
      </w:r>
      <w:r>
        <w:rPr>
          <w:spacing w:val="-11"/>
        </w:rPr>
        <w:t> </w:t>
      </w:r>
      <w:r>
        <w:rPr/>
        <w:t>historic</w:t>
      </w:r>
      <w:r>
        <w:rPr>
          <w:spacing w:val="-11"/>
        </w:rPr>
        <w:t> </w:t>
      </w:r>
      <w:r>
        <w:rPr/>
        <w:t>statutory</w:t>
      </w:r>
      <w:r>
        <w:rPr>
          <w:spacing w:val="-13"/>
        </w:rPr>
        <w:t> </w:t>
      </w:r>
      <w:r>
        <w:rPr/>
        <w:t>disparities,</w:t>
      </w:r>
      <w:r>
        <w:rPr>
          <w:spacing w:val="-10"/>
        </w:rPr>
        <w:t> </w:t>
      </w:r>
      <w:r>
        <w:rPr/>
        <w:t>socio-economic differences, and the high MA penetration the Moran Company concluded that anomalies make the data unusable for rate setting. We should also note that the inconsistency in policies within the Medicare program in Puerto Rico</w:t>
      </w:r>
      <w:r>
        <w:rPr>
          <w:spacing w:val="-9"/>
        </w:rPr>
        <w:t> </w:t>
      </w:r>
      <w:r>
        <w:rPr/>
        <w:t>are</w:t>
      </w:r>
      <w:r>
        <w:rPr>
          <w:spacing w:val="-9"/>
        </w:rPr>
        <w:t> </w:t>
      </w:r>
      <w:r>
        <w:rPr/>
        <w:t>also</w:t>
      </w:r>
      <w:r>
        <w:rPr>
          <w:spacing w:val="-9"/>
        </w:rPr>
        <w:t> </w:t>
      </w:r>
      <w:r>
        <w:rPr/>
        <w:t>creating</w:t>
      </w:r>
      <w:r>
        <w:rPr>
          <w:spacing w:val="-10"/>
        </w:rPr>
        <w:t> </w:t>
      </w:r>
      <w:r>
        <w:rPr/>
        <w:t>aggravating</w:t>
      </w:r>
      <w:r>
        <w:rPr>
          <w:spacing w:val="-10"/>
        </w:rPr>
        <w:t> </w:t>
      </w:r>
      <w:r>
        <w:rPr/>
        <w:t>situations.</w:t>
      </w:r>
      <w:r>
        <w:rPr>
          <w:spacing w:val="40"/>
        </w:rPr>
        <w:t> </w:t>
      </w:r>
      <w:r>
        <w:rPr/>
        <w:t>For</w:t>
      </w:r>
      <w:r>
        <w:rPr>
          <w:spacing w:val="-6"/>
        </w:rPr>
        <w:t> </w:t>
      </w:r>
      <w:r>
        <w:rPr/>
        <w:t>2018,</w:t>
      </w:r>
      <w:r>
        <w:rPr>
          <w:spacing w:val="-10"/>
        </w:rPr>
        <w:t> </w:t>
      </w:r>
      <w:r>
        <w:rPr/>
        <w:t>the</w:t>
      </w:r>
      <w:r>
        <w:rPr>
          <w:spacing w:val="-9"/>
        </w:rPr>
        <w:t> </w:t>
      </w:r>
      <w:r>
        <w:rPr/>
        <w:t>geographic</w:t>
      </w:r>
      <w:r>
        <w:rPr>
          <w:spacing w:val="-7"/>
        </w:rPr>
        <w:t> </w:t>
      </w:r>
      <w:r>
        <w:rPr/>
        <w:t>adjustment</w:t>
      </w:r>
      <w:r>
        <w:rPr>
          <w:spacing w:val="-8"/>
        </w:rPr>
        <w:t> </w:t>
      </w:r>
      <w:r>
        <w:rPr/>
        <w:t>for</w:t>
      </w:r>
      <w:r>
        <w:rPr>
          <w:spacing w:val="-9"/>
        </w:rPr>
        <w:t> </w:t>
      </w:r>
      <w:r>
        <w:rPr/>
        <w:t>Part</w:t>
      </w:r>
      <w:r>
        <w:rPr>
          <w:spacing w:val="-6"/>
        </w:rPr>
        <w:t> </w:t>
      </w:r>
      <w:r>
        <w:rPr/>
        <w:t>B</w:t>
      </w:r>
      <w:r>
        <w:rPr>
          <w:spacing w:val="-10"/>
        </w:rPr>
        <w:t> </w:t>
      </w:r>
      <w:r>
        <w:rPr/>
        <w:t>payments</w:t>
      </w:r>
      <w:r>
        <w:rPr>
          <w:spacing w:val="-6"/>
        </w:rPr>
        <w:t> </w:t>
      </w:r>
      <w:r>
        <w:rPr/>
        <w:t>is</w:t>
      </w:r>
      <w:r>
        <w:rPr>
          <w:spacing w:val="-6"/>
        </w:rPr>
        <w:t> </w:t>
      </w:r>
      <w:r>
        <w:rPr/>
        <w:t>1.0</w:t>
      </w:r>
      <w:r>
        <w:rPr>
          <w:spacing w:val="-10"/>
        </w:rPr>
        <w:t> </w:t>
      </w:r>
      <w:r>
        <w:rPr/>
        <w:t>like the USVI, but the AGA factor used for the MA benchmarks is </w:t>
      </w:r>
      <w:r>
        <w:rPr>
          <w:b/>
        </w:rPr>
        <w:t>0.49, or 33% lower than the 0.73 average AGA for the 2 counties in the USVI</w:t>
      </w:r>
      <w:r>
        <w:rPr/>
        <w:t>. Moreover, for 2018, there is only one county across all the states with an AGA of less than</w:t>
      </w:r>
      <w:r>
        <w:rPr>
          <w:spacing w:val="-2"/>
        </w:rPr>
        <w:t> </w:t>
      </w:r>
      <w:r>
        <w:rPr/>
        <w:t>0.70.</w:t>
      </w:r>
    </w:p>
    <w:p>
      <w:pPr>
        <w:pStyle w:val="BodyText"/>
      </w:pPr>
    </w:p>
    <w:p>
      <w:pPr>
        <w:pStyle w:val="Heading2"/>
        <w:spacing w:before="1"/>
        <w:ind w:left="563"/>
        <w:rPr>
          <w:u w:val="none"/>
        </w:rPr>
      </w:pPr>
      <w:r>
        <w:rPr>
          <w:u w:val="thick"/>
        </w:rPr>
        <w:t>Linking Puerto Rico to Areas with Similar Cost of Living</w:t>
      </w:r>
    </w:p>
    <w:p>
      <w:pPr>
        <w:pStyle w:val="BodyText"/>
        <w:spacing w:before="160"/>
        <w:ind w:left="112" w:right="386" w:firstLine="451"/>
        <w:jc w:val="both"/>
      </w:pPr>
      <w:r>
        <w:rPr/>
        <w:t>We</w:t>
      </w:r>
      <w:r>
        <w:rPr>
          <w:spacing w:val="-9"/>
        </w:rPr>
        <w:t> </w:t>
      </w:r>
      <w:r>
        <w:rPr/>
        <w:t>have</w:t>
      </w:r>
      <w:r>
        <w:rPr>
          <w:spacing w:val="-9"/>
        </w:rPr>
        <w:t> </w:t>
      </w:r>
      <w:r>
        <w:rPr/>
        <w:t>also</w:t>
      </w:r>
      <w:r>
        <w:rPr>
          <w:spacing w:val="-11"/>
        </w:rPr>
        <w:t> </w:t>
      </w:r>
      <w:r>
        <w:rPr/>
        <w:t>reviewed</w:t>
      </w:r>
      <w:r>
        <w:rPr>
          <w:spacing w:val="-12"/>
        </w:rPr>
        <w:t> </w:t>
      </w:r>
      <w:r>
        <w:rPr/>
        <w:t>the</w:t>
      </w:r>
      <w:r>
        <w:rPr>
          <w:spacing w:val="-11"/>
        </w:rPr>
        <w:t> </w:t>
      </w:r>
      <w:r>
        <w:rPr/>
        <w:t>relationship</w:t>
      </w:r>
      <w:r>
        <w:rPr>
          <w:spacing w:val="-12"/>
        </w:rPr>
        <w:t> </w:t>
      </w:r>
      <w:r>
        <w:rPr/>
        <w:t>between</w:t>
      </w:r>
      <w:r>
        <w:rPr>
          <w:spacing w:val="-12"/>
        </w:rPr>
        <w:t> </w:t>
      </w:r>
      <w:r>
        <w:rPr/>
        <w:t>cost</w:t>
      </w:r>
      <w:r>
        <w:rPr>
          <w:spacing w:val="-11"/>
        </w:rPr>
        <w:t> </w:t>
      </w:r>
      <w:r>
        <w:rPr/>
        <w:t>of</w:t>
      </w:r>
      <w:r>
        <w:rPr>
          <w:spacing w:val="-11"/>
        </w:rPr>
        <w:t> </w:t>
      </w:r>
      <w:r>
        <w:rPr/>
        <w:t>living</w:t>
      </w:r>
      <w:r>
        <w:rPr>
          <w:spacing w:val="-12"/>
        </w:rPr>
        <w:t> </w:t>
      </w:r>
      <w:r>
        <w:rPr/>
        <w:t>statistics</w:t>
      </w:r>
      <w:r>
        <w:rPr>
          <w:spacing w:val="-11"/>
        </w:rPr>
        <w:t> </w:t>
      </w:r>
      <w:r>
        <w:rPr/>
        <w:t>and</w:t>
      </w:r>
      <w:r>
        <w:rPr>
          <w:spacing w:val="-12"/>
        </w:rPr>
        <w:t> </w:t>
      </w:r>
      <w:r>
        <w:rPr/>
        <w:t>the</w:t>
      </w:r>
      <w:r>
        <w:rPr>
          <w:spacing w:val="-9"/>
        </w:rPr>
        <w:t> </w:t>
      </w:r>
      <w:r>
        <w:rPr/>
        <w:t>overall</w:t>
      </w:r>
      <w:r>
        <w:rPr>
          <w:spacing w:val="-11"/>
        </w:rPr>
        <w:t> </w:t>
      </w:r>
      <w:r>
        <w:rPr/>
        <w:t>MA</w:t>
      </w:r>
      <w:r>
        <w:rPr>
          <w:spacing w:val="-9"/>
        </w:rPr>
        <w:t> </w:t>
      </w:r>
      <w:r>
        <w:rPr/>
        <w:t>rates</w:t>
      </w:r>
      <w:r>
        <w:rPr>
          <w:spacing w:val="-11"/>
        </w:rPr>
        <w:t> </w:t>
      </w:r>
      <w:r>
        <w:rPr/>
        <w:t>for</w:t>
      </w:r>
      <w:r>
        <w:rPr>
          <w:spacing w:val="-11"/>
        </w:rPr>
        <w:t> </w:t>
      </w:r>
      <w:r>
        <w:rPr/>
        <w:t>counties with</w:t>
      </w:r>
      <w:r>
        <w:rPr>
          <w:spacing w:val="-10"/>
        </w:rPr>
        <w:t> </w:t>
      </w:r>
      <w:r>
        <w:rPr/>
        <w:t>similar</w:t>
      </w:r>
      <w:r>
        <w:rPr>
          <w:spacing w:val="-6"/>
        </w:rPr>
        <w:t> </w:t>
      </w:r>
      <w:r>
        <w:rPr/>
        <w:t>cost</w:t>
      </w:r>
      <w:r>
        <w:rPr>
          <w:spacing w:val="-8"/>
        </w:rPr>
        <w:t> </w:t>
      </w:r>
      <w:r>
        <w:rPr/>
        <w:t>of</w:t>
      </w:r>
      <w:r>
        <w:rPr>
          <w:spacing w:val="-9"/>
        </w:rPr>
        <w:t> </w:t>
      </w:r>
      <w:r>
        <w:rPr/>
        <w:t>living.</w:t>
      </w:r>
      <w:r>
        <w:rPr>
          <w:spacing w:val="42"/>
        </w:rPr>
        <w:t> </w:t>
      </w:r>
      <w:r>
        <w:rPr/>
        <w:t>We</w:t>
      </w:r>
      <w:r>
        <w:rPr>
          <w:spacing w:val="-7"/>
        </w:rPr>
        <w:t> </w:t>
      </w:r>
      <w:r>
        <w:rPr/>
        <w:t>analyzed</w:t>
      </w:r>
      <w:r>
        <w:rPr>
          <w:spacing w:val="-7"/>
        </w:rPr>
        <w:t> </w:t>
      </w:r>
      <w:r>
        <w:rPr/>
        <w:t>the</w:t>
      </w:r>
      <w:r>
        <w:rPr>
          <w:spacing w:val="-7"/>
        </w:rPr>
        <w:t> </w:t>
      </w:r>
      <w:r>
        <w:rPr/>
        <w:t>COLI</w:t>
      </w:r>
      <w:r>
        <w:rPr>
          <w:spacing w:val="-11"/>
        </w:rPr>
        <w:t> </w:t>
      </w:r>
      <w:r>
        <w:rPr/>
        <w:t>(</w:t>
      </w:r>
      <w:hyperlink r:id="rId22">
        <w:r>
          <w:rPr>
            <w:color w:val="0462C1"/>
            <w:u w:val="single" w:color="0462C1"/>
          </w:rPr>
          <w:t>http://coli.org/</w:t>
        </w:r>
      </w:hyperlink>
      <w:r>
        <w:rPr/>
        <w:t>)</w:t>
      </w:r>
      <w:r>
        <w:rPr>
          <w:spacing w:val="-9"/>
        </w:rPr>
        <w:t> </w:t>
      </w:r>
      <w:r>
        <w:rPr/>
        <w:t>survey</w:t>
      </w:r>
      <w:r>
        <w:rPr>
          <w:spacing w:val="-9"/>
        </w:rPr>
        <w:t> </w:t>
      </w:r>
      <w:r>
        <w:rPr/>
        <w:t>to</w:t>
      </w:r>
      <w:r>
        <w:rPr>
          <w:spacing w:val="-10"/>
        </w:rPr>
        <w:t> </w:t>
      </w:r>
      <w:r>
        <w:rPr/>
        <w:t>look</w:t>
      </w:r>
      <w:r>
        <w:rPr>
          <w:spacing w:val="-11"/>
        </w:rPr>
        <w:t> </w:t>
      </w:r>
      <w:r>
        <w:rPr/>
        <w:t>for</w:t>
      </w:r>
      <w:r>
        <w:rPr>
          <w:spacing w:val="-9"/>
        </w:rPr>
        <w:t> </w:t>
      </w:r>
      <w:r>
        <w:rPr/>
        <w:t>counties</w:t>
      </w:r>
      <w:r>
        <w:rPr>
          <w:spacing w:val="-9"/>
        </w:rPr>
        <w:t> </w:t>
      </w:r>
      <w:r>
        <w:rPr/>
        <w:t>that</w:t>
      </w:r>
      <w:r>
        <w:rPr>
          <w:spacing w:val="-6"/>
        </w:rPr>
        <w:t> </w:t>
      </w:r>
      <w:r>
        <w:rPr/>
        <w:t>have</w:t>
      </w:r>
      <w:r>
        <w:rPr>
          <w:spacing w:val="-7"/>
        </w:rPr>
        <w:t> </w:t>
      </w:r>
      <w:r>
        <w:rPr/>
        <w:t>the</w:t>
      </w:r>
      <w:r>
        <w:rPr>
          <w:spacing w:val="-9"/>
        </w:rPr>
        <w:t> </w:t>
      </w:r>
      <w:r>
        <w:rPr/>
        <w:t>same non-health</w:t>
      </w:r>
      <w:r>
        <w:rPr>
          <w:spacing w:val="-10"/>
        </w:rPr>
        <w:t> </w:t>
      </w:r>
      <w:r>
        <w:rPr/>
        <w:t>care</w:t>
      </w:r>
      <w:r>
        <w:rPr>
          <w:spacing w:val="-12"/>
        </w:rPr>
        <w:t> </w:t>
      </w:r>
      <w:r>
        <w:rPr/>
        <w:t>cost</w:t>
      </w:r>
      <w:r>
        <w:rPr>
          <w:spacing w:val="-9"/>
        </w:rPr>
        <w:t> </w:t>
      </w:r>
      <w:r>
        <w:rPr/>
        <w:t>of</w:t>
      </w:r>
      <w:r>
        <w:rPr>
          <w:spacing w:val="-9"/>
        </w:rPr>
        <w:t> </w:t>
      </w:r>
      <w:r>
        <w:rPr/>
        <w:t>living</w:t>
      </w:r>
      <w:r>
        <w:rPr>
          <w:spacing w:val="-12"/>
        </w:rPr>
        <w:t> </w:t>
      </w:r>
      <w:r>
        <w:rPr/>
        <w:t>as</w:t>
      </w:r>
      <w:r>
        <w:rPr>
          <w:spacing w:val="-9"/>
        </w:rPr>
        <w:t> </w:t>
      </w:r>
      <w:r>
        <w:rPr/>
        <w:t>Puerto</w:t>
      </w:r>
      <w:r>
        <w:rPr>
          <w:spacing w:val="-10"/>
        </w:rPr>
        <w:t> </w:t>
      </w:r>
      <w:r>
        <w:rPr/>
        <w:t>Rico</w:t>
      </w:r>
      <w:r>
        <w:rPr>
          <w:spacing w:val="-10"/>
        </w:rPr>
        <w:t> </w:t>
      </w:r>
      <w:r>
        <w:rPr/>
        <w:t>and</w:t>
      </w:r>
      <w:r>
        <w:rPr>
          <w:spacing w:val="-12"/>
        </w:rPr>
        <w:t> </w:t>
      </w:r>
      <w:r>
        <w:rPr/>
        <w:t>compare</w:t>
      </w:r>
      <w:r>
        <w:rPr>
          <w:spacing w:val="-9"/>
        </w:rPr>
        <w:t> </w:t>
      </w:r>
      <w:r>
        <w:rPr/>
        <w:t>their</w:t>
      </w:r>
      <w:r>
        <w:rPr>
          <w:spacing w:val="-11"/>
        </w:rPr>
        <w:t> </w:t>
      </w:r>
      <w:r>
        <w:rPr/>
        <w:t>MA</w:t>
      </w:r>
      <w:r>
        <w:rPr>
          <w:spacing w:val="-10"/>
        </w:rPr>
        <w:t> </w:t>
      </w:r>
      <w:r>
        <w:rPr/>
        <w:t>benchmarks.</w:t>
      </w:r>
      <w:r>
        <w:rPr>
          <w:spacing w:val="38"/>
        </w:rPr>
        <w:t> </w:t>
      </w:r>
      <w:r>
        <w:rPr/>
        <w:t>As</w:t>
      </w:r>
      <w:r>
        <w:rPr>
          <w:spacing w:val="-9"/>
        </w:rPr>
        <w:t> </w:t>
      </w:r>
      <w:r>
        <w:rPr/>
        <w:t>presented</w:t>
      </w:r>
      <w:r>
        <w:rPr>
          <w:spacing w:val="-12"/>
        </w:rPr>
        <w:t> </w:t>
      </w:r>
      <w:r>
        <w:rPr/>
        <w:t>in</w:t>
      </w:r>
      <w:r>
        <w:rPr>
          <w:spacing w:val="-12"/>
        </w:rPr>
        <w:t> </w:t>
      </w:r>
      <w:r>
        <w:rPr/>
        <w:t>the</w:t>
      </w:r>
      <w:r>
        <w:rPr>
          <w:spacing w:val="-12"/>
        </w:rPr>
        <w:t> </w:t>
      </w:r>
      <w:r>
        <w:rPr/>
        <w:t>table</w:t>
      </w:r>
      <w:r>
        <w:rPr>
          <w:spacing w:val="-9"/>
        </w:rPr>
        <w:t> </w:t>
      </w:r>
      <w:r>
        <w:rPr/>
        <w:t>below, Puerto</w:t>
      </w:r>
      <w:r>
        <w:rPr>
          <w:spacing w:val="-6"/>
        </w:rPr>
        <w:t> </w:t>
      </w:r>
      <w:r>
        <w:rPr/>
        <w:t>Rico’s</w:t>
      </w:r>
      <w:r>
        <w:rPr>
          <w:spacing w:val="-7"/>
        </w:rPr>
        <w:t> </w:t>
      </w:r>
      <w:r>
        <w:rPr/>
        <w:t>factor</w:t>
      </w:r>
      <w:r>
        <w:rPr>
          <w:spacing w:val="-8"/>
        </w:rPr>
        <w:t> </w:t>
      </w:r>
      <w:r>
        <w:rPr/>
        <w:t>is</w:t>
      </w:r>
      <w:r>
        <w:rPr>
          <w:spacing w:val="-5"/>
        </w:rPr>
        <w:t> </w:t>
      </w:r>
      <w:r>
        <w:rPr/>
        <w:t>higher</w:t>
      </w:r>
      <w:r>
        <w:rPr>
          <w:spacing w:val="-7"/>
        </w:rPr>
        <w:t> </w:t>
      </w:r>
      <w:r>
        <w:rPr/>
        <w:t>than</w:t>
      </w:r>
      <w:r>
        <w:rPr>
          <w:spacing w:val="-8"/>
        </w:rPr>
        <w:t> </w:t>
      </w:r>
      <w:r>
        <w:rPr/>
        <w:t>the</w:t>
      </w:r>
      <w:r>
        <w:rPr>
          <w:spacing w:val="-8"/>
        </w:rPr>
        <w:t> </w:t>
      </w:r>
      <w:r>
        <w:rPr/>
        <w:t>average</w:t>
      </w:r>
      <w:r>
        <w:rPr>
          <w:spacing w:val="-5"/>
        </w:rPr>
        <w:t> </w:t>
      </w:r>
      <w:r>
        <w:rPr/>
        <w:t>for</w:t>
      </w:r>
      <w:r>
        <w:rPr>
          <w:spacing w:val="-5"/>
        </w:rPr>
        <w:t> </w:t>
      </w:r>
      <w:r>
        <w:rPr/>
        <w:t>non-health</w:t>
      </w:r>
      <w:r>
        <w:rPr>
          <w:spacing w:val="-9"/>
        </w:rPr>
        <w:t> </w:t>
      </w:r>
      <w:r>
        <w:rPr/>
        <w:t>care</w:t>
      </w:r>
      <w:r>
        <w:rPr>
          <w:spacing w:val="-8"/>
        </w:rPr>
        <w:t> </w:t>
      </w:r>
      <w:r>
        <w:rPr/>
        <w:t>cost.</w:t>
      </w:r>
      <w:r>
        <w:rPr>
          <w:spacing w:val="41"/>
        </w:rPr>
        <w:t> </w:t>
      </w:r>
      <w:r>
        <w:rPr/>
        <w:t>Out</w:t>
      </w:r>
      <w:r>
        <w:rPr>
          <w:spacing w:val="-7"/>
        </w:rPr>
        <w:t> </w:t>
      </w:r>
      <w:r>
        <w:rPr/>
        <w:t>of</w:t>
      </w:r>
      <w:r>
        <w:rPr>
          <w:spacing w:val="-8"/>
        </w:rPr>
        <w:t> </w:t>
      </w:r>
      <w:r>
        <w:rPr/>
        <w:t>21</w:t>
      </w:r>
      <w:r>
        <w:rPr>
          <w:spacing w:val="-9"/>
        </w:rPr>
        <w:t> </w:t>
      </w:r>
      <w:r>
        <w:rPr/>
        <w:t>metro</w:t>
      </w:r>
      <w:r>
        <w:rPr>
          <w:spacing w:val="-6"/>
        </w:rPr>
        <w:t> </w:t>
      </w:r>
      <w:r>
        <w:rPr/>
        <w:t>areas</w:t>
      </w:r>
      <w:r>
        <w:rPr>
          <w:spacing w:val="-8"/>
        </w:rPr>
        <w:t> </w:t>
      </w:r>
      <w:r>
        <w:rPr/>
        <w:t>found</w:t>
      </w:r>
      <w:r>
        <w:rPr>
          <w:spacing w:val="-9"/>
        </w:rPr>
        <w:t> </w:t>
      </w:r>
      <w:r>
        <w:rPr/>
        <w:t>between</w:t>
      </w:r>
      <w:r>
        <w:rPr>
          <w:spacing w:val="-8"/>
        </w:rPr>
        <w:t> </w:t>
      </w:r>
      <w:r>
        <w:rPr/>
        <w:t>100 (average) and 106 score in the index, Puerto Rico is the only area with a MA benchmark of less than $700. Alternatively, if CMS intended to make the full correction of the historic program anomalies and deficiencies in the pricing of health care in Puerto Rico, the MA benchmarks of a jurisdiction of similar costs of living index would be an appropriate estimate. Puerto Rico would have MA rates similar to Maddison, Wisconsin, which has an average of $794 (compared to $544 in the San Juan Metro area, or $653 in the</w:t>
      </w:r>
      <w:r>
        <w:rPr>
          <w:spacing w:val="-21"/>
        </w:rPr>
        <w:t> </w:t>
      </w:r>
      <w:r>
        <w:rPr/>
        <w:t>USVI)</w:t>
      </w:r>
    </w:p>
    <w:p>
      <w:pPr>
        <w:pStyle w:val="BodyText"/>
      </w:pPr>
    </w:p>
    <w:p>
      <w:pPr>
        <w:pStyle w:val="BodyText"/>
        <w:ind w:left="563"/>
      </w:pPr>
      <w:r>
        <w:rPr>
          <w:w w:val="100"/>
        </w:rPr>
        <w:t>.</w:t>
      </w:r>
    </w:p>
    <w:p>
      <w:pPr>
        <w:pStyle w:val="Heading3"/>
        <w:spacing w:before="1"/>
        <w:ind w:left="299"/>
        <w:rPr>
          <w:u w:val="none"/>
        </w:rPr>
      </w:pPr>
      <w:r>
        <w:rPr>
          <w:u w:val="thick"/>
        </w:rPr>
        <w:t>Table 1</w:t>
      </w:r>
      <w:r>
        <w:rPr>
          <w:u w:val="none"/>
        </w:rPr>
        <w:t>: Cost of Living Index of Metro Areas that are 100 to 106 Score, and Ratio to MA Benchmarks</w:t>
      </w:r>
    </w:p>
    <w:p>
      <w:pPr>
        <w:pStyle w:val="BodyText"/>
        <w:spacing w:before="7"/>
        <w:rPr>
          <w:b/>
          <w:sz w:val="18"/>
        </w:rPr>
      </w:pPr>
      <w:r>
        <w:rPr/>
        <w:drawing>
          <wp:anchor distT="0" distB="0" distL="0" distR="0" allowOverlap="1" layoutInCell="1" locked="0" behindDoc="0" simplePos="0" relativeHeight="1792">
            <wp:simplePos x="0" y="0"/>
            <wp:positionH relativeFrom="page">
              <wp:posOffset>730884</wp:posOffset>
            </wp:positionH>
            <wp:positionV relativeFrom="paragraph">
              <wp:posOffset>160718</wp:posOffset>
            </wp:positionV>
            <wp:extent cx="6514422" cy="2578227"/>
            <wp:effectExtent l="0" t="0" r="0" b="0"/>
            <wp:wrapTopAndBottom/>
            <wp:docPr id="21" name="image13.png" descr=""/>
            <wp:cNvGraphicFramePr>
              <a:graphicFrameLocks noChangeAspect="1"/>
            </wp:cNvGraphicFramePr>
            <a:graphic>
              <a:graphicData uri="http://schemas.openxmlformats.org/drawingml/2006/picture">
                <pic:pic>
                  <pic:nvPicPr>
                    <pic:cNvPr id="22" name="image13.png"/>
                    <pic:cNvPicPr/>
                  </pic:nvPicPr>
                  <pic:blipFill>
                    <a:blip r:embed="rId23" cstate="print"/>
                    <a:stretch>
                      <a:fillRect/>
                    </a:stretch>
                  </pic:blipFill>
                  <pic:spPr>
                    <a:xfrm>
                      <a:off x="0" y="0"/>
                      <a:ext cx="6514422" cy="2578227"/>
                    </a:xfrm>
                    <a:prstGeom prst="rect">
                      <a:avLst/>
                    </a:prstGeom>
                  </pic:spPr>
                </pic:pic>
              </a:graphicData>
            </a:graphic>
          </wp:anchor>
        </w:drawing>
      </w:r>
    </w:p>
    <w:p>
      <w:pPr>
        <w:spacing w:before="215"/>
        <w:ind w:left="112" w:right="385" w:firstLine="360"/>
        <w:jc w:val="both"/>
        <w:rPr>
          <w:sz w:val="22"/>
        </w:rPr>
      </w:pPr>
      <w:r>
        <w:rPr>
          <w:sz w:val="22"/>
        </w:rPr>
        <w:t>As explained in our letter to CMS Principal Deputy Administrator, Demetrios Kouzoukas (</w:t>
      </w:r>
      <w:r>
        <w:rPr>
          <w:b/>
          <w:i/>
          <w:sz w:val="22"/>
        </w:rPr>
        <w:t>See Appendix 7</w:t>
      </w:r>
      <w:r>
        <w:rPr>
          <w:sz w:val="22"/>
        </w:rPr>
        <w:t>), the cost of living metrics in Puerto Rico reveals the sharp contrast of healthcare costs compared to the rest of the economic inputs of the local market. Overall costs of living in Puerto Rico is higher than 260 metro areas around the nation. This means that the costs of utilities, transportation, equipment, prescription drugs, food, and other goods and services are the higher. The survey also highlights that healthcare costs are an extraordinary anomaly, at a 63.4 index (100.0 = US average). This supports our position that the </w:t>
      </w:r>
      <w:r>
        <w:rPr>
          <w:b/>
          <w:sz w:val="22"/>
        </w:rPr>
        <w:t>systematic underfunding in health programs depresses the investment in healthcare infrastructure and professional compensation as the system works to function with the limited resources available. </w:t>
      </w:r>
      <w:r>
        <w:rPr>
          <w:sz w:val="22"/>
        </w:rPr>
        <w:t>This does not go without harm and is unsustainable within the US economy and within the national MA program.</w:t>
      </w:r>
    </w:p>
    <w:p>
      <w:pPr>
        <w:spacing w:after="0"/>
        <w:jc w:val="both"/>
        <w:rPr>
          <w:sz w:val="22"/>
        </w:rPr>
        <w:sectPr>
          <w:pgSz w:w="12240" w:h="15840"/>
          <w:pgMar w:header="0" w:footer="1015" w:top="1360" w:bottom="1200" w:left="1040" w:right="760"/>
        </w:sectPr>
      </w:pPr>
    </w:p>
    <w:p>
      <w:pPr>
        <w:pStyle w:val="Heading3"/>
        <w:spacing w:before="185"/>
        <w:ind w:left="595" w:right="610"/>
        <w:jc w:val="center"/>
        <w:rPr>
          <w:sz w:val="14"/>
          <w:u w:val="none"/>
        </w:rPr>
      </w:pPr>
      <w:r>
        <w:rPr/>
        <w:pict>
          <v:line style="position:absolute;mso-position-horizontal-relative:page;mso-position-vertical-relative:paragraph;z-index:-21208" from="82.704002pt,21.525148pt" to="529.414002pt,21.525148pt" stroked="true" strokeweight="1.08pt" strokecolor="#000000">
            <v:stroke dashstyle="solid"/>
            <w10:wrap type="none"/>
          </v:line>
        </w:pict>
      </w:r>
      <w:r>
        <w:rPr>
          <w:u w:val="none"/>
        </w:rPr>
        <w:t>Cost Index of Selected Goods and Services in Puerto Rico compared to Florida and New York</w:t>
      </w:r>
      <w:r>
        <w:rPr>
          <w:position w:val="8"/>
          <w:sz w:val="14"/>
          <w:u w:val="none"/>
        </w:rPr>
        <w:t>10</w:t>
      </w:r>
    </w:p>
    <w:p>
      <w:pPr>
        <w:pStyle w:val="BodyText"/>
        <w:spacing w:before="1"/>
        <w:rPr>
          <w:b/>
          <w:sz w:val="14"/>
        </w:rPr>
      </w:pPr>
    </w:p>
    <w:tbl>
      <w:tblPr>
        <w:tblW w:w="0" w:type="auto"/>
        <w:jc w:val="left"/>
        <w:tblInd w:w="134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661"/>
        <w:gridCol w:w="1142"/>
        <w:gridCol w:w="1213"/>
        <w:gridCol w:w="1159"/>
        <w:gridCol w:w="1078"/>
        <w:gridCol w:w="1195"/>
      </w:tblGrid>
      <w:tr>
        <w:trPr>
          <w:trHeight w:val="274" w:hRule="exact"/>
        </w:trPr>
        <w:tc>
          <w:tcPr>
            <w:tcW w:w="1661" w:type="dxa"/>
            <w:tcBorders>
              <w:top w:val="single" w:sz="4" w:space="0" w:color="000000"/>
              <w:left w:val="single" w:sz="4" w:space="0" w:color="000000"/>
              <w:bottom w:val="single" w:sz="7" w:space="0" w:color="6B56A9"/>
            </w:tcBorders>
            <w:shd w:val="clear" w:color="auto" w:fill="EBF4D9"/>
          </w:tcPr>
          <w:p>
            <w:pPr>
              <w:pStyle w:val="TableParagraph"/>
              <w:spacing w:before="57"/>
              <w:ind w:left="17" w:right="0"/>
              <w:jc w:val="left"/>
              <w:rPr>
                <w:rFonts w:ascii="Arial"/>
                <w:b/>
                <w:sz w:val="13"/>
              </w:rPr>
            </w:pPr>
            <w:r>
              <w:rPr>
                <w:rFonts w:ascii="Arial"/>
                <w:b/>
                <w:w w:val="105"/>
                <w:sz w:val="13"/>
              </w:rPr>
              <w:t>Goods and Services</w:t>
            </w:r>
          </w:p>
        </w:tc>
        <w:tc>
          <w:tcPr>
            <w:tcW w:w="1142" w:type="dxa"/>
            <w:tcBorders>
              <w:top w:val="single" w:sz="4" w:space="0" w:color="000000"/>
              <w:bottom w:val="single" w:sz="7" w:space="0" w:color="6B56A9"/>
            </w:tcBorders>
            <w:shd w:val="clear" w:color="auto" w:fill="EBF4D9"/>
          </w:tcPr>
          <w:p>
            <w:pPr>
              <w:pStyle w:val="TableParagraph"/>
              <w:spacing w:before="57"/>
              <w:ind w:right="58"/>
              <w:rPr>
                <w:rFonts w:ascii="Arial"/>
                <w:b/>
                <w:sz w:val="13"/>
              </w:rPr>
            </w:pPr>
            <w:r>
              <w:rPr>
                <w:rFonts w:ascii="Arial"/>
                <w:b/>
                <w:w w:val="105"/>
                <w:sz w:val="13"/>
              </w:rPr>
              <w:t>San Juan, PR</w:t>
            </w:r>
          </w:p>
        </w:tc>
        <w:tc>
          <w:tcPr>
            <w:tcW w:w="1213" w:type="dxa"/>
            <w:tcBorders>
              <w:top w:val="single" w:sz="4" w:space="0" w:color="000000"/>
              <w:bottom w:val="single" w:sz="7" w:space="0" w:color="6B56A9"/>
            </w:tcBorders>
            <w:shd w:val="clear" w:color="auto" w:fill="EBF4D9"/>
          </w:tcPr>
          <w:p>
            <w:pPr>
              <w:pStyle w:val="TableParagraph"/>
              <w:spacing w:before="57"/>
              <w:ind w:left="229" w:right="0"/>
              <w:jc w:val="left"/>
              <w:rPr>
                <w:rFonts w:ascii="Arial"/>
                <w:b/>
                <w:sz w:val="13"/>
              </w:rPr>
            </w:pPr>
            <w:r>
              <w:rPr>
                <w:rFonts w:ascii="Arial"/>
                <w:b/>
                <w:w w:val="105"/>
                <w:sz w:val="13"/>
              </w:rPr>
              <w:t>Orlando, FL</w:t>
            </w:r>
          </w:p>
        </w:tc>
        <w:tc>
          <w:tcPr>
            <w:tcW w:w="1159" w:type="dxa"/>
            <w:tcBorders>
              <w:top w:val="single" w:sz="4" w:space="0" w:color="000000"/>
              <w:bottom w:val="single" w:sz="7" w:space="0" w:color="6B56A9"/>
            </w:tcBorders>
            <w:shd w:val="clear" w:color="auto" w:fill="EBF4D9"/>
          </w:tcPr>
          <w:p>
            <w:pPr>
              <w:pStyle w:val="TableParagraph"/>
              <w:spacing w:before="57"/>
              <w:ind w:left="166" w:right="0"/>
              <w:jc w:val="left"/>
              <w:rPr>
                <w:rFonts w:ascii="Arial"/>
                <w:b/>
                <w:sz w:val="13"/>
              </w:rPr>
            </w:pPr>
            <w:r>
              <w:rPr>
                <w:rFonts w:ascii="Arial"/>
                <w:b/>
                <w:w w:val="105"/>
                <w:sz w:val="13"/>
              </w:rPr>
              <w:t>Brooklyn, NY</w:t>
            </w:r>
          </w:p>
        </w:tc>
        <w:tc>
          <w:tcPr>
            <w:tcW w:w="1078" w:type="dxa"/>
            <w:tcBorders>
              <w:top w:val="single" w:sz="4" w:space="0" w:color="000000"/>
              <w:bottom w:val="single" w:sz="7" w:space="0" w:color="6B56A9"/>
            </w:tcBorders>
            <w:shd w:val="clear" w:color="auto" w:fill="EBF4D9"/>
          </w:tcPr>
          <w:p>
            <w:pPr>
              <w:pStyle w:val="TableParagraph"/>
              <w:spacing w:before="57"/>
              <w:ind w:left="210" w:right="0"/>
              <w:jc w:val="left"/>
              <w:rPr>
                <w:rFonts w:ascii="Arial"/>
                <w:b/>
                <w:sz w:val="13"/>
              </w:rPr>
            </w:pPr>
            <w:r>
              <w:rPr>
                <w:rFonts w:ascii="Arial"/>
                <w:b/>
                <w:w w:val="105"/>
                <w:sz w:val="13"/>
              </w:rPr>
              <w:t>Tampa, FL</w:t>
            </w:r>
          </w:p>
        </w:tc>
        <w:tc>
          <w:tcPr>
            <w:tcW w:w="1195" w:type="dxa"/>
            <w:tcBorders>
              <w:top w:val="single" w:sz="4" w:space="0" w:color="000000"/>
              <w:bottom w:val="single" w:sz="7" w:space="0" w:color="6B56A9"/>
              <w:right w:val="single" w:sz="4" w:space="0" w:color="000000"/>
            </w:tcBorders>
            <w:shd w:val="clear" w:color="auto" w:fill="EBF4D9"/>
          </w:tcPr>
          <w:p>
            <w:pPr>
              <w:pStyle w:val="TableParagraph"/>
              <w:spacing w:before="57"/>
              <w:ind w:right="68"/>
              <w:rPr>
                <w:rFonts w:ascii="Arial"/>
                <w:b/>
                <w:sz w:val="13"/>
              </w:rPr>
            </w:pPr>
            <w:r>
              <w:rPr>
                <w:rFonts w:ascii="Arial"/>
                <w:b/>
                <w:w w:val="105"/>
                <w:sz w:val="13"/>
              </w:rPr>
              <w:t>All United States</w:t>
            </w:r>
          </w:p>
        </w:tc>
      </w:tr>
      <w:tr>
        <w:trPr>
          <w:trHeight w:val="214" w:hRule="exact"/>
        </w:trPr>
        <w:tc>
          <w:tcPr>
            <w:tcW w:w="1661" w:type="dxa"/>
            <w:tcBorders>
              <w:top w:val="single" w:sz="7" w:space="0" w:color="6B56A9"/>
              <w:left w:val="single" w:sz="4" w:space="0" w:color="000000"/>
            </w:tcBorders>
          </w:tcPr>
          <w:p>
            <w:pPr>
              <w:pStyle w:val="TableParagraph"/>
              <w:spacing w:before="1"/>
              <w:ind w:left="26" w:right="0"/>
              <w:jc w:val="left"/>
              <w:rPr>
                <w:sz w:val="16"/>
              </w:rPr>
            </w:pPr>
            <w:r>
              <w:rPr>
                <w:sz w:val="16"/>
              </w:rPr>
              <w:t>Milk</w:t>
            </w:r>
          </w:p>
        </w:tc>
        <w:tc>
          <w:tcPr>
            <w:tcW w:w="1142" w:type="dxa"/>
            <w:tcBorders>
              <w:top w:val="single" w:sz="7" w:space="0" w:color="6B56A9"/>
            </w:tcBorders>
          </w:tcPr>
          <w:p>
            <w:pPr>
              <w:pStyle w:val="TableParagraph"/>
              <w:spacing w:before="1"/>
              <w:ind w:right="31"/>
              <w:rPr>
                <w:sz w:val="16"/>
              </w:rPr>
            </w:pPr>
            <w:r>
              <w:rPr>
                <w:sz w:val="16"/>
              </w:rPr>
              <w:t>$3.02</w:t>
            </w:r>
          </w:p>
        </w:tc>
        <w:tc>
          <w:tcPr>
            <w:tcW w:w="1213" w:type="dxa"/>
            <w:tcBorders>
              <w:top w:val="single" w:sz="7" w:space="0" w:color="6B56A9"/>
            </w:tcBorders>
          </w:tcPr>
          <w:p>
            <w:pPr>
              <w:pStyle w:val="TableParagraph"/>
              <w:spacing w:before="1"/>
              <w:ind w:right="31"/>
              <w:rPr>
                <w:sz w:val="16"/>
              </w:rPr>
            </w:pPr>
            <w:r>
              <w:rPr>
                <w:sz w:val="16"/>
              </w:rPr>
              <w:t>$2.33</w:t>
            </w:r>
          </w:p>
        </w:tc>
        <w:tc>
          <w:tcPr>
            <w:tcW w:w="1159" w:type="dxa"/>
            <w:tcBorders>
              <w:top w:val="single" w:sz="7" w:space="0" w:color="6B56A9"/>
            </w:tcBorders>
          </w:tcPr>
          <w:p>
            <w:pPr>
              <w:pStyle w:val="TableParagraph"/>
              <w:spacing w:before="1"/>
              <w:rPr>
                <w:sz w:val="16"/>
              </w:rPr>
            </w:pPr>
            <w:r>
              <w:rPr>
                <w:sz w:val="16"/>
              </w:rPr>
              <w:t>$2.59</w:t>
            </w:r>
          </w:p>
        </w:tc>
        <w:tc>
          <w:tcPr>
            <w:tcW w:w="1078" w:type="dxa"/>
            <w:tcBorders>
              <w:top w:val="single" w:sz="7" w:space="0" w:color="6B56A9"/>
            </w:tcBorders>
          </w:tcPr>
          <w:p>
            <w:pPr>
              <w:pStyle w:val="TableParagraph"/>
              <w:spacing w:before="1"/>
              <w:ind w:right="31"/>
              <w:rPr>
                <w:sz w:val="16"/>
              </w:rPr>
            </w:pPr>
            <w:r>
              <w:rPr>
                <w:sz w:val="16"/>
              </w:rPr>
              <w:t>$2.45</w:t>
            </w:r>
          </w:p>
        </w:tc>
        <w:tc>
          <w:tcPr>
            <w:tcW w:w="1195" w:type="dxa"/>
            <w:tcBorders>
              <w:top w:val="single" w:sz="7" w:space="0" w:color="6B56A9"/>
              <w:right w:val="single" w:sz="4" w:space="0" w:color="000000"/>
            </w:tcBorders>
          </w:tcPr>
          <w:p>
            <w:pPr>
              <w:pStyle w:val="TableParagraph"/>
              <w:spacing w:before="1"/>
              <w:ind w:right="27"/>
              <w:rPr>
                <w:sz w:val="16"/>
              </w:rPr>
            </w:pPr>
            <w:r>
              <w:rPr>
                <w:sz w:val="16"/>
              </w:rPr>
              <w:t>$2.06</w:t>
            </w:r>
          </w:p>
        </w:tc>
      </w:tr>
      <w:tr>
        <w:trPr>
          <w:trHeight w:val="216" w:hRule="exact"/>
        </w:trPr>
        <w:tc>
          <w:tcPr>
            <w:tcW w:w="1661" w:type="dxa"/>
            <w:tcBorders>
              <w:left w:val="single" w:sz="4" w:space="0" w:color="000000"/>
            </w:tcBorders>
          </w:tcPr>
          <w:p>
            <w:pPr>
              <w:pStyle w:val="TableParagraph"/>
              <w:ind w:left="26" w:right="0"/>
              <w:jc w:val="left"/>
              <w:rPr>
                <w:sz w:val="16"/>
              </w:rPr>
            </w:pPr>
            <w:r>
              <w:rPr>
                <w:sz w:val="16"/>
              </w:rPr>
              <w:t>Eggs</w:t>
            </w:r>
          </w:p>
        </w:tc>
        <w:tc>
          <w:tcPr>
            <w:tcW w:w="1142" w:type="dxa"/>
          </w:tcPr>
          <w:p>
            <w:pPr>
              <w:pStyle w:val="TableParagraph"/>
              <w:ind w:right="31"/>
              <w:rPr>
                <w:sz w:val="16"/>
              </w:rPr>
            </w:pPr>
            <w:r>
              <w:rPr>
                <w:sz w:val="16"/>
              </w:rPr>
              <w:t>$2.58</w:t>
            </w:r>
          </w:p>
        </w:tc>
        <w:tc>
          <w:tcPr>
            <w:tcW w:w="1213" w:type="dxa"/>
          </w:tcPr>
          <w:p>
            <w:pPr>
              <w:pStyle w:val="TableParagraph"/>
              <w:ind w:right="31"/>
              <w:rPr>
                <w:sz w:val="16"/>
              </w:rPr>
            </w:pPr>
            <w:r>
              <w:rPr>
                <w:sz w:val="16"/>
              </w:rPr>
              <w:t>$1.94</w:t>
            </w:r>
          </w:p>
        </w:tc>
        <w:tc>
          <w:tcPr>
            <w:tcW w:w="1159" w:type="dxa"/>
          </w:tcPr>
          <w:p>
            <w:pPr>
              <w:pStyle w:val="TableParagraph"/>
              <w:rPr>
                <w:sz w:val="16"/>
              </w:rPr>
            </w:pPr>
            <w:r>
              <w:rPr>
                <w:sz w:val="16"/>
              </w:rPr>
              <w:t>$2.58</w:t>
            </w:r>
          </w:p>
        </w:tc>
        <w:tc>
          <w:tcPr>
            <w:tcW w:w="1078" w:type="dxa"/>
          </w:tcPr>
          <w:p>
            <w:pPr>
              <w:pStyle w:val="TableParagraph"/>
              <w:ind w:right="31"/>
              <w:rPr>
                <w:sz w:val="16"/>
              </w:rPr>
            </w:pPr>
            <w:r>
              <w:rPr>
                <w:sz w:val="16"/>
              </w:rPr>
              <w:t>$1.89</w:t>
            </w:r>
          </w:p>
        </w:tc>
        <w:tc>
          <w:tcPr>
            <w:tcW w:w="1195" w:type="dxa"/>
            <w:tcBorders>
              <w:right w:val="single" w:sz="4" w:space="0" w:color="000000"/>
            </w:tcBorders>
          </w:tcPr>
          <w:p>
            <w:pPr>
              <w:pStyle w:val="TableParagraph"/>
              <w:ind w:right="27"/>
              <w:rPr>
                <w:sz w:val="16"/>
              </w:rPr>
            </w:pPr>
            <w:r>
              <w:rPr>
                <w:sz w:val="16"/>
              </w:rPr>
              <w:t>$1.92</w:t>
            </w:r>
          </w:p>
        </w:tc>
      </w:tr>
      <w:tr>
        <w:trPr>
          <w:trHeight w:val="216" w:hRule="exact"/>
        </w:trPr>
        <w:tc>
          <w:tcPr>
            <w:tcW w:w="1661" w:type="dxa"/>
            <w:tcBorders>
              <w:left w:val="single" w:sz="4" w:space="0" w:color="000000"/>
            </w:tcBorders>
          </w:tcPr>
          <w:p>
            <w:pPr>
              <w:pStyle w:val="TableParagraph"/>
              <w:ind w:left="26" w:right="0"/>
              <w:jc w:val="left"/>
              <w:rPr>
                <w:sz w:val="16"/>
              </w:rPr>
            </w:pPr>
            <w:r>
              <w:rPr>
                <w:sz w:val="16"/>
              </w:rPr>
              <w:t>Banana</w:t>
            </w:r>
          </w:p>
        </w:tc>
        <w:tc>
          <w:tcPr>
            <w:tcW w:w="1142" w:type="dxa"/>
          </w:tcPr>
          <w:p>
            <w:pPr>
              <w:pStyle w:val="TableParagraph"/>
              <w:ind w:right="31"/>
              <w:rPr>
                <w:sz w:val="16"/>
              </w:rPr>
            </w:pPr>
            <w:r>
              <w:rPr>
                <w:sz w:val="16"/>
              </w:rPr>
              <w:t>$0.71</w:t>
            </w:r>
          </w:p>
        </w:tc>
        <w:tc>
          <w:tcPr>
            <w:tcW w:w="1213" w:type="dxa"/>
          </w:tcPr>
          <w:p>
            <w:pPr>
              <w:pStyle w:val="TableParagraph"/>
              <w:ind w:right="31"/>
              <w:rPr>
                <w:sz w:val="16"/>
              </w:rPr>
            </w:pPr>
            <w:r>
              <w:rPr>
                <w:sz w:val="16"/>
              </w:rPr>
              <w:t>$0.59</w:t>
            </w:r>
          </w:p>
        </w:tc>
        <w:tc>
          <w:tcPr>
            <w:tcW w:w="1159" w:type="dxa"/>
          </w:tcPr>
          <w:p>
            <w:pPr>
              <w:pStyle w:val="TableParagraph"/>
              <w:rPr>
                <w:sz w:val="16"/>
              </w:rPr>
            </w:pPr>
            <w:r>
              <w:rPr>
                <w:sz w:val="16"/>
              </w:rPr>
              <w:t>$0.71</w:t>
            </w:r>
          </w:p>
        </w:tc>
        <w:tc>
          <w:tcPr>
            <w:tcW w:w="1078" w:type="dxa"/>
          </w:tcPr>
          <w:p>
            <w:pPr>
              <w:pStyle w:val="TableParagraph"/>
              <w:ind w:right="31"/>
              <w:rPr>
                <w:sz w:val="16"/>
              </w:rPr>
            </w:pPr>
            <w:r>
              <w:rPr>
                <w:sz w:val="16"/>
              </w:rPr>
              <w:t>$0.61</w:t>
            </w:r>
          </w:p>
        </w:tc>
        <w:tc>
          <w:tcPr>
            <w:tcW w:w="1195" w:type="dxa"/>
            <w:tcBorders>
              <w:right w:val="single" w:sz="4" w:space="0" w:color="000000"/>
            </w:tcBorders>
          </w:tcPr>
          <w:p>
            <w:pPr>
              <w:pStyle w:val="TableParagraph"/>
              <w:ind w:right="27"/>
              <w:rPr>
                <w:sz w:val="16"/>
              </w:rPr>
            </w:pPr>
            <w:r>
              <w:rPr>
                <w:sz w:val="16"/>
              </w:rPr>
              <w:t>$0.58</w:t>
            </w:r>
          </w:p>
        </w:tc>
      </w:tr>
      <w:tr>
        <w:trPr>
          <w:trHeight w:val="215" w:hRule="exact"/>
        </w:trPr>
        <w:tc>
          <w:tcPr>
            <w:tcW w:w="1661" w:type="dxa"/>
            <w:tcBorders>
              <w:left w:val="single" w:sz="4" w:space="0" w:color="000000"/>
            </w:tcBorders>
          </w:tcPr>
          <w:p>
            <w:pPr>
              <w:pStyle w:val="TableParagraph"/>
              <w:spacing w:before="11"/>
              <w:ind w:left="26" w:right="0"/>
              <w:jc w:val="left"/>
              <w:rPr>
                <w:sz w:val="16"/>
              </w:rPr>
            </w:pPr>
            <w:r>
              <w:rPr>
                <w:sz w:val="16"/>
              </w:rPr>
              <w:t>Letuce</w:t>
            </w:r>
          </w:p>
        </w:tc>
        <w:tc>
          <w:tcPr>
            <w:tcW w:w="1142" w:type="dxa"/>
          </w:tcPr>
          <w:p>
            <w:pPr>
              <w:pStyle w:val="TableParagraph"/>
              <w:spacing w:before="11"/>
              <w:ind w:right="31"/>
              <w:rPr>
                <w:sz w:val="16"/>
              </w:rPr>
            </w:pPr>
            <w:r>
              <w:rPr>
                <w:sz w:val="16"/>
              </w:rPr>
              <w:t>$2.28</w:t>
            </w:r>
          </w:p>
        </w:tc>
        <w:tc>
          <w:tcPr>
            <w:tcW w:w="1213" w:type="dxa"/>
          </w:tcPr>
          <w:p>
            <w:pPr>
              <w:pStyle w:val="TableParagraph"/>
              <w:spacing w:before="11"/>
              <w:ind w:right="31"/>
              <w:rPr>
                <w:sz w:val="16"/>
              </w:rPr>
            </w:pPr>
            <w:r>
              <w:rPr>
                <w:sz w:val="16"/>
              </w:rPr>
              <w:t>$1.73</w:t>
            </w:r>
          </w:p>
        </w:tc>
        <w:tc>
          <w:tcPr>
            <w:tcW w:w="1159" w:type="dxa"/>
          </w:tcPr>
          <w:p>
            <w:pPr>
              <w:pStyle w:val="TableParagraph"/>
              <w:spacing w:before="11"/>
              <w:rPr>
                <w:sz w:val="16"/>
              </w:rPr>
            </w:pPr>
            <w:r>
              <w:rPr>
                <w:sz w:val="16"/>
              </w:rPr>
              <w:t>$2.07</w:t>
            </w:r>
          </w:p>
        </w:tc>
        <w:tc>
          <w:tcPr>
            <w:tcW w:w="1078" w:type="dxa"/>
          </w:tcPr>
          <w:p>
            <w:pPr>
              <w:pStyle w:val="TableParagraph"/>
              <w:spacing w:before="11"/>
              <w:ind w:right="31"/>
              <w:rPr>
                <w:sz w:val="16"/>
              </w:rPr>
            </w:pPr>
            <w:r>
              <w:rPr>
                <w:sz w:val="16"/>
              </w:rPr>
              <w:t>$1.69</w:t>
            </w:r>
          </w:p>
        </w:tc>
        <w:tc>
          <w:tcPr>
            <w:tcW w:w="1195" w:type="dxa"/>
            <w:tcBorders>
              <w:right w:val="single" w:sz="4" w:space="0" w:color="000000"/>
            </w:tcBorders>
          </w:tcPr>
          <w:p>
            <w:pPr>
              <w:pStyle w:val="TableParagraph"/>
              <w:spacing w:before="11"/>
              <w:ind w:right="27"/>
              <w:rPr>
                <w:sz w:val="16"/>
              </w:rPr>
            </w:pPr>
            <w:r>
              <w:rPr>
                <w:sz w:val="16"/>
              </w:rPr>
              <w:t>$1.41</w:t>
            </w:r>
          </w:p>
        </w:tc>
      </w:tr>
      <w:tr>
        <w:trPr>
          <w:trHeight w:val="216" w:hRule="exact"/>
        </w:trPr>
        <w:tc>
          <w:tcPr>
            <w:tcW w:w="1661" w:type="dxa"/>
            <w:tcBorders>
              <w:left w:val="single" w:sz="4" w:space="0" w:color="000000"/>
            </w:tcBorders>
          </w:tcPr>
          <w:p>
            <w:pPr>
              <w:pStyle w:val="TableParagraph"/>
              <w:ind w:left="26" w:right="0"/>
              <w:jc w:val="left"/>
              <w:rPr>
                <w:sz w:val="16"/>
              </w:rPr>
            </w:pPr>
            <w:r>
              <w:rPr>
                <w:sz w:val="16"/>
              </w:rPr>
              <w:t>Frozen Foods</w:t>
            </w:r>
          </w:p>
        </w:tc>
        <w:tc>
          <w:tcPr>
            <w:tcW w:w="1142" w:type="dxa"/>
          </w:tcPr>
          <w:p>
            <w:pPr>
              <w:pStyle w:val="TableParagraph"/>
              <w:ind w:right="31"/>
              <w:rPr>
                <w:sz w:val="16"/>
              </w:rPr>
            </w:pPr>
            <w:r>
              <w:rPr>
                <w:sz w:val="16"/>
              </w:rPr>
              <w:t>$3.62</w:t>
            </w:r>
          </w:p>
        </w:tc>
        <w:tc>
          <w:tcPr>
            <w:tcW w:w="1213" w:type="dxa"/>
          </w:tcPr>
          <w:p>
            <w:pPr>
              <w:pStyle w:val="TableParagraph"/>
              <w:ind w:right="31"/>
              <w:rPr>
                <w:sz w:val="16"/>
              </w:rPr>
            </w:pPr>
            <w:r>
              <w:rPr>
                <w:sz w:val="16"/>
              </w:rPr>
              <w:t>$2.69</w:t>
            </w:r>
          </w:p>
        </w:tc>
        <w:tc>
          <w:tcPr>
            <w:tcW w:w="1159" w:type="dxa"/>
          </w:tcPr>
          <w:p>
            <w:pPr>
              <w:pStyle w:val="TableParagraph"/>
              <w:rPr>
                <w:sz w:val="16"/>
              </w:rPr>
            </w:pPr>
            <w:r>
              <w:rPr>
                <w:sz w:val="16"/>
              </w:rPr>
              <w:t>$3.12</w:t>
            </w:r>
          </w:p>
        </w:tc>
        <w:tc>
          <w:tcPr>
            <w:tcW w:w="1078" w:type="dxa"/>
          </w:tcPr>
          <w:p>
            <w:pPr>
              <w:pStyle w:val="TableParagraph"/>
              <w:ind w:right="31"/>
              <w:rPr>
                <w:sz w:val="16"/>
              </w:rPr>
            </w:pPr>
            <w:r>
              <w:rPr>
                <w:sz w:val="16"/>
              </w:rPr>
              <w:t>$2.55</w:t>
            </w:r>
          </w:p>
        </w:tc>
        <w:tc>
          <w:tcPr>
            <w:tcW w:w="1195" w:type="dxa"/>
            <w:tcBorders>
              <w:right w:val="single" w:sz="4" w:space="0" w:color="000000"/>
            </w:tcBorders>
          </w:tcPr>
          <w:p>
            <w:pPr>
              <w:pStyle w:val="TableParagraph"/>
              <w:ind w:right="27"/>
              <w:rPr>
                <w:sz w:val="16"/>
              </w:rPr>
            </w:pPr>
            <w:r>
              <w:rPr>
                <w:sz w:val="16"/>
              </w:rPr>
              <w:t>$2.54</w:t>
            </w:r>
          </w:p>
        </w:tc>
      </w:tr>
      <w:tr>
        <w:trPr>
          <w:trHeight w:val="216" w:hRule="exact"/>
        </w:trPr>
        <w:tc>
          <w:tcPr>
            <w:tcW w:w="1661" w:type="dxa"/>
            <w:tcBorders>
              <w:left w:val="single" w:sz="4" w:space="0" w:color="000000"/>
            </w:tcBorders>
          </w:tcPr>
          <w:p>
            <w:pPr>
              <w:pStyle w:val="TableParagraph"/>
              <w:ind w:left="26" w:right="0"/>
              <w:jc w:val="left"/>
              <w:rPr>
                <w:sz w:val="16"/>
              </w:rPr>
            </w:pPr>
            <w:r>
              <w:rPr>
                <w:sz w:val="16"/>
              </w:rPr>
              <w:t>Price of a House</w:t>
            </w:r>
          </w:p>
        </w:tc>
        <w:tc>
          <w:tcPr>
            <w:tcW w:w="1142" w:type="dxa"/>
          </w:tcPr>
          <w:p>
            <w:pPr>
              <w:pStyle w:val="TableParagraph"/>
              <w:spacing w:before="22"/>
              <w:ind w:right="27"/>
              <w:rPr>
                <w:sz w:val="15"/>
              </w:rPr>
            </w:pPr>
            <w:r>
              <w:rPr>
                <w:sz w:val="15"/>
              </w:rPr>
              <w:t>$320,623</w:t>
            </w:r>
          </w:p>
        </w:tc>
        <w:tc>
          <w:tcPr>
            <w:tcW w:w="1213" w:type="dxa"/>
          </w:tcPr>
          <w:p>
            <w:pPr>
              <w:pStyle w:val="TableParagraph"/>
              <w:spacing w:before="22"/>
              <w:ind w:right="27"/>
              <w:rPr>
                <w:sz w:val="15"/>
              </w:rPr>
            </w:pPr>
            <w:r>
              <w:rPr>
                <w:sz w:val="15"/>
              </w:rPr>
              <w:t>$281,422</w:t>
            </w:r>
          </w:p>
        </w:tc>
        <w:tc>
          <w:tcPr>
            <w:tcW w:w="1159" w:type="dxa"/>
          </w:tcPr>
          <w:p>
            <w:pPr>
              <w:pStyle w:val="TableParagraph"/>
              <w:spacing w:before="22"/>
              <w:ind w:right="27"/>
              <w:rPr>
                <w:sz w:val="15"/>
              </w:rPr>
            </w:pPr>
            <w:r>
              <w:rPr>
                <w:sz w:val="15"/>
              </w:rPr>
              <w:t>$1,078,070</w:t>
            </w:r>
          </w:p>
        </w:tc>
        <w:tc>
          <w:tcPr>
            <w:tcW w:w="1078" w:type="dxa"/>
          </w:tcPr>
          <w:p>
            <w:pPr>
              <w:pStyle w:val="TableParagraph"/>
              <w:spacing w:before="22"/>
              <w:ind w:right="27"/>
              <w:rPr>
                <w:sz w:val="15"/>
              </w:rPr>
            </w:pPr>
            <w:r>
              <w:rPr>
                <w:sz w:val="15"/>
              </w:rPr>
              <w:t>$222,991</w:t>
            </w:r>
          </w:p>
        </w:tc>
        <w:tc>
          <w:tcPr>
            <w:tcW w:w="1195" w:type="dxa"/>
            <w:tcBorders>
              <w:right w:val="single" w:sz="4" w:space="0" w:color="000000"/>
            </w:tcBorders>
          </w:tcPr>
          <w:p>
            <w:pPr>
              <w:pStyle w:val="TableParagraph"/>
              <w:spacing w:before="22"/>
              <w:ind w:right="23"/>
              <w:rPr>
                <w:sz w:val="15"/>
              </w:rPr>
            </w:pPr>
            <w:r>
              <w:rPr>
                <w:sz w:val="15"/>
              </w:rPr>
              <w:t>$329,131</w:t>
            </w:r>
          </w:p>
        </w:tc>
      </w:tr>
      <w:tr>
        <w:trPr>
          <w:trHeight w:val="216" w:hRule="exact"/>
        </w:trPr>
        <w:tc>
          <w:tcPr>
            <w:tcW w:w="1661" w:type="dxa"/>
            <w:tcBorders>
              <w:left w:val="single" w:sz="4" w:space="0" w:color="000000"/>
            </w:tcBorders>
          </w:tcPr>
          <w:p>
            <w:pPr>
              <w:pStyle w:val="TableParagraph"/>
              <w:spacing w:before="11"/>
              <w:ind w:left="26" w:right="0"/>
              <w:jc w:val="left"/>
              <w:rPr>
                <w:sz w:val="16"/>
              </w:rPr>
            </w:pPr>
            <w:r>
              <w:rPr>
                <w:sz w:val="16"/>
              </w:rPr>
              <w:t>Total Energy</w:t>
            </w:r>
          </w:p>
        </w:tc>
        <w:tc>
          <w:tcPr>
            <w:tcW w:w="1142" w:type="dxa"/>
          </w:tcPr>
          <w:p>
            <w:pPr>
              <w:pStyle w:val="TableParagraph"/>
              <w:spacing w:before="11"/>
              <w:rPr>
                <w:sz w:val="16"/>
              </w:rPr>
            </w:pPr>
            <w:r>
              <w:rPr>
                <w:sz w:val="16"/>
              </w:rPr>
              <w:t>$379.39</w:t>
            </w:r>
          </w:p>
        </w:tc>
        <w:tc>
          <w:tcPr>
            <w:tcW w:w="1213" w:type="dxa"/>
          </w:tcPr>
          <w:p>
            <w:pPr>
              <w:pStyle w:val="TableParagraph"/>
              <w:spacing w:before="11"/>
              <w:rPr>
                <w:sz w:val="16"/>
              </w:rPr>
            </w:pPr>
            <w:r>
              <w:rPr>
                <w:sz w:val="16"/>
              </w:rPr>
              <w:t>$165.07</w:t>
            </w:r>
          </w:p>
        </w:tc>
        <w:tc>
          <w:tcPr>
            <w:tcW w:w="1159" w:type="dxa"/>
          </w:tcPr>
          <w:p>
            <w:pPr>
              <w:pStyle w:val="TableParagraph"/>
              <w:spacing w:before="11"/>
              <w:rPr>
                <w:sz w:val="16"/>
              </w:rPr>
            </w:pPr>
            <w:r>
              <w:rPr>
                <w:sz w:val="16"/>
              </w:rPr>
              <w:t>$230.49</w:t>
            </w:r>
          </w:p>
        </w:tc>
        <w:tc>
          <w:tcPr>
            <w:tcW w:w="1078" w:type="dxa"/>
          </w:tcPr>
          <w:p>
            <w:pPr>
              <w:pStyle w:val="TableParagraph"/>
              <w:spacing w:before="11"/>
              <w:rPr>
                <w:sz w:val="16"/>
              </w:rPr>
            </w:pPr>
            <w:r>
              <w:rPr>
                <w:sz w:val="16"/>
              </w:rPr>
              <w:t>$152.24</w:t>
            </w:r>
          </w:p>
        </w:tc>
        <w:tc>
          <w:tcPr>
            <w:tcW w:w="1195" w:type="dxa"/>
            <w:tcBorders>
              <w:right w:val="single" w:sz="4" w:space="0" w:color="000000"/>
            </w:tcBorders>
          </w:tcPr>
          <w:p>
            <w:pPr>
              <w:pStyle w:val="TableParagraph"/>
              <w:spacing w:before="11"/>
              <w:ind w:right="28"/>
              <w:rPr>
                <w:sz w:val="16"/>
              </w:rPr>
            </w:pPr>
            <w:r>
              <w:rPr>
                <w:sz w:val="16"/>
              </w:rPr>
              <w:t>$164.97</w:t>
            </w:r>
          </w:p>
        </w:tc>
      </w:tr>
      <w:tr>
        <w:trPr>
          <w:trHeight w:val="216" w:hRule="exact"/>
        </w:trPr>
        <w:tc>
          <w:tcPr>
            <w:tcW w:w="1661" w:type="dxa"/>
            <w:tcBorders>
              <w:left w:val="single" w:sz="4" w:space="0" w:color="000000"/>
            </w:tcBorders>
          </w:tcPr>
          <w:p>
            <w:pPr>
              <w:pStyle w:val="TableParagraph"/>
              <w:ind w:left="26" w:right="0"/>
              <w:jc w:val="left"/>
              <w:rPr>
                <w:sz w:val="16"/>
              </w:rPr>
            </w:pPr>
            <w:r>
              <w:rPr>
                <w:sz w:val="16"/>
              </w:rPr>
              <w:t>Telephone</w:t>
            </w:r>
          </w:p>
        </w:tc>
        <w:tc>
          <w:tcPr>
            <w:tcW w:w="1142" w:type="dxa"/>
          </w:tcPr>
          <w:p>
            <w:pPr>
              <w:pStyle w:val="TableParagraph"/>
              <w:rPr>
                <w:sz w:val="16"/>
              </w:rPr>
            </w:pPr>
            <w:r>
              <w:rPr>
                <w:sz w:val="16"/>
              </w:rPr>
              <w:t>$20.35</w:t>
            </w:r>
          </w:p>
        </w:tc>
        <w:tc>
          <w:tcPr>
            <w:tcW w:w="1213" w:type="dxa"/>
          </w:tcPr>
          <w:p>
            <w:pPr>
              <w:pStyle w:val="TableParagraph"/>
              <w:rPr>
                <w:sz w:val="16"/>
              </w:rPr>
            </w:pPr>
            <w:r>
              <w:rPr>
                <w:sz w:val="16"/>
              </w:rPr>
              <w:t>$28.36</w:t>
            </w:r>
          </w:p>
        </w:tc>
        <w:tc>
          <w:tcPr>
            <w:tcW w:w="1159" w:type="dxa"/>
          </w:tcPr>
          <w:p>
            <w:pPr>
              <w:pStyle w:val="TableParagraph"/>
              <w:rPr>
                <w:sz w:val="16"/>
              </w:rPr>
            </w:pPr>
            <w:r>
              <w:rPr>
                <w:sz w:val="16"/>
              </w:rPr>
              <w:t>$30.29</w:t>
            </w:r>
          </w:p>
        </w:tc>
        <w:tc>
          <w:tcPr>
            <w:tcW w:w="1078" w:type="dxa"/>
          </w:tcPr>
          <w:p>
            <w:pPr>
              <w:pStyle w:val="TableParagraph"/>
              <w:ind w:right="31"/>
              <w:rPr>
                <w:sz w:val="16"/>
              </w:rPr>
            </w:pPr>
            <w:r>
              <w:rPr>
                <w:sz w:val="16"/>
              </w:rPr>
              <w:t>$41.46</w:t>
            </w:r>
          </w:p>
        </w:tc>
        <w:tc>
          <w:tcPr>
            <w:tcW w:w="1195" w:type="dxa"/>
            <w:tcBorders>
              <w:right w:val="single" w:sz="4" w:space="0" w:color="000000"/>
            </w:tcBorders>
          </w:tcPr>
          <w:p>
            <w:pPr>
              <w:pStyle w:val="TableParagraph"/>
              <w:ind w:right="27"/>
              <w:rPr>
                <w:sz w:val="16"/>
              </w:rPr>
            </w:pPr>
            <w:r>
              <w:rPr>
                <w:sz w:val="16"/>
              </w:rPr>
              <w:t>$28.41</w:t>
            </w:r>
          </w:p>
        </w:tc>
      </w:tr>
      <w:tr>
        <w:trPr>
          <w:trHeight w:val="217" w:hRule="exact"/>
        </w:trPr>
        <w:tc>
          <w:tcPr>
            <w:tcW w:w="1661" w:type="dxa"/>
            <w:tcBorders>
              <w:left w:val="single" w:sz="4" w:space="0" w:color="000000"/>
            </w:tcBorders>
          </w:tcPr>
          <w:p>
            <w:pPr>
              <w:pStyle w:val="TableParagraph"/>
              <w:ind w:left="26" w:right="0"/>
              <w:jc w:val="left"/>
              <w:rPr>
                <w:sz w:val="16"/>
              </w:rPr>
            </w:pPr>
            <w:r>
              <w:rPr>
                <w:sz w:val="16"/>
              </w:rPr>
              <w:t>Gasoline</w:t>
            </w:r>
          </w:p>
        </w:tc>
        <w:tc>
          <w:tcPr>
            <w:tcW w:w="1142" w:type="dxa"/>
          </w:tcPr>
          <w:p>
            <w:pPr>
              <w:pStyle w:val="TableParagraph"/>
              <w:ind w:right="31"/>
              <w:rPr>
                <w:sz w:val="16"/>
              </w:rPr>
            </w:pPr>
            <w:r>
              <w:rPr>
                <w:sz w:val="16"/>
              </w:rPr>
              <w:t>$2.32</w:t>
            </w:r>
          </w:p>
        </w:tc>
        <w:tc>
          <w:tcPr>
            <w:tcW w:w="1213" w:type="dxa"/>
          </w:tcPr>
          <w:p>
            <w:pPr>
              <w:pStyle w:val="TableParagraph"/>
              <w:ind w:right="31"/>
              <w:rPr>
                <w:sz w:val="16"/>
              </w:rPr>
            </w:pPr>
            <w:r>
              <w:rPr>
                <w:sz w:val="16"/>
              </w:rPr>
              <w:t>$2.04</w:t>
            </w:r>
          </w:p>
        </w:tc>
        <w:tc>
          <w:tcPr>
            <w:tcW w:w="1159" w:type="dxa"/>
          </w:tcPr>
          <w:p>
            <w:pPr>
              <w:pStyle w:val="TableParagraph"/>
              <w:rPr>
                <w:sz w:val="16"/>
              </w:rPr>
            </w:pPr>
            <w:r>
              <w:rPr>
                <w:sz w:val="16"/>
              </w:rPr>
              <w:t>$2.26</w:t>
            </w:r>
          </w:p>
        </w:tc>
        <w:tc>
          <w:tcPr>
            <w:tcW w:w="1078" w:type="dxa"/>
          </w:tcPr>
          <w:p>
            <w:pPr>
              <w:pStyle w:val="TableParagraph"/>
              <w:ind w:right="31"/>
              <w:rPr>
                <w:sz w:val="16"/>
              </w:rPr>
            </w:pPr>
            <w:r>
              <w:rPr>
                <w:sz w:val="16"/>
              </w:rPr>
              <w:t>$2.04</w:t>
            </w:r>
          </w:p>
        </w:tc>
        <w:tc>
          <w:tcPr>
            <w:tcW w:w="1195" w:type="dxa"/>
            <w:tcBorders>
              <w:right w:val="single" w:sz="4" w:space="0" w:color="000000"/>
            </w:tcBorders>
          </w:tcPr>
          <w:p>
            <w:pPr>
              <w:pStyle w:val="TableParagraph"/>
              <w:ind w:right="27"/>
              <w:rPr>
                <w:sz w:val="16"/>
              </w:rPr>
            </w:pPr>
            <w:r>
              <w:rPr>
                <w:sz w:val="16"/>
              </w:rPr>
              <w:t>$2.06</w:t>
            </w:r>
          </w:p>
        </w:tc>
      </w:tr>
      <w:tr>
        <w:trPr>
          <w:trHeight w:val="225" w:hRule="exact"/>
        </w:trPr>
        <w:tc>
          <w:tcPr>
            <w:tcW w:w="7447" w:type="dxa"/>
            <w:gridSpan w:val="6"/>
            <w:tcBorders>
              <w:left w:val="single" w:sz="4" w:space="0" w:color="000000"/>
              <w:bottom w:val="single" w:sz="7" w:space="0" w:color="000000"/>
              <w:right w:val="single" w:sz="4" w:space="0" w:color="000000"/>
            </w:tcBorders>
            <w:shd w:val="clear" w:color="auto" w:fill="FFFF00"/>
          </w:tcPr>
          <w:p>
            <w:pPr>
              <w:pStyle w:val="TableParagraph"/>
              <w:spacing w:before="19"/>
              <w:ind w:left="26" w:right="0"/>
              <w:jc w:val="left"/>
              <w:rPr>
                <w:sz w:val="16"/>
              </w:rPr>
            </w:pPr>
            <w:r>
              <w:rPr>
                <w:sz w:val="16"/>
              </w:rPr>
              <w:t>Health Care Related</w:t>
            </w:r>
          </w:p>
        </w:tc>
      </w:tr>
      <w:tr>
        <w:trPr>
          <w:trHeight w:val="214" w:hRule="exact"/>
        </w:trPr>
        <w:tc>
          <w:tcPr>
            <w:tcW w:w="1661" w:type="dxa"/>
            <w:tcBorders>
              <w:top w:val="single" w:sz="7" w:space="0" w:color="000000"/>
              <w:left w:val="single" w:sz="4" w:space="0" w:color="000000"/>
            </w:tcBorders>
          </w:tcPr>
          <w:p>
            <w:pPr>
              <w:pStyle w:val="TableParagraph"/>
              <w:spacing w:before="1"/>
              <w:ind w:left="26" w:right="0"/>
              <w:jc w:val="left"/>
              <w:rPr>
                <w:sz w:val="16"/>
              </w:rPr>
            </w:pPr>
            <w:r>
              <w:rPr>
                <w:sz w:val="16"/>
              </w:rPr>
              <w:t>Optometrist Visit</w:t>
            </w:r>
          </w:p>
        </w:tc>
        <w:tc>
          <w:tcPr>
            <w:tcW w:w="1142" w:type="dxa"/>
            <w:tcBorders>
              <w:top w:val="single" w:sz="7" w:space="0" w:color="000000"/>
            </w:tcBorders>
          </w:tcPr>
          <w:p>
            <w:pPr>
              <w:pStyle w:val="TableParagraph"/>
              <w:spacing w:before="1"/>
              <w:rPr>
                <w:sz w:val="16"/>
              </w:rPr>
            </w:pPr>
            <w:r>
              <w:rPr>
                <w:sz w:val="16"/>
              </w:rPr>
              <w:t>$46.25</w:t>
            </w:r>
          </w:p>
        </w:tc>
        <w:tc>
          <w:tcPr>
            <w:tcW w:w="1213" w:type="dxa"/>
            <w:tcBorders>
              <w:top w:val="single" w:sz="7" w:space="0" w:color="000000"/>
            </w:tcBorders>
          </w:tcPr>
          <w:p>
            <w:pPr>
              <w:pStyle w:val="TableParagraph"/>
              <w:spacing w:before="1"/>
              <w:rPr>
                <w:sz w:val="16"/>
              </w:rPr>
            </w:pPr>
            <w:r>
              <w:rPr>
                <w:sz w:val="16"/>
              </w:rPr>
              <w:t>$72.59</w:t>
            </w:r>
          </w:p>
        </w:tc>
        <w:tc>
          <w:tcPr>
            <w:tcW w:w="1159" w:type="dxa"/>
            <w:tcBorders>
              <w:top w:val="single" w:sz="7" w:space="0" w:color="000000"/>
            </w:tcBorders>
          </w:tcPr>
          <w:p>
            <w:pPr>
              <w:pStyle w:val="TableParagraph"/>
              <w:spacing w:before="1"/>
              <w:rPr>
                <w:sz w:val="16"/>
              </w:rPr>
            </w:pPr>
            <w:r>
              <w:rPr>
                <w:sz w:val="16"/>
              </w:rPr>
              <w:t>$97.14</w:t>
            </w:r>
          </w:p>
        </w:tc>
        <w:tc>
          <w:tcPr>
            <w:tcW w:w="1078" w:type="dxa"/>
            <w:tcBorders>
              <w:top w:val="single" w:sz="7" w:space="0" w:color="000000"/>
            </w:tcBorders>
          </w:tcPr>
          <w:p>
            <w:pPr>
              <w:pStyle w:val="TableParagraph"/>
              <w:spacing w:before="1"/>
              <w:ind w:right="31"/>
              <w:rPr>
                <w:sz w:val="16"/>
              </w:rPr>
            </w:pPr>
            <w:r>
              <w:rPr>
                <w:sz w:val="16"/>
              </w:rPr>
              <w:t>$98.02</w:t>
            </w:r>
          </w:p>
        </w:tc>
        <w:tc>
          <w:tcPr>
            <w:tcW w:w="1195" w:type="dxa"/>
            <w:tcBorders>
              <w:top w:val="single" w:sz="7" w:space="0" w:color="000000"/>
              <w:right w:val="single" w:sz="4" w:space="0" w:color="000000"/>
            </w:tcBorders>
          </w:tcPr>
          <w:p>
            <w:pPr>
              <w:pStyle w:val="TableParagraph"/>
              <w:spacing w:before="1"/>
              <w:ind w:right="28"/>
              <w:rPr>
                <w:sz w:val="16"/>
              </w:rPr>
            </w:pPr>
            <w:r>
              <w:rPr>
                <w:sz w:val="16"/>
              </w:rPr>
              <w:t>$100.68</w:t>
            </w:r>
          </w:p>
        </w:tc>
      </w:tr>
      <w:tr>
        <w:trPr>
          <w:trHeight w:val="215" w:hRule="exact"/>
        </w:trPr>
        <w:tc>
          <w:tcPr>
            <w:tcW w:w="1661" w:type="dxa"/>
            <w:tcBorders>
              <w:left w:val="single" w:sz="4" w:space="0" w:color="000000"/>
            </w:tcBorders>
          </w:tcPr>
          <w:p>
            <w:pPr>
              <w:pStyle w:val="TableParagraph"/>
              <w:spacing w:before="11"/>
              <w:ind w:left="26" w:right="0"/>
              <w:jc w:val="left"/>
              <w:rPr>
                <w:sz w:val="16"/>
              </w:rPr>
            </w:pPr>
            <w:r>
              <w:rPr>
                <w:sz w:val="16"/>
              </w:rPr>
              <w:t>Physician Visit</w:t>
            </w:r>
          </w:p>
        </w:tc>
        <w:tc>
          <w:tcPr>
            <w:tcW w:w="1142" w:type="dxa"/>
          </w:tcPr>
          <w:p>
            <w:pPr>
              <w:pStyle w:val="TableParagraph"/>
              <w:spacing w:before="11"/>
              <w:rPr>
                <w:sz w:val="16"/>
              </w:rPr>
            </w:pPr>
            <w:r>
              <w:rPr>
                <w:sz w:val="16"/>
              </w:rPr>
              <w:t>$24.97</w:t>
            </w:r>
          </w:p>
        </w:tc>
        <w:tc>
          <w:tcPr>
            <w:tcW w:w="1213" w:type="dxa"/>
          </w:tcPr>
          <w:p>
            <w:pPr>
              <w:pStyle w:val="TableParagraph"/>
              <w:spacing w:before="11"/>
              <w:rPr>
                <w:sz w:val="16"/>
              </w:rPr>
            </w:pPr>
            <w:r>
              <w:rPr>
                <w:sz w:val="16"/>
              </w:rPr>
              <w:t>$73.43</w:t>
            </w:r>
          </w:p>
        </w:tc>
        <w:tc>
          <w:tcPr>
            <w:tcW w:w="1159" w:type="dxa"/>
          </w:tcPr>
          <w:p>
            <w:pPr>
              <w:pStyle w:val="TableParagraph"/>
              <w:spacing w:before="11"/>
              <w:rPr>
                <w:sz w:val="16"/>
              </w:rPr>
            </w:pPr>
            <w:r>
              <w:rPr>
                <w:sz w:val="16"/>
              </w:rPr>
              <w:t>$114.35</w:t>
            </w:r>
          </w:p>
        </w:tc>
        <w:tc>
          <w:tcPr>
            <w:tcW w:w="1078" w:type="dxa"/>
          </w:tcPr>
          <w:p>
            <w:pPr>
              <w:pStyle w:val="TableParagraph"/>
              <w:spacing w:before="11"/>
              <w:ind w:right="31"/>
              <w:rPr>
                <w:sz w:val="16"/>
              </w:rPr>
            </w:pPr>
            <w:r>
              <w:rPr>
                <w:sz w:val="16"/>
              </w:rPr>
              <w:t>$97.17</w:t>
            </w:r>
          </w:p>
        </w:tc>
        <w:tc>
          <w:tcPr>
            <w:tcW w:w="1195" w:type="dxa"/>
            <w:tcBorders>
              <w:right w:val="single" w:sz="4" w:space="0" w:color="000000"/>
            </w:tcBorders>
          </w:tcPr>
          <w:p>
            <w:pPr>
              <w:pStyle w:val="TableParagraph"/>
              <w:spacing w:before="11"/>
              <w:ind w:right="28"/>
              <w:rPr>
                <w:sz w:val="16"/>
              </w:rPr>
            </w:pPr>
            <w:r>
              <w:rPr>
                <w:sz w:val="16"/>
              </w:rPr>
              <w:t>$107.38</w:t>
            </w:r>
          </w:p>
        </w:tc>
      </w:tr>
      <w:tr>
        <w:trPr>
          <w:trHeight w:val="216" w:hRule="exact"/>
        </w:trPr>
        <w:tc>
          <w:tcPr>
            <w:tcW w:w="1661" w:type="dxa"/>
            <w:tcBorders>
              <w:left w:val="single" w:sz="4" w:space="0" w:color="000000"/>
            </w:tcBorders>
          </w:tcPr>
          <w:p>
            <w:pPr>
              <w:pStyle w:val="TableParagraph"/>
              <w:spacing w:before="11"/>
              <w:ind w:left="26" w:right="0"/>
              <w:jc w:val="left"/>
              <w:rPr>
                <w:sz w:val="16"/>
              </w:rPr>
            </w:pPr>
            <w:r>
              <w:rPr>
                <w:sz w:val="16"/>
              </w:rPr>
              <w:t>Dentist Visit</w:t>
            </w:r>
          </w:p>
        </w:tc>
        <w:tc>
          <w:tcPr>
            <w:tcW w:w="1142" w:type="dxa"/>
          </w:tcPr>
          <w:p>
            <w:pPr>
              <w:pStyle w:val="TableParagraph"/>
              <w:spacing w:before="11"/>
              <w:rPr>
                <w:sz w:val="16"/>
              </w:rPr>
            </w:pPr>
            <w:r>
              <w:rPr>
                <w:sz w:val="16"/>
              </w:rPr>
              <w:t>$34.09</w:t>
            </w:r>
          </w:p>
        </w:tc>
        <w:tc>
          <w:tcPr>
            <w:tcW w:w="1213" w:type="dxa"/>
          </w:tcPr>
          <w:p>
            <w:pPr>
              <w:pStyle w:val="TableParagraph"/>
              <w:spacing w:before="11"/>
              <w:rPr>
                <w:sz w:val="16"/>
              </w:rPr>
            </w:pPr>
            <w:r>
              <w:rPr>
                <w:sz w:val="16"/>
              </w:rPr>
              <w:t>$77.75</w:t>
            </w:r>
          </w:p>
        </w:tc>
        <w:tc>
          <w:tcPr>
            <w:tcW w:w="1159" w:type="dxa"/>
          </w:tcPr>
          <w:p>
            <w:pPr>
              <w:pStyle w:val="TableParagraph"/>
              <w:spacing w:before="11"/>
              <w:rPr>
                <w:sz w:val="16"/>
              </w:rPr>
            </w:pPr>
            <w:r>
              <w:rPr>
                <w:sz w:val="16"/>
              </w:rPr>
              <w:t>$114.16</w:t>
            </w:r>
          </w:p>
        </w:tc>
        <w:tc>
          <w:tcPr>
            <w:tcW w:w="1078" w:type="dxa"/>
          </w:tcPr>
          <w:p>
            <w:pPr>
              <w:pStyle w:val="TableParagraph"/>
              <w:spacing w:before="11"/>
              <w:ind w:right="31"/>
              <w:rPr>
                <w:sz w:val="16"/>
              </w:rPr>
            </w:pPr>
            <w:r>
              <w:rPr>
                <w:sz w:val="16"/>
              </w:rPr>
              <w:t>$88.61</w:t>
            </w:r>
          </w:p>
        </w:tc>
        <w:tc>
          <w:tcPr>
            <w:tcW w:w="1195" w:type="dxa"/>
            <w:tcBorders>
              <w:right w:val="single" w:sz="4" w:space="0" w:color="000000"/>
            </w:tcBorders>
          </w:tcPr>
          <w:p>
            <w:pPr>
              <w:pStyle w:val="TableParagraph"/>
              <w:spacing w:before="11"/>
              <w:ind w:right="27"/>
              <w:rPr>
                <w:sz w:val="16"/>
              </w:rPr>
            </w:pPr>
            <w:r>
              <w:rPr>
                <w:sz w:val="16"/>
              </w:rPr>
              <w:t>$90.99</w:t>
            </w:r>
          </w:p>
        </w:tc>
      </w:tr>
      <w:tr>
        <w:trPr>
          <w:trHeight w:val="216" w:hRule="exact"/>
        </w:trPr>
        <w:tc>
          <w:tcPr>
            <w:tcW w:w="1661" w:type="dxa"/>
            <w:tcBorders>
              <w:left w:val="single" w:sz="4" w:space="0" w:color="000000"/>
            </w:tcBorders>
          </w:tcPr>
          <w:p>
            <w:pPr>
              <w:pStyle w:val="TableParagraph"/>
              <w:ind w:left="26" w:right="0"/>
              <w:jc w:val="left"/>
              <w:rPr>
                <w:sz w:val="16"/>
              </w:rPr>
            </w:pPr>
            <w:r>
              <w:rPr>
                <w:sz w:val="16"/>
              </w:rPr>
              <w:t>Ibupropfen</w:t>
            </w:r>
          </w:p>
        </w:tc>
        <w:tc>
          <w:tcPr>
            <w:tcW w:w="1142" w:type="dxa"/>
          </w:tcPr>
          <w:p>
            <w:pPr>
              <w:pStyle w:val="TableParagraph"/>
              <w:ind w:right="31"/>
              <w:rPr>
                <w:sz w:val="16"/>
              </w:rPr>
            </w:pPr>
            <w:r>
              <w:rPr>
                <w:sz w:val="16"/>
              </w:rPr>
              <w:t>$9.75</w:t>
            </w:r>
          </w:p>
        </w:tc>
        <w:tc>
          <w:tcPr>
            <w:tcW w:w="1213" w:type="dxa"/>
          </w:tcPr>
          <w:p>
            <w:pPr>
              <w:pStyle w:val="TableParagraph"/>
              <w:ind w:right="31"/>
              <w:rPr>
                <w:sz w:val="16"/>
              </w:rPr>
            </w:pPr>
            <w:r>
              <w:rPr>
                <w:sz w:val="16"/>
              </w:rPr>
              <w:t>$9.54</w:t>
            </w:r>
          </w:p>
        </w:tc>
        <w:tc>
          <w:tcPr>
            <w:tcW w:w="1159" w:type="dxa"/>
          </w:tcPr>
          <w:p>
            <w:pPr>
              <w:pStyle w:val="TableParagraph"/>
              <w:rPr>
                <w:sz w:val="16"/>
              </w:rPr>
            </w:pPr>
            <w:r>
              <w:rPr>
                <w:sz w:val="16"/>
              </w:rPr>
              <w:t>$9.60</w:t>
            </w:r>
          </w:p>
        </w:tc>
        <w:tc>
          <w:tcPr>
            <w:tcW w:w="1078" w:type="dxa"/>
          </w:tcPr>
          <w:p>
            <w:pPr>
              <w:pStyle w:val="TableParagraph"/>
              <w:ind w:right="31"/>
              <w:rPr>
                <w:sz w:val="16"/>
              </w:rPr>
            </w:pPr>
            <w:r>
              <w:rPr>
                <w:sz w:val="16"/>
              </w:rPr>
              <w:t>$9.49</w:t>
            </w:r>
          </w:p>
        </w:tc>
        <w:tc>
          <w:tcPr>
            <w:tcW w:w="1195" w:type="dxa"/>
            <w:tcBorders>
              <w:right w:val="single" w:sz="4" w:space="0" w:color="000000"/>
            </w:tcBorders>
          </w:tcPr>
          <w:p>
            <w:pPr>
              <w:pStyle w:val="TableParagraph"/>
              <w:ind w:right="27"/>
              <w:rPr>
                <w:sz w:val="16"/>
              </w:rPr>
            </w:pPr>
            <w:r>
              <w:rPr>
                <w:sz w:val="16"/>
              </w:rPr>
              <w:t>$9.28</w:t>
            </w:r>
          </w:p>
        </w:tc>
      </w:tr>
      <w:tr>
        <w:trPr>
          <w:trHeight w:val="221" w:hRule="exact"/>
        </w:trPr>
        <w:tc>
          <w:tcPr>
            <w:tcW w:w="1661" w:type="dxa"/>
            <w:tcBorders>
              <w:left w:val="single" w:sz="4" w:space="0" w:color="000000"/>
              <w:bottom w:val="single" w:sz="4" w:space="0" w:color="000000"/>
            </w:tcBorders>
          </w:tcPr>
          <w:p>
            <w:pPr>
              <w:pStyle w:val="TableParagraph"/>
              <w:spacing w:before="11"/>
              <w:ind w:left="26" w:right="0"/>
              <w:jc w:val="left"/>
              <w:rPr>
                <w:sz w:val="16"/>
              </w:rPr>
            </w:pPr>
            <w:r>
              <w:rPr>
                <w:sz w:val="16"/>
              </w:rPr>
              <w:t>Lipitor</w:t>
            </w:r>
          </w:p>
        </w:tc>
        <w:tc>
          <w:tcPr>
            <w:tcW w:w="1142" w:type="dxa"/>
            <w:tcBorders>
              <w:bottom w:val="single" w:sz="4" w:space="0" w:color="000000"/>
            </w:tcBorders>
          </w:tcPr>
          <w:p>
            <w:pPr>
              <w:pStyle w:val="TableParagraph"/>
              <w:spacing w:before="11"/>
              <w:rPr>
                <w:sz w:val="16"/>
              </w:rPr>
            </w:pPr>
            <w:r>
              <w:rPr>
                <w:sz w:val="16"/>
              </w:rPr>
              <w:t>$456.92</w:t>
            </w:r>
          </w:p>
        </w:tc>
        <w:tc>
          <w:tcPr>
            <w:tcW w:w="1213" w:type="dxa"/>
            <w:tcBorders>
              <w:bottom w:val="single" w:sz="4" w:space="0" w:color="000000"/>
            </w:tcBorders>
          </w:tcPr>
          <w:p>
            <w:pPr>
              <w:pStyle w:val="TableParagraph"/>
              <w:spacing w:before="11"/>
              <w:rPr>
                <w:sz w:val="16"/>
              </w:rPr>
            </w:pPr>
            <w:r>
              <w:rPr>
                <w:sz w:val="16"/>
              </w:rPr>
              <w:t>$443.57</w:t>
            </w:r>
          </w:p>
        </w:tc>
        <w:tc>
          <w:tcPr>
            <w:tcW w:w="1159" w:type="dxa"/>
            <w:tcBorders>
              <w:bottom w:val="single" w:sz="4" w:space="0" w:color="000000"/>
            </w:tcBorders>
          </w:tcPr>
          <w:p>
            <w:pPr>
              <w:pStyle w:val="TableParagraph"/>
              <w:spacing w:before="11"/>
              <w:rPr>
                <w:sz w:val="16"/>
              </w:rPr>
            </w:pPr>
            <w:r>
              <w:rPr>
                <w:sz w:val="16"/>
              </w:rPr>
              <w:t>$415.74</w:t>
            </w:r>
          </w:p>
        </w:tc>
        <w:tc>
          <w:tcPr>
            <w:tcW w:w="1078" w:type="dxa"/>
            <w:tcBorders>
              <w:bottom w:val="single" w:sz="4" w:space="0" w:color="000000"/>
            </w:tcBorders>
          </w:tcPr>
          <w:p>
            <w:pPr>
              <w:pStyle w:val="TableParagraph"/>
              <w:spacing w:before="11"/>
              <w:rPr>
                <w:sz w:val="16"/>
              </w:rPr>
            </w:pPr>
            <w:r>
              <w:rPr>
                <w:sz w:val="16"/>
              </w:rPr>
              <w:t>$420.27</w:t>
            </w:r>
          </w:p>
        </w:tc>
        <w:tc>
          <w:tcPr>
            <w:tcW w:w="1195" w:type="dxa"/>
            <w:tcBorders>
              <w:bottom w:val="single" w:sz="4" w:space="0" w:color="000000"/>
              <w:right w:val="single" w:sz="4" w:space="0" w:color="000000"/>
            </w:tcBorders>
          </w:tcPr>
          <w:p>
            <w:pPr>
              <w:pStyle w:val="TableParagraph"/>
              <w:spacing w:before="11"/>
              <w:ind w:right="28"/>
              <w:rPr>
                <w:sz w:val="16"/>
              </w:rPr>
            </w:pPr>
            <w:r>
              <w:rPr>
                <w:sz w:val="16"/>
              </w:rPr>
              <w:t>$426.51</w:t>
            </w:r>
          </w:p>
        </w:tc>
      </w:tr>
      <w:tr>
        <w:trPr>
          <w:trHeight w:val="216" w:hRule="exact"/>
        </w:trPr>
        <w:tc>
          <w:tcPr>
            <w:tcW w:w="2803" w:type="dxa"/>
            <w:gridSpan w:val="2"/>
            <w:tcBorders>
              <w:top w:val="single" w:sz="4" w:space="0" w:color="000000"/>
              <w:left w:val="single" w:sz="4" w:space="0" w:color="D3D3D3"/>
              <w:bottom w:val="double" w:sz="5" w:space="0" w:color="D3D3D3"/>
              <w:right w:val="single" w:sz="4" w:space="0" w:color="D3D3D3"/>
            </w:tcBorders>
          </w:tcPr>
          <w:p>
            <w:pPr>
              <w:pStyle w:val="TableParagraph"/>
              <w:spacing w:before="9"/>
              <w:ind w:left="26" w:right="0"/>
              <w:jc w:val="left"/>
              <w:rPr>
                <w:rFonts w:ascii="Calibri"/>
                <w:sz w:val="16"/>
              </w:rPr>
            </w:pPr>
            <w:hyperlink r:id="rId24">
              <w:r>
                <w:rPr>
                  <w:rFonts w:ascii="Calibri"/>
                  <w:color w:val="944F71"/>
                  <w:sz w:val="16"/>
                </w:rPr>
                <w:t>http://www.estadisticas.gobierno.pr/coli/</w:t>
              </w:r>
            </w:hyperlink>
          </w:p>
        </w:tc>
        <w:tc>
          <w:tcPr>
            <w:tcW w:w="1213" w:type="dxa"/>
            <w:tcBorders>
              <w:top w:val="single" w:sz="4" w:space="0" w:color="000000"/>
              <w:left w:val="single" w:sz="4" w:space="0" w:color="D3D3D3"/>
              <w:bottom w:val="single" w:sz="4" w:space="0" w:color="D3D3D3"/>
              <w:right w:val="single" w:sz="4" w:space="0" w:color="D3D3D3"/>
            </w:tcBorders>
          </w:tcPr>
          <w:p>
            <w:pPr/>
          </w:p>
        </w:tc>
        <w:tc>
          <w:tcPr>
            <w:tcW w:w="1159" w:type="dxa"/>
            <w:tcBorders>
              <w:top w:val="single" w:sz="4" w:space="0" w:color="000000"/>
              <w:left w:val="single" w:sz="4" w:space="0" w:color="D3D3D3"/>
              <w:bottom w:val="single" w:sz="4" w:space="0" w:color="D3D3D3"/>
              <w:right w:val="single" w:sz="4" w:space="0" w:color="D3D3D3"/>
            </w:tcBorders>
          </w:tcPr>
          <w:p>
            <w:pPr/>
          </w:p>
        </w:tc>
        <w:tc>
          <w:tcPr>
            <w:tcW w:w="1078" w:type="dxa"/>
            <w:tcBorders>
              <w:top w:val="single" w:sz="4" w:space="0" w:color="000000"/>
              <w:left w:val="single" w:sz="4" w:space="0" w:color="D3D3D3"/>
              <w:bottom w:val="single" w:sz="4" w:space="0" w:color="D3D3D3"/>
              <w:right w:val="single" w:sz="4" w:space="0" w:color="D3D3D3"/>
            </w:tcBorders>
          </w:tcPr>
          <w:p>
            <w:pPr/>
          </w:p>
        </w:tc>
        <w:tc>
          <w:tcPr>
            <w:tcW w:w="1195" w:type="dxa"/>
            <w:tcBorders>
              <w:top w:val="single" w:sz="4" w:space="0" w:color="000000"/>
              <w:left w:val="single" w:sz="4" w:space="0" w:color="D3D3D3"/>
              <w:bottom w:val="single" w:sz="4" w:space="0" w:color="D3D3D3"/>
              <w:right w:val="single" w:sz="4" w:space="0" w:color="D3D3D3"/>
            </w:tcBorders>
          </w:tcPr>
          <w:p>
            <w:pPr/>
          </w:p>
        </w:tc>
      </w:tr>
    </w:tbl>
    <w:p>
      <w:pPr>
        <w:pStyle w:val="BodyText"/>
        <w:rPr>
          <w:b/>
          <w:sz w:val="24"/>
        </w:rPr>
      </w:pPr>
    </w:p>
    <w:p>
      <w:pPr>
        <w:spacing w:before="215"/>
        <w:ind w:left="594" w:right="610" w:firstLine="0"/>
        <w:jc w:val="center"/>
        <w:rPr>
          <w:b/>
          <w:sz w:val="14"/>
        </w:rPr>
      </w:pPr>
      <w:r>
        <w:rPr/>
        <w:pict>
          <v:line style="position:absolute;mso-position-horizontal-relative:page;mso-position-vertical-relative:paragraph;z-index:-21184" from="152.059998pt,23.025162pt" to="460.029998pt,23.025162pt" stroked="true" strokeweight="1.08pt" strokecolor="#000000">
            <v:stroke dashstyle="solid"/>
            <w10:wrap type="none"/>
          </v:line>
        </w:pict>
      </w:r>
      <w:r>
        <w:rPr>
          <w:b/>
          <w:sz w:val="22"/>
        </w:rPr>
        <w:t>Cost of Living Index (COLI) Summary for Third Semester 2017</w:t>
      </w:r>
      <w:r>
        <w:rPr>
          <w:b/>
          <w:position w:val="8"/>
          <w:sz w:val="14"/>
        </w:rPr>
        <w:t>11</w:t>
      </w:r>
    </w:p>
    <w:p>
      <w:pPr>
        <w:pStyle w:val="BodyText"/>
        <w:spacing w:before="11"/>
        <w:rPr>
          <w:b/>
          <w:sz w:val="11"/>
        </w:rPr>
      </w:pPr>
      <w:r>
        <w:rPr/>
        <w:pict>
          <v:group style="position:absolute;margin-left:143.994995pt;margin-top:8.82952pt;width:349.55pt;height:200.2pt;mso-position-horizontal-relative:page;mso-position-vertical-relative:paragraph;z-index:1816;mso-wrap-distance-left:0;mso-wrap-distance-right:0" coordorigin="2880,177" coordsize="6991,4004">
            <v:shape style="position:absolute;left:2895;top:191;width:6465;height:3974" type="#_x0000_t75" stroked="false">
              <v:imagedata r:id="rId25" o:title=""/>
            </v:shape>
            <v:rect style="position:absolute;left:2887;top:184;width:6480;height:3989" filled="false" stroked="true" strokeweight=".75pt" strokecolor="#5b9bd4">
              <v:stroke dashstyle="solid"/>
            </v:rect>
            <v:shape style="position:absolute;left:4894;top:3373;width:424;height:258" coordorigin="4894,3373" coordsize="424,258" path="m5189,3373l5189,3438,4894,3438,4894,3567,5189,3567,5189,3631,5318,3502,5189,3373xe" filled="true" fillcolor="#ff0000" stroked="false">
              <v:path arrowok="t"/>
              <v:fill type="solid"/>
            </v:shape>
            <v:shape style="position:absolute;left:4894;top:3373;width:424;height:258" coordorigin="4894,3373" coordsize="424,258" path="m4894,3438l5189,3438,5189,3373,5318,3502,5189,3631,5189,3567,4894,3567,4894,3438xe" filled="false" stroked="true" strokeweight="1pt" strokecolor="#41709c">
              <v:path arrowok="t"/>
              <v:stroke dashstyle="solid"/>
            </v:shape>
            <v:shape style="position:absolute;left:9232;top:3361;width:628;height:286" coordorigin="9232,3361" coordsize="628,286" path="m9375,3361l9232,3504,9375,3647,9375,3576,9860,3576,9860,3433,9375,3433,9375,3361xe" filled="true" fillcolor="#ff0000" stroked="false">
              <v:path arrowok="t"/>
              <v:fill type="solid"/>
            </v:shape>
            <v:shape style="position:absolute;left:9232;top:3361;width:628;height:286" coordorigin="9232,3361" coordsize="628,286" path="m9860,3576l9375,3576,9375,3647,9232,3504,9375,3361,9375,3433,9860,3433,9860,3576xe" filled="false" stroked="true" strokeweight="1pt" strokecolor="#41709c">
              <v:path arrowok="t"/>
              <v:stroke dashstyle="solid"/>
            </v:shape>
            <w10:wrap type="topAndBottom"/>
          </v:group>
        </w:pict>
      </w:r>
    </w:p>
    <w:p>
      <w:pPr>
        <w:pStyle w:val="BodyText"/>
        <w:rPr>
          <w:b/>
          <w:sz w:val="20"/>
        </w:rPr>
      </w:pPr>
    </w:p>
    <w:p>
      <w:pPr>
        <w:tabs>
          <w:tab w:pos="10078" w:val="left" w:leader="none"/>
        </w:tabs>
        <w:spacing w:before="250"/>
        <w:ind w:left="112" w:right="0" w:firstLine="0"/>
        <w:jc w:val="left"/>
        <w:rPr>
          <w:b/>
          <w:sz w:val="28"/>
        </w:rPr>
      </w:pPr>
      <w:r>
        <w:rPr>
          <w:b/>
          <w:sz w:val="28"/>
          <w:shd w:fill="D9D9D9" w:color="auto" w:val="clear"/>
        </w:rPr>
        <w:t>Section 3 - MA ESRD Benchmarks – Puerto Rico an Outlier at the</w:t>
      </w:r>
      <w:r>
        <w:rPr>
          <w:b/>
          <w:spacing w:val="-16"/>
          <w:sz w:val="28"/>
          <w:shd w:fill="D9D9D9" w:color="auto" w:val="clear"/>
        </w:rPr>
        <w:t> </w:t>
      </w:r>
      <w:r>
        <w:rPr>
          <w:b/>
          <w:sz w:val="28"/>
          <w:shd w:fill="D9D9D9" w:color="auto" w:val="clear"/>
        </w:rPr>
        <w:t>Bottom</w:t>
        <w:tab/>
      </w:r>
    </w:p>
    <w:p>
      <w:pPr>
        <w:spacing w:before="183"/>
        <w:ind w:left="112" w:right="0" w:firstLine="0"/>
        <w:jc w:val="left"/>
        <w:rPr>
          <w:b/>
          <w:sz w:val="24"/>
        </w:rPr>
      </w:pPr>
      <w:r>
        <w:rPr>
          <w:b/>
          <w:sz w:val="24"/>
          <w:u w:val="thick"/>
        </w:rPr>
        <w:t>MA ESRD Benchmarks – Puerto Rico an Outlier at the Bottom</w:t>
      </w:r>
    </w:p>
    <w:p>
      <w:pPr>
        <w:spacing w:before="181"/>
        <w:ind w:left="112" w:right="127" w:firstLine="360"/>
        <w:jc w:val="both"/>
        <w:rPr>
          <w:sz w:val="22"/>
        </w:rPr>
      </w:pPr>
      <w:r>
        <w:rPr>
          <w:sz w:val="22"/>
        </w:rPr>
        <w:t>The discrepancy in MA payment benchmarks is even pronounced for End Stage Renal Disease (ESRD) beneficiaries. The most recent ESRD benchmark for </w:t>
      </w:r>
      <w:r>
        <w:rPr>
          <w:b/>
          <w:sz w:val="22"/>
          <w:u w:val="thick"/>
        </w:rPr>
        <w:t>Puerto Rico is $4,314 in 2018, compared to a national average</w:t>
      </w:r>
      <w:r>
        <w:rPr>
          <w:b/>
          <w:spacing w:val="-5"/>
          <w:sz w:val="22"/>
          <w:u w:val="thick"/>
        </w:rPr>
        <w:t> </w:t>
      </w:r>
      <w:r>
        <w:rPr>
          <w:b/>
          <w:sz w:val="22"/>
          <w:u w:val="thick"/>
        </w:rPr>
        <w:t>of</w:t>
      </w:r>
      <w:r>
        <w:rPr>
          <w:b/>
          <w:spacing w:val="-2"/>
          <w:sz w:val="22"/>
          <w:u w:val="thick"/>
        </w:rPr>
        <w:t> </w:t>
      </w:r>
      <w:r>
        <w:rPr>
          <w:b/>
          <w:sz w:val="22"/>
          <w:u w:val="thick"/>
        </w:rPr>
        <w:t>$6,753</w:t>
      </w:r>
      <w:r>
        <w:rPr>
          <w:b/>
          <w:spacing w:val="-5"/>
          <w:sz w:val="22"/>
          <w:u w:val="thick"/>
        </w:rPr>
        <w:t> </w:t>
      </w:r>
      <w:r>
        <w:rPr>
          <w:b/>
          <w:sz w:val="22"/>
          <w:u w:val="thick"/>
        </w:rPr>
        <w:t>and</w:t>
      </w:r>
      <w:r>
        <w:rPr>
          <w:b/>
          <w:spacing w:val="-6"/>
          <w:sz w:val="22"/>
          <w:u w:val="thick"/>
        </w:rPr>
        <w:t> </w:t>
      </w:r>
      <w:r>
        <w:rPr>
          <w:b/>
          <w:sz w:val="22"/>
          <w:u w:val="thick"/>
        </w:rPr>
        <w:t>$5,996</w:t>
      </w:r>
      <w:r>
        <w:rPr>
          <w:b/>
          <w:spacing w:val="-8"/>
          <w:sz w:val="22"/>
          <w:u w:val="thick"/>
        </w:rPr>
        <w:t> </w:t>
      </w:r>
      <w:r>
        <w:rPr>
          <w:b/>
          <w:sz w:val="22"/>
          <w:u w:val="thick"/>
        </w:rPr>
        <w:t>for</w:t>
      </w:r>
      <w:r>
        <w:rPr>
          <w:b/>
          <w:spacing w:val="-5"/>
          <w:sz w:val="22"/>
          <w:u w:val="thick"/>
        </w:rPr>
        <w:t> </w:t>
      </w:r>
      <w:r>
        <w:rPr>
          <w:b/>
          <w:sz w:val="22"/>
          <w:u w:val="thick"/>
        </w:rPr>
        <w:t>the</w:t>
      </w:r>
      <w:r>
        <w:rPr>
          <w:b/>
          <w:spacing w:val="-5"/>
          <w:sz w:val="22"/>
          <w:u w:val="thick"/>
        </w:rPr>
        <w:t> </w:t>
      </w:r>
      <w:r>
        <w:rPr>
          <w:b/>
          <w:sz w:val="22"/>
          <w:u w:val="thick"/>
        </w:rPr>
        <w:t>US</w:t>
      </w:r>
      <w:r>
        <w:rPr>
          <w:b/>
          <w:spacing w:val="-5"/>
          <w:sz w:val="22"/>
          <w:u w:val="thick"/>
        </w:rPr>
        <w:t> </w:t>
      </w:r>
      <w:r>
        <w:rPr>
          <w:b/>
          <w:sz w:val="22"/>
          <w:u w:val="thick"/>
        </w:rPr>
        <w:t>Virgin</w:t>
      </w:r>
      <w:r>
        <w:rPr>
          <w:b/>
          <w:spacing w:val="-5"/>
          <w:sz w:val="22"/>
          <w:u w:val="thick"/>
        </w:rPr>
        <w:t> </w:t>
      </w:r>
      <w:r>
        <w:rPr>
          <w:b/>
          <w:sz w:val="22"/>
          <w:u w:val="thick"/>
        </w:rPr>
        <w:t>Islands</w:t>
      </w:r>
      <w:r>
        <w:rPr>
          <w:sz w:val="22"/>
        </w:rPr>
        <w:t>.</w:t>
      </w:r>
      <w:r>
        <w:rPr>
          <w:spacing w:val="50"/>
          <w:sz w:val="22"/>
        </w:rPr>
        <w:t> </w:t>
      </w:r>
      <w:r>
        <w:rPr>
          <w:sz w:val="22"/>
        </w:rPr>
        <w:t>There</w:t>
      </w:r>
      <w:r>
        <w:rPr>
          <w:spacing w:val="-5"/>
          <w:sz w:val="22"/>
        </w:rPr>
        <w:t> </w:t>
      </w:r>
      <w:r>
        <w:rPr>
          <w:sz w:val="22"/>
        </w:rPr>
        <w:t>are</w:t>
      </w:r>
      <w:r>
        <w:rPr>
          <w:spacing w:val="-5"/>
          <w:sz w:val="22"/>
        </w:rPr>
        <w:t> </w:t>
      </w:r>
      <w:r>
        <w:rPr>
          <w:sz w:val="22"/>
        </w:rPr>
        <w:t>3,500</w:t>
      </w:r>
      <w:r>
        <w:rPr>
          <w:spacing w:val="-5"/>
          <w:sz w:val="22"/>
        </w:rPr>
        <w:t> </w:t>
      </w:r>
      <w:r>
        <w:rPr>
          <w:sz w:val="22"/>
        </w:rPr>
        <w:t>ESRD</w:t>
      </w:r>
      <w:r>
        <w:rPr>
          <w:spacing w:val="-6"/>
          <w:sz w:val="22"/>
        </w:rPr>
        <w:t> </w:t>
      </w:r>
      <w:r>
        <w:rPr>
          <w:sz w:val="22"/>
        </w:rPr>
        <w:t>patients</w:t>
      </w:r>
      <w:r>
        <w:rPr>
          <w:spacing w:val="-7"/>
          <w:sz w:val="22"/>
        </w:rPr>
        <w:t> </w:t>
      </w:r>
      <w:r>
        <w:rPr>
          <w:sz w:val="22"/>
        </w:rPr>
        <w:t>in</w:t>
      </w:r>
      <w:r>
        <w:rPr>
          <w:spacing w:val="-5"/>
          <w:sz w:val="22"/>
        </w:rPr>
        <w:t> </w:t>
      </w:r>
      <w:r>
        <w:rPr>
          <w:sz w:val="22"/>
        </w:rPr>
        <w:t>the</w:t>
      </w:r>
      <w:r>
        <w:rPr>
          <w:spacing w:val="-7"/>
          <w:sz w:val="22"/>
        </w:rPr>
        <w:t> </w:t>
      </w:r>
      <w:r>
        <w:rPr>
          <w:sz w:val="22"/>
        </w:rPr>
        <w:t>MA</w:t>
      </w:r>
      <w:r>
        <w:rPr>
          <w:spacing w:val="-6"/>
          <w:sz w:val="22"/>
        </w:rPr>
        <w:t> </w:t>
      </w:r>
      <w:r>
        <w:rPr>
          <w:sz w:val="22"/>
        </w:rPr>
        <w:t>program</w:t>
      </w:r>
      <w:r>
        <w:rPr>
          <w:spacing w:val="-8"/>
          <w:sz w:val="22"/>
        </w:rPr>
        <w:t> </w:t>
      </w:r>
      <w:r>
        <w:rPr>
          <w:sz w:val="22"/>
        </w:rPr>
        <w:t>in Puerto</w:t>
      </w:r>
      <w:r>
        <w:rPr>
          <w:spacing w:val="22"/>
          <w:sz w:val="22"/>
        </w:rPr>
        <w:t> </w:t>
      </w:r>
      <w:r>
        <w:rPr>
          <w:sz w:val="22"/>
        </w:rPr>
        <w:t>Rico</w:t>
      </w:r>
      <w:r>
        <w:rPr>
          <w:spacing w:val="19"/>
          <w:sz w:val="22"/>
        </w:rPr>
        <w:t> </w:t>
      </w:r>
      <w:r>
        <w:rPr>
          <w:sz w:val="22"/>
        </w:rPr>
        <w:t>and</w:t>
      </w:r>
      <w:r>
        <w:rPr>
          <w:spacing w:val="19"/>
          <w:sz w:val="22"/>
        </w:rPr>
        <w:t> </w:t>
      </w:r>
      <w:r>
        <w:rPr>
          <w:sz w:val="22"/>
        </w:rPr>
        <w:t>due</w:t>
      </w:r>
      <w:r>
        <w:rPr>
          <w:spacing w:val="20"/>
          <w:sz w:val="22"/>
        </w:rPr>
        <w:t> </w:t>
      </w:r>
      <w:r>
        <w:rPr>
          <w:sz w:val="22"/>
        </w:rPr>
        <w:t>to</w:t>
      </w:r>
      <w:r>
        <w:rPr>
          <w:spacing w:val="19"/>
          <w:sz w:val="22"/>
        </w:rPr>
        <w:t> </w:t>
      </w:r>
      <w:r>
        <w:rPr>
          <w:sz w:val="22"/>
        </w:rPr>
        <w:t>the</w:t>
      </w:r>
      <w:r>
        <w:rPr>
          <w:spacing w:val="20"/>
          <w:sz w:val="22"/>
        </w:rPr>
        <w:t> </w:t>
      </w:r>
      <w:r>
        <w:rPr>
          <w:sz w:val="22"/>
        </w:rPr>
        <w:t>high</w:t>
      </w:r>
      <w:r>
        <w:rPr>
          <w:spacing w:val="22"/>
          <w:sz w:val="22"/>
        </w:rPr>
        <w:t> </w:t>
      </w:r>
      <w:r>
        <w:rPr>
          <w:sz w:val="22"/>
        </w:rPr>
        <w:t>incidence</w:t>
      </w:r>
      <w:r>
        <w:rPr>
          <w:spacing w:val="22"/>
          <w:sz w:val="22"/>
        </w:rPr>
        <w:t> </w:t>
      </w:r>
      <w:r>
        <w:rPr>
          <w:sz w:val="22"/>
        </w:rPr>
        <w:t>of</w:t>
      </w:r>
      <w:r>
        <w:rPr>
          <w:spacing w:val="22"/>
          <w:sz w:val="22"/>
        </w:rPr>
        <w:t> </w:t>
      </w:r>
      <w:r>
        <w:rPr>
          <w:sz w:val="22"/>
        </w:rPr>
        <w:t>diabetes</w:t>
      </w:r>
      <w:r>
        <w:rPr>
          <w:spacing w:val="20"/>
          <w:sz w:val="22"/>
        </w:rPr>
        <w:t> </w:t>
      </w:r>
      <w:r>
        <w:rPr>
          <w:sz w:val="22"/>
        </w:rPr>
        <w:t>and</w:t>
      </w:r>
      <w:r>
        <w:rPr>
          <w:spacing w:val="20"/>
          <w:sz w:val="22"/>
        </w:rPr>
        <w:t> </w:t>
      </w:r>
      <w:r>
        <w:rPr>
          <w:sz w:val="22"/>
        </w:rPr>
        <w:t>other</w:t>
      </w:r>
      <w:r>
        <w:rPr>
          <w:spacing w:val="20"/>
          <w:sz w:val="22"/>
        </w:rPr>
        <w:t> </w:t>
      </w:r>
      <w:r>
        <w:rPr>
          <w:sz w:val="22"/>
        </w:rPr>
        <w:t>co-morbidities,</w:t>
      </w:r>
      <w:r>
        <w:rPr>
          <w:spacing w:val="19"/>
          <w:sz w:val="22"/>
        </w:rPr>
        <w:t> </w:t>
      </w:r>
      <w:r>
        <w:rPr>
          <w:sz w:val="22"/>
        </w:rPr>
        <w:t>these</w:t>
      </w:r>
      <w:r>
        <w:rPr>
          <w:spacing w:val="22"/>
          <w:sz w:val="22"/>
        </w:rPr>
        <w:t> </w:t>
      </w:r>
      <w:r>
        <w:rPr>
          <w:sz w:val="22"/>
        </w:rPr>
        <w:t>patients</w:t>
      </w:r>
      <w:r>
        <w:rPr>
          <w:spacing w:val="20"/>
          <w:sz w:val="22"/>
        </w:rPr>
        <w:t> </w:t>
      </w:r>
      <w:r>
        <w:rPr>
          <w:sz w:val="22"/>
        </w:rPr>
        <w:t>have</w:t>
      </w:r>
      <w:r>
        <w:rPr>
          <w:spacing w:val="22"/>
          <w:sz w:val="22"/>
        </w:rPr>
        <w:t> </w:t>
      </w:r>
      <w:r>
        <w:rPr>
          <w:sz w:val="22"/>
        </w:rPr>
        <w:t>a</w:t>
      </w:r>
      <w:r>
        <w:rPr>
          <w:spacing w:val="20"/>
          <w:sz w:val="22"/>
        </w:rPr>
        <w:t> </w:t>
      </w:r>
      <w:r>
        <w:rPr>
          <w:sz w:val="22"/>
        </w:rPr>
        <w:t>clinical</w:t>
      </w:r>
    </w:p>
    <w:p>
      <w:pPr>
        <w:pStyle w:val="BodyText"/>
        <w:spacing w:before="7"/>
        <w:rPr>
          <w:sz w:val="17"/>
        </w:rPr>
      </w:pPr>
      <w:r>
        <w:rPr/>
        <w:pict>
          <v:line style="position:absolute;mso-position-horizontal-relative:page;mso-position-vertical-relative:paragraph;z-index:1840;mso-wrap-distance-left:0;mso-wrap-distance-right:0" from="57.599998pt,12.408716pt" to="201.619998pt,12.408716pt" stroked="true" strokeweight=".599980pt" strokecolor="#000000">
            <v:stroke dashstyle="solid"/>
            <w10:wrap type="topAndBottom"/>
          </v:line>
        </w:pict>
      </w:r>
    </w:p>
    <w:p>
      <w:pPr>
        <w:spacing w:before="58"/>
        <w:ind w:left="112" w:right="0" w:firstLine="0"/>
        <w:jc w:val="left"/>
        <w:rPr>
          <w:b/>
          <w:i/>
          <w:sz w:val="22"/>
        </w:rPr>
      </w:pPr>
      <w:r>
        <w:rPr>
          <w:position w:val="9"/>
          <w:sz w:val="16"/>
        </w:rPr>
        <w:t>10 </w:t>
      </w:r>
      <w:r>
        <w:rPr>
          <w:i/>
          <w:sz w:val="22"/>
        </w:rPr>
        <w:t>From: Puerto Rico Institute of Statistics, Council of Community and Economic Research, </w:t>
      </w:r>
      <w:hyperlink r:id="rId26">
        <w:r>
          <w:rPr>
            <w:b/>
            <w:i/>
            <w:color w:val="0462C1"/>
            <w:sz w:val="22"/>
            <w:u w:val="thick" w:color="0462C1"/>
          </w:rPr>
          <w:t>www.coli.org</w:t>
        </w:r>
      </w:hyperlink>
    </w:p>
    <w:p>
      <w:pPr>
        <w:pStyle w:val="BodyText"/>
        <w:rPr>
          <w:b/>
          <w:i/>
          <w:sz w:val="15"/>
        </w:rPr>
      </w:pPr>
    </w:p>
    <w:p>
      <w:pPr>
        <w:spacing w:before="73"/>
        <w:ind w:left="112" w:right="0" w:firstLine="0"/>
        <w:jc w:val="left"/>
        <w:rPr>
          <w:rFonts w:ascii="Calibri"/>
          <w:sz w:val="20"/>
        </w:rPr>
      </w:pPr>
      <w:r>
        <w:rPr>
          <w:rFonts w:ascii="Calibri"/>
          <w:position w:val="7"/>
          <w:sz w:val="13"/>
        </w:rPr>
        <w:t>11 </w:t>
      </w:r>
      <w:r>
        <w:rPr>
          <w:rFonts w:ascii="Calibri"/>
          <w:sz w:val="20"/>
        </w:rPr>
        <w:t>Ibid</w:t>
      </w:r>
    </w:p>
    <w:p>
      <w:pPr>
        <w:spacing w:after="0"/>
        <w:jc w:val="left"/>
        <w:rPr>
          <w:rFonts w:ascii="Calibri"/>
          <w:sz w:val="20"/>
        </w:rPr>
        <w:sectPr>
          <w:pgSz w:w="12240" w:h="15840"/>
          <w:pgMar w:header="0" w:footer="1015" w:top="1500" w:bottom="1200" w:left="1040" w:right="1020"/>
        </w:sectPr>
      </w:pPr>
    </w:p>
    <w:p>
      <w:pPr>
        <w:pStyle w:val="BodyText"/>
        <w:spacing w:before="79"/>
        <w:ind w:left="132" w:right="128"/>
        <w:jc w:val="both"/>
      </w:pPr>
      <w:r>
        <w:rPr/>
        <w:t>profile even more complicated than ESRD patients on the mainland. Consistent with the request to establish an AGA floor in the development of the non ESRD benchmark, we request CMS to establish a minimum ESRD benchmark that would reduce the disparity between the Puerto Rico benchmark and the actual cost of providing services to this vulnerable population.</w:t>
      </w:r>
    </w:p>
    <w:p>
      <w:pPr>
        <w:pStyle w:val="BodyText"/>
        <w:spacing w:before="10"/>
        <w:rPr>
          <w:sz w:val="23"/>
        </w:rPr>
      </w:pPr>
    </w:p>
    <w:p>
      <w:pPr>
        <w:pStyle w:val="BodyText"/>
        <w:spacing w:line="259" w:lineRule="auto"/>
        <w:ind w:left="132" w:right="129" w:firstLine="360"/>
        <w:jc w:val="both"/>
      </w:pPr>
      <w:r>
        <w:rPr/>
        <w:t>The</w:t>
      </w:r>
      <w:r>
        <w:rPr>
          <w:spacing w:val="-6"/>
        </w:rPr>
        <w:t> </w:t>
      </w:r>
      <w:r>
        <w:rPr/>
        <w:t>PR</w:t>
      </w:r>
      <w:r>
        <w:rPr>
          <w:spacing w:val="-5"/>
        </w:rPr>
        <w:t> </w:t>
      </w:r>
      <w:r>
        <w:rPr/>
        <w:t>ESRD</w:t>
      </w:r>
      <w:r>
        <w:rPr>
          <w:spacing w:val="-5"/>
        </w:rPr>
        <w:t> </w:t>
      </w:r>
      <w:r>
        <w:rPr/>
        <w:t>benchmark</w:t>
      </w:r>
      <w:r>
        <w:rPr>
          <w:spacing w:val="-6"/>
        </w:rPr>
        <w:t> </w:t>
      </w:r>
      <w:r>
        <w:rPr/>
        <w:t>is</w:t>
      </w:r>
      <w:r>
        <w:rPr>
          <w:spacing w:val="-3"/>
        </w:rPr>
        <w:t> </w:t>
      </w:r>
      <w:r>
        <w:rPr/>
        <w:t>28%</w:t>
      </w:r>
      <w:r>
        <w:rPr>
          <w:spacing w:val="-3"/>
        </w:rPr>
        <w:t> </w:t>
      </w:r>
      <w:r>
        <w:rPr/>
        <w:t>below</w:t>
      </w:r>
      <w:r>
        <w:rPr>
          <w:spacing w:val="-5"/>
        </w:rPr>
        <w:t> </w:t>
      </w:r>
      <w:r>
        <w:rPr/>
        <w:t>the</w:t>
      </w:r>
      <w:r>
        <w:rPr>
          <w:spacing w:val="-3"/>
        </w:rPr>
        <w:t> </w:t>
      </w:r>
      <w:r>
        <w:rPr/>
        <w:t>USVI</w:t>
      </w:r>
      <w:r>
        <w:rPr>
          <w:spacing w:val="-8"/>
        </w:rPr>
        <w:t> </w:t>
      </w:r>
      <w:r>
        <w:rPr/>
        <w:t>and</w:t>
      </w:r>
      <w:r>
        <w:rPr>
          <w:spacing w:val="-3"/>
        </w:rPr>
        <w:t> </w:t>
      </w:r>
      <w:r>
        <w:rPr/>
        <w:t>this</w:t>
      </w:r>
      <w:r>
        <w:rPr>
          <w:spacing w:val="-3"/>
        </w:rPr>
        <w:t> </w:t>
      </w:r>
      <w:r>
        <w:rPr/>
        <w:t>creates</w:t>
      </w:r>
      <w:r>
        <w:rPr>
          <w:spacing w:val="-3"/>
        </w:rPr>
        <w:t> </w:t>
      </w:r>
      <w:r>
        <w:rPr/>
        <w:t>a</w:t>
      </w:r>
      <w:r>
        <w:rPr>
          <w:spacing w:val="-6"/>
        </w:rPr>
        <w:t> </w:t>
      </w:r>
      <w:r>
        <w:rPr/>
        <w:t>fundamental</w:t>
      </w:r>
      <w:r>
        <w:rPr>
          <w:spacing w:val="-5"/>
        </w:rPr>
        <w:t> </w:t>
      </w:r>
      <w:r>
        <w:rPr/>
        <w:t>issue</w:t>
      </w:r>
      <w:r>
        <w:rPr>
          <w:spacing w:val="-3"/>
        </w:rPr>
        <w:t> </w:t>
      </w:r>
      <w:r>
        <w:rPr/>
        <w:t>of</w:t>
      </w:r>
      <w:r>
        <w:rPr>
          <w:spacing w:val="-3"/>
        </w:rPr>
        <w:t> </w:t>
      </w:r>
      <w:r>
        <w:rPr/>
        <w:t>providing</w:t>
      </w:r>
      <w:r>
        <w:rPr>
          <w:spacing w:val="-6"/>
        </w:rPr>
        <w:t> </w:t>
      </w:r>
      <w:r>
        <w:rPr/>
        <w:t>even</w:t>
      </w:r>
      <w:r>
        <w:rPr>
          <w:spacing w:val="-3"/>
        </w:rPr>
        <w:t> </w:t>
      </w:r>
      <w:r>
        <w:rPr/>
        <w:t>the core, basic health care services such as dialysis required for these patients. We recognize CMS proposes to complete</w:t>
      </w:r>
      <w:r>
        <w:rPr>
          <w:spacing w:val="-11"/>
        </w:rPr>
        <w:t> </w:t>
      </w:r>
      <w:r>
        <w:rPr/>
        <w:t>the</w:t>
      </w:r>
      <w:r>
        <w:rPr>
          <w:spacing w:val="-11"/>
        </w:rPr>
        <w:t> </w:t>
      </w:r>
      <w:r>
        <w:rPr/>
        <w:t>repricing</w:t>
      </w:r>
      <w:r>
        <w:rPr>
          <w:spacing w:val="-13"/>
        </w:rPr>
        <w:t> </w:t>
      </w:r>
      <w:r>
        <w:rPr/>
        <w:t>of</w:t>
      </w:r>
      <w:r>
        <w:rPr>
          <w:spacing w:val="-10"/>
        </w:rPr>
        <w:t> </w:t>
      </w:r>
      <w:r>
        <w:rPr/>
        <w:t>fee</w:t>
      </w:r>
      <w:r>
        <w:rPr>
          <w:spacing w:val="-11"/>
        </w:rPr>
        <w:t> </w:t>
      </w:r>
      <w:r>
        <w:rPr/>
        <w:t>for</w:t>
      </w:r>
      <w:r>
        <w:rPr>
          <w:spacing w:val="-13"/>
        </w:rPr>
        <w:t> </w:t>
      </w:r>
      <w:r>
        <w:rPr/>
        <w:t>service</w:t>
      </w:r>
      <w:r>
        <w:rPr>
          <w:spacing w:val="-11"/>
        </w:rPr>
        <w:t> </w:t>
      </w:r>
      <w:r>
        <w:rPr/>
        <w:t>cost</w:t>
      </w:r>
      <w:r>
        <w:rPr>
          <w:spacing w:val="-10"/>
        </w:rPr>
        <w:t> </w:t>
      </w:r>
      <w:r>
        <w:rPr/>
        <w:t>to</w:t>
      </w:r>
      <w:r>
        <w:rPr>
          <w:spacing w:val="-13"/>
        </w:rPr>
        <w:t> </w:t>
      </w:r>
      <w:r>
        <w:rPr/>
        <w:t>the</w:t>
      </w:r>
      <w:r>
        <w:rPr>
          <w:spacing w:val="-11"/>
        </w:rPr>
        <w:t> </w:t>
      </w:r>
      <w:r>
        <w:rPr/>
        <w:t>2019</w:t>
      </w:r>
      <w:r>
        <w:rPr>
          <w:spacing w:val="-11"/>
        </w:rPr>
        <w:t> </w:t>
      </w:r>
      <w:r>
        <w:rPr/>
        <w:t>cost</w:t>
      </w:r>
      <w:r>
        <w:rPr>
          <w:spacing w:val="-12"/>
        </w:rPr>
        <w:t> </w:t>
      </w:r>
      <w:r>
        <w:rPr/>
        <w:t>level,</w:t>
      </w:r>
      <w:r>
        <w:rPr>
          <w:spacing w:val="-11"/>
        </w:rPr>
        <w:t> </w:t>
      </w:r>
      <w:r>
        <w:rPr/>
        <w:t>but</w:t>
      </w:r>
      <w:r>
        <w:rPr>
          <w:spacing w:val="-10"/>
        </w:rPr>
        <w:t> </w:t>
      </w:r>
      <w:r>
        <w:rPr/>
        <w:t>we</w:t>
      </w:r>
      <w:r>
        <w:rPr>
          <w:spacing w:val="-11"/>
        </w:rPr>
        <w:t> </w:t>
      </w:r>
      <w:r>
        <w:rPr/>
        <w:t>are</w:t>
      </w:r>
      <w:r>
        <w:rPr>
          <w:spacing w:val="-11"/>
        </w:rPr>
        <w:t> </w:t>
      </w:r>
      <w:r>
        <w:rPr/>
        <w:t>concerned</w:t>
      </w:r>
      <w:r>
        <w:rPr>
          <w:spacing w:val="-13"/>
        </w:rPr>
        <w:t> </w:t>
      </w:r>
      <w:r>
        <w:rPr/>
        <w:t>that</w:t>
      </w:r>
      <w:r>
        <w:rPr>
          <w:spacing w:val="-10"/>
        </w:rPr>
        <w:t> </w:t>
      </w:r>
      <w:r>
        <w:rPr/>
        <w:t>will</w:t>
      </w:r>
      <w:r>
        <w:rPr>
          <w:spacing w:val="-10"/>
        </w:rPr>
        <w:t> </w:t>
      </w:r>
      <w:r>
        <w:rPr/>
        <w:t>not</w:t>
      </w:r>
      <w:r>
        <w:rPr>
          <w:spacing w:val="-10"/>
        </w:rPr>
        <w:t> </w:t>
      </w:r>
      <w:r>
        <w:rPr/>
        <w:t>be</w:t>
      </w:r>
      <w:r>
        <w:rPr>
          <w:spacing w:val="-11"/>
        </w:rPr>
        <w:t> </w:t>
      </w:r>
      <w:r>
        <w:rPr/>
        <w:t>sufficient to properly address the needs of our dialysis patients and access to care concerns. FFS costs of dialysis in Puerto Rico are nowhere near the prices that MA plans are having to pay the only 2 dialysis providers on the island. Again,</w:t>
      </w:r>
      <w:r>
        <w:rPr>
          <w:spacing w:val="-9"/>
        </w:rPr>
        <w:t> </w:t>
      </w:r>
      <w:r>
        <w:rPr/>
        <w:t>FFS</w:t>
      </w:r>
      <w:r>
        <w:rPr>
          <w:spacing w:val="-9"/>
        </w:rPr>
        <w:t> </w:t>
      </w:r>
      <w:r>
        <w:rPr/>
        <w:t>data</w:t>
      </w:r>
      <w:r>
        <w:rPr>
          <w:spacing w:val="-11"/>
        </w:rPr>
        <w:t> </w:t>
      </w:r>
      <w:r>
        <w:rPr/>
        <w:t>in</w:t>
      </w:r>
      <w:r>
        <w:rPr>
          <w:spacing w:val="-9"/>
        </w:rPr>
        <w:t> </w:t>
      </w:r>
      <w:r>
        <w:rPr/>
        <w:t>Puerto</w:t>
      </w:r>
      <w:r>
        <w:rPr>
          <w:spacing w:val="-11"/>
        </w:rPr>
        <w:t> </w:t>
      </w:r>
      <w:r>
        <w:rPr/>
        <w:t>Rico</w:t>
      </w:r>
      <w:r>
        <w:rPr>
          <w:spacing w:val="-8"/>
        </w:rPr>
        <w:t> </w:t>
      </w:r>
      <w:r>
        <w:rPr/>
        <w:t>does</w:t>
      </w:r>
      <w:r>
        <w:rPr>
          <w:spacing w:val="-8"/>
        </w:rPr>
        <w:t> </w:t>
      </w:r>
      <w:r>
        <w:rPr/>
        <w:t>not</w:t>
      </w:r>
      <w:r>
        <w:rPr>
          <w:spacing w:val="-8"/>
        </w:rPr>
        <w:t> </w:t>
      </w:r>
      <w:r>
        <w:rPr/>
        <w:t>tell</w:t>
      </w:r>
      <w:r>
        <w:rPr>
          <w:spacing w:val="-8"/>
        </w:rPr>
        <w:t> </w:t>
      </w:r>
      <w:r>
        <w:rPr/>
        <w:t>the</w:t>
      </w:r>
      <w:r>
        <w:rPr>
          <w:spacing w:val="-8"/>
        </w:rPr>
        <w:t> </w:t>
      </w:r>
      <w:r>
        <w:rPr/>
        <w:t>health</w:t>
      </w:r>
      <w:r>
        <w:rPr>
          <w:spacing w:val="-11"/>
        </w:rPr>
        <w:t> </w:t>
      </w:r>
      <w:r>
        <w:rPr/>
        <w:t>care</w:t>
      </w:r>
      <w:r>
        <w:rPr>
          <w:spacing w:val="-11"/>
        </w:rPr>
        <w:t> </w:t>
      </w:r>
      <w:r>
        <w:rPr/>
        <w:t>story</w:t>
      </w:r>
      <w:r>
        <w:rPr>
          <w:spacing w:val="-11"/>
        </w:rPr>
        <w:t> </w:t>
      </w:r>
      <w:r>
        <w:rPr/>
        <w:t>that</w:t>
      </w:r>
      <w:r>
        <w:rPr>
          <w:spacing w:val="-8"/>
        </w:rPr>
        <w:t> </w:t>
      </w:r>
      <w:r>
        <w:rPr/>
        <w:t>Congress</w:t>
      </w:r>
      <w:r>
        <w:rPr>
          <w:spacing w:val="-10"/>
        </w:rPr>
        <w:t> </w:t>
      </w:r>
      <w:r>
        <w:rPr/>
        <w:t>envisioned</w:t>
      </w:r>
      <w:r>
        <w:rPr>
          <w:spacing w:val="-8"/>
        </w:rPr>
        <w:t> </w:t>
      </w:r>
      <w:r>
        <w:rPr/>
        <w:t>when</w:t>
      </w:r>
      <w:r>
        <w:rPr>
          <w:spacing w:val="-8"/>
        </w:rPr>
        <w:t> </w:t>
      </w:r>
      <w:r>
        <w:rPr/>
        <w:t>they</w:t>
      </w:r>
      <w:r>
        <w:rPr>
          <w:spacing w:val="-11"/>
        </w:rPr>
        <w:t> </w:t>
      </w:r>
      <w:r>
        <w:rPr/>
        <w:t>tied</w:t>
      </w:r>
      <w:r>
        <w:rPr>
          <w:spacing w:val="-11"/>
        </w:rPr>
        <w:t> </w:t>
      </w:r>
      <w:r>
        <w:rPr/>
        <w:t>the</w:t>
      </w:r>
      <w:r>
        <w:rPr>
          <w:spacing w:val="-11"/>
        </w:rPr>
        <w:t> </w:t>
      </w:r>
      <w:r>
        <w:rPr/>
        <w:t>MA rate stetting with the documented costs of FFS in each</w:t>
      </w:r>
      <w:r>
        <w:rPr>
          <w:spacing w:val="-18"/>
        </w:rPr>
        <w:t> </w:t>
      </w:r>
      <w:r>
        <w:rPr/>
        <w:t>area.</w:t>
      </w:r>
    </w:p>
    <w:p>
      <w:pPr>
        <w:pStyle w:val="BodyText"/>
        <w:rPr>
          <w:sz w:val="20"/>
        </w:rPr>
      </w:pPr>
    </w:p>
    <w:p>
      <w:pPr>
        <w:pStyle w:val="BodyText"/>
        <w:spacing w:before="5"/>
        <w:rPr>
          <w:sz w:val="15"/>
        </w:rPr>
      </w:pPr>
      <w:r>
        <w:rPr/>
        <w:pict>
          <v:shape style="position:absolute;margin-left:56.16pt;margin-top:10.086329pt;width:499.8pt;height:32.2pt;mso-position-horizontal-relative:page;mso-position-vertical-relative:paragraph;z-index:1912;mso-wrap-distance-left:0;mso-wrap-distance-right:0" type="#_x0000_t202" filled="true" fillcolor="#d9d9d9" stroked="false">
            <v:textbox inset="0,0,0,0">
              <w:txbxContent>
                <w:p>
                  <w:pPr>
                    <w:spacing w:before="0"/>
                    <w:ind w:left="28" w:right="0" w:firstLine="0"/>
                    <w:jc w:val="left"/>
                    <w:rPr>
                      <w:b/>
                      <w:sz w:val="28"/>
                    </w:rPr>
                  </w:pPr>
                  <w:r>
                    <w:rPr>
                      <w:b/>
                      <w:sz w:val="28"/>
                    </w:rPr>
                    <w:t>Section 4 - How is this administrative policy going to mitigate harmful the issues in the Puerto Rico healthcare system?</w:t>
                  </w:r>
                </w:p>
              </w:txbxContent>
            </v:textbox>
            <v:fill type="solid"/>
            <w10:wrap type="topAndBottom"/>
          </v:shape>
        </w:pict>
      </w:r>
    </w:p>
    <w:p>
      <w:pPr>
        <w:pStyle w:val="BodyText"/>
        <w:spacing w:before="8"/>
        <w:rPr>
          <w:sz w:val="6"/>
        </w:rPr>
      </w:pPr>
    </w:p>
    <w:p>
      <w:pPr>
        <w:pStyle w:val="Heading3"/>
        <w:spacing w:before="91"/>
        <w:rPr>
          <w:u w:val="none"/>
        </w:rPr>
      </w:pPr>
      <w:r>
        <w:rPr>
          <w:u w:val="thick"/>
        </w:rPr>
        <w:t>Establish NEW Technical Parameters and Monitoring</w:t>
      </w:r>
    </w:p>
    <w:p>
      <w:pPr>
        <w:pStyle w:val="BodyText"/>
        <w:rPr>
          <w:b/>
          <w:sz w:val="14"/>
        </w:rPr>
      </w:pPr>
    </w:p>
    <w:p>
      <w:pPr>
        <w:pStyle w:val="BodyText"/>
        <w:spacing w:before="92"/>
        <w:ind w:left="132" w:right="125" w:firstLine="720"/>
        <w:jc w:val="both"/>
      </w:pPr>
      <w:r>
        <w:rPr/>
        <w:t>MA plans in Puerto Rico propose to work with CMS in defining additional reporting or bid-related parameters to demonstrate that the allocation of resources under an adjusted MA benchmark would increase effectiveness</w:t>
      </w:r>
      <w:r>
        <w:rPr>
          <w:spacing w:val="-5"/>
        </w:rPr>
        <w:t> </w:t>
      </w:r>
      <w:r>
        <w:rPr/>
        <w:t>and</w:t>
      </w:r>
      <w:r>
        <w:rPr>
          <w:spacing w:val="-6"/>
        </w:rPr>
        <w:t> </w:t>
      </w:r>
      <w:r>
        <w:rPr/>
        <w:t>efficiency</w:t>
      </w:r>
      <w:r>
        <w:rPr>
          <w:spacing w:val="-8"/>
        </w:rPr>
        <w:t> </w:t>
      </w:r>
      <w:r>
        <w:rPr/>
        <w:t>of</w:t>
      </w:r>
      <w:r>
        <w:rPr>
          <w:spacing w:val="-5"/>
        </w:rPr>
        <w:t> </w:t>
      </w:r>
      <w:r>
        <w:rPr/>
        <w:t>care</w:t>
      </w:r>
      <w:r>
        <w:rPr>
          <w:spacing w:val="-6"/>
        </w:rPr>
        <w:t> </w:t>
      </w:r>
      <w:r>
        <w:rPr/>
        <w:t>delivery</w:t>
      </w:r>
      <w:r>
        <w:rPr>
          <w:spacing w:val="-9"/>
        </w:rPr>
        <w:t> </w:t>
      </w:r>
      <w:r>
        <w:rPr/>
        <w:t>for</w:t>
      </w:r>
      <w:r>
        <w:rPr>
          <w:spacing w:val="-5"/>
        </w:rPr>
        <w:t> </w:t>
      </w:r>
      <w:r>
        <w:rPr/>
        <w:t>better</w:t>
      </w:r>
      <w:r>
        <w:rPr>
          <w:spacing w:val="-5"/>
        </w:rPr>
        <w:t> </w:t>
      </w:r>
      <w:r>
        <w:rPr/>
        <w:t>outcomes.</w:t>
      </w:r>
      <w:r>
        <w:rPr>
          <w:spacing w:val="-6"/>
        </w:rPr>
        <w:t> </w:t>
      </w:r>
      <w:r>
        <w:rPr/>
        <w:t>The</w:t>
      </w:r>
      <w:r>
        <w:rPr>
          <w:spacing w:val="-6"/>
        </w:rPr>
        <w:t> </w:t>
      </w:r>
      <w:r>
        <w:rPr/>
        <w:t>MA</w:t>
      </w:r>
      <w:r>
        <w:rPr>
          <w:spacing w:val="-7"/>
        </w:rPr>
        <w:t> </w:t>
      </w:r>
      <w:r>
        <w:rPr/>
        <w:t>plans</w:t>
      </w:r>
      <w:r>
        <w:rPr>
          <w:spacing w:val="-5"/>
        </w:rPr>
        <w:t> </w:t>
      </w:r>
      <w:r>
        <w:rPr/>
        <w:t>understand</w:t>
      </w:r>
      <w:r>
        <w:rPr>
          <w:spacing w:val="-8"/>
        </w:rPr>
        <w:t> </w:t>
      </w:r>
      <w:r>
        <w:rPr/>
        <w:t>that</w:t>
      </w:r>
      <w:r>
        <w:rPr>
          <w:spacing w:val="-5"/>
        </w:rPr>
        <w:t> </w:t>
      </w:r>
      <w:r>
        <w:rPr/>
        <w:t>transparency</w:t>
      </w:r>
      <w:r>
        <w:rPr>
          <w:spacing w:val="-8"/>
        </w:rPr>
        <w:t> </w:t>
      </w:r>
      <w:r>
        <w:rPr/>
        <w:t>and accountability of the MA program is fundamental to innovate the Puerto Rico health care system and support economic recovery. Plans are aware that MA funds must reach physicians, hospitals and all other health care providers to enable the needed change, and to mitigate system deterioration and accelerated migration to the mainland. Having a bid to benchmark ratio constant from previous years would help to ensure that most of the increased revenue would go to providers via increased fees. There are already guidelines built into the MA program that would help the intended policy aims of CMS are achieved, as listed</w:t>
      </w:r>
      <w:r>
        <w:rPr>
          <w:spacing w:val="-19"/>
        </w:rPr>
        <w:t> </w:t>
      </w:r>
      <w:r>
        <w:rPr/>
        <w:t>below.</w:t>
      </w:r>
    </w:p>
    <w:p>
      <w:pPr>
        <w:pStyle w:val="BodyText"/>
      </w:pPr>
    </w:p>
    <w:p>
      <w:pPr>
        <w:pStyle w:val="Heading3"/>
        <w:numPr>
          <w:ilvl w:val="0"/>
          <w:numId w:val="5"/>
        </w:numPr>
        <w:tabs>
          <w:tab w:pos="1344" w:val="left" w:leader="none"/>
          <w:tab w:pos="1345" w:val="left" w:leader="none"/>
        </w:tabs>
        <w:spacing w:line="252" w:lineRule="exact" w:before="0" w:after="0"/>
        <w:ind w:left="1344" w:right="0" w:hanging="492"/>
        <w:jc w:val="left"/>
        <w:rPr>
          <w:u w:val="none"/>
        </w:rPr>
      </w:pPr>
      <w:r>
        <w:rPr>
          <w:u w:val="none"/>
        </w:rPr>
        <w:t>The 85% MLR</w:t>
      </w:r>
      <w:r>
        <w:rPr>
          <w:spacing w:val="-5"/>
          <w:u w:val="none"/>
        </w:rPr>
        <w:t> </w:t>
      </w:r>
      <w:r>
        <w:rPr>
          <w:u w:val="none"/>
        </w:rPr>
        <w:t>requirement</w:t>
      </w:r>
    </w:p>
    <w:p>
      <w:pPr>
        <w:pStyle w:val="ListParagraph"/>
        <w:numPr>
          <w:ilvl w:val="1"/>
          <w:numId w:val="5"/>
        </w:numPr>
        <w:tabs>
          <w:tab w:pos="1933" w:val="left" w:leader="none"/>
        </w:tabs>
        <w:spacing w:line="240" w:lineRule="auto" w:before="0" w:after="0"/>
        <w:ind w:left="1932" w:right="126" w:hanging="360"/>
        <w:jc w:val="both"/>
        <w:rPr>
          <w:sz w:val="22"/>
        </w:rPr>
      </w:pPr>
      <w:r>
        <w:rPr>
          <w:sz w:val="22"/>
        </w:rPr>
        <w:t>With increased revenue, plans would still be required to spend 85% of revenue on claims or quality</w:t>
      </w:r>
      <w:r>
        <w:rPr>
          <w:spacing w:val="-8"/>
          <w:sz w:val="22"/>
        </w:rPr>
        <w:t> </w:t>
      </w:r>
      <w:r>
        <w:rPr>
          <w:sz w:val="22"/>
        </w:rPr>
        <w:t>initiatives.</w:t>
      </w:r>
    </w:p>
    <w:p>
      <w:pPr>
        <w:pStyle w:val="ListParagraph"/>
        <w:numPr>
          <w:ilvl w:val="1"/>
          <w:numId w:val="5"/>
        </w:numPr>
        <w:tabs>
          <w:tab w:pos="1933" w:val="left" w:leader="none"/>
        </w:tabs>
        <w:spacing w:line="252" w:lineRule="exact" w:before="1" w:after="0"/>
        <w:ind w:left="1932" w:right="0" w:hanging="360"/>
        <w:jc w:val="left"/>
        <w:rPr>
          <w:sz w:val="22"/>
        </w:rPr>
      </w:pPr>
      <w:r>
        <w:rPr>
          <w:sz w:val="22"/>
        </w:rPr>
        <w:t>This includes both Medicare-covered and mandatory supplemental</w:t>
      </w:r>
      <w:r>
        <w:rPr>
          <w:spacing w:val="-18"/>
          <w:sz w:val="22"/>
        </w:rPr>
        <w:t> </w:t>
      </w:r>
      <w:r>
        <w:rPr>
          <w:sz w:val="22"/>
        </w:rPr>
        <w:t>benefits.</w:t>
      </w:r>
    </w:p>
    <w:p>
      <w:pPr>
        <w:pStyle w:val="BodyText"/>
      </w:pPr>
    </w:p>
    <w:p>
      <w:pPr>
        <w:pStyle w:val="Heading3"/>
        <w:numPr>
          <w:ilvl w:val="0"/>
          <w:numId w:val="5"/>
        </w:numPr>
        <w:tabs>
          <w:tab w:pos="1344" w:val="left" w:leader="none"/>
          <w:tab w:pos="1345" w:val="left" w:leader="none"/>
        </w:tabs>
        <w:spacing w:line="252" w:lineRule="exact" w:before="0" w:after="0"/>
        <w:ind w:left="1344" w:right="0" w:hanging="492"/>
        <w:jc w:val="left"/>
        <w:rPr>
          <w:u w:val="none"/>
        </w:rPr>
      </w:pPr>
      <w:r>
        <w:rPr>
          <w:u w:val="none"/>
        </w:rPr>
        <w:t>The various margin tests associated with the bid</w:t>
      </w:r>
      <w:r>
        <w:rPr>
          <w:spacing w:val="-15"/>
          <w:u w:val="none"/>
        </w:rPr>
        <w:t> </w:t>
      </w:r>
      <w:r>
        <w:rPr>
          <w:u w:val="none"/>
        </w:rPr>
        <w:t>submission.</w:t>
      </w:r>
    </w:p>
    <w:p>
      <w:pPr>
        <w:pStyle w:val="ListParagraph"/>
        <w:numPr>
          <w:ilvl w:val="1"/>
          <w:numId w:val="5"/>
        </w:numPr>
        <w:tabs>
          <w:tab w:pos="1933" w:val="left" w:leader="none"/>
        </w:tabs>
        <w:spacing w:line="240" w:lineRule="auto" w:before="0" w:after="0"/>
        <w:ind w:left="1932" w:right="128" w:hanging="360"/>
        <w:jc w:val="both"/>
        <w:rPr>
          <w:sz w:val="22"/>
        </w:rPr>
      </w:pPr>
      <w:r>
        <w:rPr>
          <w:sz w:val="22"/>
        </w:rPr>
        <w:t>Plans margins must be within 1.5% of what the parent organization makes on all lines of health insurance business or, in the absence of other lines of business, a corporate margin target.</w:t>
      </w:r>
    </w:p>
    <w:p>
      <w:pPr>
        <w:pStyle w:val="ListParagraph"/>
        <w:numPr>
          <w:ilvl w:val="1"/>
          <w:numId w:val="5"/>
        </w:numPr>
        <w:tabs>
          <w:tab w:pos="1933" w:val="left" w:leader="none"/>
        </w:tabs>
        <w:spacing w:line="240" w:lineRule="auto" w:before="2" w:after="0"/>
        <w:ind w:left="1932" w:right="134" w:hanging="360"/>
        <w:jc w:val="both"/>
        <w:rPr>
          <w:sz w:val="22"/>
        </w:rPr>
      </w:pPr>
      <w:r>
        <w:rPr>
          <w:sz w:val="22"/>
        </w:rPr>
        <w:t>Plans must keep margins relatively consistent from year to year which would limit a plan increasing margin significantly due to increased</w:t>
      </w:r>
      <w:r>
        <w:rPr>
          <w:spacing w:val="-17"/>
          <w:sz w:val="22"/>
        </w:rPr>
        <w:t> </w:t>
      </w:r>
      <w:r>
        <w:rPr>
          <w:sz w:val="22"/>
        </w:rPr>
        <w:t>revenue.</w:t>
      </w:r>
    </w:p>
    <w:p>
      <w:pPr>
        <w:pStyle w:val="BodyText"/>
        <w:spacing w:before="1"/>
      </w:pPr>
    </w:p>
    <w:p>
      <w:pPr>
        <w:spacing w:before="0"/>
        <w:ind w:left="132" w:right="0" w:firstLine="0"/>
        <w:jc w:val="left"/>
        <w:rPr>
          <w:b/>
          <w:sz w:val="24"/>
        </w:rPr>
      </w:pPr>
      <w:r>
        <w:rPr>
          <w:b/>
          <w:sz w:val="24"/>
          <w:u w:val="thick"/>
        </w:rPr>
        <w:t>Adding Value Based Health Care Metrics, Social Determinants of Health</w:t>
      </w:r>
    </w:p>
    <w:p>
      <w:pPr>
        <w:pStyle w:val="BodyText"/>
        <w:spacing w:before="10"/>
        <w:rPr>
          <w:b/>
          <w:sz w:val="13"/>
        </w:rPr>
      </w:pPr>
    </w:p>
    <w:p>
      <w:pPr>
        <w:pStyle w:val="BodyText"/>
        <w:spacing w:before="92"/>
        <w:ind w:left="132" w:right="128" w:firstLine="720"/>
        <w:jc w:val="both"/>
      </w:pPr>
      <w:r>
        <w:rPr/>
        <w:t>The</w:t>
      </w:r>
      <w:r>
        <w:rPr>
          <w:spacing w:val="-14"/>
        </w:rPr>
        <w:t> </w:t>
      </w:r>
      <w:r>
        <w:rPr/>
        <w:t>high</w:t>
      </w:r>
      <w:r>
        <w:rPr>
          <w:spacing w:val="-12"/>
        </w:rPr>
        <w:t> </w:t>
      </w:r>
      <w:r>
        <w:rPr/>
        <w:t>MA</w:t>
      </w:r>
      <w:r>
        <w:rPr>
          <w:spacing w:val="-12"/>
        </w:rPr>
        <w:t> </w:t>
      </w:r>
      <w:r>
        <w:rPr/>
        <w:t>penetration</w:t>
      </w:r>
      <w:r>
        <w:rPr>
          <w:spacing w:val="-12"/>
        </w:rPr>
        <w:t> </w:t>
      </w:r>
      <w:r>
        <w:rPr/>
        <w:t>in</w:t>
      </w:r>
      <w:r>
        <w:rPr>
          <w:spacing w:val="-14"/>
        </w:rPr>
        <w:t> </w:t>
      </w:r>
      <w:r>
        <w:rPr/>
        <w:t>Puerto</w:t>
      </w:r>
      <w:r>
        <w:rPr>
          <w:spacing w:val="-12"/>
        </w:rPr>
        <w:t> </w:t>
      </w:r>
      <w:r>
        <w:rPr/>
        <w:t>Rico</w:t>
      </w:r>
      <w:r>
        <w:rPr>
          <w:spacing w:val="-14"/>
        </w:rPr>
        <w:t> </w:t>
      </w:r>
      <w:r>
        <w:rPr/>
        <w:t>enables</w:t>
      </w:r>
      <w:r>
        <w:rPr>
          <w:spacing w:val="-14"/>
        </w:rPr>
        <w:t> </w:t>
      </w:r>
      <w:r>
        <w:rPr/>
        <w:t>testing</w:t>
      </w:r>
      <w:r>
        <w:rPr>
          <w:spacing w:val="-17"/>
        </w:rPr>
        <w:t> </w:t>
      </w:r>
      <w:r>
        <w:rPr/>
        <w:t>and</w:t>
      </w:r>
      <w:r>
        <w:rPr>
          <w:spacing w:val="-14"/>
        </w:rPr>
        <w:t> </w:t>
      </w:r>
      <w:r>
        <w:rPr/>
        <w:t>demonstrating</w:t>
      </w:r>
      <w:r>
        <w:rPr>
          <w:spacing w:val="-14"/>
        </w:rPr>
        <w:t> </w:t>
      </w:r>
      <w:r>
        <w:rPr/>
        <w:t>innovations</w:t>
      </w:r>
      <w:r>
        <w:rPr>
          <w:spacing w:val="-14"/>
        </w:rPr>
        <w:t> </w:t>
      </w:r>
      <w:r>
        <w:rPr/>
        <w:t>that</w:t>
      </w:r>
      <w:r>
        <w:rPr>
          <w:spacing w:val="-11"/>
        </w:rPr>
        <w:t> </w:t>
      </w:r>
      <w:r>
        <w:rPr/>
        <w:t>are</w:t>
      </w:r>
      <w:r>
        <w:rPr>
          <w:spacing w:val="-14"/>
        </w:rPr>
        <w:t> </w:t>
      </w:r>
      <w:r>
        <w:rPr/>
        <w:t>successful in improving access and quality of care while lowering total health care costs. A new benchmark will distribute funds to providers and ultimately beneficiaries that will likely involve unique payment methodologies and risk sharing</w:t>
      </w:r>
      <w:r>
        <w:rPr>
          <w:spacing w:val="-9"/>
        </w:rPr>
        <w:t> </w:t>
      </w:r>
      <w:r>
        <w:rPr/>
        <w:t>arrangements.</w:t>
      </w:r>
      <w:r>
        <w:rPr>
          <w:spacing w:val="43"/>
        </w:rPr>
        <w:t> </w:t>
      </w:r>
      <w:r>
        <w:rPr/>
        <w:t>The</w:t>
      </w:r>
      <w:r>
        <w:rPr>
          <w:spacing w:val="-8"/>
        </w:rPr>
        <w:t> </w:t>
      </w:r>
      <w:r>
        <w:rPr/>
        <w:t>Puerto</w:t>
      </w:r>
      <w:r>
        <w:rPr>
          <w:spacing w:val="-6"/>
        </w:rPr>
        <w:t> </w:t>
      </w:r>
      <w:r>
        <w:rPr/>
        <w:t>Rico</w:t>
      </w:r>
      <w:r>
        <w:rPr>
          <w:spacing w:val="-5"/>
        </w:rPr>
        <w:t> </w:t>
      </w:r>
      <w:r>
        <w:rPr/>
        <w:t>MA</w:t>
      </w:r>
      <w:r>
        <w:rPr>
          <w:spacing w:val="-7"/>
        </w:rPr>
        <w:t> </w:t>
      </w:r>
      <w:r>
        <w:rPr/>
        <w:t>plans</w:t>
      </w:r>
      <w:r>
        <w:rPr>
          <w:spacing w:val="-5"/>
        </w:rPr>
        <w:t> </w:t>
      </w:r>
      <w:r>
        <w:rPr/>
        <w:t>propose</w:t>
      </w:r>
      <w:r>
        <w:rPr>
          <w:spacing w:val="-5"/>
        </w:rPr>
        <w:t> </w:t>
      </w:r>
      <w:r>
        <w:rPr/>
        <w:t>to</w:t>
      </w:r>
      <w:r>
        <w:rPr>
          <w:spacing w:val="-6"/>
        </w:rPr>
        <w:t> </w:t>
      </w:r>
      <w:r>
        <w:rPr/>
        <w:t>work</w:t>
      </w:r>
      <w:r>
        <w:rPr>
          <w:spacing w:val="-9"/>
        </w:rPr>
        <w:t> </w:t>
      </w:r>
      <w:r>
        <w:rPr/>
        <w:t>with</w:t>
      </w:r>
      <w:r>
        <w:rPr>
          <w:spacing w:val="-6"/>
        </w:rPr>
        <w:t> </w:t>
      </w:r>
      <w:r>
        <w:rPr/>
        <w:t>CMS</w:t>
      </w:r>
      <w:r>
        <w:rPr>
          <w:spacing w:val="-9"/>
        </w:rPr>
        <w:t> </w:t>
      </w:r>
      <w:r>
        <w:rPr/>
        <w:t>to</w:t>
      </w:r>
      <w:r>
        <w:rPr>
          <w:spacing w:val="-9"/>
        </w:rPr>
        <w:t> </w:t>
      </w:r>
      <w:r>
        <w:rPr/>
        <w:t>introduce</w:t>
      </w:r>
      <w:r>
        <w:rPr>
          <w:spacing w:val="-6"/>
        </w:rPr>
        <w:t> </w:t>
      </w:r>
      <w:r>
        <w:rPr/>
        <w:t>parameters</w:t>
      </w:r>
      <w:r>
        <w:rPr>
          <w:spacing w:val="-8"/>
        </w:rPr>
        <w:t> </w:t>
      </w:r>
      <w:r>
        <w:rPr/>
        <w:t>to</w:t>
      </w:r>
      <w:r>
        <w:rPr>
          <w:spacing w:val="-6"/>
        </w:rPr>
        <w:t> </w:t>
      </w:r>
      <w:r>
        <w:rPr/>
        <w:t>measure outcomes that account for the social determinants of health. Puerto Rico MA beneficiaries may face structural, economic and physical barriers to their health care while providers seek strategies and opportunities to improve access and outcomes.      </w:t>
      </w:r>
      <w:r>
        <w:rPr>
          <w:spacing w:val="8"/>
        </w:rPr>
        <w:t> </w:t>
      </w:r>
      <w:r>
        <w:rPr/>
        <w:t>The revised MA benchmark would enable sustainable funding for health care services,</w:t>
      </w:r>
    </w:p>
    <w:p>
      <w:pPr>
        <w:spacing w:after="0"/>
        <w:jc w:val="both"/>
        <w:sectPr>
          <w:pgSz w:w="12240" w:h="15840"/>
          <w:pgMar w:header="0" w:footer="1015" w:top="1360" w:bottom="1200" w:left="1020" w:right="1020"/>
        </w:sectPr>
      </w:pPr>
    </w:p>
    <w:p>
      <w:pPr>
        <w:pStyle w:val="BodyText"/>
        <w:spacing w:before="79"/>
        <w:ind w:left="112" w:right="27"/>
      </w:pPr>
      <w:r>
        <w:rPr/>
        <w:t>access to care, care coordination, chronic disease prevention and management, health literacy, and outreach and education.</w:t>
      </w:r>
    </w:p>
    <w:p>
      <w:pPr>
        <w:pStyle w:val="BodyText"/>
      </w:pPr>
    </w:p>
    <w:p>
      <w:pPr>
        <w:pStyle w:val="BodyText"/>
        <w:ind w:left="112" w:right="109" w:firstLine="720"/>
        <w:jc w:val="both"/>
      </w:pPr>
      <w:r>
        <w:rPr/>
        <w:t>Naturally, these considerations must be evaluated within the scenario of the recovery from a natural disaster. CMS could define a path to a new AGA floor that takes MA levels to a level similar to the USVI, at least as a temporary recovery policy, that considers undefined data issues, and defines a monitoring process to closely measure the effects of the increase in benchmarks for beneficiaries and providers.</w:t>
      </w:r>
    </w:p>
    <w:p>
      <w:pPr>
        <w:spacing w:after="0"/>
        <w:jc w:val="both"/>
        <w:sectPr>
          <w:pgSz w:w="12240" w:h="15840"/>
          <w:pgMar w:header="0" w:footer="1015" w:top="1360" w:bottom="1200" w:left="1040" w:right="1040"/>
        </w:sectPr>
      </w:pPr>
    </w:p>
    <w:p>
      <w:pPr>
        <w:pStyle w:val="Heading1"/>
        <w:tabs>
          <w:tab w:pos="10098" w:val="left" w:leader="none"/>
        </w:tabs>
        <w:ind w:left="132"/>
      </w:pPr>
      <w:r>
        <w:rPr>
          <w:shd w:fill="D9D9D9" w:color="auto" w:val="clear"/>
        </w:rPr>
        <w:t>Section 5 – Selected Quotes from Supporting</w:t>
      </w:r>
      <w:r>
        <w:rPr>
          <w:spacing w:val="-14"/>
          <w:shd w:fill="D9D9D9" w:color="auto" w:val="clear"/>
        </w:rPr>
        <w:t> </w:t>
      </w:r>
      <w:r>
        <w:rPr>
          <w:shd w:fill="D9D9D9" w:color="auto" w:val="clear"/>
        </w:rPr>
        <w:t>Documentation</w:t>
        <w:tab/>
      </w:r>
    </w:p>
    <w:p>
      <w:pPr>
        <w:pStyle w:val="Heading3"/>
        <w:spacing w:before="158"/>
        <w:rPr>
          <w:u w:val="none"/>
        </w:rPr>
      </w:pPr>
      <w:r>
        <w:rPr>
          <w:u w:val="none"/>
        </w:rPr>
        <w:t>Analysis of Puerto Rico Fee-For-Service Medicare Experience</w:t>
      </w:r>
    </w:p>
    <w:p>
      <w:pPr>
        <w:spacing w:line="252" w:lineRule="exact" w:before="1"/>
        <w:ind w:left="132" w:right="0" w:firstLine="0"/>
        <w:jc w:val="left"/>
        <w:rPr>
          <w:b/>
          <w:sz w:val="22"/>
        </w:rPr>
      </w:pPr>
      <w:r>
        <w:rPr>
          <w:b/>
          <w:sz w:val="22"/>
        </w:rPr>
        <w:t>Implications for Setting Medicare Advantage Benchmarks (The Moran Company)</w:t>
      </w:r>
    </w:p>
    <w:p>
      <w:pPr>
        <w:spacing w:line="252" w:lineRule="exact" w:before="0"/>
        <w:ind w:left="132" w:right="0" w:firstLine="0"/>
        <w:jc w:val="left"/>
        <w:rPr>
          <w:sz w:val="22"/>
        </w:rPr>
      </w:pPr>
      <w:r>
        <w:rPr>
          <w:sz w:val="22"/>
        </w:rPr>
        <w:t>[…] (</w:t>
      </w:r>
      <w:r>
        <w:rPr>
          <w:i/>
          <w:sz w:val="22"/>
        </w:rPr>
        <w:t>In Appendix 1</w:t>
      </w:r>
      <w:r>
        <w:rPr>
          <w:sz w:val="22"/>
        </w:rPr>
        <w:t>)</w:t>
      </w:r>
    </w:p>
    <w:p>
      <w:pPr>
        <w:pStyle w:val="BodyText"/>
        <w:spacing w:before="1"/>
        <w:rPr>
          <w:sz w:val="20"/>
        </w:rPr>
      </w:pPr>
      <w:r>
        <w:rPr/>
        <w:pict>
          <v:shape style="position:absolute;margin-left:56.16pt;margin-top:12.749141pt;width:499.8pt;height:177.15pt;mso-position-horizontal-relative:page;mso-position-vertical-relative:paragraph;z-index:1936;mso-wrap-distance-left:0;mso-wrap-distance-right:0" type="#_x0000_t202" filled="true" fillcolor="#e1eed9" stroked="false">
            <v:textbox inset="0,0,0,0">
              <w:txbxContent>
                <w:p>
                  <w:pPr>
                    <w:spacing w:line="251" w:lineRule="exact" w:before="0"/>
                    <w:ind w:left="28" w:right="0" w:firstLine="0"/>
                    <w:jc w:val="both"/>
                    <w:rPr>
                      <w:b/>
                      <w:sz w:val="22"/>
                    </w:rPr>
                  </w:pPr>
                  <w:r>
                    <w:rPr>
                      <w:b/>
                      <w:sz w:val="22"/>
                    </w:rPr>
                    <w:t>Study Conclusions (Pages 2-3)</w:t>
                  </w:r>
                </w:p>
                <w:p>
                  <w:pPr>
                    <w:spacing w:before="0"/>
                    <w:ind w:left="28" w:right="26" w:firstLine="0"/>
                    <w:jc w:val="both"/>
                    <w:rPr>
                      <w:i/>
                      <w:sz w:val="22"/>
                    </w:rPr>
                  </w:pPr>
                  <w:r>
                    <w:rPr>
                      <w:i/>
                      <w:sz w:val="22"/>
                    </w:rPr>
                    <w:t>Evidence exists to argue that the eroding size of the FFS population, its characteristics, and utilization patterns </w:t>
                  </w:r>
                  <w:r>
                    <w:rPr>
                      <w:i/>
                      <w:sz w:val="22"/>
                    </w:rPr>
                    <w:t>are not representative of the much larger MA population and therefore do not provide a valid basis for MA benchmarks,</w:t>
                  </w:r>
                  <w:r>
                    <w:rPr>
                      <w:i/>
                      <w:spacing w:val="-9"/>
                      <w:sz w:val="22"/>
                    </w:rPr>
                    <w:t> </w:t>
                  </w:r>
                  <w:r>
                    <w:rPr>
                      <w:i/>
                      <w:sz w:val="22"/>
                    </w:rPr>
                    <w:t>which</w:t>
                  </w:r>
                  <w:r>
                    <w:rPr>
                      <w:i/>
                      <w:spacing w:val="-8"/>
                      <w:sz w:val="22"/>
                    </w:rPr>
                    <w:t> </w:t>
                  </w:r>
                  <w:r>
                    <w:rPr>
                      <w:i/>
                      <w:sz w:val="22"/>
                    </w:rPr>
                    <w:t>are</w:t>
                  </w:r>
                  <w:r>
                    <w:rPr>
                      <w:i/>
                      <w:spacing w:val="-8"/>
                      <w:sz w:val="22"/>
                    </w:rPr>
                    <w:t> </w:t>
                  </w:r>
                  <w:r>
                    <w:rPr>
                      <w:i/>
                      <w:sz w:val="22"/>
                    </w:rPr>
                    <w:t>intended</w:t>
                  </w:r>
                  <w:r>
                    <w:rPr>
                      <w:i/>
                      <w:spacing w:val="-8"/>
                      <w:sz w:val="22"/>
                    </w:rPr>
                    <w:t> </w:t>
                  </w:r>
                  <w:r>
                    <w:rPr>
                      <w:i/>
                      <w:sz w:val="22"/>
                    </w:rPr>
                    <w:t>to</w:t>
                  </w:r>
                  <w:r>
                    <w:rPr>
                      <w:i/>
                      <w:spacing w:val="-6"/>
                      <w:sz w:val="22"/>
                    </w:rPr>
                    <w:t> </w:t>
                  </w:r>
                  <w:r>
                    <w:rPr>
                      <w:i/>
                      <w:sz w:val="22"/>
                    </w:rPr>
                    <w:t>represent</w:t>
                  </w:r>
                  <w:r>
                    <w:rPr>
                      <w:i/>
                      <w:spacing w:val="-10"/>
                      <w:sz w:val="22"/>
                    </w:rPr>
                    <w:t> </w:t>
                  </w:r>
                  <w:r>
                    <w:rPr>
                      <w:i/>
                      <w:sz w:val="22"/>
                    </w:rPr>
                    <w:t>the</w:t>
                  </w:r>
                  <w:r>
                    <w:rPr>
                      <w:i/>
                      <w:spacing w:val="-8"/>
                      <w:sz w:val="22"/>
                    </w:rPr>
                    <w:t> </w:t>
                  </w:r>
                  <w:r>
                    <w:rPr>
                      <w:i/>
                      <w:sz w:val="22"/>
                    </w:rPr>
                    <w:t>average</w:t>
                  </w:r>
                  <w:r>
                    <w:rPr>
                      <w:i/>
                      <w:spacing w:val="-8"/>
                      <w:sz w:val="22"/>
                    </w:rPr>
                    <w:t> </w:t>
                  </w:r>
                  <w:r>
                    <w:rPr>
                      <w:i/>
                      <w:sz w:val="22"/>
                    </w:rPr>
                    <w:t>cost</w:t>
                  </w:r>
                  <w:r>
                    <w:rPr>
                      <w:i/>
                      <w:spacing w:val="-10"/>
                      <w:sz w:val="22"/>
                    </w:rPr>
                    <w:t> </w:t>
                  </w:r>
                  <w:r>
                    <w:rPr>
                      <w:i/>
                      <w:sz w:val="22"/>
                    </w:rPr>
                    <w:t>to</w:t>
                  </w:r>
                  <w:r>
                    <w:rPr>
                      <w:i/>
                      <w:spacing w:val="-9"/>
                      <w:sz w:val="22"/>
                    </w:rPr>
                    <w:t> </w:t>
                  </w:r>
                  <w:r>
                    <w:rPr>
                      <w:i/>
                      <w:sz w:val="22"/>
                    </w:rPr>
                    <w:t>Medicare</w:t>
                  </w:r>
                  <w:r>
                    <w:rPr>
                      <w:i/>
                      <w:spacing w:val="-8"/>
                      <w:sz w:val="22"/>
                    </w:rPr>
                    <w:t> </w:t>
                  </w:r>
                  <w:r>
                    <w:rPr>
                      <w:i/>
                      <w:sz w:val="22"/>
                    </w:rPr>
                    <w:t>of</w:t>
                  </w:r>
                  <w:r>
                    <w:rPr>
                      <w:i/>
                      <w:spacing w:val="-8"/>
                      <w:sz w:val="22"/>
                    </w:rPr>
                    <w:t> </w:t>
                  </w:r>
                  <w:r>
                    <w:rPr>
                      <w:i/>
                      <w:sz w:val="22"/>
                    </w:rPr>
                    <w:t>the</w:t>
                  </w:r>
                  <w:r>
                    <w:rPr>
                      <w:i/>
                      <w:spacing w:val="-8"/>
                      <w:sz w:val="22"/>
                    </w:rPr>
                    <w:t> </w:t>
                  </w:r>
                  <w:r>
                    <w:rPr>
                      <w:i/>
                      <w:sz w:val="22"/>
                    </w:rPr>
                    <w:t>FFS</w:t>
                  </w:r>
                  <w:r>
                    <w:rPr>
                      <w:i/>
                      <w:spacing w:val="-9"/>
                      <w:sz w:val="22"/>
                    </w:rPr>
                    <w:t> </w:t>
                  </w:r>
                  <w:r>
                    <w:rPr>
                      <w:i/>
                      <w:sz w:val="22"/>
                    </w:rPr>
                    <w:t>population</w:t>
                  </w:r>
                  <w:r>
                    <w:rPr>
                      <w:i/>
                      <w:spacing w:val="-11"/>
                      <w:sz w:val="22"/>
                    </w:rPr>
                    <w:t> </w:t>
                  </w:r>
                  <w:r>
                    <w:rPr>
                      <w:i/>
                      <w:sz w:val="22"/>
                    </w:rPr>
                    <w:t>in</w:t>
                  </w:r>
                  <w:r>
                    <w:rPr>
                      <w:i/>
                      <w:spacing w:val="-9"/>
                      <w:sz w:val="22"/>
                    </w:rPr>
                    <w:t> </w:t>
                  </w:r>
                  <w:r>
                    <w:rPr>
                      <w:i/>
                      <w:sz w:val="22"/>
                    </w:rPr>
                    <w:t>the</w:t>
                  </w:r>
                  <w:r>
                    <w:rPr>
                      <w:i/>
                      <w:spacing w:val="-8"/>
                      <w:sz w:val="22"/>
                    </w:rPr>
                    <w:t> </w:t>
                  </w:r>
                  <w:r>
                    <w:rPr>
                      <w:i/>
                      <w:sz w:val="22"/>
                    </w:rPr>
                    <w:t>area.</w:t>
                  </w:r>
                  <w:r>
                    <w:rPr>
                      <w:i/>
                      <w:spacing w:val="-11"/>
                      <w:sz w:val="22"/>
                    </w:rPr>
                    <w:t> </w:t>
                  </w:r>
                  <w:r>
                    <w:rPr>
                      <w:i/>
                      <w:sz w:val="22"/>
                    </w:rPr>
                    <w:t>Use of FFS experience as the basis for MA benchmarks assumes that MA enrollees are similar to FFS beneficiaires, or at least that there is no significant selection bias. This assumption is based on MA penetration that has historically been well below 70% nationwide. Puerto Rico’s extremely high MA penetration may eventually be matched elsewhere in the US. Selection bias is increasingly differentiating these two populations in PR. Furthermore, the price basis for FFS services and historical differences in services covered in PR compared to the mainland US (e.g., Part D low income subsidies not available in PR) have depressed historical FFS PMPM payments.</w:t>
                  </w:r>
                  <w:r>
                    <w:rPr>
                      <w:i/>
                      <w:spacing w:val="-5"/>
                      <w:sz w:val="22"/>
                    </w:rPr>
                    <w:t> </w:t>
                  </w:r>
                  <w:r>
                    <w:rPr>
                      <w:i/>
                      <w:sz w:val="22"/>
                    </w:rPr>
                    <w:t>While</w:t>
                  </w:r>
                  <w:r>
                    <w:rPr>
                      <w:i/>
                      <w:spacing w:val="-8"/>
                      <w:sz w:val="22"/>
                    </w:rPr>
                    <w:t> </w:t>
                  </w:r>
                  <w:r>
                    <w:rPr>
                      <w:i/>
                      <w:sz w:val="22"/>
                    </w:rPr>
                    <w:t>CMS</w:t>
                  </w:r>
                  <w:r>
                    <w:rPr>
                      <w:i/>
                      <w:spacing w:val="-6"/>
                      <w:sz w:val="22"/>
                    </w:rPr>
                    <w:t> </w:t>
                  </w:r>
                  <w:r>
                    <w:rPr>
                      <w:i/>
                      <w:sz w:val="22"/>
                    </w:rPr>
                    <w:t>has</w:t>
                  </w:r>
                  <w:r>
                    <w:rPr>
                      <w:i/>
                      <w:spacing w:val="-8"/>
                      <w:sz w:val="22"/>
                    </w:rPr>
                    <w:t> </w:t>
                  </w:r>
                  <w:r>
                    <w:rPr>
                      <w:i/>
                      <w:sz w:val="22"/>
                    </w:rPr>
                    <w:t>made</w:t>
                  </w:r>
                  <w:r>
                    <w:rPr>
                      <w:i/>
                      <w:spacing w:val="-6"/>
                      <w:sz w:val="22"/>
                    </w:rPr>
                    <w:t> </w:t>
                  </w:r>
                  <w:r>
                    <w:rPr>
                      <w:i/>
                      <w:sz w:val="22"/>
                    </w:rPr>
                    <w:t>some</w:t>
                  </w:r>
                  <w:r>
                    <w:rPr>
                      <w:i/>
                      <w:spacing w:val="-9"/>
                      <w:sz w:val="22"/>
                    </w:rPr>
                    <w:t> </w:t>
                  </w:r>
                  <w:r>
                    <w:rPr>
                      <w:i/>
                      <w:sz w:val="22"/>
                    </w:rPr>
                    <w:t>adjustments</w:t>
                  </w:r>
                  <w:r>
                    <w:rPr>
                      <w:i/>
                      <w:spacing w:val="-8"/>
                      <w:sz w:val="22"/>
                    </w:rPr>
                    <w:t> </w:t>
                  </w:r>
                  <w:r>
                    <w:rPr>
                      <w:i/>
                      <w:sz w:val="22"/>
                    </w:rPr>
                    <w:t>to</w:t>
                  </w:r>
                  <w:r>
                    <w:rPr>
                      <w:i/>
                      <w:spacing w:val="-9"/>
                      <w:sz w:val="22"/>
                    </w:rPr>
                    <w:t> </w:t>
                  </w:r>
                  <w:r>
                    <w:rPr>
                      <w:i/>
                      <w:sz w:val="22"/>
                    </w:rPr>
                    <w:t>correct</w:t>
                  </w:r>
                  <w:r>
                    <w:rPr>
                      <w:i/>
                      <w:spacing w:val="-8"/>
                      <w:sz w:val="22"/>
                    </w:rPr>
                    <w:t> </w:t>
                  </w:r>
                  <w:r>
                    <w:rPr>
                      <w:i/>
                      <w:sz w:val="22"/>
                    </w:rPr>
                    <w:t>for</w:t>
                  </w:r>
                  <w:r>
                    <w:rPr>
                      <w:i/>
                      <w:spacing w:val="-8"/>
                      <w:sz w:val="22"/>
                    </w:rPr>
                    <w:t> </w:t>
                  </w:r>
                  <w:r>
                    <w:rPr>
                      <w:i/>
                      <w:sz w:val="22"/>
                    </w:rPr>
                    <w:t>historically</w:t>
                  </w:r>
                  <w:r>
                    <w:rPr>
                      <w:i/>
                      <w:spacing w:val="-8"/>
                      <w:sz w:val="22"/>
                    </w:rPr>
                    <w:t> </w:t>
                  </w:r>
                  <w:r>
                    <w:rPr>
                      <w:i/>
                      <w:sz w:val="22"/>
                    </w:rPr>
                    <w:t>depressed</w:t>
                  </w:r>
                  <w:r>
                    <w:rPr>
                      <w:i/>
                      <w:spacing w:val="-8"/>
                      <w:sz w:val="22"/>
                    </w:rPr>
                    <w:t> </w:t>
                  </w:r>
                  <w:r>
                    <w:rPr>
                      <w:i/>
                      <w:sz w:val="22"/>
                    </w:rPr>
                    <w:t>payments</w:t>
                  </w:r>
                  <w:r>
                    <w:rPr>
                      <w:i/>
                      <w:spacing w:val="-8"/>
                      <w:sz w:val="22"/>
                    </w:rPr>
                    <w:t> </w:t>
                  </w:r>
                  <w:r>
                    <w:rPr>
                      <w:i/>
                      <w:sz w:val="22"/>
                    </w:rPr>
                    <w:t>to</w:t>
                  </w:r>
                  <w:r>
                    <w:rPr>
                      <w:i/>
                      <w:spacing w:val="-9"/>
                      <w:sz w:val="22"/>
                    </w:rPr>
                    <w:t> </w:t>
                  </w:r>
                  <w:r>
                    <w:rPr>
                      <w:i/>
                      <w:sz w:val="22"/>
                    </w:rPr>
                    <w:t>hospitals</w:t>
                  </w:r>
                  <w:r>
                    <w:rPr>
                      <w:i/>
                      <w:spacing w:val="-8"/>
                      <w:sz w:val="22"/>
                    </w:rPr>
                    <w:t> </w:t>
                  </w:r>
                  <w:r>
                    <w:rPr>
                      <w:i/>
                      <w:sz w:val="22"/>
                    </w:rPr>
                    <w:t>and physicians, other payments may remain depressed. The net effect of differences in utilization and demographics for</w:t>
                  </w:r>
                  <w:r>
                    <w:rPr>
                      <w:i/>
                      <w:spacing w:val="-9"/>
                      <w:sz w:val="22"/>
                    </w:rPr>
                    <w:t> </w:t>
                  </w:r>
                  <w:r>
                    <w:rPr>
                      <w:i/>
                      <w:sz w:val="22"/>
                    </w:rPr>
                    <w:t>the</w:t>
                  </w:r>
                  <w:r>
                    <w:rPr>
                      <w:i/>
                      <w:spacing w:val="-9"/>
                      <w:sz w:val="22"/>
                    </w:rPr>
                    <w:t> </w:t>
                  </w:r>
                  <w:r>
                    <w:rPr>
                      <w:i/>
                      <w:sz w:val="22"/>
                    </w:rPr>
                    <w:t>two</w:t>
                  </w:r>
                  <w:r>
                    <w:rPr>
                      <w:i/>
                      <w:spacing w:val="-10"/>
                      <w:sz w:val="22"/>
                    </w:rPr>
                    <w:t> </w:t>
                  </w:r>
                  <w:r>
                    <w:rPr>
                      <w:i/>
                      <w:sz w:val="22"/>
                    </w:rPr>
                    <w:t>populations,</w:t>
                  </w:r>
                  <w:r>
                    <w:rPr>
                      <w:i/>
                      <w:spacing w:val="-6"/>
                      <w:sz w:val="22"/>
                    </w:rPr>
                    <w:t> </w:t>
                  </w:r>
                  <w:r>
                    <w:rPr>
                      <w:i/>
                      <w:sz w:val="22"/>
                    </w:rPr>
                    <w:t>and</w:t>
                  </w:r>
                  <w:r>
                    <w:rPr>
                      <w:i/>
                      <w:spacing w:val="-7"/>
                      <w:sz w:val="22"/>
                    </w:rPr>
                    <w:t> </w:t>
                  </w:r>
                  <w:r>
                    <w:rPr>
                      <w:i/>
                      <w:sz w:val="22"/>
                    </w:rPr>
                    <w:t>historically</w:t>
                  </w:r>
                  <w:r>
                    <w:rPr>
                      <w:i/>
                      <w:spacing w:val="-7"/>
                      <w:sz w:val="22"/>
                    </w:rPr>
                    <w:t> </w:t>
                  </w:r>
                  <w:r>
                    <w:rPr>
                      <w:i/>
                      <w:sz w:val="22"/>
                    </w:rPr>
                    <w:t>depressed</w:t>
                  </w:r>
                  <w:r>
                    <w:rPr>
                      <w:i/>
                      <w:spacing w:val="-10"/>
                      <w:sz w:val="22"/>
                    </w:rPr>
                    <w:t> </w:t>
                  </w:r>
                  <w:r>
                    <w:rPr>
                      <w:i/>
                      <w:sz w:val="22"/>
                    </w:rPr>
                    <w:t>Medicare</w:t>
                  </w:r>
                  <w:r>
                    <w:rPr>
                      <w:i/>
                      <w:spacing w:val="-7"/>
                      <w:sz w:val="22"/>
                    </w:rPr>
                    <w:t> </w:t>
                  </w:r>
                  <w:r>
                    <w:rPr>
                      <w:i/>
                      <w:sz w:val="22"/>
                    </w:rPr>
                    <w:t>cost,</w:t>
                  </w:r>
                  <w:r>
                    <w:rPr>
                      <w:i/>
                      <w:spacing w:val="-7"/>
                      <w:sz w:val="22"/>
                    </w:rPr>
                    <w:t> </w:t>
                  </w:r>
                  <w:r>
                    <w:rPr>
                      <w:i/>
                      <w:sz w:val="22"/>
                    </w:rPr>
                    <w:t>leads</w:t>
                  </w:r>
                  <w:r>
                    <w:rPr>
                      <w:i/>
                      <w:spacing w:val="-9"/>
                      <w:sz w:val="22"/>
                    </w:rPr>
                    <w:t> </w:t>
                  </w:r>
                  <w:r>
                    <w:rPr>
                      <w:i/>
                      <w:sz w:val="22"/>
                    </w:rPr>
                    <w:t>to</w:t>
                  </w:r>
                  <w:r>
                    <w:rPr>
                      <w:i/>
                      <w:spacing w:val="-10"/>
                      <w:sz w:val="22"/>
                    </w:rPr>
                    <w:t> </w:t>
                  </w:r>
                  <w:r>
                    <w:rPr>
                      <w:i/>
                      <w:sz w:val="22"/>
                    </w:rPr>
                    <w:t>the</w:t>
                  </w:r>
                  <w:r>
                    <w:rPr>
                      <w:i/>
                      <w:spacing w:val="-7"/>
                      <w:sz w:val="22"/>
                    </w:rPr>
                    <w:t> </w:t>
                  </w:r>
                  <w:r>
                    <w:rPr>
                      <w:i/>
                      <w:sz w:val="22"/>
                    </w:rPr>
                    <w:t>conclusion</w:t>
                  </w:r>
                  <w:r>
                    <w:rPr>
                      <w:i/>
                      <w:spacing w:val="-10"/>
                      <w:sz w:val="22"/>
                    </w:rPr>
                    <w:t> </w:t>
                  </w:r>
                  <w:r>
                    <w:rPr>
                      <w:i/>
                      <w:sz w:val="22"/>
                    </w:rPr>
                    <w:t>that</w:t>
                  </w:r>
                  <w:r>
                    <w:rPr>
                      <w:i/>
                      <w:spacing w:val="-9"/>
                      <w:sz w:val="22"/>
                    </w:rPr>
                    <w:t> </w:t>
                  </w:r>
                  <w:r>
                    <w:rPr>
                      <w:i/>
                      <w:sz w:val="22"/>
                    </w:rPr>
                    <w:t>the</w:t>
                  </w:r>
                  <w:r>
                    <w:rPr>
                      <w:i/>
                      <w:spacing w:val="-7"/>
                      <w:sz w:val="22"/>
                    </w:rPr>
                    <w:t> </w:t>
                  </w:r>
                  <w:r>
                    <w:rPr>
                      <w:i/>
                      <w:sz w:val="22"/>
                    </w:rPr>
                    <w:t>FFS</w:t>
                  </w:r>
                  <w:r>
                    <w:rPr>
                      <w:i/>
                      <w:spacing w:val="-7"/>
                      <w:sz w:val="22"/>
                    </w:rPr>
                    <w:t> </w:t>
                  </w:r>
                  <w:r>
                    <w:rPr>
                      <w:i/>
                      <w:sz w:val="22"/>
                    </w:rPr>
                    <w:t>utilization under-estimates appropriate benchmarks for MA.</w:t>
                  </w:r>
                  <w:r>
                    <w:rPr>
                      <w:i/>
                      <w:spacing w:val="-14"/>
                      <w:sz w:val="22"/>
                    </w:rPr>
                    <w:t> </w:t>
                  </w:r>
                  <w:r>
                    <w:rPr>
                      <w:i/>
                      <w:sz w:val="22"/>
                    </w:rPr>
                    <w:t>[…]</w:t>
                  </w:r>
                </w:p>
              </w:txbxContent>
            </v:textbox>
            <v:fill type="solid"/>
            <w10:wrap type="topAndBottom"/>
          </v:shape>
        </w:pict>
      </w:r>
    </w:p>
    <w:p>
      <w:pPr>
        <w:pStyle w:val="BodyText"/>
        <w:rPr>
          <w:sz w:val="20"/>
        </w:rPr>
      </w:pPr>
    </w:p>
    <w:p>
      <w:pPr>
        <w:pStyle w:val="BodyText"/>
        <w:rPr>
          <w:sz w:val="20"/>
        </w:rPr>
      </w:pPr>
    </w:p>
    <w:p>
      <w:pPr>
        <w:pStyle w:val="BodyText"/>
        <w:spacing w:before="6"/>
        <w:rPr>
          <w:sz w:val="16"/>
        </w:rPr>
      </w:pPr>
    </w:p>
    <w:p>
      <w:pPr>
        <w:pStyle w:val="Heading4"/>
        <w:spacing w:before="92"/>
        <w:ind w:left="420" w:right="807" w:firstLine="55"/>
      </w:pPr>
      <w:r>
        <w:rPr>
          <w:i w:val="0"/>
        </w:rPr>
        <w:t>“Puerto Rico Medicare Advantage and </w:t>
      </w:r>
      <w:r>
        <w:rPr>
          <w:i/>
        </w:rPr>
        <w:t>Prescription Drug (MAPD) plans have consistently had a </w:t>
      </w:r>
      <w:r>
        <w:rPr/>
        <w:t>lower profit margin compared to the national average for all MAPD plans from 2012 to 2016.”</w:t>
      </w:r>
    </w:p>
    <w:p>
      <w:pPr>
        <w:spacing w:line="252" w:lineRule="exact" w:before="1"/>
        <w:ind w:left="0" w:right="876" w:firstLine="0"/>
        <w:jc w:val="right"/>
        <w:rPr>
          <w:i/>
          <w:sz w:val="22"/>
        </w:rPr>
      </w:pPr>
      <w:r>
        <w:rPr>
          <w:i/>
          <w:sz w:val="22"/>
        </w:rPr>
        <w:t>Milliman Analysis, January 2018</w:t>
      </w:r>
    </w:p>
    <w:p>
      <w:pPr>
        <w:spacing w:line="252" w:lineRule="exact" w:before="0"/>
        <w:ind w:left="8108" w:right="0" w:firstLine="0"/>
        <w:jc w:val="left"/>
        <w:rPr>
          <w:i/>
          <w:sz w:val="22"/>
        </w:rPr>
      </w:pPr>
      <w:r>
        <w:rPr>
          <w:i/>
          <w:sz w:val="22"/>
        </w:rPr>
        <w:t>(Appendix 3)</w:t>
      </w:r>
    </w:p>
    <w:p>
      <w:pPr>
        <w:pStyle w:val="BodyText"/>
        <w:rPr>
          <w:i/>
          <w:sz w:val="20"/>
        </w:rPr>
      </w:pPr>
    </w:p>
    <w:p>
      <w:pPr>
        <w:pStyle w:val="BodyText"/>
        <w:spacing w:before="7"/>
        <w:rPr>
          <w:i/>
          <w:sz w:val="20"/>
        </w:rPr>
      </w:pPr>
      <w:r>
        <w:rPr/>
        <w:pict>
          <v:group style="position:absolute;margin-left:66.949997pt;margin-top:13.839465pt;width:431.15pt;height:90.45pt;mso-position-horizontal-relative:page;mso-position-vertical-relative:paragraph;z-index:1960;mso-wrap-distance-left:0;mso-wrap-distance-right:0" coordorigin="1339,277" coordsize="8623,1809">
            <v:shape style="position:absolute;left:1440;top:277;width:7970;height:1809" type="#_x0000_t75" stroked="false">
              <v:imagedata r:id="rId27" o:title=""/>
            </v:shape>
            <v:rect style="position:absolute;left:1339;top:410;width:2703;height:445" filled="true" fillcolor="#ffffff" stroked="false">
              <v:fill type="solid"/>
            </v:rect>
            <v:rect style="position:absolute;left:3860;top:283;width:6102;height:342" filled="true" fillcolor="#ffffff" stroked="false">
              <v:fill type="solid"/>
            </v:rect>
            <w10:wrap type="topAndBottom"/>
          </v:group>
        </w:pict>
      </w:r>
    </w:p>
    <w:p>
      <w:pPr>
        <w:pStyle w:val="Heading4"/>
        <w:spacing w:line="223" w:lineRule="exact"/>
        <w:ind w:left="4174"/>
        <w:rPr>
          <w:i/>
        </w:rPr>
      </w:pPr>
      <w:r>
        <w:rPr>
          <w:i/>
        </w:rPr>
        <w:t>Governor of Puerto Rico Ricardo Rossello, January 2018</w:t>
      </w:r>
    </w:p>
    <w:p>
      <w:pPr>
        <w:spacing w:line="252" w:lineRule="exact" w:before="0"/>
        <w:ind w:left="0" w:right="944" w:firstLine="0"/>
        <w:jc w:val="right"/>
        <w:rPr>
          <w:i/>
          <w:sz w:val="22"/>
        </w:rPr>
      </w:pPr>
      <w:r>
        <w:rPr>
          <w:i/>
          <w:sz w:val="22"/>
        </w:rPr>
        <w:t>(Appendix 4)</w:t>
      </w:r>
    </w:p>
    <w:p>
      <w:pPr>
        <w:pStyle w:val="BodyText"/>
        <w:rPr>
          <w:i/>
          <w:sz w:val="20"/>
        </w:rPr>
      </w:pPr>
    </w:p>
    <w:p>
      <w:pPr>
        <w:pStyle w:val="BodyText"/>
        <w:rPr>
          <w:i/>
          <w:sz w:val="20"/>
        </w:rPr>
      </w:pPr>
    </w:p>
    <w:p>
      <w:pPr>
        <w:pStyle w:val="BodyText"/>
        <w:spacing w:before="7"/>
        <w:rPr>
          <w:i/>
        </w:rPr>
      </w:pPr>
      <w:r>
        <w:rPr/>
        <w:drawing>
          <wp:anchor distT="0" distB="0" distL="0" distR="0" allowOverlap="1" layoutInCell="1" locked="0" behindDoc="0" simplePos="0" relativeHeight="1984">
            <wp:simplePos x="0" y="0"/>
            <wp:positionH relativeFrom="page">
              <wp:posOffset>914400</wp:posOffset>
            </wp:positionH>
            <wp:positionV relativeFrom="paragraph">
              <wp:posOffset>190405</wp:posOffset>
            </wp:positionV>
            <wp:extent cx="5521822" cy="734187"/>
            <wp:effectExtent l="0" t="0" r="0" b="0"/>
            <wp:wrapTopAndBottom/>
            <wp:docPr id="23" name="image16.jpeg" descr=""/>
            <wp:cNvGraphicFramePr>
              <a:graphicFrameLocks noChangeAspect="1"/>
            </wp:cNvGraphicFramePr>
            <a:graphic>
              <a:graphicData uri="http://schemas.openxmlformats.org/drawingml/2006/picture">
                <pic:pic>
                  <pic:nvPicPr>
                    <pic:cNvPr id="24" name="image16.jpeg"/>
                    <pic:cNvPicPr/>
                  </pic:nvPicPr>
                  <pic:blipFill>
                    <a:blip r:embed="rId28" cstate="print"/>
                    <a:stretch>
                      <a:fillRect/>
                    </a:stretch>
                  </pic:blipFill>
                  <pic:spPr>
                    <a:xfrm>
                      <a:off x="0" y="0"/>
                      <a:ext cx="5521822" cy="734187"/>
                    </a:xfrm>
                    <a:prstGeom prst="rect">
                      <a:avLst/>
                    </a:prstGeom>
                  </pic:spPr>
                </pic:pic>
              </a:graphicData>
            </a:graphic>
          </wp:anchor>
        </w:drawing>
      </w:r>
    </w:p>
    <w:p>
      <w:pPr>
        <w:pStyle w:val="Heading4"/>
        <w:spacing w:line="238" w:lineRule="exact"/>
        <w:ind w:left="2623"/>
        <w:rPr>
          <w:i/>
        </w:rPr>
      </w:pPr>
      <w:r>
        <w:rPr>
          <w:i/>
        </w:rPr>
        <w:t>Jennifer Gonzalez and 16 US Representatives, December 18, 2017</w:t>
      </w:r>
    </w:p>
    <w:p>
      <w:pPr>
        <w:spacing w:line="252" w:lineRule="exact" w:before="0"/>
        <w:ind w:left="0" w:right="945" w:firstLine="0"/>
        <w:jc w:val="right"/>
        <w:rPr>
          <w:i/>
          <w:sz w:val="22"/>
        </w:rPr>
      </w:pPr>
      <w:r>
        <w:rPr>
          <w:i/>
          <w:sz w:val="22"/>
        </w:rPr>
        <w:t>(Appendix 5)</w:t>
      </w:r>
    </w:p>
    <w:sectPr>
      <w:pgSz w:w="12240" w:h="15840"/>
      <w:pgMar w:header="0" w:footer="1015" w:top="1380" w:bottom="120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 w:name="Cambria">
    <w:altName w:val="Cambria"/>
    <w:charset w:val="0"/>
    <w:family w:val="roman"/>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6.599998pt;margin-top:730.260498pt;width:276.650pt;height:13.05pt;mso-position-horizontal-relative:page;mso-position-vertical-relative:page;z-index:-22048" type="#_x0000_t202" filled="false" stroked="false">
          <v:textbox inset="0,0,0,0">
            <w:txbxContent>
              <w:p>
                <w:pPr>
                  <w:spacing w:before="10"/>
                  <w:ind w:left="20" w:right="0" w:firstLine="0"/>
                  <w:jc w:val="left"/>
                  <w:rPr>
                    <w:i/>
                    <w:sz w:val="20"/>
                  </w:rPr>
                </w:pPr>
                <w:r>
                  <w:rPr>
                    <w:i/>
                    <w:sz w:val="20"/>
                  </w:rPr>
                  <w:t>Comments to CMS Advance Notice 2019 from MMAPA, Puerto Rico</w:t>
                </w:r>
              </w:p>
            </w:txbxContent>
          </v:textbox>
          <w10:wrap type="none"/>
        </v:shape>
      </w:pict>
    </w:r>
    <w:r>
      <w:rPr/>
      <w:pict>
        <v:shape style="position:absolute;margin-left:473.429993pt;margin-top:730.260498pt;width:57.95pt;height:13.05pt;mso-position-horizontal-relative:page;mso-position-vertical-relative:page;z-index:-22024" type="#_x0000_t202" filled="false" stroked="false">
          <v:textbox inset="0,0,0,0">
            <w:txbxContent>
              <w:p>
                <w:pPr>
                  <w:spacing w:before="10"/>
                  <w:ind w:left="20" w:right="0" w:firstLine="0"/>
                  <w:jc w:val="left"/>
                  <w:rPr>
                    <w:i/>
                    <w:sz w:val="20"/>
                  </w:rPr>
                </w:pPr>
                <w:r>
                  <w:rPr>
                    <w:i/>
                    <w:sz w:val="20"/>
                  </w:rPr>
                  <w:t>Page </w:t>
                </w:r>
                <w:r>
                  <w:rPr/>
                  <w:fldChar w:fldCharType="begin"/>
                </w:r>
                <w:r>
                  <w:rPr>
                    <w:i/>
                    <w:sz w:val="20"/>
                  </w:rPr>
                  <w:instrText> PAGE </w:instrText>
                </w:r>
                <w:r>
                  <w:rPr/>
                  <w:fldChar w:fldCharType="separate"/>
                </w:r>
                <w:r>
                  <w:rPr/>
                  <w:t>10</w:t>
                </w:r>
                <w:r>
                  <w:rPr/>
                  <w:fldChar w:fldCharType="end"/>
                </w:r>
                <w:r>
                  <w:rPr>
                    <w:i/>
                    <w:sz w:val="20"/>
                  </w:rPr>
                  <w:t> of 19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344" w:hanging="492"/>
        <w:jc w:val="left"/>
      </w:pPr>
      <w:rPr>
        <w:rFonts w:hint="default" w:ascii="Times New Roman" w:hAnsi="Times New Roman" w:eastAsia="Times New Roman" w:cs="Times New Roman"/>
        <w:b/>
        <w:bCs/>
        <w:w w:val="100"/>
        <w:sz w:val="22"/>
        <w:szCs w:val="22"/>
      </w:rPr>
    </w:lvl>
    <w:lvl w:ilvl="1">
      <w:start w:val="1"/>
      <w:numFmt w:val="lowerLetter"/>
      <w:lvlText w:val="%2."/>
      <w:lvlJc w:val="left"/>
      <w:pPr>
        <w:ind w:left="1932" w:hanging="360"/>
        <w:jc w:val="left"/>
      </w:pPr>
      <w:rPr>
        <w:rFonts w:hint="default" w:ascii="Times New Roman" w:hAnsi="Times New Roman" w:eastAsia="Times New Roman" w:cs="Times New Roman"/>
        <w:w w:val="100"/>
        <w:sz w:val="22"/>
        <w:szCs w:val="22"/>
      </w:rPr>
    </w:lvl>
    <w:lvl w:ilvl="2">
      <w:start w:val="0"/>
      <w:numFmt w:val="bullet"/>
      <w:lvlText w:val="•"/>
      <w:lvlJc w:val="left"/>
      <w:pPr>
        <w:ind w:left="2857" w:hanging="360"/>
      </w:pPr>
      <w:rPr>
        <w:rFonts w:hint="default"/>
      </w:rPr>
    </w:lvl>
    <w:lvl w:ilvl="3">
      <w:start w:val="0"/>
      <w:numFmt w:val="bullet"/>
      <w:lvlText w:val="•"/>
      <w:lvlJc w:val="left"/>
      <w:pPr>
        <w:ind w:left="3775" w:hanging="360"/>
      </w:pPr>
      <w:rPr>
        <w:rFonts w:hint="default"/>
      </w:rPr>
    </w:lvl>
    <w:lvl w:ilvl="4">
      <w:start w:val="0"/>
      <w:numFmt w:val="bullet"/>
      <w:lvlText w:val="•"/>
      <w:lvlJc w:val="left"/>
      <w:pPr>
        <w:ind w:left="4693" w:hanging="360"/>
      </w:pPr>
      <w:rPr>
        <w:rFonts w:hint="default"/>
      </w:rPr>
    </w:lvl>
    <w:lvl w:ilvl="5">
      <w:start w:val="0"/>
      <w:numFmt w:val="bullet"/>
      <w:lvlText w:val="•"/>
      <w:lvlJc w:val="left"/>
      <w:pPr>
        <w:ind w:left="5611" w:hanging="360"/>
      </w:pPr>
      <w:rPr>
        <w:rFonts w:hint="default"/>
      </w:rPr>
    </w:lvl>
    <w:lvl w:ilvl="6">
      <w:start w:val="0"/>
      <w:numFmt w:val="bullet"/>
      <w:lvlText w:val="•"/>
      <w:lvlJc w:val="left"/>
      <w:pPr>
        <w:ind w:left="6528" w:hanging="360"/>
      </w:pPr>
      <w:rPr>
        <w:rFonts w:hint="default"/>
      </w:rPr>
    </w:lvl>
    <w:lvl w:ilvl="7">
      <w:start w:val="0"/>
      <w:numFmt w:val="bullet"/>
      <w:lvlText w:val="•"/>
      <w:lvlJc w:val="left"/>
      <w:pPr>
        <w:ind w:left="7446" w:hanging="360"/>
      </w:pPr>
      <w:rPr>
        <w:rFonts w:hint="default"/>
      </w:rPr>
    </w:lvl>
    <w:lvl w:ilvl="8">
      <w:start w:val="0"/>
      <w:numFmt w:val="bullet"/>
      <w:lvlText w:val="•"/>
      <w:lvlJc w:val="left"/>
      <w:pPr>
        <w:ind w:left="8364" w:hanging="360"/>
      </w:pPr>
      <w:rPr>
        <w:rFonts w:hint="default"/>
      </w:rPr>
    </w:lvl>
  </w:abstractNum>
  <w:abstractNum w:abstractNumId="3">
    <w:multiLevelType w:val="hybridMultilevel"/>
    <w:lvl w:ilvl="0">
      <w:start w:val="1"/>
      <w:numFmt w:val="decimal"/>
      <w:lvlText w:val="%1."/>
      <w:lvlJc w:val="left"/>
      <w:pPr>
        <w:ind w:left="878" w:hanging="360"/>
        <w:jc w:val="left"/>
      </w:pPr>
      <w:rPr>
        <w:rFonts w:hint="default" w:ascii="Times New Roman" w:hAnsi="Times New Roman" w:eastAsia="Times New Roman" w:cs="Times New Roman"/>
        <w:b/>
        <w:bCs/>
        <w:w w:val="100"/>
        <w:sz w:val="22"/>
        <w:szCs w:val="22"/>
      </w:rPr>
    </w:lvl>
    <w:lvl w:ilvl="1">
      <w:start w:val="0"/>
      <w:numFmt w:val="bullet"/>
      <w:lvlText w:val="•"/>
      <w:lvlJc w:val="left"/>
      <w:pPr>
        <w:ind w:left="1808" w:hanging="360"/>
      </w:pPr>
      <w:rPr>
        <w:rFonts w:hint="default"/>
      </w:rPr>
    </w:lvl>
    <w:lvl w:ilvl="2">
      <w:start w:val="0"/>
      <w:numFmt w:val="bullet"/>
      <w:lvlText w:val="•"/>
      <w:lvlJc w:val="left"/>
      <w:pPr>
        <w:ind w:left="2736" w:hanging="360"/>
      </w:pPr>
      <w:rPr>
        <w:rFonts w:hint="default"/>
      </w:rPr>
    </w:lvl>
    <w:lvl w:ilvl="3">
      <w:start w:val="0"/>
      <w:numFmt w:val="bullet"/>
      <w:lvlText w:val="•"/>
      <w:lvlJc w:val="left"/>
      <w:pPr>
        <w:ind w:left="3664" w:hanging="360"/>
      </w:pPr>
      <w:rPr>
        <w:rFonts w:hint="default"/>
      </w:rPr>
    </w:lvl>
    <w:lvl w:ilvl="4">
      <w:start w:val="0"/>
      <w:numFmt w:val="bullet"/>
      <w:lvlText w:val="•"/>
      <w:lvlJc w:val="left"/>
      <w:pPr>
        <w:ind w:left="4592" w:hanging="360"/>
      </w:pPr>
      <w:rPr>
        <w:rFonts w:hint="default"/>
      </w:rPr>
    </w:lvl>
    <w:lvl w:ilvl="5">
      <w:start w:val="0"/>
      <w:numFmt w:val="bullet"/>
      <w:lvlText w:val="•"/>
      <w:lvlJc w:val="left"/>
      <w:pPr>
        <w:ind w:left="5520" w:hanging="360"/>
      </w:pPr>
      <w:rPr>
        <w:rFonts w:hint="default"/>
      </w:rPr>
    </w:lvl>
    <w:lvl w:ilvl="6">
      <w:start w:val="0"/>
      <w:numFmt w:val="bullet"/>
      <w:lvlText w:val="•"/>
      <w:lvlJc w:val="left"/>
      <w:pPr>
        <w:ind w:left="6448" w:hanging="360"/>
      </w:pPr>
      <w:rPr>
        <w:rFonts w:hint="default"/>
      </w:rPr>
    </w:lvl>
    <w:lvl w:ilvl="7">
      <w:start w:val="0"/>
      <w:numFmt w:val="bullet"/>
      <w:lvlText w:val="•"/>
      <w:lvlJc w:val="left"/>
      <w:pPr>
        <w:ind w:left="7376" w:hanging="360"/>
      </w:pPr>
      <w:rPr>
        <w:rFonts w:hint="default"/>
      </w:rPr>
    </w:lvl>
    <w:lvl w:ilvl="8">
      <w:start w:val="0"/>
      <w:numFmt w:val="bullet"/>
      <w:lvlText w:val="•"/>
      <w:lvlJc w:val="left"/>
      <w:pPr>
        <w:ind w:left="8304" w:hanging="360"/>
      </w:pPr>
      <w:rPr>
        <w:rFonts w:hint="default"/>
      </w:rPr>
    </w:lvl>
  </w:abstractNum>
  <w:abstractNum w:abstractNumId="2">
    <w:multiLevelType w:val="hybridMultilevel"/>
    <w:lvl w:ilvl="0">
      <w:start w:val="1"/>
      <w:numFmt w:val="decimal"/>
      <w:lvlText w:val="%1."/>
      <w:lvlJc w:val="left"/>
      <w:pPr>
        <w:ind w:left="852" w:hanging="360"/>
        <w:jc w:val="right"/>
      </w:pPr>
      <w:rPr>
        <w:rFonts w:hint="default" w:ascii="Times New Roman" w:hAnsi="Times New Roman" w:eastAsia="Times New Roman" w:cs="Times New Roman"/>
        <w:b/>
        <w:bCs/>
        <w:w w:val="100"/>
        <w:sz w:val="22"/>
        <w:szCs w:val="22"/>
      </w:rPr>
    </w:lvl>
    <w:lvl w:ilvl="1">
      <w:start w:val="0"/>
      <w:numFmt w:val="bullet"/>
      <w:lvlText w:val="•"/>
      <w:lvlJc w:val="left"/>
      <w:pPr>
        <w:ind w:left="1794" w:hanging="360"/>
      </w:pPr>
      <w:rPr>
        <w:rFonts w:hint="default"/>
      </w:rPr>
    </w:lvl>
    <w:lvl w:ilvl="2">
      <w:start w:val="0"/>
      <w:numFmt w:val="bullet"/>
      <w:lvlText w:val="•"/>
      <w:lvlJc w:val="left"/>
      <w:pPr>
        <w:ind w:left="2728" w:hanging="360"/>
      </w:pPr>
      <w:rPr>
        <w:rFonts w:hint="default"/>
      </w:rPr>
    </w:lvl>
    <w:lvl w:ilvl="3">
      <w:start w:val="0"/>
      <w:numFmt w:val="bullet"/>
      <w:lvlText w:val="•"/>
      <w:lvlJc w:val="left"/>
      <w:pPr>
        <w:ind w:left="3662" w:hanging="360"/>
      </w:pPr>
      <w:rPr>
        <w:rFonts w:hint="default"/>
      </w:rPr>
    </w:lvl>
    <w:lvl w:ilvl="4">
      <w:start w:val="0"/>
      <w:numFmt w:val="bullet"/>
      <w:lvlText w:val="•"/>
      <w:lvlJc w:val="left"/>
      <w:pPr>
        <w:ind w:left="4596" w:hanging="360"/>
      </w:pPr>
      <w:rPr>
        <w:rFonts w:hint="default"/>
      </w:rPr>
    </w:lvl>
    <w:lvl w:ilvl="5">
      <w:start w:val="0"/>
      <w:numFmt w:val="bullet"/>
      <w:lvlText w:val="•"/>
      <w:lvlJc w:val="left"/>
      <w:pPr>
        <w:ind w:left="5530" w:hanging="360"/>
      </w:pPr>
      <w:rPr>
        <w:rFonts w:hint="default"/>
      </w:rPr>
    </w:lvl>
    <w:lvl w:ilvl="6">
      <w:start w:val="0"/>
      <w:numFmt w:val="bullet"/>
      <w:lvlText w:val="•"/>
      <w:lvlJc w:val="left"/>
      <w:pPr>
        <w:ind w:left="6464" w:hanging="360"/>
      </w:pPr>
      <w:rPr>
        <w:rFonts w:hint="default"/>
      </w:rPr>
    </w:lvl>
    <w:lvl w:ilvl="7">
      <w:start w:val="0"/>
      <w:numFmt w:val="bullet"/>
      <w:lvlText w:val="•"/>
      <w:lvlJc w:val="left"/>
      <w:pPr>
        <w:ind w:left="7398" w:hanging="360"/>
      </w:pPr>
      <w:rPr>
        <w:rFonts w:hint="default"/>
      </w:rPr>
    </w:lvl>
    <w:lvl w:ilvl="8">
      <w:start w:val="0"/>
      <w:numFmt w:val="bullet"/>
      <w:lvlText w:val="•"/>
      <w:lvlJc w:val="left"/>
      <w:pPr>
        <w:ind w:left="8332" w:hanging="360"/>
      </w:pPr>
      <w:rPr>
        <w:rFonts w:hint="default"/>
      </w:rPr>
    </w:lvl>
  </w:abstractNum>
  <w:abstractNum w:abstractNumId="1">
    <w:multiLevelType w:val="hybridMultilevel"/>
    <w:lvl w:ilvl="0">
      <w:start w:val="2"/>
      <w:numFmt w:val="decimal"/>
      <w:lvlText w:val="(%1)"/>
      <w:lvlJc w:val="left"/>
      <w:pPr>
        <w:ind w:left="112" w:hanging="332"/>
        <w:jc w:val="left"/>
      </w:pPr>
      <w:rPr>
        <w:rFonts w:hint="default" w:ascii="Times New Roman" w:hAnsi="Times New Roman" w:eastAsia="Times New Roman" w:cs="Times New Roman"/>
        <w:b/>
        <w:bCs/>
        <w:w w:val="100"/>
        <w:sz w:val="22"/>
        <w:szCs w:val="22"/>
      </w:rPr>
    </w:lvl>
    <w:lvl w:ilvl="1">
      <w:start w:val="1"/>
      <w:numFmt w:val="decimal"/>
      <w:lvlText w:val="%2."/>
      <w:lvlJc w:val="left"/>
      <w:pPr>
        <w:ind w:left="852" w:hanging="360"/>
        <w:jc w:val="left"/>
      </w:pPr>
      <w:rPr>
        <w:rFonts w:hint="default" w:ascii="Times New Roman" w:hAnsi="Times New Roman" w:eastAsia="Times New Roman" w:cs="Times New Roman"/>
        <w:b/>
        <w:bCs/>
        <w:w w:val="100"/>
        <w:sz w:val="22"/>
        <w:szCs w:val="22"/>
      </w:rPr>
    </w:lvl>
    <w:lvl w:ilvl="2">
      <w:start w:val="0"/>
      <w:numFmt w:val="bullet"/>
      <w:lvlText w:val="•"/>
      <w:lvlJc w:val="left"/>
      <w:pPr>
        <w:ind w:left="1893" w:hanging="360"/>
      </w:pPr>
      <w:rPr>
        <w:rFonts w:hint="default"/>
      </w:rPr>
    </w:lvl>
    <w:lvl w:ilvl="3">
      <w:start w:val="0"/>
      <w:numFmt w:val="bullet"/>
      <w:lvlText w:val="•"/>
      <w:lvlJc w:val="left"/>
      <w:pPr>
        <w:ind w:left="2926" w:hanging="360"/>
      </w:pPr>
      <w:rPr>
        <w:rFonts w:hint="default"/>
      </w:rPr>
    </w:lvl>
    <w:lvl w:ilvl="4">
      <w:start w:val="0"/>
      <w:numFmt w:val="bullet"/>
      <w:lvlText w:val="•"/>
      <w:lvlJc w:val="left"/>
      <w:pPr>
        <w:ind w:left="3960" w:hanging="360"/>
      </w:pPr>
      <w:rPr>
        <w:rFonts w:hint="default"/>
      </w:rPr>
    </w:lvl>
    <w:lvl w:ilvl="5">
      <w:start w:val="0"/>
      <w:numFmt w:val="bullet"/>
      <w:lvlText w:val="•"/>
      <w:lvlJc w:val="left"/>
      <w:pPr>
        <w:ind w:left="4993" w:hanging="360"/>
      </w:pPr>
      <w:rPr>
        <w:rFonts w:hint="default"/>
      </w:rPr>
    </w:lvl>
    <w:lvl w:ilvl="6">
      <w:start w:val="0"/>
      <w:numFmt w:val="bullet"/>
      <w:lvlText w:val="•"/>
      <w:lvlJc w:val="left"/>
      <w:pPr>
        <w:ind w:left="6026" w:hanging="360"/>
      </w:pPr>
      <w:rPr>
        <w:rFonts w:hint="default"/>
      </w:rPr>
    </w:lvl>
    <w:lvl w:ilvl="7">
      <w:start w:val="0"/>
      <w:numFmt w:val="bullet"/>
      <w:lvlText w:val="•"/>
      <w:lvlJc w:val="left"/>
      <w:pPr>
        <w:ind w:left="7060" w:hanging="360"/>
      </w:pPr>
      <w:rPr>
        <w:rFonts w:hint="default"/>
      </w:rPr>
    </w:lvl>
    <w:lvl w:ilvl="8">
      <w:start w:val="0"/>
      <w:numFmt w:val="bullet"/>
      <w:lvlText w:val="•"/>
      <w:lvlJc w:val="left"/>
      <w:pPr>
        <w:ind w:left="8093" w:hanging="360"/>
      </w:pPr>
      <w:rPr>
        <w:rFonts w:hint="default"/>
      </w:rPr>
    </w:lvl>
  </w:abstractNum>
  <w:abstractNum w:abstractNumId="0">
    <w:multiLevelType w:val="hybridMultilevel"/>
    <w:lvl w:ilvl="0">
      <w:start w:val="1"/>
      <w:numFmt w:val="upperLetter"/>
      <w:lvlText w:val="%1."/>
      <w:lvlJc w:val="left"/>
      <w:pPr>
        <w:ind w:left="1752" w:hanging="360"/>
        <w:jc w:val="left"/>
      </w:pPr>
      <w:rPr>
        <w:rFonts w:hint="default" w:ascii="Times New Roman" w:hAnsi="Times New Roman" w:eastAsia="Times New Roman" w:cs="Times New Roman"/>
        <w:b/>
        <w:bCs/>
        <w:spacing w:val="-1"/>
        <w:w w:val="100"/>
        <w:sz w:val="22"/>
        <w:szCs w:val="22"/>
      </w:rPr>
    </w:lvl>
    <w:lvl w:ilvl="1">
      <w:start w:val="0"/>
      <w:numFmt w:val="bullet"/>
      <w:lvlText w:val=""/>
      <w:lvlJc w:val="left"/>
      <w:pPr>
        <w:ind w:left="2112" w:hanging="360"/>
      </w:pPr>
      <w:rPr>
        <w:rFonts w:hint="default" w:ascii="Symbol" w:hAnsi="Symbol" w:eastAsia="Symbol" w:cs="Symbol"/>
        <w:w w:val="100"/>
        <w:sz w:val="22"/>
        <w:szCs w:val="22"/>
      </w:rPr>
    </w:lvl>
    <w:lvl w:ilvl="2">
      <w:start w:val="0"/>
      <w:numFmt w:val="bullet"/>
      <w:lvlText w:val="•"/>
      <w:lvlJc w:val="left"/>
      <w:pPr>
        <w:ind w:left="3231" w:hanging="360"/>
      </w:pPr>
      <w:rPr>
        <w:rFonts w:hint="default"/>
      </w:rPr>
    </w:lvl>
    <w:lvl w:ilvl="3">
      <w:start w:val="0"/>
      <w:numFmt w:val="bullet"/>
      <w:lvlText w:val="•"/>
      <w:lvlJc w:val="left"/>
      <w:pPr>
        <w:ind w:left="4342" w:hanging="360"/>
      </w:pPr>
      <w:rPr>
        <w:rFonts w:hint="default"/>
      </w:rPr>
    </w:lvl>
    <w:lvl w:ilvl="4">
      <w:start w:val="0"/>
      <w:numFmt w:val="bullet"/>
      <w:lvlText w:val="•"/>
      <w:lvlJc w:val="left"/>
      <w:pPr>
        <w:ind w:left="5453" w:hanging="360"/>
      </w:pPr>
      <w:rPr>
        <w:rFonts w:hint="default"/>
      </w:rPr>
    </w:lvl>
    <w:lvl w:ilvl="5">
      <w:start w:val="0"/>
      <w:numFmt w:val="bullet"/>
      <w:lvlText w:val="•"/>
      <w:lvlJc w:val="left"/>
      <w:pPr>
        <w:ind w:left="6564" w:hanging="360"/>
      </w:pPr>
      <w:rPr>
        <w:rFonts w:hint="default"/>
      </w:rPr>
    </w:lvl>
    <w:lvl w:ilvl="6">
      <w:start w:val="0"/>
      <w:numFmt w:val="bullet"/>
      <w:lvlText w:val="•"/>
      <w:lvlJc w:val="left"/>
      <w:pPr>
        <w:ind w:left="7675" w:hanging="360"/>
      </w:pPr>
      <w:rPr>
        <w:rFonts w:hint="default"/>
      </w:rPr>
    </w:lvl>
    <w:lvl w:ilvl="7">
      <w:start w:val="0"/>
      <w:numFmt w:val="bullet"/>
      <w:lvlText w:val="•"/>
      <w:lvlJc w:val="left"/>
      <w:pPr>
        <w:ind w:left="8786" w:hanging="360"/>
      </w:pPr>
      <w:rPr>
        <w:rFonts w:hint="default"/>
      </w:rPr>
    </w:lvl>
    <w:lvl w:ilvl="8">
      <w:start w:val="0"/>
      <w:numFmt w:val="bullet"/>
      <w:lvlText w:val="•"/>
      <w:lvlJc w:val="left"/>
      <w:pPr>
        <w:ind w:left="9897" w:hanging="36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spacing w:before="60"/>
      <w:ind w:left="112"/>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12"/>
      <w:outlineLvl w:val="2"/>
    </w:pPr>
    <w:rPr>
      <w:rFonts w:ascii="Times New Roman" w:hAnsi="Times New Roman" w:eastAsia="Times New Roman" w:cs="Times New Roman"/>
      <w:b/>
      <w:bCs/>
      <w:sz w:val="24"/>
      <w:szCs w:val="24"/>
      <w:u w:val="single" w:color="000000"/>
    </w:rPr>
  </w:style>
  <w:style w:styleId="Heading3" w:type="paragraph">
    <w:name w:val="Heading 3"/>
    <w:basedOn w:val="Normal"/>
    <w:uiPriority w:val="1"/>
    <w:qFormat/>
    <w:pPr>
      <w:ind w:left="132"/>
      <w:outlineLvl w:val="3"/>
    </w:pPr>
    <w:rPr>
      <w:rFonts w:ascii="Times New Roman" w:hAnsi="Times New Roman" w:eastAsia="Times New Roman" w:cs="Times New Roman"/>
      <w:b/>
      <w:bCs/>
      <w:sz w:val="22"/>
      <w:szCs w:val="22"/>
      <w:u w:val="single" w:color="000000"/>
    </w:rPr>
  </w:style>
  <w:style w:styleId="Heading4" w:type="paragraph">
    <w:name w:val="Heading 4"/>
    <w:basedOn w:val="Normal"/>
    <w:uiPriority w:val="1"/>
    <w:qFormat/>
    <w:pPr>
      <w:ind w:left="112"/>
      <w:outlineLvl w:val="4"/>
    </w:pPr>
    <w:rPr>
      <w:rFonts w:ascii="Times New Roman" w:hAnsi="Times New Roman" w:eastAsia="Times New Roman" w:cs="Times New Roman"/>
      <w:b/>
      <w:bCs/>
      <w:i/>
      <w:sz w:val="22"/>
      <w:szCs w:val="22"/>
    </w:rPr>
  </w:style>
  <w:style w:styleId="ListParagraph" w:type="paragraph">
    <w:name w:val="List Paragraph"/>
    <w:basedOn w:val="Normal"/>
    <w:uiPriority w:val="1"/>
    <w:qFormat/>
    <w:pPr>
      <w:ind w:left="2112" w:hanging="360"/>
    </w:pPr>
    <w:rPr>
      <w:rFonts w:ascii="Times New Roman" w:hAnsi="Times New Roman" w:eastAsia="Times New Roman" w:cs="Times New Roman"/>
    </w:rPr>
  </w:style>
  <w:style w:styleId="TableParagraph" w:type="paragraph">
    <w:name w:val="Table Paragraph"/>
    <w:basedOn w:val="Normal"/>
    <w:uiPriority w:val="1"/>
    <w:qFormat/>
    <w:pPr>
      <w:spacing w:before="12"/>
      <w:ind w:right="32"/>
      <w:jc w:val="right"/>
    </w:pPr>
    <w:rPr>
      <w:rFonts w:ascii="Tahoma" w:hAnsi="Tahoma" w:eastAsia="Tahoma" w:cs="Tahom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s://www.regulations.gov/" TargetMode="Externa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hyperlink" Target="https://www.c2er.org/" TargetMode="External"/><Relationship Id="rId17" Type="http://schemas.openxmlformats.org/officeDocument/2006/relationships/hyperlink" Target="http://www.estadisticas.gobierno.pr/iepr/Publicaciones/Encuestas/IndicedeCostodeVida.aspx" TargetMode="External"/><Relationship Id="rId18" Type="http://schemas.openxmlformats.org/officeDocument/2006/relationships/hyperlink" Target="http://www.colegiomedicopr.org/peligrosa-fuga-de-miles-de-medicos/" TargetMode="External"/><Relationship Id="rId19" Type="http://schemas.openxmlformats.org/officeDocument/2006/relationships/image" Target="media/image10.jpe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hyperlink" Target="http://coli.org/" TargetMode="External"/><Relationship Id="rId23" Type="http://schemas.openxmlformats.org/officeDocument/2006/relationships/image" Target="media/image13.png"/><Relationship Id="rId24" Type="http://schemas.openxmlformats.org/officeDocument/2006/relationships/hyperlink" Target="http://www.estadisticas.gobierno.pr/coli/" TargetMode="External"/><Relationship Id="rId25" Type="http://schemas.openxmlformats.org/officeDocument/2006/relationships/image" Target="media/image14.jpeg"/><Relationship Id="rId26" Type="http://schemas.openxmlformats.org/officeDocument/2006/relationships/hyperlink" Target="http://www.coli.org/" TargetMode="External"/><Relationship Id="rId27" Type="http://schemas.openxmlformats.org/officeDocument/2006/relationships/image" Target="media/image15.jpeg"/><Relationship Id="rId28" Type="http://schemas.openxmlformats.org/officeDocument/2006/relationships/image" Target="media/image16.jpeg"/><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Pizarro Otero</dc:creator>
  <dcterms:created xsi:type="dcterms:W3CDTF">2018-06-12T23:35:32Z</dcterms:created>
  <dcterms:modified xsi:type="dcterms:W3CDTF">2018-06-12T23:35:32Z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