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5F1" w:rsidRDefault="00021EBB">
      <w:pPr>
        <w:spacing w:before="72" w:line="259" w:lineRule="auto"/>
        <w:ind w:left="140" w:right="4857"/>
        <w:rPr>
          <w:sz w:val="36"/>
        </w:rPr>
      </w:pPr>
      <w:r>
        <w:rPr>
          <w:color w:val="72797C"/>
          <w:sz w:val="36"/>
        </w:rPr>
        <w:t>Comparison of Medicare Part C and Part D Margins in Puerto Rico and the Total United States</w:t>
      </w:r>
    </w:p>
    <w:p w:rsidR="008325F1" w:rsidRDefault="008325F1">
      <w:pPr>
        <w:pStyle w:val="BodyText"/>
        <w:spacing w:before="11"/>
        <w:rPr>
          <w:sz w:val="29"/>
        </w:rPr>
      </w:pPr>
    </w:p>
    <w:p w:rsidR="008325F1" w:rsidRDefault="008325F1">
      <w:pPr>
        <w:rPr>
          <w:sz w:val="29"/>
        </w:rPr>
        <w:sectPr w:rsidR="008325F1">
          <w:headerReference w:type="default" r:id="rId6"/>
          <w:footerReference w:type="default" r:id="rId7"/>
          <w:type w:val="continuous"/>
          <w:pgSz w:w="12240" w:h="15840"/>
          <w:pgMar w:top="1000" w:right="580" w:bottom="1180" w:left="580" w:header="804" w:footer="988" w:gutter="0"/>
          <w:pgNumType w:start="1"/>
          <w:cols w:space="720"/>
        </w:sectPr>
      </w:pPr>
    </w:p>
    <w:p w:rsidR="008325F1" w:rsidRDefault="00021EBB">
      <w:pPr>
        <w:spacing w:before="83" w:line="276" w:lineRule="auto"/>
        <w:ind w:left="140" w:right="2758"/>
        <w:rPr>
          <w:sz w:val="16"/>
        </w:rPr>
      </w:pPr>
      <w:r>
        <w:rPr>
          <w:color w:val="0080E2"/>
          <w:sz w:val="16"/>
        </w:rPr>
        <w:t>Stuart D. Rachlin</w:t>
      </w:r>
      <w:r>
        <w:rPr>
          <w:sz w:val="16"/>
        </w:rPr>
        <w:t xml:space="preserve">, FSA, MAAA </w:t>
      </w:r>
      <w:r>
        <w:rPr>
          <w:color w:val="0080E2"/>
          <w:sz w:val="16"/>
        </w:rPr>
        <w:t>Matthew Hayes</w:t>
      </w:r>
      <w:r>
        <w:rPr>
          <w:sz w:val="16"/>
        </w:rPr>
        <w:t>, FSA, MAAA</w:t>
      </w:r>
    </w:p>
    <w:p w:rsidR="008325F1" w:rsidRDefault="008325F1">
      <w:pPr>
        <w:pStyle w:val="BodyText"/>
        <w:rPr>
          <w:sz w:val="25"/>
        </w:rPr>
      </w:pPr>
    </w:p>
    <w:p w:rsidR="008325F1" w:rsidRDefault="00021EBB">
      <w:pPr>
        <w:pStyle w:val="Heading2"/>
        <w:spacing w:line="276" w:lineRule="auto"/>
      </w:pPr>
      <w:r>
        <w:pict>
          <v:line id="_x0000_s2071" style="position:absolute;left:0;text-align:left;z-index:251656704;mso-position-horizontal-relative:page" from="34.55pt,-3.55pt" to="577.45pt,-3.55pt" strokecolor="#c6c8ca" strokeweight=".48pt">
            <w10:wrap anchorx="page"/>
          </v:line>
        </w:pict>
      </w:r>
      <w:r>
        <w:rPr>
          <w:color w:val="72797C"/>
        </w:rPr>
        <w:t>Puerto Rico Medicare Advantage Prescription Drug (MAPD) plans have consistently had a lower profit margin compared to the national average for</w:t>
      </w:r>
      <w:r>
        <w:rPr>
          <w:color w:val="72797C"/>
          <w:spacing w:val="-12"/>
        </w:rPr>
        <w:t xml:space="preserve"> </w:t>
      </w:r>
      <w:r>
        <w:rPr>
          <w:color w:val="72797C"/>
        </w:rPr>
        <w:t>all</w:t>
      </w:r>
    </w:p>
    <w:p w:rsidR="008325F1" w:rsidRDefault="00021EBB">
      <w:pPr>
        <w:spacing w:line="286" w:lineRule="exact"/>
        <w:ind w:left="140"/>
        <w:rPr>
          <w:sz w:val="28"/>
        </w:rPr>
      </w:pPr>
      <w:r>
        <w:rPr>
          <w:color w:val="72797C"/>
          <w:sz w:val="28"/>
        </w:rPr>
        <w:t>MAPD plans from 2012 to 2016.</w:t>
      </w:r>
    </w:p>
    <w:p w:rsidR="008325F1" w:rsidRDefault="00021EBB">
      <w:pPr>
        <w:pStyle w:val="BodyText"/>
        <w:spacing w:before="8"/>
        <w:rPr>
          <w:sz w:val="5"/>
        </w:rPr>
      </w:pPr>
      <w:r>
        <w:br w:type="column"/>
      </w:r>
    </w:p>
    <w:p w:rsidR="008325F1" w:rsidRDefault="00021EBB">
      <w:pPr>
        <w:pStyle w:val="BodyText"/>
        <w:ind w:left="3488"/>
        <w:rPr>
          <w:sz w:val="20"/>
        </w:rPr>
      </w:pPr>
      <w:r>
        <w:rPr>
          <w:noProof/>
          <w:sz w:val="20"/>
        </w:rPr>
        <w:drawing>
          <wp:inline distT="0" distB="0" distL="0" distR="0">
            <wp:extent cx="1188720" cy="2743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88720" cy="274320"/>
                    </a:xfrm>
                    <a:prstGeom prst="rect">
                      <a:avLst/>
                    </a:prstGeom>
                  </pic:spPr>
                </pic:pic>
              </a:graphicData>
            </a:graphic>
          </wp:inline>
        </w:drawing>
      </w:r>
    </w:p>
    <w:p w:rsidR="008325F1" w:rsidRDefault="008325F1">
      <w:pPr>
        <w:pStyle w:val="BodyText"/>
        <w:rPr>
          <w:sz w:val="26"/>
        </w:rPr>
      </w:pPr>
    </w:p>
    <w:p w:rsidR="008325F1" w:rsidRDefault="00021EBB">
      <w:pPr>
        <w:pStyle w:val="BodyText"/>
        <w:spacing w:line="288" w:lineRule="auto"/>
        <w:ind w:left="140" w:right="77"/>
      </w:pPr>
      <w:r>
        <w:t>average. The maximum difference is in 2016, where the national average is ten times greater than the Puerto Rico MAPD margin. Also worth noting is that the more recent Puerto Rico profit margins have dropped significantly from 2012 and 2013 levels.</w:t>
      </w:r>
    </w:p>
    <w:p w:rsidR="008325F1" w:rsidRDefault="00021EBB">
      <w:pPr>
        <w:pStyle w:val="BodyText"/>
        <w:spacing w:before="5"/>
        <w:rPr>
          <w:sz w:val="17"/>
        </w:rPr>
      </w:pPr>
      <w:r>
        <w:pict>
          <v:line id="_x0000_s2070" style="position:absolute;z-index:251655680;mso-wrap-distance-left:0;mso-wrap-distance-right:0;mso-position-horizontal-relative:page" from="313.55pt,12.25pt" to="577.45pt,12.25pt" strokecolor="#c6c8ca" strokeweight=".48pt">
            <w10:wrap type="topAndBottom" anchorx="page"/>
          </v:line>
        </w:pict>
      </w:r>
    </w:p>
    <w:p w:rsidR="008325F1" w:rsidRDefault="00021EBB">
      <w:pPr>
        <w:tabs>
          <w:tab w:val="left" w:pos="1039"/>
        </w:tabs>
        <w:spacing w:before="164"/>
        <w:ind w:left="140"/>
        <w:rPr>
          <w:rFonts w:ascii="Courier New"/>
          <w:sz w:val="14"/>
        </w:rPr>
      </w:pPr>
      <w:r>
        <w:rPr>
          <w:rFonts w:ascii="Courier New"/>
          <w:color w:val="0080E2"/>
          <w:spacing w:val="1"/>
          <w:sz w:val="14"/>
        </w:rPr>
        <w:t>T</w:t>
      </w:r>
      <w:r>
        <w:rPr>
          <w:rFonts w:ascii="Courier New"/>
          <w:color w:val="0080E2"/>
          <w:spacing w:val="-2"/>
          <w:w w:val="119"/>
          <w:sz w:val="14"/>
        </w:rPr>
        <w:t>A</w:t>
      </w:r>
      <w:r>
        <w:rPr>
          <w:rFonts w:ascii="Courier New"/>
          <w:color w:val="0080E2"/>
          <w:spacing w:val="2"/>
          <w:w w:val="119"/>
          <w:sz w:val="14"/>
        </w:rPr>
        <w:t>B</w:t>
      </w:r>
      <w:r>
        <w:rPr>
          <w:rFonts w:ascii="Courier New"/>
          <w:color w:val="0080E2"/>
          <w:sz w:val="14"/>
        </w:rPr>
        <w:t>L</w:t>
      </w:r>
      <w:r>
        <w:rPr>
          <w:rFonts w:ascii="Courier New"/>
          <w:color w:val="0080E2"/>
          <w:w w:val="110"/>
          <w:sz w:val="14"/>
        </w:rPr>
        <w:t>E</w:t>
      </w:r>
      <w:r>
        <w:rPr>
          <w:rFonts w:ascii="Courier New"/>
          <w:color w:val="0080E2"/>
          <w:spacing w:val="-46"/>
          <w:sz w:val="14"/>
        </w:rPr>
        <w:t xml:space="preserve"> </w:t>
      </w:r>
      <w:r>
        <w:rPr>
          <w:rFonts w:ascii="Courier New"/>
          <w:color w:val="0080E2"/>
          <w:spacing w:val="-1"/>
          <w:w w:val="91"/>
          <w:sz w:val="14"/>
        </w:rPr>
        <w:t>2</w:t>
      </w:r>
      <w:r>
        <w:rPr>
          <w:rFonts w:ascii="Courier New"/>
          <w:color w:val="0080E2"/>
          <w:w w:val="55"/>
          <w:sz w:val="14"/>
        </w:rPr>
        <w:t>:</w:t>
      </w:r>
      <w:r>
        <w:rPr>
          <w:rFonts w:ascii="Courier New"/>
          <w:color w:val="0080E2"/>
          <w:sz w:val="14"/>
        </w:rPr>
        <w:tab/>
      </w:r>
      <w:r>
        <w:rPr>
          <w:rFonts w:ascii="Courier New"/>
          <w:color w:val="0080E2"/>
          <w:spacing w:val="-2"/>
          <w:w w:val="119"/>
          <w:sz w:val="14"/>
        </w:rPr>
        <w:t>A</w:t>
      </w:r>
      <w:r>
        <w:rPr>
          <w:rFonts w:ascii="Courier New"/>
          <w:color w:val="0080E2"/>
          <w:w w:val="119"/>
          <w:sz w:val="14"/>
        </w:rPr>
        <w:t>N</w:t>
      </w:r>
      <w:r>
        <w:rPr>
          <w:rFonts w:ascii="Courier New"/>
          <w:color w:val="0080E2"/>
          <w:spacing w:val="2"/>
          <w:w w:val="119"/>
          <w:sz w:val="14"/>
        </w:rPr>
        <w:t>NU</w:t>
      </w:r>
      <w:r>
        <w:rPr>
          <w:rFonts w:ascii="Courier New"/>
          <w:color w:val="0080E2"/>
          <w:spacing w:val="-2"/>
          <w:w w:val="119"/>
          <w:sz w:val="14"/>
        </w:rPr>
        <w:t>A</w:t>
      </w:r>
      <w:r>
        <w:rPr>
          <w:rFonts w:ascii="Courier New"/>
          <w:color w:val="0080E2"/>
          <w:sz w:val="14"/>
        </w:rPr>
        <w:t>L</w:t>
      </w:r>
      <w:r>
        <w:rPr>
          <w:rFonts w:ascii="Courier New"/>
          <w:color w:val="0080E2"/>
          <w:spacing w:val="-47"/>
          <w:sz w:val="14"/>
        </w:rPr>
        <w:t xml:space="preserve"> </w:t>
      </w:r>
      <w:r>
        <w:rPr>
          <w:rFonts w:ascii="Courier New"/>
          <w:color w:val="0080E2"/>
          <w:spacing w:val="5"/>
          <w:w w:val="137"/>
          <w:sz w:val="14"/>
        </w:rPr>
        <w:t>M</w:t>
      </w:r>
      <w:r>
        <w:rPr>
          <w:rFonts w:ascii="Courier New"/>
          <w:color w:val="0080E2"/>
          <w:spacing w:val="-4"/>
          <w:w w:val="119"/>
          <w:sz w:val="14"/>
        </w:rPr>
        <w:t>A</w:t>
      </w:r>
      <w:r>
        <w:rPr>
          <w:rFonts w:ascii="Courier New"/>
          <w:color w:val="0080E2"/>
          <w:spacing w:val="1"/>
          <w:w w:val="110"/>
          <w:sz w:val="14"/>
        </w:rPr>
        <w:t>P</w:t>
      </w:r>
      <w:r>
        <w:rPr>
          <w:rFonts w:ascii="Courier New"/>
          <w:color w:val="0080E2"/>
          <w:w w:val="119"/>
          <w:sz w:val="14"/>
        </w:rPr>
        <w:t>D</w:t>
      </w:r>
      <w:r>
        <w:rPr>
          <w:rFonts w:ascii="Courier New"/>
          <w:color w:val="0080E2"/>
          <w:spacing w:val="-46"/>
          <w:sz w:val="14"/>
        </w:rPr>
        <w:t xml:space="preserve"> </w:t>
      </w:r>
      <w:r>
        <w:rPr>
          <w:rFonts w:ascii="Courier New"/>
          <w:color w:val="0080E2"/>
          <w:spacing w:val="3"/>
          <w:w w:val="110"/>
          <w:sz w:val="14"/>
        </w:rPr>
        <w:t>P</w:t>
      </w:r>
      <w:r>
        <w:rPr>
          <w:rFonts w:ascii="Courier New"/>
          <w:color w:val="0080E2"/>
          <w:w w:val="119"/>
          <w:sz w:val="14"/>
        </w:rPr>
        <w:t>R</w:t>
      </w:r>
      <w:r>
        <w:rPr>
          <w:rFonts w:ascii="Courier New"/>
          <w:color w:val="0080E2"/>
          <w:spacing w:val="3"/>
          <w:w w:val="128"/>
          <w:sz w:val="14"/>
        </w:rPr>
        <w:t>O</w:t>
      </w:r>
      <w:r>
        <w:rPr>
          <w:rFonts w:ascii="Courier New"/>
          <w:color w:val="0080E2"/>
          <w:spacing w:val="-2"/>
          <w:sz w:val="14"/>
        </w:rPr>
        <w:t>F</w:t>
      </w:r>
      <w:r>
        <w:rPr>
          <w:rFonts w:ascii="Courier New"/>
          <w:color w:val="0080E2"/>
          <w:w w:val="45"/>
          <w:sz w:val="14"/>
        </w:rPr>
        <w:t>I</w:t>
      </w:r>
      <w:r>
        <w:rPr>
          <w:rFonts w:ascii="Courier New"/>
          <w:color w:val="0080E2"/>
          <w:spacing w:val="1"/>
          <w:sz w:val="14"/>
        </w:rPr>
        <w:t>T</w:t>
      </w:r>
      <w:r>
        <w:rPr>
          <w:rFonts w:ascii="Courier New"/>
          <w:color w:val="0080E2"/>
          <w:spacing w:val="1"/>
          <w:w w:val="119"/>
          <w:sz w:val="14"/>
        </w:rPr>
        <w:t>A</w:t>
      </w:r>
      <w:r>
        <w:rPr>
          <w:rFonts w:ascii="Courier New"/>
          <w:color w:val="0080E2"/>
          <w:w w:val="119"/>
          <w:sz w:val="14"/>
        </w:rPr>
        <w:t>B</w:t>
      </w:r>
      <w:r>
        <w:rPr>
          <w:rFonts w:ascii="Courier New"/>
          <w:color w:val="0080E2"/>
          <w:spacing w:val="-1"/>
          <w:w w:val="45"/>
          <w:sz w:val="14"/>
        </w:rPr>
        <w:t>I</w:t>
      </w:r>
      <w:r>
        <w:rPr>
          <w:rFonts w:ascii="Courier New"/>
          <w:color w:val="0080E2"/>
          <w:spacing w:val="2"/>
          <w:sz w:val="14"/>
        </w:rPr>
        <w:t>L</w:t>
      </w:r>
      <w:r>
        <w:rPr>
          <w:rFonts w:ascii="Courier New"/>
          <w:color w:val="0080E2"/>
          <w:spacing w:val="-1"/>
          <w:w w:val="45"/>
          <w:sz w:val="14"/>
        </w:rPr>
        <w:t>I</w:t>
      </w:r>
      <w:r>
        <w:rPr>
          <w:rFonts w:ascii="Courier New"/>
          <w:color w:val="0080E2"/>
          <w:spacing w:val="1"/>
          <w:sz w:val="14"/>
        </w:rPr>
        <w:t>T</w:t>
      </w:r>
      <w:r>
        <w:rPr>
          <w:rFonts w:ascii="Courier New"/>
          <w:color w:val="0080E2"/>
          <w:w w:val="110"/>
          <w:sz w:val="14"/>
        </w:rPr>
        <w:t>Y</w:t>
      </w:r>
      <w:r>
        <w:rPr>
          <w:rFonts w:ascii="Courier New"/>
          <w:color w:val="0080E2"/>
          <w:spacing w:val="-45"/>
          <w:sz w:val="14"/>
        </w:rPr>
        <w:t xml:space="preserve"> </w:t>
      </w:r>
      <w:r>
        <w:rPr>
          <w:rFonts w:ascii="Courier New"/>
          <w:color w:val="0080E2"/>
          <w:spacing w:val="1"/>
          <w:w w:val="119"/>
          <w:sz w:val="14"/>
        </w:rPr>
        <w:t>C</w:t>
      </w:r>
      <w:r>
        <w:rPr>
          <w:rFonts w:ascii="Courier New"/>
          <w:color w:val="0080E2"/>
          <w:spacing w:val="1"/>
          <w:w w:val="128"/>
          <w:sz w:val="14"/>
        </w:rPr>
        <w:t>O</w:t>
      </w:r>
      <w:r>
        <w:rPr>
          <w:rFonts w:ascii="Courier New"/>
          <w:color w:val="0080E2"/>
          <w:spacing w:val="2"/>
          <w:w w:val="137"/>
          <w:sz w:val="14"/>
        </w:rPr>
        <w:t>M</w:t>
      </w:r>
      <w:r>
        <w:rPr>
          <w:rFonts w:ascii="Courier New"/>
          <w:color w:val="0080E2"/>
          <w:w w:val="110"/>
          <w:sz w:val="14"/>
        </w:rPr>
        <w:t>P</w:t>
      </w:r>
      <w:r>
        <w:rPr>
          <w:rFonts w:ascii="Courier New"/>
          <w:color w:val="0080E2"/>
          <w:spacing w:val="-2"/>
          <w:w w:val="119"/>
          <w:sz w:val="14"/>
        </w:rPr>
        <w:t>A</w:t>
      </w:r>
      <w:r>
        <w:rPr>
          <w:rFonts w:ascii="Courier New"/>
          <w:color w:val="0080E2"/>
          <w:spacing w:val="1"/>
          <w:w w:val="119"/>
          <w:sz w:val="14"/>
        </w:rPr>
        <w:t>R</w:t>
      </w:r>
      <w:r>
        <w:rPr>
          <w:rFonts w:ascii="Courier New"/>
          <w:color w:val="0080E2"/>
          <w:w w:val="45"/>
          <w:sz w:val="14"/>
        </w:rPr>
        <w:t>I</w:t>
      </w:r>
      <w:r>
        <w:rPr>
          <w:rFonts w:ascii="Courier New"/>
          <w:color w:val="0080E2"/>
          <w:w w:val="110"/>
          <w:sz w:val="14"/>
        </w:rPr>
        <w:t>S</w:t>
      </w:r>
      <w:r>
        <w:rPr>
          <w:rFonts w:ascii="Courier New"/>
          <w:color w:val="0080E2"/>
          <w:w w:val="128"/>
          <w:sz w:val="14"/>
        </w:rPr>
        <w:t>O</w:t>
      </w:r>
      <w:r>
        <w:rPr>
          <w:rFonts w:ascii="Courier New"/>
          <w:color w:val="0080E2"/>
          <w:w w:val="119"/>
          <w:sz w:val="14"/>
        </w:rPr>
        <w:t>N</w:t>
      </w:r>
      <w:r>
        <w:rPr>
          <w:rFonts w:ascii="Courier New"/>
          <w:color w:val="0080E2"/>
          <w:spacing w:val="-43"/>
          <w:sz w:val="14"/>
        </w:rPr>
        <w:t xml:space="preserve"> </w:t>
      </w:r>
      <w:r>
        <w:rPr>
          <w:rFonts w:ascii="Courier New"/>
          <w:color w:val="0080E2"/>
          <w:w w:val="55"/>
          <w:sz w:val="14"/>
        </w:rPr>
        <w:t>(</w:t>
      </w:r>
      <w:r>
        <w:rPr>
          <w:rFonts w:ascii="Courier New"/>
          <w:color w:val="0080E2"/>
          <w:spacing w:val="1"/>
          <w:w w:val="91"/>
          <w:sz w:val="14"/>
        </w:rPr>
        <w:t>2</w:t>
      </w:r>
      <w:r>
        <w:rPr>
          <w:rFonts w:ascii="Courier New"/>
          <w:color w:val="0080E2"/>
          <w:spacing w:val="-1"/>
          <w:w w:val="91"/>
          <w:sz w:val="14"/>
        </w:rPr>
        <w:t>0</w:t>
      </w:r>
      <w:r>
        <w:rPr>
          <w:rFonts w:ascii="Courier New"/>
          <w:color w:val="0080E2"/>
          <w:spacing w:val="1"/>
          <w:w w:val="91"/>
          <w:sz w:val="14"/>
        </w:rPr>
        <w:t>1</w:t>
      </w:r>
      <w:r>
        <w:rPr>
          <w:rFonts w:ascii="Courier New"/>
          <w:color w:val="0080E2"/>
          <w:spacing w:val="-1"/>
          <w:w w:val="91"/>
          <w:sz w:val="14"/>
        </w:rPr>
        <w:t>2</w:t>
      </w:r>
      <w:r>
        <w:rPr>
          <w:rFonts w:ascii="Courier New"/>
          <w:color w:val="0080E2"/>
          <w:spacing w:val="2"/>
          <w:w w:val="55"/>
          <w:sz w:val="14"/>
        </w:rPr>
        <w:t>-</w:t>
      </w:r>
      <w:r>
        <w:rPr>
          <w:rFonts w:ascii="Courier New"/>
          <w:color w:val="0080E2"/>
          <w:spacing w:val="-1"/>
          <w:w w:val="91"/>
          <w:sz w:val="14"/>
        </w:rPr>
        <w:t>2</w:t>
      </w:r>
      <w:r>
        <w:rPr>
          <w:rFonts w:ascii="Courier New"/>
          <w:color w:val="0080E2"/>
          <w:spacing w:val="1"/>
          <w:w w:val="91"/>
          <w:sz w:val="14"/>
        </w:rPr>
        <w:t>0</w:t>
      </w:r>
      <w:r>
        <w:rPr>
          <w:rFonts w:ascii="Courier New"/>
          <w:color w:val="0080E2"/>
          <w:spacing w:val="-1"/>
          <w:w w:val="91"/>
          <w:sz w:val="14"/>
        </w:rPr>
        <w:t>1</w:t>
      </w:r>
      <w:r>
        <w:rPr>
          <w:rFonts w:ascii="Courier New"/>
          <w:color w:val="0080E2"/>
          <w:w w:val="91"/>
          <w:sz w:val="14"/>
        </w:rPr>
        <w:t>6</w:t>
      </w:r>
      <w:r>
        <w:rPr>
          <w:rFonts w:ascii="Courier New"/>
          <w:color w:val="0080E2"/>
          <w:w w:val="55"/>
          <w:sz w:val="14"/>
        </w:rPr>
        <w:t>)</w:t>
      </w:r>
    </w:p>
    <w:p w:rsidR="008325F1" w:rsidRDefault="00021EBB">
      <w:pPr>
        <w:spacing w:before="57" w:line="112" w:lineRule="exact"/>
        <w:ind w:right="418"/>
        <w:jc w:val="right"/>
        <w:rPr>
          <w:sz w:val="14"/>
        </w:rPr>
      </w:pPr>
      <w:r>
        <w:rPr>
          <w:color w:val="38414D"/>
          <w:w w:val="95"/>
          <w:sz w:val="14"/>
        </w:rPr>
        <w:t>NATIONAL</w:t>
      </w:r>
    </w:p>
    <w:p w:rsidR="008325F1" w:rsidRDefault="008325F1">
      <w:pPr>
        <w:spacing w:line="112" w:lineRule="exact"/>
        <w:jc w:val="right"/>
        <w:rPr>
          <w:sz w:val="14"/>
        </w:rPr>
        <w:sectPr w:rsidR="008325F1">
          <w:type w:val="continuous"/>
          <w:pgSz w:w="12240" w:h="15840"/>
          <w:pgMar w:top="1000" w:right="580" w:bottom="1180" w:left="580" w:header="720" w:footer="720" w:gutter="0"/>
          <w:cols w:num="2" w:space="720" w:equalWidth="0">
            <w:col w:w="5070" w:space="510"/>
            <w:col w:w="5500"/>
          </w:cols>
        </w:sectPr>
      </w:pPr>
    </w:p>
    <w:p w:rsidR="008325F1" w:rsidRDefault="008325F1">
      <w:pPr>
        <w:pStyle w:val="BodyText"/>
        <w:spacing w:before="3"/>
        <w:rPr>
          <w:sz w:val="23"/>
        </w:rPr>
      </w:pPr>
    </w:p>
    <w:p w:rsidR="008325F1" w:rsidRDefault="00021EBB">
      <w:pPr>
        <w:pStyle w:val="BodyText"/>
        <w:spacing w:line="288" w:lineRule="auto"/>
        <w:ind w:left="140"/>
      </w:pPr>
      <w:r>
        <w:t>Each year as part of their annual statement filings, health insurance companies are required to fill out the Analysis of Operations by Line of Business exhibit. Part of this exhibit details the profitability of Medicare Advantage Prescription Drug (MAPD) p</w:t>
      </w:r>
      <w:r>
        <w:t>lans. In this paper, commissioned by Medical Card Systems</w:t>
      </w:r>
      <w:r>
        <w:rPr>
          <w:spacing w:val="-20"/>
        </w:rPr>
        <w:t xml:space="preserve"> </w:t>
      </w:r>
      <w:r>
        <w:t>Inc. on behalf of the Medicaid and Medicare Advantage Association of Puerto Rico (MMAPA), we will use this publicly available exhibit to examine how MAPD margins in Puerto Rico compare with the rest</w:t>
      </w:r>
      <w:r>
        <w:t xml:space="preserve"> of the United</w:t>
      </w:r>
      <w:r>
        <w:rPr>
          <w:spacing w:val="-11"/>
        </w:rPr>
        <w:t xml:space="preserve"> </w:t>
      </w:r>
      <w:r>
        <w:t>States.</w:t>
      </w:r>
    </w:p>
    <w:p w:rsidR="008325F1" w:rsidRDefault="00021EBB">
      <w:pPr>
        <w:pStyle w:val="Heading1"/>
      </w:pPr>
      <w:r>
        <w:rPr>
          <w:color w:val="0080E2"/>
        </w:rPr>
        <w:t>Results</w:t>
      </w:r>
    </w:p>
    <w:p w:rsidR="008325F1" w:rsidRDefault="00021EBB">
      <w:pPr>
        <w:pStyle w:val="BodyText"/>
        <w:spacing w:before="62" w:line="187" w:lineRule="exact"/>
        <w:ind w:left="140"/>
      </w:pPr>
      <w:r>
        <w:t>For this analysis, profit margin was defined as Underwriting Gain</w:t>
      </w:r>
    </w:p>
    <w:p w:rsidR="008325F1" w:rsidRDefault="00021EBB">
      <w:pPr>
        <w:spacing w:line="145" w:lineRule="exact"/>
        <w:ind w:left="1221" w:right="11"/>
        <w:jc w:val="center"/>
        <w:rPr>
          <w:sz w:val="14"/>
        </w:rPr>
      </w:pPr>
      <w:r>
        <w:br w:type="column"/>
      </w:r>
      <w:r>
        <w:rPr>
          <w:color w:val="38414D"/>
          <w:sz w:val="14"/>
        </w:rPr>
        <w:t>PUERTO</w:t>
      </w:r>
    </w:p>
    <w:p w:rsidR="008325F1" w:rsidRDefault="00021EBB">
      <w:pPr>
        <w:spacing w:before="31"/>
        <w:ind w:right="147"/>
        <w:jc w:val="right"/>
        <w:rPr>
          <w:sz w:val="14"/>
        </w:rPr>
      </w:pPr>
      <w:r>
        <w:pict>
          <v:shapetype id="_x0000_t202" coordsize="21600,21600" o:spt="202" path="m,l,21600r21600,l21600,xe">
            <v:stroke joinstyle="miter"/>
            <v:path gradientshapeok="t" o:connecttype="rect"/>
          </v:shapetype>
          <v:shape id="_x0000_s2069" type="#_x0000_t202" style="position:absolute;left:0;text-align:left;margin-left:315pt;margin-top:7.25pt;width:261pt;height:94.75pt;z-index:25165875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48"/>
                    <w:gridCol w:w="834"/>
                    <w:gridCol w:w="989"/>
                    <w:gridCol w:w="1030"/>
                    <w:gridCol w:w="1419"/>
                  </w:tblGrid>
                  <w:tr w:rsidR="008325F1">
                    <w:trPr>
                      <w:trHeight w:hRule="exact" w:val="178"/>
                    </w:trPr>
                    <w:tc>
                      <w:tcPr>
                        <w:tcW w:w="3801" w:type="dxa"/>
                        <w:gridSpan w:val="4"/>
                      </w:tcPr>
                      <w:p w:rsidR="008325F1" w:rsidRDefault="008325F1"/>
                    </w:tc>
                    <w:tc>
                      <w:tcPr>
                        <w:tcW w:w="1419" w:type="dxa"/>
                      </w:tcPr>
                      <w:p w:rsidR="008325F1" w:rsidRDefault="00021EBB">
                        <w:pPr>
                          <w:pStyle w:val="TableParagraph"/>
                          <w:spacing w:before="0" w:line="145" w:lineRule="exact"/>
                          <w:ind w:left="303"/>
                          <w:rPr>
                            <w:sz w:val="14"/>
                          </w:rPr>
                        </w:pPr>
                        <w:r>
                          <w:rPr>
                            <w:color w:val="38414D"/>
                            <w:sz w:val="14"/>
                          </w:rPr>
                          <w:t>PUERTO RICO</w:t>
                        </w:r>
                      </w:p>
                    </w:tc>
                  </w:tr>
                  <w:tr w:rsidR="008325F1">
                    <w:trPr>
                      <w:trHeight w:hRule="exact" w:val="298"/>
                    </w:trPr>
                    <w:tc>
                      <w:tcPr>
                        <w:tcW w:w="948" w:type="dxa"/>
                        <w:shd w:val="clear" w:color="auto" w:fill="F2F2F2"/>
                      </w:tcPr>
                      <w:p w:rsidR="008325F1" w:rsidRDefault="00021EBB">
                        <w:pPr>
                          <w:pStyle w:val="TableParagraph"/>
                          <w:spacing w:before="70"/>
                          <w:rPr>
                            <w:rFonts w:ascii="Courier New"/>
                            <w:sz w:val="14"/>
                          </w:rPr>
                        </w:pPr>
                        <w:r>
                          <w:rPr>
                            <w:rFonts w:ascii="Courier New"/>
                            <w:color w:val="38414D"/>
                            <w:sz w:val="14"/>
                          </w:rPr>
                          <w:t>2012</w:t>
                        </w:r>
                      </w:p>
                    </w:tc>
                    <w:tc>
                      <w:tcPr>
                        <w:tcW w:w="834" w:type="dxa"/>
                        <w:shd w:val="clear" w:color="auto" w:fill="F2F2F2"/>
                      </w:tcPr>
                      <w:p w:rsidR="008325F1" w:rsidRDefault="00021EBB">
                        <w:pPr>
                          <w:pStyle w:val="TableParagraph"/>
                          <w:ind w:left="174"/>
                          <w:rPr>
                            <w:sz w:val="14"/>
                          </w:rPr>
                        </w:pPr>
                        <w:r>
                          <w:rPr>
                            <w:color w:val="38414D"/>
                            <w:sz w:val="14"/>
                          </w:rPr>
                          <w:t>3.43%</w:t>
                        </w:r>
                      </w:p>
                    </w:tc>
                    <w:tc>
                      <w:tcPr>
                        <w:tcW w:w="989" w:type="dxa"/>
                        <w:shd w:val="clear" w:color="auto" w:fill="F2F2F2"/>
                      </w:tcPr>
                      <w:p w:rsidR="008325F1" w:rsidRDefault="00021EBB">
                        <w:pPr>
                          <w:pStyle w:val="TableParagraph"/>
                          <w:ind w:left="243"/>
                          <w:rPr>
                            <w:sz w:val="14"/>
                          </w:rPr>
                        </w:pPr>
                        <w:r>
                          <w:rPr>
                            <w:color w:val="38414D"/>
                            <w:sz w:val="14"/>
                          </w:rPr>
                          <w:t>4.47%</w:t>
                        </w:r>
                      </w:p>
                    </w:tc>
                    <w:tc>
                      <w:tcPr>
                        <w:tcW w:w="1029" w:type="dxa"/>
                        <w:shd w:val="clear" w:color="auto" w:fill="F2F2F2"/>
                      </w:tcPr>
                      <w:p w:rsidR="008325F1" w:rsidRDefault="00021EBB">
                        <w:pPr>
                          <w:pStyle w:val="TableParagraph"/>
                          <w:ind w:left="295" w:right="268"/>
                          <w:jc w:val="center"/>
                          <w:rPr>
                            <w:sz w:val="14"/>
                          </w:rPr>
                        </w:pPr>
                        <w:r>
                          <w:rPr>
                            <w:color w:val="38414D"/>
                            <w:sz w:val="14"/>
                          </w:rPr>
                          <w:t>1.04%</w:t>
                        </w:r>
                      </w:p>
                    </w:tc>
                    <w:tc>
                      <w:tcPr>
                        <w:tcW w:w="1419" w:type="dxa"/>
                        <w:shd w:val="clear" w:color="auto" w:fill="F2F2F2"/>
                      </w:tcPr>
                      <w:p w:rsidR="008325F1" w:rsidRDefault="00021EBB">
                        <w:pPr>
                          <w:pStyle w:val="TableParagraph"/>
                          <w:ind w:left="511" w:right="501"/>
                          <w:jc w:val="center"/>
                          <w:rPr>
                            <w:sz w:val="14"/>
                          </w:rPr>
                        </w:pPr>
                        <w:r>
                          <w:rPr>
                            <w:color w:val="38414D"/>
                            <w:sz w:val="14"/>
                          </w:rPr>
                          <w:t>1.30</w:t>
                        </w:r>
                      </w:p>
                    </w:tc>
                  </w:tr>
                  <w:tr w:rsidR="008325F1">
                    <w:trPr>
                      <w:trHeight w:hRule="exact" w:val="298"/>
                    </w:trPr>
                    <w:tc>
                      <w:tcPr>
                        <w:tcW w:w="948" w:type="dxa"/>
                      </w:tcPr>
                      <w:p w:rsidR="008325F1" w:rsidRDefault="00021EBB">
                        <w:pPr>
                          <w:pStyle w:val="TableParagraph"/>
                          <w:spacing w:before="70"/>
                          <w:rPr>
                            <w:rFonts w:ascii="Courier New"/>
                            <w:sz w:val="14"/>
                          </w:rPr>
                        </w:pPr>
                        <w:r>
                          <w:rPr>
                            <w:rFonts w:ascii="Courier New"/>
                            <w:color w:val="38414D"/>
                            <w:sz w:val="14"/>
                          </w:rPr>
                          <w:t>2013</w:t>
                        </w:r>
                      </w:p>
                    </w:tc>
                    <w:tc>
                      <w:tcPr>
                        <w:tcW w:w="834" w:type="dxa"/>
                      </w:tcPr>
                      <w:p w:rsidR="008325F1" w:rsidRDefault="00021EBB">
                        <w:pPr>
                          <w:pStyle w:val="TableParagraph"/>
                          <w:ind w:left="174"/>
                          <w:rPr>
                            <w:sz w:val="14"/>
                          </w:rPr>
                        </w:pPr>
                        <w:r>
                          <w:rPr>
                            <w:color w:val="38414D"/>
                            <w:sz w:val="14"/>
                          </w:rPr>
                          <w:t>1.84%</w:t>
                        </w:r>
                      </w:p>
                    </w:tc>
                    <w:tc>
                      <w:tcPr>
                        <w:tcW w:w="989" w:type="dxa"/>
                      </w:tcPr>
                      <w:p w:rsidR="008325F1" w:rsidRDefault="00021EBB">
                        <w:pPr>
                          <w:pStyle w:val="TableParagraph"/>
                          <w:ind w:left="243"/>
                          <w:rPr>
                            <w:sz w:val="14"/>
                          </w:rPr>
                        </w:pPr>
                        <w:r>
                          <w:rPr>
                            <w:color w:val="38414D"/>
                            <w:sz w:val="14"/>
                          </w:rPr>
                          <w:t>2.20%</w:t>
                        </w:r>
                      </w:p>
                    </w:tc>
                    <w:tc>
                      <w:tcPr>
                        <w:tcW w:w="1029" w:type="dxa"/>
                      </w:tcPr>
                      <w:p w:rsidR="008325F1" w:rsidRDefault="00021EBB">
                        <w:pPr>
                          <w:pStyle w:val="TableParagraph"/>
                          <w:ind w:left="295" w:right="268"/>
                          <w:jc w:val="center"/>
                          <w:rPr>
                            <w:sz w:val="14"/>
                          </w:rPr>
                        </w:pPr>
                        <w:r>
                          <w:rPr>
                            <w:color w:val="38414D"/>
                            <w:sz w:val="14"/>
                          </w:rPr>
                          <w:t>0.36%</w:t>
                        </w:r>
                      </w:p>
                    </w:tc>
                    <w:tc>
                      <w:tcPr>
                        <w:tcW w:w="1419" w:type="dxa"/>
                      </w:tcPr>
                      <w:p w:rsidR="008325F1" w:rsidRDefault="00021EBB">
                        <w:pPr>
                          <w:pStyle w:val="TableParagraph"/>
                          <w:ind w:left="511" w:right="501"/>
                          <w:jc w:val="center"/>
                          <w:rPr>
                            <w:sz w:val="14"/>
                          </w:rPr>
                        </w:pPr>
                        <w:r>
                          <w:rPr>
                            <w:color w:val="38414D"/>
                            <w:sz w:val="14"/>
                          </w:rPr>
                          <w:t>1.20</w:t>
                        </w:r>
                      </w:p>
                    </w:tc>
                  </w:tr>
                  <w:tr w:rsidR="008325F1">
                    <w:trPr>
                      <w:trHeight w:hRule="exact" w:val="298"/>
                    </w:trPr>
                    <w:tc>
                      <w:tcPr>
                        <w:tcW w:w="948" w:type="dxa"/>
                        <w:shd w:val="clear" w:color="auto" w:fill="F2F2F2"/>
                      </w:tcPr>
                      <w:p w:rsidR="008325F1" w:rsidRDefault="00021EBB">
                        <w:pPr>
                          <w:pStyle w:val="TableParagraph"/>
                          <w:spacing w:before="70"/>
                          <w:rPr>
                            <w:rFonts w:ascii="Courier New"/>
                            <w:sz w:val="14"/>
                          </w:rPr>
                        </w:pPr>
                        <w:r>
                          <w:rPr>
                            <w:rFonts w:ascii="Courier New"/>
                            <w:color w:val="38414D"/>
                            <w:sz w:val="14"/>
                          </w:rPr>
                          <w:t>2014</w:t>
                        </w:r>
                      </w:p>
                    </w:tc>
                    <w:tc>
                      <w:tcPr>
                        <w:tcW w:w="834" w:type="dxa"/>
                        <w:shd w:val="clear" w:color="auto" w:fill="F2F2F2"/>
                      </w:tcPr>
                      <w:p w:rsidR="008325F1" w:rsidRDefault="00021EBB">
                        <w:pPr>
                          <w:pStyle w:val="TableParagraph"/>
                          <w:ind w:left="150"/>
                          <w:rPr>
                            <w:sz w:val="14"/>
                          </w:rPr>
                        </w:pPr>
                        <w:r>
                          <w:rPr>
                            <w:color w:val="38414D"/>
                            <w:sz w:val="14"/>
                          </w:rPr>
                          <w:t>-1.03%</w:t>
                        </w:r>
                      </w:p>
                    </w:tc>
                    <w:tc>
                      <w:tcPr>
                        <w:tcW w:w="989" w:type="dxa"/>
                        <w:shd w:val="clear" w:color="auto" w:fill="F2F2F2"/>
                      </w:tcPr>
                      <w:p w:rsidR="008325F1" w:rsidRDefault="00021EBB">
                        <w:pPr>
                          <w:pStyle w:val="TableParagraph"/>
                          <w:ind w:left="243"/>
                          <w:rPr>
                            <w:sz w:val="14"/>
                          </w:rPr>
                        </w:pPr>
                        <w:r>
                          <w:rPr>
                            <w:color w:val="38414D"/>
                            <w:sz w:val="14"/>
                          </w:rPr>
                          <w:t>1.14%</w:t>
                        </w:r>
                      </w:p>
                    </w:tc>
                    <w:tc>
                      <w:tcPr>
                        <w:tcW w:w="1029" w:type="dxa"/>
                        <w:shd w:val="clear" w:color="auto" w:fill="F2F2F2"/>
                      </w:tcPr>
                      <w:p w:rsidR="008325F1" w:rsidRDefault="00021EBB">
                        <w:pPr>
                          <w:pStyle w:val="TableParagraph"/>
                          <w:ind w:left="295" w:right="268"/>
                          <w:jc w:val="center"/>
                          <w:rPr>
                            <w:sz w:val="14"/>
                          </w:rPr>
                        </w:pPr>
                        <w:r>
                          <w:rPr>
                            <w:color w:val="38414D"/>
                            <w:sz w:val="14"/>
                          </w:rPr>
                          <w:t>2.18%</w:t>
                        </w:r>
                      </w:p>
                    </w:tc>
                    <w:tc>
                      <w:tcPr>
                        <w:tcW w:w="1419" w:type="dxa"/>
                        <w:shd w:val="clear" w:color="auto" w:fill="F2F2F2"/>
                      </w:tcPr>
                      <w:p w:rsidR="008325F1" w:rsidRDefault="00021EBB">
                        <w:pPr>
                          <w:pStyle w:val="TableParagraph"/>
                          <w:ind w:left="519" w:right="470"/>
                          <w:jc w:val="center"/>
                          <w:rPr>
                            <w:sz w:val="14"/>
                          </w:rPr>
                        </w:pPr>
                        <w:r>
                          <w:rPr>
                            <w:color w:val="38414D"/>
                            <w:sz w:val="14"/>
                          </w:rPr>
                          <w:t>1.11*</w:t>
                        </w:r>
                      </w:p>
                    </w:tc>
                  </w:tr>
                  <w:tr w:rsidR="008325F1">
                    <w:trPr>
                      <w:trHeight w:hRule="exact" w:val="295"/>
                    </w:trPr>
                    <w:tc>
                      <w:tcPr>
                        <w:tcW w:w="948" w:type="dxa"/>
                      </w:tcPr>
                      <w:p w:rsidR="008325F1" w:rsidRDefault="00021EBB">
                        <w:pPr>
                          <w:pStyle w:val="TableParagraph"/>
                          <w:spacing w:before="70"/>
                          <w:rPr>
                            <w:rFonts w:ascii="Courier New"/>
                            <w:sz w:val="14"/>
                          </w:rPr>
                        </w:pPr>
                        <w:r>
                          <w:rPr>
                            <w:rFonts w:ascii="Courier New"/>
                            <w:color w:val="38414D"/>
                            <w:sz w:val="14"/>
                          </w:rPr>
                          <w:t>2015</w:t>
                        </w:r>
                      </w:p>
                    </w:tc>
                    <w:tc>
                      <w:tcPr>
                        <w:tcW w:w="834" w:type="dxa"/>
                      </w:tcPr>
                      <w:p w:rsidR="008325F1" w:rsidRDefault="00021EBB">
                        <w:pPr>
                          <w:pStyle w:val="TableParagraph"/>
                          <w:ind w:left="187"/>
                          <w:rPr>
                            <w:sz w:val="14"/>
                          </w:rPr>
                        </w:pPr>
                        <w:r>
                          <w:rPr>
                            <w:color w:val="38414D"/>
                            <w:sz w:val="14"/>
                          </w:rPr>
                          <w:t>0.73%</w:t>
                        </w:r>
                      </w:p>
                    </w:tc>
                    <w:tc>
                      <w:tcPr>
                        <w:tcW w:w="989" w:type="dxa"/>
                      </w:tcPr>
                      <w:p w:rsidR="008325F1" w:rsidRDefault="00021EBB">
                        <w:pPr>
                          <w:pStyle w:val="TableParagraph"/>
                          <w:ind w:left="278"/>
                          <w:rPr>
                            <w:sz w:val="14"/>
                          </w:rPr>
                        </w:pPr>
                        <w:r>
                          <w:rPr>
                            <w:color w:val="38414D"/>
                            <w:sz w:val="14"/>
                          </w:rPr>
                          <w:t>0.83%</w:t>
                        </w:r>
                      </w:p>
                    </w:tc>
                    <w:tc>
                      <w:tcPr>
                        <w:tcW w:w="1029" w:type="dxa"/>
                      </w:tcPr>
                      <w:p w:rsidR="008325F1" w:rsidRDefault="00021EBB">
                        <w:pPr>
                          <w:pStyle w:val="TableParagraph"/>
                          <w:ind w:left="282" w:right="282"/>
                          <w:jc w:val="center"/>
                          <w:rPr>
                            <w:sz w:val="14"/>
                          </w:rPr>
                        </w:pPr>
                        <w:r>
                          <w:rPr>
                            <w:color w:val="38414D"/>
                            <w:sz w:val="14"/>
                          </w:rPr>
                          <w:t>0.10%</w:t>
                        </w:r>
                      </w:p>
                    </w:tc>
                    <w:tc>
                      <w:tcPr>
                        <w:tcW w:w="1419" w:type="dxa"/>
                      </w:tcPr>
                      <w:p w:rsidR="008325F1" w:rsidRDefault="00021EBB">
                        <w:pPr>
                          <w:pStyle w:val="TableParagraph"/>
                          <w:ind w:left="503" w:right="501"/>
                          <w:jc w:val="center"/>
                          <w:rPr>
                            <w:sz w:val="14"/>
                          </w:rPr>
                        </w:pPr>
                        <w:r>
                          <w:rPr>
                            <w:color w:val="38414D"/>
                            <w:sz w:val="14"/>
                          </w:rPr>
                          <w:t>1.14</w:t>
                        </w:r>
                      </w:p>
                    </w:tc>
                  </w:tr>
                  <w:tr w:rsidR="008325F1">
                    <w:trPr>
                      <w:trHeight w:hRule="exact" w:val="298"/>
                    </w:trPr>
                    <w:tc>
                      <w:tcPr>
                        <w:tcW w:w="948" w:type="dxa"/>
                        <w:shd w:val="clear" w:color="auto" w:fill="F2F2F2"/>
                      </w:tcPr>
                      <w:p w:rsidR="008325F1" w:rsidRDefault="00021EBB">
                        <w:pPr>
                          <w:pStyle w:val="TableParagraph"/>
                          <w:spacing w:before="70"/>
                          <w:rPr>
                            <w:rFonts w:ascii="Courier New"/>
                            <w:sz w:val="14"/>
                          </w:rPr>
                        </w:pPr>
                        <w:r>
                          <w:rPr>
                            <w:rFonts w:ascii="Courier New"/>
                            <w:color w:val="38414D"/>
                            <w:sz w:val="14"/>
                          </w:rPr>
                          <w:t>2016</w:t>
                        </w:r>
                      </w:p>
                    </w:tc>
                    <w:tc>
                      <w:tcPr>
                        <w:tcW w:w="834" w:type="dxa"/>
                        <w:shd w:val="clear" w:color="auto" w:fill="F2F2F2"/>
                      </w:tcPr>
                      <w:p w:rsidR="008325F1" w:rsidRDefault="00021EBB">
                        <w:pPr>
                          <w:pStyle w:val="TableParagraph"/>
                          <w:ind w:left="174"/>
                          <w:rPr>
                            <w:sz w:val="14"/>
                          </w:rPr>
                        </w:pPr>
                        <w:r>
                          <w:rPr>
                            <w:color w:val="38414D"/>
                            <w:sz w:val="14"/>
                          </w:rPr>
                          <w:t>0.30%</w:t>
                        </w:r>
                      </w:p>
                    </w:tc>
                    <w:tc>
                      <w:tcPr>
                        <w:tcW w:w="989" w:type="dxa"/>
                        <w:shd w:val="clear" w:color="auto" w:fill="F2F2F2"/>
                      </w:tcPr>
                      <w:p w:rsidR="008325F1" w:rsidRDefault="00021EBB">
                        <w:pPr>
                          <w:pStyle w:val="TableParagraph"/>
                          <w:ind w:left="243"/>
                          <w:rPr>
                            <w:sz w:val="14"/>
                          </w:rPr>
                        </w:pPr>
                        <w:r>
                          <w:rPr>
                            <w:color w:val="38414D"/>
                            <w:sz w:val="14"/>
                          </w:rPr>
                          <w:t>3.06%</w:t>
                        </w:r>
                      </w:p>
                    </w:tc>
                    <w:tc>
                      <w:tcPr>
                        <w:tcW w:w="1029" w:type="dxa"/>
                        <w:shd w:val="clear" w:color="auto" w:fill="F2F2F2"/>
                      </w:tcPr>
                      <w:p w:rsidR="008325F1" w:rsidRDefault="00021EBB">
                        <w:pPr>
                          <w:pStyle w:val="TableParagraph"/>
                          <w:ind w:left="295" w:right="268"/>
                          <w:jc w:val="center"/>
                          <w:rPr>
                            <w:sz w:val="14"/>
                          </w:rPr>
                        </w:pPr>
                        <w:r>
                          <w:rPr>
                            <w:color w:val="38414D"/>
                            <w:sz w:val="14"/>
                          </w:rPr>
                          <w:t>2.76%</w:t>
                        </w:r>
                      </w:p>
                    </w:tc>
                    <w:tc>
                      <w:tcPr>
                        <w:tcW w:w="1419" w:type="dxa"/>
                        <w:shd w:val="clear" w:color="auto" w:fill="F2F2F2"/>
                      </w:tcPr>
                      <w:p w:rsidR="008325F1" w:rsidRDefault="00021EBB">
                        <w:pPr>
                          <w:pStyle w:val="TableParagraph"/>
                          <w:ind w:left="511" w:right="501"/>
                          <w:jc w:val="center"/>
                          <w:rPr>
                            <w:sz w:val="14"/>
                          </w:rPr>
                        </w:pPr>
                        <w:r>
                          <w:rPr>
                            <w:color w:val="38414D"/>
                            <w:sz w:val="14"/>
                          </w:rPr>
                          <w:t>10.18</w:t>
                        </w:r>
                      </w:p>
                    </w:tc>
                  </w:tr>
                  <w:tr w:rsidR="008325F1">
                    <w:trPr>
                      <w:trHeight w:hRule="exact" w:val="231"/>
                    </w:trPr>
                    <w:tc>
                      <w:tcPr>
                        <w:tcW w:w="948" w:type="dxa"/>
                      </w:tcPr>
                      <w:p w:rsidR="008325F1" w:rsidRDefault="00021EBB">
                        <w:pPr>
                          <w:pStyle w:val="TableParagraph"/>
                          <w:spacing w:before="70"/>
                          <w:rPr>
                            <w:rFonts w:ascii="Courier New"/>
                            <w:sz w:val="14"/>
                          </w:rPr>
                        </w:pPr>
                        <w:r>
                          <w:rPr>
                            <w:rFonts w:ascii="Courier New"/>
                            <w:color w:val="38414D"/>
                            <w:w w:val="115"/>
                            <w:sz w:val="14"/>
                          </w:rPr>
                          <w:t>AVERAGE</w:t>
                        </w:r>
                      </w:p>
                    </w:tc>
                    <w:tc>
                      <w:tcPr>
                        <w:tcW w:w="834" w:type="dxa"/>
                      </w:tcPr>
                      <w:p w:rsidR="008325F1" w:rsidRDefault="00021EBB">
                        <w:pPr>
                          <w:pStyle w:val="TableParagraph"/>
                          <w:ind w:left="174"/>
                          <w:rPr>
                            <w:sz w:val="14"/>
                          </w:rPr>
                        </w:pPr>
                        <w:r>
                          <w:rPr>
                            <w:color w:val="38414D"/>
                            <w:sz w:val="14"/>
                          </w:rPr>
                          <w:t>0.99%</w:t>
                        </w:r>
                      </w:p>
                    </w:tc>
                    <w:tc>
                      <w:tcPr>
                        <w:tcW w:w="989" w:type="dxa"/>
                      </w:tcPr>
                      <w:p w:rsidR="008325F1" w:rsidRDefault="00021EBB">
                        <w:pPr>
                          <w:pStyle w:val="TableParagraph"/>
                          <w:ind w:left="243"/>
                          <w:rPr>
                            <w:sz w:val="14"/>
                          </w:rPr>
                        </w:pPr>
                        <w:r>
                          <w:rPr>
                            <w:color w:val="38414D"/>
                            <w:sz w:val="14"/>
                          </w:rPr>
                          <w:t>2.23%</w:t>
                        </w:r>
                      </w:p>
                    </w:tc>
                    <w:tc>
                      <w:tcPr>
                        <w:tcW w:w="1029" w:type="dxa"/>
                      </w:tcPr>
                      <w:p w:rsidR="008325F1" w:rsidRDefault="00021EBB">
                        <w:pPr>
                          <w:pStyle w:val="TableParagraph"/>
                          <w:ind w:left="295" w:right="268"/>
                          <w:jc w:val="center"/>
                          <w:rPr>
                            <w:sz w:val="14"/>
                          </w:rPr>
                        </w:pPr>
                        <w:r>
                          <w:rPr>
                            <w:color w:val="38414D"/>
                            <w:sz w:val="14"/>
                          </w:rPr>
                          <w:t>1.24%</w:t>
                        </w:r>
                      </w:p>
                    </w:tc>
                    <w:tc>
                      <w:tcPr>
                        <w:tcW w:w="1419" w:type="dxa"/>
                      </w:tcPr>
                      <w:p w:rsidR="008325F1" w:rsidRDefault="00021EBB">
                        <w:pPr>
                          <w:pStyle w:val="TableParagraph"/>
                          <w:ind w:left="511" w:right="501"/>
                          <w:jc w:val="center"/>
                          <w:rPr>
                            <w:sz w:val="14"/>
                          </w:rPr>
                        </w:pPr>
                        <w:r>
                          <w:rPr>
                            <w:color w:val="38414D"/>
                            <w:sz w:val="14"/>
                          </w:rPr>
                          <w:t>2.25</w:t>
                        </w:r>
                      </w:p>
                    </w:tc>
                  </w:tr>
                </w:tbl>
                <w:p w:rsidR="008325F1" w:rsidRDefault="008325F1">
                  <w:pPr>
                    <w:pStyle w:val="BodyText"/>
                  </w:pPr>
                </w:p>
              </w:txbxContent>
            </v:textbox>
            <w10:wrap anchorx="page"/>
          </v:shape>
        </w:pict>
      </w:r>
      <w:r>
        <w:rPr>
          <w:color w:val="38414D"/>
          <w:w w:val="95"/>
          <w:sz w:val="14"/>
        </w:rPr>
        <w:t>RICO</w:t>
      </w: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rPr>
          <w:sz w:val="16"/>
        </w:rPr>
      </w:pPr>
    </w:p>
    <w:p w:rsidR="008325F1" w:rsidRDefault="008325F1">
      <w:pPr>
        <w:pStyle w:val="BodyText"/>
        <w:spacing w:before="7"/>
        <w:rPr>
          <w:sz w:val="12"/>
        </w:rPr>
      </w:pPr>
    </w:p>
    <w:p w:rsidR="008325F1" w:rsidRDefault="00021EBB">
      <w:pPr>
        <w:ind w:left="248"/>
        <w:rPr>
          <w:rFonts w:ascii="Courier New"/>
          <w:sz w:val="14"/>
        </w:rPr>
      </w:pPr>
      <w:r>
        <w:rPr>
          <w:rFonts w:ascii="Courier New"/>
          <w:color w:val="38414D"/>
          <w:spacing w:val="1"/>
          <w:w w:val="64"/>
          <w:sz w:val="14"/>
        </w:rPr>
        <w:t>*</w:t>
      </w:r>
      <w:r>
        <w:rPr>
          <w:rFonts w:ascii="Courier New"/>
          <w:color w:val="38414D"/>
          <w:spacing w:val="-1"/>
          <w:w w:val="91"/>
          <w:sz w:val="14"/>
        </w:rPr>
        <w:t>a</w:t>
      </w:r>
      <w:r>
        <w:rPr>
          <w:rFonts w:ascii="Courier New"/>
          <w:color w:val="38414D"/>
          <w:spacing w:val="-2"/>
          <w:sz w:val="14"/>
        </w:rPr>
        <w:t>b</w:t>
      </w:r>
      <w:r>
        <w:rPr>
          <w:rFonts w:ascii="Courier New"/>
          <w:color w:val="38414D"/>
          <w:spacing w:val="1"/>
          <w:w w:val="91"/>
          <w:sz w:val="14"/>
        </w:rPr>
        <w:t>s</w:t>
      </w:r>
      <w:r>
        <w:rPr>
          <w:rFonts w:ascii="Courier New"/>
          <w:color w:val="38414D"/>
          <w:sz w:val="14"/>
        </w:rPr>
        <w:t>o</w:t>
      </w:r>
      <w:r>
        <w:rPr>
          <w:rFonts w:ascii="Courier New"/>
          <w:color w:val="38414D"/>
          <w:spacing w:val="1"/>
          <w:w w:val="45"/>
          <w:sz w:val="14"/>
        </w:rPr>
        <w:t>l</w:t>
      </w:r>
      <w:r>
        <w:rPr>
          <w:rFonts w:ascii="Courier New"/>
          <w:color w:val="38414D"/>
          <w:sz w:val="14"/>
        </w:rPr>
        <w:t>u</w:t>
      </w:r>
      <w:r>
        <w:rPr>
          <w:rFonts w:ascii="Courier New"/>
          <w:color w:val="38414D"/>
          <w:w w:val="55"/>
          <w:sz w:val="14"/>
        </w:rPr>
        <w:t>t</w:t>
      </w:r>
      <w:r>
        <w:rPr>
          <w:rFonts w:ascii="Courier New"/>
          <w:color w:val="38414D"/>
          <w:w w:val="91"/>
          <w:sz w:val="14"/>
        </w:rPr>
        <w:t>e</w:t>
      </w:r>
      <w:r>
        <w:rPr>
          <w:rFonts w:ascii="Courier New"/>
          <w:color w:val="38414D"/>
          <w:spacing w:val="-44"/>
          <w:sz w:val="14"/>
        </w:rPr>
        <w:t xml:space="preserve"> </w:t>
      </w:r>
      <w:r>
        <w:rPr>
          <w:rFonts w:ascii="Courier New"/>
          <w:color w:val="38414D"/>
          <w:spacing w:val="-1"/>
          <w:w w:val="91"/>
          <w:sz w:val="14"/>
        </w:rPr>
        <w:t>va</w:t>
      </w:r>
      <w:r>
        <w:rPr>
          <w:rFonts w:ascii="Courier New"/>
          <w:color w:val="38414D"/>
          <w:spacing w:val="1"/>
          <w:w w:val="45"/>
          <w:sz w:val="14"/>
        </w:rPr>
        <w:t>l</w:t>
      </w:r>
      <w:r>
        <w:rPr>
          <w:rFonts w:ascii="Courier New"/>
          <w:color w:val="38414D"/>
          <w:sz w:val="14"/>
        </w:rPr>
        <w:t>u</w:t>
      </w:r>
      <w:r>
        <w:rPr>
          <w:rFonts w:ascii="Courier New"/>
          <w:color w:val="38414D"/>
          <w:w w:val="91"/>
          <w:sz w:val="14"/>
        </w:rPr>
        <w:t>e</w:t>
      </w:r>
    </w:p>
    <w:p w:rsidR="008325F1" w:rsidRDefault="008325F1">
      <w:pPr>
        <w:pStyle w:val="BodyText"/>
        <w:spacing w:before="3"/>
        <w:rPr>
          <w:rFonts w:ascii="Courier New"/>
          <w:sz w:val="16"/>
        </w:rPr>
      </w:pPr>
    </w:p>
    <w:p w:rsidR="008325F1" w:rsidRDefault="00021EBB">
      <w:pPr>
        <w:pStyle w:val="Heading1"/>
        <w:spacing w:before="1"/>
      </w:pPr>
      <w:r>
        <w:rPr>
          <w:color w:val="0080E2"/>
          <w:w w:val="95"/>
        </w:rPr>
        <w:t>Methodology</w:t>
      </w:r>
    </w:p>
    <w:p w:rsidR="008325F1" w:rsidRDefault="00021EBB">
      <w:pPr>
        <w:spacing w:line="145" w:lineRule="exact"/>
        <w:ind w:left="152" w:hanging="12"/>
        <w:rPr>
          <w:sz w:val="14"/>
        </w:rPr>
      </w:pPr>
      <w:r>
        <w:br w:type="column"/>
      </w:r>
      <w:r>
        <w:rPr>
          <w:color w:val="38414D"/>
          <w:w w:val="95"/>
          <w:sz w:val="14"/>
        </w:rPr>
        <w:t>NATIONAL</w:t>
      </w:r>
    </w:p>
    <w:p w:rsidR="008325F1" w:rsidRDefault="00021EBB">
      <w:pPr>
        <w:spacing w:before="31"/>
        <w:ind w:left="152"/>
        <w:rPr>
          <w:sz w:val="14"/>
        </w:rPr>
      </w:pPr>
      <w:r>
        <w:rPr>
          <w:color w:val="38414D"/>
          <w:sz w:val="14"/>
        </w:rPr>
        <w:t>AVERAGE</w:t>
      </w:r>
    </w:p>
    <w:p w:rsidR="008325F1" w:rsidRDefault="00021EBB">
      <w:pPr>
        <w:spacing w:before="80"/>
        <w:ind w:left="140"/>
        <w:rPr>
          <w:sz w:val="14"/>
        </w:rPr>
      </w:pPr>
      <w:r>
        <w:br w:type="column"/>
      </w:r>
      <w:r>
        <w:rPr>
          <w:color w:val="38414D"/>
          <w:w w:val="95"/>
          <w:sz w:val="14"/>
        </w:rPr>
        <w:t>DIFFERENCE</w:t>
      </w:r>
    </w:p>
    <w:p w:rsidR="008325F1" w:rsidRDefault="00021EBB">
      <w:pPr>
        <w:spacing w:before="80"/>
        <w:ind w:left="140"/>
        <w:rPr>
          <w:sz w:val="14"/>
        </w:rPr>
      </w:pPr>
      <w:r>
        <w:br w:type="column"/>
      </w:r>
      <w:r>
        <w:rPr>
          <w:color w:val="38414D"/>
          <w:sz w:val="14"/>
        </w:rPr>
        <w:t>DIVIDED BY</w:t>
      </w:r>
    </w:p>
    <w:p w:rsidR="008325F1" w:rsidRDefault="008325F1">
      <w:pPr>
        <w:rPr>
          <w:sz w:val="14"/>
        </w:rPr>
        <w:sectPr w:rsidR="008325F1">
          <w:type w:val="continuous"/>
          <w:pgSz w:w="12240" w:h="15840"/>
          <w:pgMar w:top="1000" w:right="580" w:bottom="1180" w:left="580" w:header="720" w:footer="720" w:gutter="0"/>
          <w:cols w:num="5" w:space="720" w:equalWidth="0">
            <w:col w:w="5341" w:space="239"/>
            <w:col w:w="1856" w:space="88"/>
            <w:col w:w="839" w:space="142"/>
            <w:col w:w="1031" w:space="236"/>
            <w:col w:w="1308"/>
          </w:cols>
        </w:sectPr>
      </w:pPr>
    </w:p>
    <w:p w:rsidR="008325F1" w:rsidRDefault="00021EBB">
      <w:pPr>
        <w:pStyle w:val="BodyText"/>
        <w:spacing w:before="62" w:line="285" w:lineRule="auto"/>
        <w:ind w:left="140" w:right="627"/>
      </w:pPr>
      <w:r>
        <w:t>divided by Net Total Premium as found in the Analysis of Operations by Line of Business exhibit.</w:t>
      </w:r>
    </w:p>
    <w:p w:rsidR="008325F1" w:rsidRDefault="00021EBB">
      <w:pPr>
        <w:pStyle w:val="BodyText"/>
        <w:spacing w:before="124" w:line="288" w:lineRule="auto"/>
        <w:ind w:left="140"/>
      </w:pPr>
      <w:r>
        <w:t>Table 1 below shows the profitability for MAPD plans for the 5- year period of 2012-2016 and the 2-year period of 2015 - 2016 for Puerto Rico and the entire Un</w:t>
      </w:r>
      <w:r>
        <w:t>ited States. For both time periods, Puerto Rico MAPD plans have a lower profit margin, with the most recent 2-year period having a profit margin of</w:t>
      </w:r>
      <w:r>
        <w:rPr>
          <w:spacing w:val="-25"/>
        </w:rPr>
        <w:t xml:space="preserve"> </w:t>
      </w:r>
      <w:r>
        <w:t>0.5% for Puerto Rico plans compared to a national average of 2.0%. These differences in results are</w:t>
      </w:r>
      <w:r>
        <w:rPr>
          <w:spacing w:val="-15"/>
        </w:rPr>
        <w:t xml:space="preserve"> </w:t>
      </w:r>
      <w:r>
        <w:t>material</w:t>
      </w:r>
      <w:r>
        <w:t>.</w:t>
      </w:r>
    </w:p>
    <w:p w:rsidR="008325F1" w:rsidRDefault="008325F1">
      <w:pPr>
        <w:pStyle w:val="BodyText"/>
        <w:rPr>
          <w:sz w:val="20"/>
        </w:rPr>
      </w:pPr>
    </w:p>
    <w:p w:rsidR="008325F1" w:rsidRDefault="008325F1">
      <w:pPr>
        <w:pStyle w:val="BodyText"/>
        <w:spacing w:before="7"/>
        <w:rPr>
          <w:sz w:val="16"/>
        </w:rPr>
      </w:pPr>
    </w:p>
    <w:p w:rsidR="008325F1" w:rsidRDefault="00021EBB">
      <w:pPr>
        <w:tabs>
          <w:tab w:val="left" w:pos="1039"/>
        </w:tabs>
        <w:ind w:left="140"/>
        <w:rPr>
          <w:rFonts w:ascii="Courier New"/>
          <w:sz w:val="14"/>
        </w:rPr>
      </w:pPr>
      <w:r>
        <w:pict>
          <v:line id="_x0000_s2068" style="position:absolute;left:0;text-align:left;z-index:251657728;mso-position-horizontal-relative:page" from="34.55pt,-8.8pt" to="298.45pt,-8.8pt" strokecolor="#c6c8ca" strokeweight=".48pt">
            <w10:wrap anchorx="page"/>
          </v:line>
        </w:pict>
      </w:r>
      <w:r>
        <w:rPr>
          <w:rFonts w:ascii="Courier New"/>
          <w:color w:val="0080E2"/>
          <w:spacing w:val="1"/>
          <w:sz w:val="14"/>
        </w:rPr>
        <w:t>T</w:t>
      </w:r>
      <w:r>
        <w:rPr>
          <w:rFonts w:ascii="Courier New"/>
          <w:color w:val="0080E2"/>
          <w:spacing w:val="-2"/>
          <w:w w:val="119"/>
          <w:sz w:val="14"/>
        </w:rPr>
        <w:t>A</w:t>
      </w:r>
      <w:r>
        <w:rPr>
          <w:rFonts w:ascii="Courier New"/>
          <w:color w:val="0080E2"/>
          <w:spacing w:val="2"/>
          <w:w w:val="119"/>
          <w:sz w:val="14"/>
        </w:rPr>
        <w:t>B</w:t>
      </w:r>
      <w:r>
        <w:rPr>
          <w:rFonts w:ascii="Courier New"/>
          <w:color w:val="0080E2"/>
          <w:sz w:val="14"/>
        </w:rPr>
        <w:t>L</w:t>
      </w:r>
      <w:r>
        <w:rPr>
          <w:rFonts w:ascii="Courier New"/>
          <w:color w:val="0080E2"/>
          <w:w w:val="110"/>
          <w:sz w:val="14"/>
        </w:rPr>
        <w:t>E</w:t>
      </w:r>
      <w:r>
        <w:rPr>
          <w:rFonts w:ascii="Courier New"/>
          <w:color w:val="0080E2"/>
          <w:spacing w:val="-46"/>
          <w:sz w:val="14"/>
        </w:rPr>
        <w:t xml:space="preserve"> </w:t>
      </w:r>
      <w:r>
        <w:rPr>
          <w:rFonts w:ascii="Courier New"/>
          <w:color w:val="0080E2"/>
          <w:spacing w:val="-1"/>
          <w:w w:val="91"/>
          <w:sz w:val="14"/>
        </w:rPr>
        <w:t>1</w:t>
      </w:r>
      <w:r>
        <w:rPr>
          <w:rFonts w:ascii="Courier New"/>
          <w:color w:val="0080E2"/>
          <w:w w:val="55"/>
          <w:sz w:val="14"/>
        </w:rPr>
        <w:t>:</w:t>
      </w:r>
      <w:r>
        <w:rPr>
          <w:rFonts w:ascii="Courier New"/>
          <w:color w:val="0080E2"/>
          <w:sz w:val="14"/>
        </w:rPr>
        <w:tab/>
      </w:r>
      <w:r>
        <w:rPr>
          <w:rFonts w:ascii="Courier New"/>
          <w:color w:val="0080E2"/>
          <w:spacing w:val="-1"/>
          <w:w w:val="91"/>
          <w:sz w:val="14"/>
        </w:rPr>
        <w:t>5</w:t>
      </w:r>
      <w:r>
        <w:rPr>
          <w:rFonts w:ascii="Courier New"/>
          <w:color w:val="0080E2"/>
          <w:spacing w:val="2"/>
          <w:w w:val="55"/>
          <w:sz w:val="14"/>
        </w:rPr>
        <w:t>-</w:t>
      </w:r>
      <w:r>
        <w:rPr>
          <w:rFonts w:ascii="Courier New"/>
          <w:color w:val="0080E2"/>
          <w:spacing w:val="-3"/>
          <w:w w:val="110"/>
          <w:sz w:val="14"/>
        </w:rPr>
        <w:t>Y</w:t>
      </w:r>
      <w:r>
        <w:rPr>
          <w:rFonts w:ascii="Courier New"/>
          <w:color w:val="0080E2"/>
          <w:spacing w:val="3"/>
          <w:w w:val="110"/>
          <w:sz w:val="14"/>
        </w:rPr>
        <w:t>E</w:t>
      </w:r>
      <w:r>
        <w:rPr>
          <w:rFonts w:ascii="Courier New"/>
          <w:color w:val="0080E2"/>
          <w:spacing w:val="-2"/>
          <w:w w:val="119"/>
          <w:sz w:val="14"/>
        </w:rPr>
        <w:t>A</w:t>
      </w:r>
      <w:r>
        <w:rPr>
          <w:rFonts w:ascii="Courier New"/>
          <w:color w:val="0080E2"/>
          <w:w w:val="119"/>
          <w:sz w:val="14"/>
        </w:rPr>
        <w:t>R</w:t>
      </w:r>
      <w:r>
        <w:rPr>
          <w:rFonts w:ascii="Courier New"/>
          <w:color w:val="0080E2"/>
          <w:spacing w:val="-43"/>
          <w:sz w:val="14"/>
        </w:rPr>
        <w:t xml:space="preserve"> </w:t>
      </w:r>
      <w:r>
        <w:rPr>
          <w:rFonts w:ascii="Courier New"/>
          <w:color w:val="0080E2"/>
          <w:spacing w:val="-2"/>
          <w:w w:val="119"/>
          <w:sz w:val="14"/>
        </w:rPr>
        <w:t>A</w:t>
      </w:r>
      <w:r>
        <w:rPr>
          <w:rFonts w:ascii="Courier New"/>
          <w:color w:val="0080E2"/>
          <w:spacing w:val="2"/>
          <w:w w:val="119"/>
          <w:sz w:val="14"/>
        </w:rPr>
        <w:t>N</w:t>
      </w:r>
      <w:r>
        <w:rPr>
          <w:rFonts w:ascii="Courier New"/>
          <w:color w:val="0080E2"/>
          <w:w w:val="119"/>
          <w:sz w:val="14"/>
        </w:rPr>
        <w:t>D</w:t>
      </w:r>
      <w:r>
        <w:rPr>
          <w:rFonts w:ascii="Courier New"/>
          <w:color w:val="0080E2"/>
          <w:spacing w:val="-45"/>
          <w:sz w:val="14"/>
        </w:rPr>
        <w:t xml:space="preserve"> </w:t>
      </w:r>
      <w:r>
        <w:rPr>
          <w:rFonts w:ascii="Courier New"/>
          <w:color w:val="0080E2"/>
          <w:spacing w:val="1"/>
          <w:w w:val="91"/>
          <w:sz w:val="14"/>
        </w:rPr>
        <w:t>2</w:t>
      </w:r>
      <w:r>
        <w:rPr>
          <w:rFonts w:ascii="Courier New"/>
          <w:color w:val="0080E2"/>
          <w:w w:val="55"/>
          <w:sz w:val="14"/>
        </w:rPr>
        <w:t>-</w:t>
      </w:r>
      <w:r>
        <w:rPr>
          <w:rFonts w:ascii="Courier New"/>
          <w:color w:val="0080E2"/>
          <w:spacing w:val="-1"/>
          <w:w w:val="110"/>
          <w:sz w:val="14"/>
        </w:rPr>
        <w:t>Y</w:t>
      </w:r>
      <w:r>
        <w:rPr>
          <w:rFonts w:ascii="Courier New"/>
          <w:color w:val="0080E2"/>
          <w:spacing w:val="3"/>
          <w:w w:val="110"/>
          <w:sz w:val="14"/>
        </w:rPr>
        <w:t>E</w:t>
      </w:r>
      <w:r>
        <w:rPr>
          <w:rFonts w:ascii="Courier New"/>
          <w:color w:val="0080E2"/>
          <w:spacing w:val="-2"/>
          <w:w w:val="119"/>
          <w:sz w:val="14"/>
        </w:rPr>
        <w:t>A</w:t>
      </w:r>
      <w:r>
        <w:rPr>
          <w:rFonts w:ascii="Courier New"/>
          <w:color w:val="0080E2"/>
          <w:w w:val="119"/>
          <w:sz w:val="14"/>
        </w:rPr>
        <w:t>R</w:t>
      </w:r>
      <w:r>
        <w:rPr>
          <w:rFonts w:ascii="Courier New"/>
          <w:color w:val="0080E2"/>
          <w:spacing w:val="-46"/>
          <w:sz w:val="14"/>
        </w:rPr>
        <w:t xml:space="preserve"> </w:t>
      </w:r>
      <w:r>
        <w:rPr>
          <w:rFonts w:ascii="Courier New"/>
          <w:color w:val="0080E2"/>
          <w:spacing w:val="3"/>
          <w:w w:val="137"/>
          <w:sz w:val="14"/>
        </w:rPr>
        <w:t>M</w:t>
      </w:r>
      <w:r>
        <w:rPr>
          <w:rFonts w:ascii="Courier New"/>
          <w:color w:val="0080E2"/>
          <w:spacing w:val="-2"/>
          <w:w w:val="119"/>
          <w:sz w:val="14"/>
        </w:rPr>
        <w:t>A</w:t>
      </w:r>
      <w:r>
        <w:rPr>
          <w:rFonts w:ascii="Courier New"/>
          <w:color w:val="0080E2"/>
          <w:w w:val="110"/>
          <w:sz w:val="14"/>
        </w:rPr>
        <w:t>P</w:t>
      </w:r>
      <w:r>
        <w:rPr>
          <w:rFonts w:ascii="Courier New"/>
          <w:color w:val="0080E2"/>
          <w:w w:val="119"/>
          <w:sz w:val="14"/>
        </w:rPr>
        <w:t>D</w:t>
      </w:r>
      <w:r>
        <w:rPr>
          <w:rFonts w:ascii="Courier New"/>
          <w:color w:val="0080E2"/>
          <w:spacing w:val="-45"/>
          <w:sz w:val="14"/>
        </w:rPr>
        <w:t xml:space="preserve"> </w:t>
      </w:r>
      <w:r>
        <w:rPr>
          <w:rFonts w:ascii="Courier New"/>
          <w:color w:val="0080E2"/>
          <w:w w:val="110"/>
          <w:sz w:val="14"/>
        </w:rPr>
        <w:t>P</w:t>
      </w:r>
      <w:r>
        <w:rPr>
          <w:rFonts w:ascii="Courier New"/>
          <w:color w:val="0080E2"/>
          <w:spacing w:val="1"/>
          <w:w w:val="119"/>
          <w:sz w:val="14"/>
        </w:rPr>
        <w:t>R</w:t>
      </w:r>
      <w:r>
        <w:rPr>
          <w:rFonts w:ascii="Courier New"/>
          <w:color w:val="0080E2"/>
          <w:spacing w:val="1"/>
          <w:w w:val="128"/>
          <w:sz w:val="14"/>
        </w:rPr>
        <w:t>O</w:t>
      </w:r>
      <w:r>
        <w:rPr>
          <w:rFonts w:ascii="Courier New"/>
          <w:color w:val="0080E2"/>
          <w:sz w:val="14"/>
        </w:rPr>
        <w:t>F</w:t>
      </w:r>
      <w:r>
        <w:rPr>
          <w:rFonts w:ascii="Courier New"/>
          <w:color w:val="0080E2"/>
          <w:spacing w:val="1"/>
          <w:w w:val="45"/>
          <w:sz w:val="14"/>
        </w:rPr>
        <w:t>I</w:t>
      </w:r>
      <w:r>
        <w:rPr>
          <w:rFonts w:ascii="Courier New"/>
          <w:color w:val="0080E2"/>
          <w:spacing w:val="1"/>
          <w:sz w:val="14"/>
        </w:rPr>
        <w:t>T</w:t>
      </w:r>
      <w:r>
        <w:rPr>
          <w:rFonts w:ascii="Courier New"/>
          <w:color w:val="0080E2"/>
          <w:spacing w:val="-2"/>
          <w:w w:val="119"/>
          <w:sz w:val="14"/>
        </w:rPr>
        <w:t>A</w:t>
      </w:r>
      <w:r>
        <w:rPr>
          <w:rFonts w:ascii="Courier New"/>
          <w:color w:val="0080E2"/>
          <w:spacing w:val="1"/>
          <w:w w:val="119"/>
          <w:sz w:val="14"/>
        </w:rPr>
        <w:t>B</w:t>
      </w:r>
      <w:r>
        <w:rPr>
          <w:rFonts w:ascii="Courier New"/>
          <w:color w:val="0080E2"/>
          <w:spacing w:val="1"/>
          <w:w w:val="45"/>
          <w:sz w:val="14"/>
        </w:rPr>
        <w:t>I</w:t>
      </w:r>
      <w:r>
        <w:rPr>
          <w:rFonts w:ascii="Courier New"/>
          <w:color w:val="0080E2"/>
          <w:spacing w:val="-2"/>
          <w:sz w:val="14"/>
        </w:rPr>
        <w:t>L</w:t>
      </w:r>
      <w:r>
        <w:rPr>
          <w:rFonts w:ascii="Courier New"/>
          <w:color w:val="0080E2"/>
          <w:spacing w:val="3"/>
          <w:w w:val="45"/>
          <w:sz w:val="14"/>
        </w:rPr>
        <w:t>I</w:t>
      </w:r>
      <w:r>
        <w:rPr>
          <w:rFonts w:ascii="Courier New"/>
          <w:color w:val="0080E2"/>
          <w:spacing w:val="1"/>
          <w:sz w:val="14"/>
        </w:rPr>
        <w:t>T</w:t>
      </w:r>
      <w:r>
        <w:rPr>
          <w:rFonts w:ascii="Courier New"/>
          <w:color w:val="0080E2"/>
          <w:w w:val="110"/>
          <w:sz w:val="14"/>
        </w:rPr>
        <w:t>Y</w:t>
      </w:r>
      <w:r>
        <w:rPr>
          <w:rFonts w:ascii="Courier New"/>
          <w:color w:val="0080E2"/>
          <w:spacing w:val="-48"/>
          <w:sz w:val="14"/>
        </w:rPr>
        <w:t xml:space="preserve"> </w:t>
      </w:r>
      <w:r>
        <w:rPr>
          <w:rFonts w:ascii="Courier New"/>
          <w:color w:val="0080E2"/>
          <w:spacing w:val="3"/>
          <w:w w:val="119"/>
          <w:sz w:val="14"/>
        </w:rPr>
        <w:t>C</w:t>
      </w:r>
      <w:r>
        <w:rPr>
          <w:rFonts w:ascii="Courier New"/>
          <w:color w:val="0080E2"/>
          <w:spacing w:val="-1"/>
          <w:w w:val="128"/>
          <w:sz w:val="14"/>
        </w:rPr>
        <w:t>O</w:t>
      </w:r>
      <w:r>
        <w:rPr>
          <w:rFonts w:ascii="Courier New"/>
          <w:color w:val="0080E2"/>
          <w:spacing w:val="2"/>
          <w:w w:val="137"/>
          <w:sz w:val="14"/>
        </w:rPr>
        <w:t>M</w:t>
      </w:r>
      <w:r>
        <w:rPr>
          <w:rFonts w:ascii="Courier New"/>
          <w:color w:val="0080E2"/>
          <w:w w:val="110"/>
          <w:sz w:val="14"/>
        </w:rPr>
        <w:t>P</w:t>
      </w:r>
      <w:r>
        <w:rPr>
          <w:rFonts w:ascii="Courier New"/>
          <w:color w:val="0080E2"/>
          <w:spacing w:val="-2"/>
          <w:w w:val="119"/>
          <w:sz w:val="14"/>
        </w:rPr>
        <w:t>A</w:t>
      </w:r>
      <w:r>
        <w:rPr>
          <w:rFonts w:ascii="Courier New"/>
          <w:color w:val="0080E2"/>
          <w:spacing w:val="3"/>
          <w:w w:val="119"/>
          <w:sz w:val="14"/>
        </w:rPr>
        <w:t>R</w:t>
      </w:r>
      <w:r>
        <w:rPr>
          <w:rFonts w:ascii="Courier New"/>
          <w:color w:val="0080E2"/>
          <w:spacing w:val="-1"/>
          <w:w w:val="45"/>
          <w:sz w:val="14"/>
        </w:rPr>
        <w:t>I</w:t>
      </w:r>
      <w:r>
        <w:rPr>
          <w:rFonts w:ascii="Courier New"/>
          <w:color w:val="0080E2"/>
          <w:spacing w:val="1"/>
          <w:w w:val="110"/>
          <w:sz w:val="14"/>
        </w:rPr>
        <w:t>S</w:t>
      </w:r>
      <w:r>
        <w:rPr>
          <w:rFonts w:ascii="Courier New"/>
          <w:color w:val="0080E2"/>
          <w:spacing w:val="-1"/>
          <w:w w:val="128"/>
          <w:sz w:val="14"/>
        </w:rPr>
        <w:t>O</w:t>
      </w:r>
      <w:r>
        <w:rPr>
          <w:rFonts w:ascii="Courier New"/>
          <w:color w:val="0080E2"/>
          <w:w w:val="119"/>
          <w:sz w:val="14"/>
        </w:rPr>
        <w:t>N</w:t>
      </w:r>
    </w:p>
    <w:p w:rsidR="008325F1" w:rsidRDefault="00021EBB">
      <w:pPr>
        <w:spacing w:before="59"/>
        <w:ind w:right="37"/>
        <w:jc w:val="right"/>
        <w:rPr>
          <w:sz w:val="14"/>
        </w:rPr>
      </w:pPr>
      <w:r>
        <w:rPr>
          <w:color w:val="38414D"/>
          <w:w w:val="95"/>
          <w:sz w:val="14"/>
        </w:rPr>
        <w:t>NATIONAL</w:t>
      </w:r>
    </w:p>
    <w:p w:rsidR="008325F1" w:rsidRDefault="00021EBB">
      <w:pPr>
        <w:pStyle w:val="BodyText"/>
        <w:spacing w:line="187" w:lineRule="exact"/>
        <w:ind w:left="140"/>
      </w:pPr>
      <w:r>
        <w:br w:type="column"/>
      </w:r>
      <w:r>
        <w:t>This analysis was developed using the publicly available 2012</w:t>
      </w:r>
    </w:p>
    <w:p w:rsidR="008325F1" w:rsidRDefault="00021EBB">
      <w:pPr>
        <w:pStyle w:val="BodyText"/>
        <w:spacing w:before="38" w:line="283" w:lineRule="auto"/>
        <w:ind w:left="140" w:right="77"/>
      </w:pPr>
      <w:r>
        <w:t>through 2016 Analysis of Operations by Line of Business exhibits included with the health NAIC annual statement blanks. To aggregate the data we used the S&amp;P Global Market Intelligence database.</w:t>
      </w:r>
    </w:p>
    <w:p w:rsidR="008325F1" w:rsidRDefault="00021EBB">
      <w:pPr>
        <w:pStyle w:val="BodyText"/>
        <w:spacing w:before="122" w:line="283" w:lineRule="auto"/>
        <w:ind w:left="140" w:right="177"/>
      </w:pPr>
      <w:r>
        <w:t>We used the S&amp;P Global Market Intelligence Health Market Shar</w:t>
      </w:r>
      <w:r>
        <w:t xml:space="preserve">e database to determine the legal entities with MAPD membership in Puerto Rico in 2016. These legal entities had effectively all of their total MAPD membership in Puerto Rico. This database utilized the state pages from the NAIC Annual Health Statement to </w:t>
      </w:r>
      <w:r>
        <w:t>aggregate membership. As well, for context, over the 5-year period the average annual Net Total Premium for the Puerto Rico plans was over $4 billion and all MAPD plans</w:t>
      </w:r>
    </w:p>
    <w:p w:rsidR="008325F1" w:rsidRDefault="008325F1">
      <w:pPr>
        <w:spacing w:line="283" w:lineRule="auto"/>
        <w:sectPr w:rsidR="008325F1">
          <w:type w:val="continuous"/>
          <w:pgSz w:w="12240" w:h="15840"/>
          <w:pgMar w:top="1000" w:right="580" w:bottom="1180" w:left="580" w:header="720" w:footer="720" w:gutter="0"/>
          <w:cols w:num="2" w:space="720" w:equalWidth="0">
            <w:col w:w="5300" w:space="280"/>
            <w:col w:w="5500"/>
          </w:cols>
        </w:sectPr>
      </w:pPr>
    </w:p>
    <w:p w:rsidR="008325F1" w:rsidRDefault="00021EBB">
      <w:pPr>
        <w:spacing w:line="136" w:lineRule="exact"/>
        <w:ind w:left="1652"/>
        <w:jc w:val="center"/>
        <w:rPr>
          <w:sz w:val="14"/>
        </w:rPr>
      </w:pPr>
      <w:r>
        <w:rPr>
          <w:color w:val="38414D"/>
          <w:w w:val="95"/>
          <w:sz w:val="14"/>
        </w:rPr>
        <w:t>PUERTO</w:t>
      </w:r>
    </w:p>
    <w:p w:rsidR="008325F1" w:rsidRDefault="00021EBB">
      <w:pPr>
        <w:spacing w:before="33"/>
        <w:ind w:right="116"/>
        <w:jc w:val="right"/>
        <w:rPr>
          <w:sz w:val="14"/>
        </w:rPr>
      </w:pPr>
      <w:r>
        <w:rPr>
          <w:color w:val="38414D"/>
          <w:w w:val="95"/>
          <w:sz w:val="14"/>
        </w:rPr>
        <w:t>RICO</w:t>
      </w:r>
    </w:p>
    <w:p w:rsidR="008325F1" w:rsidRDefault="00021EBB">
      <w:pPr>
        <w:spacing w:line="136" w:lineRule="exact"/>
        <w:ind w:left="188" w:hanging="12"/>
        <w:rPr>
          <w:sz w:val="14"/>
        </w:rPr>
      </w:pPr>
      <w:r>
        <w:br w:type="column"/>
      </w:r>
      <w:r>
        <w:rPr>
          <w:color w:val="38414D"/>
          <w:w w:val="95"/>
          <w:sz w:val="14"/>
        </w:rPr>
        <w:t>NATIONAL</w:t>
      </w:r>
    </w:p>
    <w:p w:rsidR="008325F1" w:rsidRDefault="00021EBB">
      <w:pPr>
        <w:spacing w:before="33"/>
        <w:ind w:left="188"/>
        <w:rPr>
          <w:sz w:val="14"/>
        </w:rPr>
      </w:pPr>
      <w:r>
        <w:rPr>
          <w:color w:val="38414D"/>
          <w:sz w:val="14"/>
        </w:rPr>
        <w:t>AVERAGE</w:t>
      </w:r>
    </w:p>
    <w:p w:rsidR="008325F1" w:rsidRDefault="00021EBB">
      <w:pPr>
        <w:spacing w:before="70"/>
        <w:ind w:left="177"/>
        <w:rPr>
          <w:sz w:val="14"/>
        </w:rPr>
      </w:pPr>
      <w:r>
        <w:br w:type="column"/>
      </w:r>
      <w:r>
        <w:rPr>
          <w:color w:val="38414D"/>
          <w:w w:val="95"/>
          <w:sz w:val="14"/>
        </w:rPr>
        <w:t>DIFFERENCE</w:t>
      </w:r>
    </w:p>
    <w:p w:rsidR="008325F1" w:rsidRDefault="00021EBB">
      <w:pPr>
        <w:spacing w:line="136" w:lineRule="exact"/>
        <w:ind w:left="216"/>
        <w:jc w:val="center"/>
        <w:rPr>
          <w:sz w:val="14"/>
        </w:rPr>
      </w:pPr>
      <w:r>
        <w:br w:type="column"/>
      </w:r>
      <w:r>
        <w:rPr>
          <w:color w:val="38414D"/>
          <w:sz w:val="14"/>
        </w:rPr>
        <w:t>DIVIDED BY</w:t>
      </w:r>
    </w:p>
    <w:p w:rsidR="008325F1" w:rsidRDefault="00021EBB">
      <w:pPr>
        <w:spacing w:before="33" w:line="285" w:lineRule="auto"/>
        <w:ind w:left="213"/>
        <w:jc w:val="center"/>
        <w:rPr>
          <w:sz w:val="14"/>
        </w:rPr>
      </w:pPr>
      <w:r>
        <w:rPr>
          <w:color w:val="38414D"/>
          <w:w w:val="95"/>
          <w:sz w:val="14"/>
        </w:rPr>
        <w:t xml:space="preserve">PUERTO </w:t>
      </w:r>
      <w:r>
        <w:rPr>
          <w:color w:val="38414D"/>
          <w:sz w:val="14"/>
        </w:rPr>
        <w:t>RIC</w:t>
      </w:r>
      <w:r>
        <w:rPr>
          <w:color w:val="38414D"/>
          <w:sz w:val="14"/>
        </w:rPr>
        <w:t>O</w:t>
      </w:r>
    </w:p>
    <w:p w:rsidR="008325F1" w:rsidRDefault="00021EBB">
      <w:pPr>
        <w:pStyle w:val="BodyText"/>
        <w:spacing w:line="206" w:lineRule="exact"/>
        <w:ind w:left="371"/>
      </w:pPr>
      <w:r>
        <w:br w:type="column"/>
      </w:r>
      <w:r>
        <w:t>was over $120 billion.</w:t>
      </w:r>
    </w:p>
    <w:p w:rsidR="008325F1" w:rsidRDefault="00021EBB">
      <w:pPr>
        <w:pStyle w:val="BodyText"/>
        <w:spacing w:before="158"/>
        <w:ind w:left="371"/>
      </w:pPr>
      <w:r>
        <w:pict>
          <v:group id="_x0000_s2052" style="position:absolute;left:0;text-align:left;margin-left:35.75pt;margin-top:17.55pt;width:266.1pt;height:25.1pt;z-index:-251656704;mso-position-horizontal-relative:page" coordorigin="715,351" coordsize="5322,502">
            <v:rect id="_x0000_s2067" style="position:absolute;left:720;top:351;width:5311;height:473" fillcolor="#f2f2f2" stroked="f"/>
            <v:line id="_x0000_s2066" style="position:absolute" from="720,828" to="2124,828" strokecolor="#bfbfbf" strokeweight=".48pt"/>
            <v:line id="_x0000_s2065" style="position:absolute" from="720,848" to="2124,848" strokecolor="#bfbfbf" strokeweight=".48pt"/>
            <v:shape id="_x0000_s2064" style="position:absolute;left:2124;top:824;width:29;height:29" coordorigin="2124,824" coordsize="29,29" o:spt="100" adj="0,,0" path="m2153,833r-29,l2124,824r29,l2153,833xm2153,852r-29,l2124,843r29,l2153,852xe" fillcolor="#bfbfbf" stroked="f">
              <v:stroke joinstyle="round"/>
              <v:formulas/>
              <v:path arrowok="t" o:connecttype="segments"/>
            </v:shape>
            <v:line id="_x0000_s2063" style="position:absolute" from="2153,828" to="2923,828" strokecolor="#bfbfbf" strokeweight=".48pt"/>
            <v:line id="_x0000_s2062" style="position:absolute" from="2153,848" to="2923,848" strokecolor="#bfbfbf" strokeweight=".48pt"/>
            <v:shape id="_x0000_s2061" style="position:absolute;left:2923;top:824;width:29;height:29" coordorigin="2923,824" coordsize="29,29" o:spt="100" adj="0,,0" path="m2952,833r-29,l2923,824r29,l2952,833xm2952,852r-29,l2923,843r29,l2952,852xe" fillcolor="#bfbfbf" stroked="f">
              <v:stroke joinstyle="round"/>
              <v:formulas/>
              <v:path arrowok="t" o:connecttype="segments"/>
            </v:shape>
            <v:line id="_x0000_s2060" style="position:absolute" from="2952,828" to="3840,828" strokecolor="#bfbfbf" strokeweight=".48pt"/>
            <v:line id="_x0000_s2059" style="position:absolute" from="2952,848" to="3840,848" strokecolor="#bfbfbf" strokeweight=".48pt"/>
            <v:shape id="_x0000_s2058" style="position:absolute;left:3840;top:824;width:29;height:29" coordorigin="3840,824" coordsize="29,29" o:spt="100" adj="0,,0" path="m3869,833r-29,l3840,824r29,l3869,833xm3869,852r-29,l3840,843r29,l3869,852xe" fillcolor="#bfbfbf" stroked="f">
              <v:stroke joinstyle="round"/>
              <v:formulas/>
              <v:path arrowok="t" o:connecttype="segments"/>
            </v:shape>
            <v:line id="_x0000_s2057" style="position:absolute" from="3869,828" to="4951,828" strokecolor="#bfbfbf" strokeweight=".48pt"/>
            <v:line id="_x0000_s2056" style="position:absolute" from="3869,848" to="4951,848" strokecolor="#bfbfbf" strokeweight=".48pt"/>
            <v:shape id="_x0000_s2055" style="position:absolute;left:4951;top:824;width:29;height:29" coordorigin="4951,824" coordsize="29,29" o:spt="100" adj="0,,0" path="m4980,833r-29,l4951,824r29,l4980,833xm4980,852r-29,l4951,843r29,l4980,852xe" fillcolor="#bfbfbf" stroked="f">
              <v:stroke joinstyle="round"/>
              <v:formulas/>
              <v:path arrowok="t" o:connecttype="segments"/>
            </v:shape>
            <v:line id="_x0000_s2054" style="position:absolute" from="4980,828" to="6031,828" strokecolor="#bfbfbf" strokeweight=".48pt"/>
            <v:line id="_x0000_s2053" style="position:absolute" from="4980,848" to="6031,848" strokecolor="#bfbfbf" strokeweight=".48pt"/>
            <w10:wrap anchorx="page"/>
          </v:group>
        </w:pict>
      </w:r>
      <w:r>
        <w:t>Please note that this exhibit does not contain information on all</w:t>
      </w:r>
    </w:p>
    <w:p w:rsidR="008325F1" w:rsidRDefault="008325F1">
      <w:pPr>
        <w:sectPr w:rsidR="008325F1">
          <w:type w:val="continuous"/>
          <w:pgSz w:w="12240" w:h="15840"/>
          <w:pgMar w:top="1000" w:right="580" w:bottom="1180" w:left="580" w:header="720" w:footer="720" w:gutter="0"/>
          <w:cols w:num="5" w:space="720" w:equalWidth="0">
            <w:col w:w="2235" w:space="40"/>
            <w:col w:w="876" w:space="40"/>
            <w:col w:w="1069" w:space="40"/>
            <w:col w:w="1010" w:space="40"/>
            <w:col w:w="5730"/>
          </w:cols>
        </w:sectPr>
      </w:pPr>
    </w:p>
    <w:p w:rsidR="008325F1" w:rsidRDefault="00021EBB">
      <w:pPr>
        <w:spacing w:before="56"/>
        <w:ind w:left="248"/>
        <w:rPr>
          <w:rFonts w:ascii="Courier New"/>
          <w:sz w:val="14"/>
        </w:rPr>
      </w:pPr>
      <w:r>
        <w:rPr>
          <w:rFonts w:ascii="Courier New"/>
          <w:color w:val="38414D"/>
          <w:w w:val="95"/>
          <w:sz w:val="14"/>
        </w:rPr>
        <w:t>5</w:t>
      </w:r>
      <w:r>
        <w:rPr>
          <w:rFonts w:ascii="Courier New"/>
          <w:color w:val="38414D"/>
          <w:spacing w:val="-47"/>
          <w:w w:val="95"/>
          <w:sz w:val="14"/>
        </w:rPr>
        <w:t xml:space="preserve"> </w:t>
      </w:r>
      <w:r>
        <w:rPr>
          <w:rFonts w:ascii="Courier New"/>
          <w:color w:val="38414D"/>
          <w:w w:val="95"/>
          <w:sz w:val="14"/>
        </w:rPr>
        <w:t>YEAR</w:t>
      </w:r>
      <w:r>
        <w:rPr>
          <w:rFonts w:ascii="Courier New"/>
          <w:color w:val="38414D"/>
          <w:spacing w:val="-48"/>
          <w:w w:val="95"/>
          <w:sz w:val="14"/>
        </w:rPr>
        <w:t xml:space="preserve"> </w:t>
      </w:r>
      <w:r>
        <w:rPr>
          <w:rFonts w:ascii="Courier New"/>
          <w:color w:val="38414D"/>
          <w:w w:val="95"/>
          <w:sz w:val="14"/>
        </w:rPr>
        <w:t>(2012-</w:t>
      </w:r>
    </w:p>
    <w:p w:rsidR="008325F1" w:rsidRDefault="00021EBB">
      <w:pPr>
        <w:spacing w:before="16"/>
        <w:ind w:left="248"/>
        <w:rPr>
          <w:rFonts w:ascii="Courier New"/>
          <w:sz w:val="14"/>
        </w:rPr>
      </w:pPr>
      <w:r>
        <w:rPr>
          <w:rFonts w:ascii="Courier New"/>
          <w:color w:val="38414D"/>
          <w:w w:val="95"/>
          <w:sz w:val="14"/>
        </w:rPr>
        <w:t>2016)</w:t>
      </w:r>
    </w:p>
    <w:p w:rsidR="008325F1" w:rsidRDefault="008325F1">
      <w:pPr>
        <w:pStyle w:val="BodyText"/>
        <w:rPr>
          <w:rFonts w:ascii="Courier New"/>
          <w:sz w:val="15"/>
        </w:rPr>
      </w:pPr>
    </w:p>
    <w:p w:rsidR="008325F1" w:rsidRDefault="00021EBB">
      <w:pPr>
        <w:ind w:left="248"/>
        <w:rPr>
          <w:rFonts w:ascii="Courier New"/>
          <w:sz w:val="14"/>
        </w:rPr>
      </w:pPr>
      <w:r>
        <w:rPr>
          <w:rFonts w:ascii="Courier New"/>
          <w:color w:val="38414D"/>
          <w:w w:val="95"/>
          <w:sz w:val="14"/>
        </w:rPr>
        <w:t>2</w:t>
      </w:r>
      <w:r>
        <w:rPr>
          <w:rFonts w:ascii="Courier New"/>
          <w:color w:val="38414D"/>
          <w:spacing w:val="-47"/>
          <w:w w:val="95"/>
          <w:sz w:val="14"/>
        </w:rPr>
        <w:t xml:space="preserve"> </w:t>
      </w:r>
      <w:r>
        <w:rPr>
          <w:rFonts w:ascii="Courier New"/>
          <w:color w:val="38414D"/>
          <w:w w:val="95"/>
          <w:sz w:val="14"/>
        </w:rPr>
        <w:t>YEAR</w:t>
      </w:r>
      <w:r>
        <w:rPr>
          <w:rFonts w:ascii="Courier New"/>
          <w:color w:val="38414D"/>
          <w:spacing w:val="-48"/>
          <w:w w:val="95"/>
          <w:sz w:val="14"/>
        </w:rPr>
        <w:t xml:space="preserve"> </w:t>
      </w:r>
      <w:r>
        <w:rPr>
          <w:rFonts w:ascii="Courier New"/>
          <w:color w:val="38414D"/>
          <w:w w:val="95"/>
          <w:sz w:val="14"/>
        </w:rPr>
        <w:t>(2015-</w:t>
      </w:r>
    </w:p>
    <w:p w:rsidR="008325F1" w:rsidRDefault="00021EBB">
      <w:pPr>
        <w:spacing w:before="16"/>
        <w:ind w:left="248"/>
        <w:rPr>
          <w:rFonts w:ascii="Courier New"/>
          <w:sz w:val="14"/>
        </w:rPr>
      </w:pPr>
      <w:r>
        <w:rPr>
          <w:rFonts w:ascii="Courier New"/>
          <w:color w:val="38414D"/>
          <w:w w:val="95"/>
          <w:sz w:val="14"/>
        </w:rPr>
        <w:t>206)</w:t>
      </w:r>
    </w:p>
    <w:p w:rsidR="008325F1" w:rsidRDefault="00021EBB">
      <w:pPr>
        <w:tabs>
          <w:tab w:val="left" w:pos="1104"/>
          <w:tab w:val="left" w:pos="2119"/>
          <w:tab w:val="left" w:pos="3276"/>
        </w:tabs>
        <w:spacing w:before="44"/>
        <w:ind w:left="248"/>
        <w:rPr>
          <w:sz w:val="14"/>
        </w:rPr>
      </w:pPr>
      <w:r>
        <w:br w:type="column"/>
      </w:r>
      <w:r>
        <w:rPr>
          <w:color w:val="38414D"/>
          <w:sz w:val="14"/>
        </w:rPr>
        <w:t>0.99%</w:t>
      </w:r>
      <w:r>
        <w:rPr>
          <w:color w:val="38414D"/>
          <w:sz w:val="14"/>
        </w:rPr>
        <w:tab/>
        <w:t>2.23%</w:t>
      </w:r>
      <w:r>
        <w:rPr>
          <w:color w:val="38414D"/>
          <w:sz w:val="14"/>
        </w:rPr>
        <w:tab/>
        <w:t>1.24%</w:t>
      </w:r>
      <w:r>
        <w:rPr>
          <w:color w:val="38414D"/>
          <w:sz w:val="14"/>
        </w:rPr>
        <w:tab/>
      </w:r>
      <w:r>
        <w:rPr>
          <w:color w:val="38414D"/>
          <w:w w:val="95"/>
          <w:sz w:val="14"/>
        </w:rPr>
        <w:t>2.25</w:t>
      </w:r>
    </w:p>
    <w:p w:rsidR="008325F1" w:rsidRDefault="008325F1">
      <w:pPr>
        <w:pStyle w:val="BodyText"/>
        <w:rPr>
          <w:sz w:val="16"/>
        </w:rPr>
      </w:pPr>
    </w:p>
    <w:p w:rsidR="008325F1" w:rsidRDefault="008325F1">
      <w:pPr>
        <w:pStyle w:val="BodyText"/>
        <w:spacing w:before="10"/>
        <w:rPr>
          <w:sz w:val="14"/>
        </w:rPr>
      </w:pPr>
    </w:p>
    <w:p w:rsidR="008325F1" w:rsidRDefault="00021EBB">
      <w:pPr>
        <w:tabs>
          <w:tab w:val="left" w:pos="1104"/>
          <w:tab w:val="left" w:pos="2120"/>
          <w:tab w:val="left" w:pos="3275"/>
        </w:tabs>
        <w:ind w:left="248"/>
        <w:rPr>
          <w:rFonts w:ascii="Courier New"/>
          <w:sz w:val="14"/>
        </w:rPr>
      </w:pPr>
      <w:r>
        <w:rPr>
          <w:rFonts w:ascii="Courier New"/>
          <w:color w:val="38414D"/>
          <w:spacing w:val="-1"/>
          <w:w w:val="91"/>
          <w:sz w:val="14"/>
        </w:rPr>
        <w:t>0</w:t>
      </w:r>
      <w:r>
        <w:rPr>
          <w:rFonts w:ascii="Courier New"/>
          <w:color w:val="38414D"/>
          <w:w w:val="45"/>
          <w:sz w:val="14"/>
        </w:rPr>
        <w:t>.</w:t>
      </w:r>
      <w:r>
        <w:rPr>
          <w:rFonts w:ascii="Courier New"/>
          <w:color w:val="38414D"/>
          <w:spacing w:val="1"/>
          <w:w w:val="91"/>
          <w:sz w:val="14"/>
        </w:rPr>
        <w:t>5</w:t>
      </w:r>
      <w:r>
        <w:rPr>
          <w:rFonts w:ascii="Courier New"/>
          <w:color w:val="38414D"/>
          <w:spacing w:val="-1"/>
          <w:w w:val="91"/>
          <w:sz w:val="14"/>
        </w:rPr>
        <w:t>1</w:t>
      </w:r>
      <w:r>
        <w:rPr>
          <w:rFonts w:ascii="Courier New"/>
          <w:color w:val="38414D"/>
          <w:w w:val="147"/>
          <w:sz w:val="14"/>
        </w:rPr>
        <w:t>%</w:t>
      </w:r>
      <w:r>
        <w:rPr>
          <w:rFonts w:ascii="Courier New"/>
          <w:color w:val="38414D"/>
          <w:sz w:val="14"/>
        </w:rPr>
        <w:tab/>
      </w:r>
      <w:r>
        <w:rPr>
          <w:rFonts w:ascii="Courier New"/>
          <w:color w:val="38414D"/>
          <w:spacing w:val="-1"/>
          <w:w w:val="91"/>
          <w:sz w:val="14"/>
        </w:rPr>
        <w:t>1</w:t>
      </w:r>
      <w:r>
        <w:rPr>
          <w:rFonts w:ascii="Courier New"/>
          <w:color w:val="38414D"/>
          <w:w w:val="45"/>
          <w:sz w:val="14"/>
        </w:rPr>
        <w:t>.</w:t>
      </w:r>
      <w:r>
        <w:rPr>
          <w:rFonts w:ascii="Courier New"/>
          <w:color w:val="38414D"/>
          <w:spacing w:val="1"/>
          <w:w w:val="91"/>
          <w:sz w:val="14"/>
        </w:rPr>
        <w:t>9</w:t>
      </w:r>
      <w:r>
        <w:rPr>
          <w:rFonts w:ascii="Courier New"/>
          <w:color w:val="38414D"/>
          <w:spacing w:val="-1"/>
          <w:w w:val="91"/>
          <w:sz w:val="14"/>
        </w:rPr>
        <w:t>9</w:t>
      </w:r>
      <w:r>
        <w:rPr>
          <w:rFonts w:ascii="Courier New"/>
          <w:color w:val="38414D"/>
          <w:w w:val="147"/>
          <w:sz w:val="14"/>
        </w:rPr>
        <w:t>%</w:t>
      </w:r>
      <w:r>
        <w:rPr>
          <w:rFonts w:ascii="Courier New"/>
          <w:color w:val="38414D"/>
          <w:sz w:val="14"/>
        </w:rPr>
        <w:tab/>
      </w:r>
      <w:r>
        <w:rPr>
          <w:rFonts w:ascii="Courier New"/>
          <w:color w:val="38414D"/>
          <w:spacing w:val="-1"/>
          <w:w w:val="91"/>
          <w:sz w:val="14"/>
        </w:rPr>
        <w:t>1</w:t>
      </w:r>
      <w:r>
        <w:rPr>
          <w:rFonts w:ascii="Courier New"/>
          <w:color w:val="38414D"/>
          <w:w w:val="45"/>
          <w:sz w:val="14"/>
        </w:rPr>
        <w:t>.</w:t>
      </w:r>
      <w:r>
        <w:rPr>
          <w:rFonts w:ascii="Courier New"/>
          <w:color w:val="38414D"/>
          <w:spacing w:val="1"/>
          <w:w w:val="91"/>
          <w:sz w:val="14"/>
        </w:rPr>
        <w:t>4</w:t>
      </w:r>
      <w:r>
        <w:rPr>
          <w:rFonts w:ascii="Courier New"/>
          <w:color w:val="38414D"/>
          <w:spacing w:val="-1"/>
          <w:w w:val="91"/>
          <w:sz w:val="14"/>
        </w:rPr>
        <w:t>8</w:t>
      </w:r>
      <w:r>
        <w:rPr>
          <w:rFonts w:ascii="Courier New"/>
          <w:color w:val="38414D"/>
          <w:w w:val="147"/>
          <w:sz w:val="14"/>
        </w:rPr>
        <w:t>%</w:t>
      </w:r>
      <w:r>
        <w:rPr>
          <w:rFonts w:ascii="Courier New"/>
          <w:color w:val="38414D"/>
          <w:sz w:val="14"/>
        </w:rPr>
        <w:tab/>
      </w:r>
      <w:r>
        <w:rPr>
          <w:rFonts w:ascii="Courier New"/>
          <w:color w:val="38414D"/>
          <w:w w:val="91"/>
          <w:sz w:val="14"/>
        </w:rPr>
        <w:t>3</w:t>
      </w:r>
      <w:r>
        <w:rPr>
          <w:rFonts w:ascii="Courier New"/>
          <w:color w:val="38414D"/>
          <w:w w:val="45"/>
          <w:sz w:val="14"/>
        </w:rPr>
        <w:t>.</w:t>
      </w:r>
      <w:r>
        <w:rPr>
          <w:rFonts w:ascii="Courier New"/>
          <w:color w:val="38414D"/>
          <w:spacing w:val="1"/>
          <w:w w:val="91"/>
          <w:sz w:val="14"/>
        </w:rPr>
        <w:t>8</w:t>
      </w:r>
      <w:r>
        <w:rPr>
          <w:rFonts w:ascii="Courier New"/>
          <w:color w:val="38414D"/>
          <w:w w:val="91"/>
          <w:sz w:val="14"/>
        </w:rPr>
        <w:t>8</w:t>
      </w:r>
    </w:p>
    <w:p w:rsidR="008325F1" w:rsidRDefault="00021EBB">
      <w:pPr>
        <w:pStyle w:val="BodyText"/>
        <w:spacing w:before="38" w:line="283" w:lineRule="auto"/>
        <w:ind w:left="248" w:right="156"/>
      </w:pPr>
      <w:r>
        <w:br w:type="column"/>
      </w:r>
      <w:r>
        <w:t>MAPD plans as not every plan fills out the NAIC Heath Insurance Annual Statement blank. Some plans are required to file under the NAIC Life Insurance Annual Statement blank. The Life Insurance Annual Statement does not contain a breakout for MAPD plans and</w:t>
      </w:r>
      <w:r>
        <w:t xml:space="preserve"> thus was excluded from this analysis. As well,</w:t>
      </w:r>
    </w:p>
    <w:p w:rsidR="008325F1" w:rsidRDefault="008325F1">
      <w:pPr>
        <w:spacing w:line="283" w:lineRule="auto"/>
        <w:sectPr w:rsidR="008325F1">
          <w:type w:val="continuous"/>
          <w:pgSz w:w="12240" w:h="15840"/>
          <w:pgMar w:top="1000" w:right="580" w:bottom="1180" w:left="580" w:header="720" w:footer="720" w:gutter="0"/>
          <w:cols w:num="3" w:space="720" w:equalWidth="0">
            <w:col w:w="1197" w:space="228"/>
            <w:col w:w="3549" w:space="498"/>
            <w:col w:w="5608"/>
          </w:cols>
        </w:sectPr>
      </w:pPr>
    </w:p>
    <w:p w:rsidR="008325F1" w:rsidRDefault="00021EBB">
      <w:pPr>
        <w:pStyle w:val="BodyText"/>
        <w:spacing w:before="76" w:line="285" w:lineRule="auto"/>
        <w:ind w:left="140" w:right="-4"/>
      </w:pPr>
      <w:r>
        <w:t>As seen in Table 2, every year between 2012 and 2016 the average profit margin for Puerto Rico is lower than the</w:t>
      </w:r>
      <w:r>
        <w:rPr>
          <w:spacing w:val="-22"/>
        </w:rPr>
        <w:t xml:space="preserve"> </w:t>
      </w:r>
      <w:r>
        <w:t>national</w:t>
      </w:r>
    </w:p>
    <w:p w:rsidR="008325F1" w:rsidRDefault="00021EBB">
      <w:pPr>
        <w:pStyle w:val="BodyText"/>
        <w:spacing w:before="1" w:line="283" w:lineRule="auto"/>
        <w:ind w:left="140" w:right="227"/>
      </w:pPr>
      <w:r>
        <w:br w:type="column"/>
      </w:r>
      <w:r>
        <w:t>this analysis does not include plans that file with the D</w:t>
      </w:r>
      <w:r>
        <w:t>epartment of Managed Care in California.</w:t>
      </w:r>
    </w:p>
    <w:p w:rsidR="008325F1" w:rsidRDefault="008325F1">
      <w:pPr>
        <w:spacing w:line="283" w:lineRule="auto"/>
        <w:sectPr w:rsidR="008325F1">
          <w:type w:val="continuous"/>
          <w:pgSz w:w="12240" w:h="15840"/>
          <w:pgMar w:top="1000" w:right="580" w:bottom="1180" w:left="580" w:header="720" w:footer="720" w:gutter="0"/>
          <w:cols w:num="2" w:space="720" w:equalWidth="0">
            <w:col w:w="5127" w:space="453"/>
            <w:col w:w="5500"/>
          </w:cols>
        </w:sectPr>
      </w:pPr>
    </w:p>
    <w:p w:rsidR="008325F1" w:rsidRDefault="008325F1">
      <w:pPr>
        <w:pStyle w:val="BodyText"/>
        <w:rPr>
          <w:sz w:val="20"/>
        </w:rPr>
      </w:pPr>
      <w:bookmarkStart w:id="0" w:name="_GoBack"/>
    </w:p>
    <w:p w:rsidR="008325F1" w:rsidRDefault="008325F1">
      <w:pPr>
        <w:pStyle w:val="BodyText"/>
        <w:rPr>
          <w:sz w:val="20"/>
        </w:rPr>
      </w:pPr>
    </w:p>
    <w:p w:rsidR="008325F1" w:rsidRDefault="008325F1">
      <w:pPr>
        <w:pStyle w:val="BodyText"/>
        <w:spacing w:before="9"/>
        <w:rPr>
          <w:sz w:val="15"/>
        </w:rPr>
      </w:pPr>
    </w:p>
    <w:p w:rsidR="008325F1" w:rsidRDefault="008325F1">
      <w:pPr>
        <w:rPr>
          <w:sz w:val="15"/>
        </w:rPr>
        <w:sectPr w:rsidR="008325F1">
          <w:pgSz w:w="12240" w:h="15840"/>
          <w:pgMar w:top="1000" w:right="580" w:bottom="1180" w:left="580" w:header="804" w:footer="988" w:gutter="0"/>
          <w:cols w:space="720"/>
        </w:sectPr>
      </w:pPr>
    </w:p>
    <w:p w:rsidR="008325F1" w:rsidRDefault="00021EBB">
      <w:pPr>
        <w:pStyle w:val="BodyText"/>
        <w:spacing w:before="81" w:line="288" w:lineRule="auto"/>
        <w:ind w:left="140" w:right="5"/>
      </w:pPr>
      <w:r>
        <w:t>All plans that have major medical insurance plans, regardless of if they fill out the Life or Health Annual Statement, are required to file a Supplemental Health Care Exhibit. Based on an analysis of the 2015 and 2016 Supplemental Health Care Exhibits, 73%</w:t>
      </w:r>
      <w:r>
        <w:t xml:space="preserve"> of MAPD and standalone Prescription Drug (PDP) plan members are in plans with companies that fill out the Health Insurance Annual statement. Members with companies completing this Statement constitute 87% of premiums earned. While that is not exclusively </w:t>
      </w:r>
      <w:r>
        <w:t xml:space="preserve">MAPD, we believe that this information along with the fact that all Puerto Rico MAPD plans fill out the Health Annual Statement makes the use of the health annual statement an appropriate comparison. </w:t>
      </w:r>
      <w:r>
        <w:rPr>
          <w:spacing w:val="3"/>
        </w:rPr>
        <w:t xml:space="preserve">We </w:t>
      </w:r>
      <w:r>
        <w:t xml:space="preserve">used 2015 and 2016 to calculate these values as 2015 </w:t>
      </w:r>
      <w:r>
        <w:t>was the first year the Supplemental Health Care Exhibit split out MAPD and PDP</w:t>
      </w:r>
      <w:r>
        <w:rPr>
          <w:spacing w:val="-15"/>
        </w:rPr>
        <w:t xml:space="preserve"> </w:t>
      </w:r>
      <w:r>
        <w:t>plans.</w:t>
      </w:r>
    </w:p>
    <w:p w:rsidR="008325F1" w:rsidRDefault="00021EBB">
      <w:pPr>
        <w:pStyle w:val="Heading1"/>
      </w:pPr>
      <w:r>
        <w:rPr>
          <w:color w:val="0080E2"/>
        </w:rPr>
        <w:t>Conclusion</w:t>
      </w:r>
    </w:p>
    <w:p w:rsidR="008325F1" w:rsidRDefault="00021EBB">
      <w:pPr>
        <w:pStyle w:val="BodyText"/>
        <w:spacing w:before="62" w:line="288" w:lineRule="auto"/>
        <w:ind w:left="140"/>
      </w:pPr>
      <w:r>
        <w:t xml:space="preserve">Based on our analysis, from 2012 through 2016 there is a material difference in the profitability of MAPD plans operating in Puerto Rico compared to the total </w:t>
      </w:r>
      <w:r>
        <w:t>for all MAPD plans in the NAIC Heath Insurance Annual Statement blank. During this time period, the average Puerto Rico profit margin has been lower than the national average each and every year. On average,</w:t>
      </w:r>
      <w:r>
        <w:rPr>
          <w:spacing w:val="-21"/>
        </w:rPr>
        <w:t xml:space="preserve"> </w:t>
      </w:r>
      <w:r>
        <w:t>over the 5 year period, the national MAPD margin</w:t>
      </w:r>
      <w:r>
        <w:t xml:space="preserve"> has been 2.25 times greater than Puerto Rico. Further, the average overall Puerto Rico profit margin in more recent years has declined significantly from 2012 and 2013</w:t>
      </w:r>
      <w:r>
        <w:rPr>
          <w:spacing w:val="-12"/>
        </w:rPr>
        <w:t xml:space="preserve"> </w:t>
      </w:r>
      <w:r>
        <w:t>levels.</w:t>
      </w:r>
    </w:p>
    <w:p w:rsidR="008325F1" w:rsidRDefault="00021EBB">
      <w:pPr>
        <w:pStyle w:val="Heading1"/>
        <w:spacing w:before="79"/>
      </w:pPr>
      <w:r>
        <w:br w:type="column"/>
      </w:r>
      <w:r>
        <w:rPr>
          <w:color w:val="0080E2"/>
        </w:rPr>
        <w:t>Caveats and Limitations</w:t>
      </w:r>
    </w:p>
    <w:p w:rsidR="008325F1" w:rsidRDefault="00021EBB">
      <w:pPr>
        <w:pStyle w:val="BodyText"/>
        <w:spacing w:before="62" w:line="288" w:lineRule="auto"/>
        <w:ind w:left="140" w:right="77"/>
      </w:pPr>
      <w:r>
        <w:t>We prepared this work for the specific purpose of prov</w:t>
      </w:r>
      <w:r>
        <w:t>iding information to the Medicaid and Medicare Advantage Association of Puerto Rico (MMAPA), its member companies, and CMS.</w:t>
      </w:r>
    </w:p>
    <w:p w:rsidR="008325F1" w:rsidRDefault="00021EBB">
      <w:pPr>
        <w:pStyle w:val="BodyText"/>
        <w:spacing w:before="2" w:line="288" w:lineRule="auto"/>
        <w:ind w:left="140" w:right="167"/>
      </w:pPr>
      <w:r>
        <w:t>This information should not be used for any other purpose. Milliman does not intend to benefit or create a legal duty to any third p</w:t>
      </w:r>
      <w:r>
        <w:t>arty recipient of its work. Milliman’s work is not intended to guide or determine any specific individual situation and any third party should consult qualified professionals before taking specific actions. This work was performed under existing Consultant</w:t>
      </w:r>
      <w:r>
        <w:t xml:space="preserve"> Services Agreements and related third party agreements.</w:t>
      </w:r>
    </w:p>
    <w:p w:rsidR="008325F1" w:rsidRDefault="00021EBB">
      <w:pPr>
        <w:pStyle w:val="BodyText"/>
        <w:spacing w:before="120" w:line="288" w:lineRule="auto"/>
        <w:ind w:left="140" w:right="187"/>
      </w:pPr>
      <w:r>
        <w:t>In performing this analysis, we relied on public data and other information provided by CMS, NAIC, and other entities. We did not audit this data and other information. If the underlying data or info</w:t>
      </w:r>
      <w:r>
        <w:t xml:space="preserve">rmation is inaccurate or incomplete, the results of our analysis may likewise be inaccurate or incomplete.  </w:t>
      </w:r>
      <w:r>
        <w:rPr>
          <w:spacing w:val="4"/>
        </w:rPr>
        <w:t xml:space="preserve">We </w:t>
      </w:r>
      <w:r>
        <w:t>performed a limited review of the data used directly in our analysis for reasonableness and consistency and have not found material defects in th</w:t>
      </w:r>
      <w:r>
        <w:t>e data. If there are material defects in the data, it is possible that they will be uncovered by a detailed, systematic review and comparison of the data to search for data values that are questionable or for relationships that are materially inconsistent.</w:t>
      </w:r>
      <w:r>
        <w:t xml:space="preserve"> Such a review is outside the scope of</w:t>
      </w:r>
      <w:r>
        <w:rPr>
          <w:spacing w:val="-22"/>
        </w:rPr>
        <w:t xml:space="preserve"> </w:t>
      </w:r>
      <w:r>
        <w:t>this work</w:t>
      </w:r>
    </w:p>
    <w:p w:rsidR="008325F1" w:rsidRDefault="008325F1">
      <w:pPr>
        <w:spacing w:line="288" w:lineRule="auto"/>
        <w:sectPr w:rsidR="008325F1">
          <w:type w:val="continuous"/>
          <w:pgSz w:w="12240" w:h="15840"/>
          <w:pgMar w:top="1000" w:right="580" w:bottom="1180" w:left="580" w:header="720" w:footer="720" w:gutter="0"/>
          <w:cols w:num="2" w:space="720" w:equalWidth="0">
            <w:col w:w="5337" w:space="243"/>
            <w:col w:w="5500"/>
          </w:cols>
        </w:sectPr>
      </w:pPr>
    </w:p>
    <w:p w:rsidR="008325F1" w:rsidRDefault="008325F1">
      <w:pPr>
        <w:pStyle w:val="BodyText"/>
        <w:rPr>
          <w:sz w:val="20"/>
        </w:rPr>
      </w:pPr>
    </w:p>
    <w:p w:rsidR="008325F1" w:rsidRDefault="008325F1">
      <w:pPr>
        <w:pStyle w:val="BodyText"/>
        <w:rPr>
          <w:sz w:val="20"/>
        </w:rPr>
      </w:pPr>
    </w:p>
    <w:p w:rsidR="008325F1" w:rsidRDefault="008325F1">
      <w:pPr>
        <w:pStyle w:val="BodyText"/>
        <w:spacing w:before="1"/>
        <w:rPr>
          <w:sz w:val="15"/>
        </w:rPr>
      </w:pPr>
    </w:p>
    <w:p w:rsidR="008325F1" w:rsidRDefault="00021EBB">
      <w:pPr>
        <w:pStyle w:val="BodyText"/>
        <w:spacing w:line="20" w:lineRule="exact"/>
        <w:ind w:left="106"/>
        <w:rPr>
          <w:sz w:val="2"/>
        </w:rPr>
      </w:pPr>
      <w:r>
        <w:rPr>
          <w:sz w:val="2"/>
        </w:rPr>
      </w:r>
      <w:r>
        <w:rPr>
          <w:sz w:val="2"/>
        </w:rPr>
        <w:pict>
          <v:group id="_x0000_s2050" style="width:543.4pt;height:.5pt;mso-position-horizontal-relative:char;mso-position-vertical-relative:line" coordsize="10868,10">
            <v:line id="_x0000_s2051" style="position:absolute" from="5,5" to="10863,5" strokecolor="#c6c8ca" strokeweight=".48pt"/>
            <w10:wrap type="none"/>
            <w10:anchorlock/>
          </v:group>
        </w:pict>
      </w:r>
    </w:p>
    <w:p w:rsidR="008325F1" w:rsidRDefault="00021EBB">
      <w:pPr>
        <w:pStyle w:val="BodyText"/>
        <w:spacing w:before="4"/>
        <w:rPr>
          <w:sz w:val="16"/>
        </w:rPr>
      </w:pPr>
      <w:r>
        <w:rPr>
          <w:noProof/>
        </w:rPr>
        <w:drawing>
          <wp:anchor distT="0" distB="0" distL="0" distR="0" simplePos="0" relativeHeight="251654656" behindDoc="0" locked="0" layoutInCell="1" allowOverlap="1">
            <wp:simplePos x="0" y="0"/>
            <wp:positionH relativeFrom="page">
              <wp:posOffset>454151</wp:posOffset>
            </wp:positionH>
            <wp:positionV relativeFrom="paragraph">
              <wp:posOffset>144399</wp:posOffset>
            </wp:positionV>
            <wp:extent cx="1194815" cy="2804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94815" cy="280415"/>
                    </a:xfrm>
                    <a:prstGeom prst="rect">
                      <a:avLst/>
                    </a:prstGeom>
                  </pic:spPr>
                </pic:pic>
              </a:graphicData>
            </a:graphic>
          </wp:anchor>
        </w:drawing>
      </w:r>
    </w:p>
    <w:p w:rsidR="008325F1" w:rsidRDefault="008325F1">
      <w:pPr>
        <w:pStyle w:val="BodyText"/>
        <w:rPr>
          <w:sz w:val="20"/>
        </w:rPr>
      </w:pPr>
    </w:p>
    <w:p w:rsidR="008325F1" w:rsidRDefault="008325F1">
      <w:pPr>
        <w:pStyle w:val="BodyText"/>
        <w:rPr>
          <w:sz w:val="20"/>
        </w:rPr>
      </w:pPr>
    </w:p>
    <w:p w:rsidR="008325F1" w:rsidRDefault="008325F1">
      <w:pPr>
        <w:pStyle w:val="BodyText"/>
        <w:rPr>
          <w:sz w:val="20"/>
        </w:rPr>
      </w:pPr>
    </w:p>
    <w:p w:rsidR="008325F1" w:rsidRDefault="008325F1">
      <w:pPr>
        <w:pStyle w:val="BodyText"/>
        <w:rPr>
          <w:sz w:val="20"/>
        </w:rPr>
      </w:pPr>
    </w:p>
    <w:p w:rsidR="008325F1" w:rsidRDefault="008325F1">
      <w:pPr>
        <w:pStyle w:val="BodyText"/>
        <w:spacing w:before="7"/>
        <w:rPr>
          <w:sz w:val="25"/>
        </w:rPr>
      </w:pPr>
    </w:p>
    <w:p w:rsidR="008325F1" w:rsidRDefault="008325F1">
      <w:pPr>
        <w:rPr>
          <w:sz w:val="25"/>
        </w:rPr>
        <w:sectPr w:rsidR="008325F1">
          <w:type w:val="continuous"/>
          <w:pgSz w:w="12240" w:h="15840"/>
          <w:pgMar w:top="1000" w:right="580" w:bottom="1180" w:left="580" w:header="720" w:footer="720" w:gutter="0"/>
          <w:cols w:space="720"/>
        </w:sectPr>
      </w:pPr>
    </w:p>
    <w:p w:rsidR="008325F1" w:rsidRDefault="00021EBB">
      <w:pPr>
        <w:spacing w:before="104" w:line="288" w:lineRule="auto"/>
        <w:ind w:left="144" w:right="-8"/>
        <w:rPr>
          <w:sz w:val="16"/>
        </w:rPr>
      </w:pPr>
      <w:r>
        <w:rPr>
          <w:color w:val="72797C"/>
          <w:sz w:val="16"/>
        </w:rPr>
        <w:t>Milliman is among the world’s largest providers of actuarial and related products and services. The firm has consulting practices in life insurance and financial services, property &amp;</w:t>
      </w:r>
      <w:r>
        <w:rPr>
          <w:color w:val="72797C"/>
          <w:sz w:val="16"/>
        </w:rPr>
        <w:t xml:space="preserve"> casualty insurance, healthcare, and employee benefits. Founded in 1947, Milliman is an independent firm</w:t>
      </w:r>
      <w:r>
        <w:rPr>
          <w:color w:val="72797C"/>
          <w:spacing w:val="-14"/>
          <w:sz w:val="16"/>
        </w:rPr>
        <w:t xml:space="preserve"> </w:t>
      </w:r>
      <w:r>
        <w:rPr>
          <w:color w:val="72797C"/>
          <w:sz w:val="16"/>
        </w:rPr>
        <w:t>with offices in major cities around the</w:t>
      </w:r>
      <w:r>
        <w:rPr>
          <w:color w:val="72797C"/>
          <w:spacing w:val="-8"/>
          <w:sz w:val="16"/>
        </w:rPr>
        <w:t xml:space="preserve"> </w:t>
      </w:r>
      <w:r>
        <w:rPr>
          <w:color w:val="72797C"/>
          <w:sz w:val="16"/>
        </w:rPr>
        <w:t>globe.</w:t>
      </w:r>
    </w:p>
    <w:p w:rsidR="008325F1" w:rsidRDefault="008325F1">
      <w:pPr>
        <w:pStyle w:val="BodyText"/>
        <w:spacing w:before="4"/>
        <w:rPr>
          <w:sz w:val="21"/>
        </w:rPr>
      </w:pPr>
    </w:p>
    <w:p w:rsidR="008325F1" w:rsidRDefault="00021EBB">
      <w:pPr>
        <w:ind w:left="144"/>
        <w:rPr>
          <w:sz w:val="16"/>
        </w:rPr>
      </w:pPr>
      <w:r>
        <w:rPr>
          <w:color w:val="0080E2"/>
          <w:sz w:val="16"/>
        </w:rPr>
        <w:t>milliman.com</w:t>
      </w:r>
    </w:p>
    <w:p w:rsidR="008325F1" w:rsidRDefault="00021EBB">
      <w:pPr>
        <w:spacing w:before="100"/>
        <w:ind w:left="135"/>
        <w:rPr>
          <w:rFonts w:ascii="Courier New"/>
          <w:sz w:val="17"/>
        </w:rPr>
      </w:pPr>
      <w:r>
        <w:br w:type="column"/>
      </w:r>
      <w:r>
        <w:rPr>
          <w:rFonts w:ascii="Courier New"/>
          <w:color w:val="72797C"/>
          <w:w w:val="115"/>
          <w:sz w:val="17"/>
        </w:rPr>
        <w:t>CONTACT</w:t>
      </w:r>
    </w:p>
    <w:p w:rsidR="008325F1" w:rsidRDefault="00021EBB">
      <w:pPr>
        <w:pStyle w:val="BodyText"/>
        <w:spacing w:before="14"/>
        <w:ind w:left="135"/>
      </w:pPr>
      <w:r>
        <w:t>Stuart D. Rachlin</w:t>
      </w:r>
    </w:p>
    <w:p w:rsidR="008325F1" w:rsidRDefault="00021EBB">
      <w:pPr>
        <w:spacing w:before="39"/>
        <w:ind w:left="135"/>
        <w:rPr>
          <w:sz w:val="17"/>
        </w:rPr>
      </w:pPr>
      <w:hyperlink r:id="rId10">
        <w:r>
          <w:rPr>
            <w:color w:val="0080E2"/>
            <w:sz w:val="17"/>
          </w:rPr>
          <w:t>stuart.ra</w:t>
        </w:r>
        <w:r>
          <w:rPr>
            <w:color w:val="0080E2"/>
            <w:sz w:val="17"/>
          </w:rPr>
          <w:t>chlin@milliman.com</w:t>
        </w:r>
      </w:hyperlink>
    </w:p>
    <w:p w:rsidR="008325F1" w:rsidRDefault="00021EBB">
      <w:pPr>
        <w:pStyle w:val="BodyText"/>
        <w:spacing w:before="159"/>
        <w:ind w:left="135"/>
      </w:pPr>
      <w:r>
        <w:t>Matthew Hayes</w:t>
      </w:r>
    </w:p>
    <w:p w:rsidR="008325F1" w:rsidRDefault="00021EBB">
      <w:pPr>
        <w:spacing w:before="37"/>
        <w:ind w:left="135"/>
        <w:rPr>
          <w:sz w:val="17"/>
        </w:rPr>
      </w:pPr>
      <w:hyperlink r:id="rId11">
        <w:r>
          <w:rPr>
            <w:color w:val="0080E2"/>
            <w:sz w:val="17"/>
          </w:rPr>
          <w:t>matthew.hayes@milliman.com</w:t>
        </w:r>
      </w:hyperlink>
    </w:p>
    <w:p w:rsidR="008325F1" w:rsidRDefault="008325F1">
      <w:pPr>
        <w:rPr>
          <w:sz w:val="17"/>
        </w:rPr>
        <w:sectPr w:rsidR="008325F1">
          <w:type w:val="continuous"/>
          <w:pgSz w:w="12240" w:h="15840"/>
          <w:pgMar w:top="1000" w:right="580" w:bottom="1180" w:left="580" w:header="720" w:footer="720" w:gutter="0"/>
          <w:cols w:num="2" w:space="720" w:equalWidth="0">
            <w:col w:w="5354" w:space="1135"/>
            <w:col w:w="4591"/>
          </w:cols>
        </w:sectPr>
      </w:pPr>
    </w:p>
    <w:p w:rsidR="008325F1" w:rsidRDefault="008325F1">
      <w:pPr>
        <w:pStyle w:val="BodyText"/>
        <w:rPr>
          <w:sz w:val="20"/>
        </w:rPr>
      </w:pPr>
    </w:p>
    <w:p w:rsidR="008325F1" w:rsidRDefault="008325F1">
      <w:pPr>
        <w:pStyle w:val="BodyText"/>
        <w:rPr>
          <w:sz w:val="20"/>
        </w:rPr>
      </w:pPr>
    </w:p>
    <w:p w:rsidR="008325F1" w:rsidRDefault="008325F1">
      <w:pPr>
        <w:pStyle w:val="BodyText"/>
        <w:rPr>
          <w:sz w:val="20"/>
        </w:rPr>
      </w:pPr>
    </w:p>
    <w:p w:rsidR="008325F1" w:rsidRDefault="008325F1">
      <w:pPr>
        <w:pStyle w:val="BodyText"/>
        <w:rPr>
          <w:sz w:val="20"/>
        </w:rPr>
      </w:pPr>
    </w:p>
    <w:p w:rsidR="008325F1" w:rsidRDefault="008325F1">
      <w:pPr>
        <w:pStyle w:val="BodyText"/>
        <w:rPr>
          <w:sz w:val="20"/>
        </w:rPr>
      </w:pPr>
    </w:p>
    <w:p w:rsidR="008325F1" w:rsidRDefault="008325F1">
      <w:pPr>
        <w:pStyle w:val="BodyText"/>
        <w:spacing w:before="5"/>
        <w:rPr>
          <w:sz w:val="19"/>
        </w:rPr>
      </w:pPr>
    </w:p>
    <w:p w:rsidR="008325F1" w:rsidRDefault="00021EBB">
      <w:pPr>
        <w:spacing w:before="88" w:line="292" w:lineRule="auto"/>
        <w:ind w:left="144" w:right="189"/>
        <w:rPr>
          <w:sz w:val="12"/>
        </w:rPr>
      </w:pPr>
      <w:r>
        <w:rPr>
          <w:color w:val="72797C"/>
          <w:sz w:val="12"/>
        </w:rPr>
        <w:t>© 2018 Milliman, Inc. All Rights Reserved. The materials in this document represent the opinion of the authors and are not representative of the views of Milliman, Inc. Milliman does not certify the information, nor does it guarantee the accuracy and compl</w:t>
      </w:r>
      <w:r>
        <w:rPr>
          <w:color w:val="72797C"/>
          <w:sz w:val="12"/>
        </w:rPr>
        <w:t>eteness of such information. Use of such information is voluntary and should not be relied upon unless an independent review of its accuracy and completeness has been performed. Materials may not be reproduced without the express consent of Milliman.</w:t>
      </w:r>
      <w:bookmarkEnd w:id="0"/>
    </w:p>
    <w:sectPr w:rsidR="008325F1">
      <w:type w:val="continuous"/>
      <w:pgSz w:w="12240" w:h="15840"/>
      <w:pgMar w:top="1000" w:right="580" w:bottom="11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1EBB">
      <w:r>
        <w:separator/>
      </w:r>
    </w:p>
  </w:endnote>
  <w:endnote w:type="continuationSeparator" w:id="0">
    <w:p w:rsidR="00000000" w:rsidRDefault="0002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F1" w:rsidRDefault="00021EBB">
    <w:pPr>
      <w:pStyle w:val="BodyText"/>
      <w:spacing w:line="14" w:lineRule="auto"/>
      <w:rPr>
        <w:sz w:val="20"/>
      </w:rPr>
    </w:pPr>
    <w:r>
      <w:pict>
        <v:line id="_x0000_s1028" style="position:absolute;z-index:-8296;mso-position-horizontal-relative:page;mso-position-vertical-relative:page" from="34.55pt,729.85pt" to="577.45pt,729.85pt" strokecolor="#e8e8e8" strokeweight=".48pt">
          <w10:wrap anchorx="page" anchory="page"/>
        </v:line>
      </w:pict>
    </w:r>
    <w:r>
      <w:pict>
        <v:shapetype id="_x0000_t202" coordsize="21600,21600" o:spt="202" path="m,l,21600r21600,l21600,xe">
          <v:stroke joinstyle="miter"/>
          <v:path gradientshapeok="t" o:connecttype="rect"/>
        </v:shapetype>
        <v:shape id="_x0000_s1027" type="#_x0000_t202" style="position:absolute;margin-left:301.95pt;margin-top:738.4pt;width:7.9pt;height:10.4pt;z-index:-8272;mso-position-horizontal-relative:page;mso-position-vertical-relative:page" filled="f" stroked="f">
          <v:textbox inset="0,0,0,0">
            <w:txbxContent>
              <w:p w:rsidR="008325F1" w:rsidRDefault="00021EBB">
                <w:pPr>
                  <w:spacing w:before="14"/>
                  <w:ind w:left="40"/>
                  <w:rPr>
                    <w:sz w:val="14"/>
                  </w:rPr>
                </w:pPr>
                <w:r>
                  <w:fldChar w:fldCharType="begin"/>
                </w:r>
                <w:r>
                  <w:rPr>
                    <w:color w:val="72797C"/>
                    <w:w w:val="99"/>
                    <w:sz w:val="14"/>
                  </w:rPr>
                  <w:instrText xml:space="preserve"> PAGE </w:instrText>
                </w:r>
                <w:r>
                  <w:fldChar w:fldCharType="separate"/>
                </w:r>
                <w:r>
                  <w:rPr>
                    <w:noProof/>
                    <w:color w:val="72797C"/>
                    <w:w w:val="99"/>
                    <w:sz w:val="14"/>
                  </w:rPr>
                  <w:t>2</w:t>
                </w:r>
                <w:r>
                  <w:fldChar w:fldCharType="end"/>
                </w:r>
              </w:p>
            </w:txbxContent>
          </v:textbox>
          <w10:wrap anchorx="page" anchory="page"/>
        </v:shape>
      </w:pict>
    </w:r>
    <w:r>
      <w:pict>
        <v:shape id="_x0000_s1026" type="#_x0000_t202" style="position:absolute;margin-left:35pt;margin-top:738.9pt;width:162.1pt;height:18.3pt;z-index:-8248;mso-position-horizontal-relative:page;mso-position-vertical-relative:page" filled="f" stroked="f">
          <v:textbox inset="0,0,0,0">
            <w:txbxContent>
              <w:p w:rsidR="008325F1" w:rsidRDefault="00021EBB">
                <w:pPr>
                  <w:spacing w:before="4" w:line="249" w:lineRule="auto"/>
                  <w:ind w:left="20" w:right="-4"/>
                  <w:rPr>
                    <w:sz w:val="14"/>
                  </w:rPr>
                </w:pPr>
                <w:r>
                  <w:rPr>
                    <w:color w:val="72797C"/>
                    <w:sz w:val="14"/>
                  </w:rPr>
                  <w:t>Comparison of Medicare Part C and Part D Margins in Puerto Rico and the Total United States</w:t>
                </w:r>
              </w:p>
            </w:txbxContent>
          </v:textbox>
          <w10:wrap anchorx="page" anchory="page"/>
        </v:shape>
      </w:pict>
    </w:r>
    <w:r>
      <w:pict>
        <v:shape id="_x0000_s1025" type="#_x0000_t202" style="position:absolute;margin-left:514.45pt;margin-top:738.9pt;width:44.35pt;height:9.9pt;z-index:-8224;mso-position-horizontal-relative:page;mso-position-vertical-relative:page" filled="f" stroked="f">
          <v:textbox inset="0,0,0,0">
            <w:txbxContent>
              <w:p w:rsidR="008325F1" w:rsidRDefault="00021EBB">
                <w:pPr>
                  <w:spacing w:before="4"/>
                  <w:ind w:left="20"/>
                  <w:rPr>
                    <w:sz w:val="14"/>
                  </w:rPr>
                </w:pPr>
                <w:r>
                  <w:rPr>
                    <w:color w:val="72797C"/>
                    <w:sz w:val="14"/>
                  </w:rPr>
                  <w:t>January 2018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21EBB">
      <w:r>
        <w:separator/>
      </w:r>
    </w:p>
  </w:footnote>
  <w:footnote w:type="continuationSeparator" w:id="0">
    <w:p w:rsidR="00000000" w:rsidRDefault="00021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F1" w:rsidRDefault="00021EBB">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35pt;margin-top:41.35pt;width:85.25pt;height:9.9pt;z-index:-8320;mso-position-horizontal-relative:page;mso-position-vertical-relative:page" filled="f" stroked="f">
          <v:textbox inset="0,0,0,0">
            <w:txbxContent>
              <w:p w:rsidR="008325F1" w:rsidRDefault="00021EBB">
                <w:pPr>
                  <w:spacing w:before="4"/>
                  <w:ind w:left="20"/>
                  <w:rPr>
                    <w:sz w:val="14"/>
                  </w:rPr>
                </w:pPr>
                <w:r>
                  <w:rPr>
                    <w:color w:val="0A4977"/>
                    <w:sz w:val="14"/>
                  </w:rPr>
                  <w:t xml:space="preserve">MILLIMAN </w:t>
                </w:r>
                <w:r>
                  <w:rPr>
                    <w:color w:val="38414D"/>
                    <w:sz w:val="14"/>
                  </w:rPr>
                  <w:t>WHITE PAPER</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325F1"/>
    <w:rsid w:val="00021EBB"/>
    <w:rsid w:val="0083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5:docId w15:val="{EBCF6532-9383-419A-BBD4-4AE2D93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19"/>
      <w:ind w:left="140"/>
      <w:outlineLvl w:val="0"/>
    </w:pPr>
    <w:rPr>
      <w:sz w:val="30"/>
      <w:szCs w:val="30"/>
    </w:rPr>
  </w:style>
  <w:style w:type="paragraph" w:styleId="Heading2">
    <w:name w:val="heading 2"/>
    <w:basedOn w:val="Normal"/>
    <w:uiPriority w:val="1"/>
    <w:qFormat/>
    <w:pPr>
      <w:ind w:left="140" w:right="-13"/>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8"/>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matthew.hayes@milliman.com" TargetMode="External"/><Relationship Id="rId5" Type="http://schemas.openxmlformats.org/officeDocument/2006/relationships/endnotes" Target="endnotes.xml"/><Relationship Id="rId10" Type="http://schemas.openxmlformats.org/officeDocument/2006/relationships/hyperlink" Target="mailto:stuart.rachlin@milliman.com" TargetMode="Externa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1195</Words>
  <Characters>6241</Characters>
  <Application>Microsoft Office Word</Application>
  <DocSecurity>0</DocSecurity>
  <Lines>283</Lines>
  <Paragraphs>70</Paragraphs>
  <ScaleCrop>false</ScaleCrop>
  <Company>CMS</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MCS57.DOC.PR Margin Analysis.20180115</dc:title>
  <dc:creator>matthew.hayes</dc:creator>
  <cp:lastModifiedBy>Arthur Pignotti</cp:lastModifiedBy>
  <cp:revision>2</cp:revision>
  <dcterms:created xsi:type="dcterms:W3CDTF">2018-06-12T23:35:00Z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LastSaved">
    <vt:filetime>2018-06-13T00:00:00Z</vt:filetime>
  </property>
</Properties>
</file>