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9"/>
        <w:ind w:left="120"/>
      </w:pPr>
      <w:r>
        <w:rPr/>
        <w:t>November 21, 2017</w:t>
      </w:r>
    </w:p>
    <w:p>
      <w:pPr>
        <w:pStyle w:val="BodyText"/>
        <w:spacing w:before="11"/>
        <w:rPr>
          <w:sz w:val="23"/>
        </w:rPr>
      </w:pPr>
    </w:p>
    <w:p>
      <w:pPr>
        <w:pStyle w:val="BodyText"/>
        <w:ind w:left="120"/>
      </w:pPr>
      <w:r>
        <w:rPr/>
        <w:t>Demetrios L. Kouzoukas</w:t>
      </w:r>
    </w:p>
    <w:p>
      <w:pPr>
        <w:pStyle w:val="BodyText"/>
        <w:ind w:left="120" w:right="2875"/>
      </w:pPr>
      <w:r>
        <w:rPr/>
        <w:t>Principal Deputy Administrator &amp; Director of the Center for Medicare Centers for Medicare &amp; Medicaid Services</w:t>
      </w:r>
    </w:p>
    <w:p>
      <w:pPr>
        <w:pStyle w:val="BodyText"/>
        <w:ind w:left="120" w:right="6947"/>
      </w:pPr>
      <w:r>
        <w:rPr/>
        <w:t>200 Independence Ave, SW Washington, DC 20201</w:t>
      </w:r>
    </w:p>
    <w:p>
      <w:pPr>
        <w:pStyle w:val="BodyText"/>
      </w:pPr>
    </w:p>
    <w:p>
      <w:pPr>
        <w:pStyle w:val="Heading1"/>
        <w:tabs>
          <w:tab w:pos="840" w:val="left" w:leader="none"/>
        </w:tabs>
        <w:ind w:left="120" w:firstLine="0"/>
      </w:pPr>
      <w:r>
        <w:rPr/>
        <w:t>RE:</w:t>
        <w:tab/>
        <w:t>2019 Medicare Advantage Advance Notice and Draft Call</w:t>
      </w:r>
      <w:r>
        <w:rPr>
          <w:spacing w:val="-15"/>
        </w:rPr>
        <w:t> </w:t>
      </w:r>
      <w:r>
        <w:rPr/>
        <w:t>Letter</w:t>
      </w:r>
    </w:p>
    <w:p>
      <w:pPr>
        <w:pStyle w:val="BodyText"/>
        <w:rPr>
          <w:b/>
        </w:rPr>
      </w:pPr>
    </w:p>
    <w:p>
      <w:pPr>
        <w:pStyle w:val="BodyText"/>
        <w:ind w:left="120"/>
      </w:pPr>
      <w:r>
        <w:rPr/>
        <w:t>Dear Mr. Kouzoukas:</w:t>
      </w:r>
    </w:p>
    <w:p>
      <w:pPr>
        <w:pStyle w:val="BodyText"/>
      </w:pPr>
    </w:p>
    <w:p>
      <w:pPr>
        <w:pStyle w:val="BodyText"/>
        <w:ind w:left="120" w:right="120" w:firstLine="719"/>
        <w:jc w:val="both"/>
      </w:pPr>
      <w:r>
        <w:rPr/>
        <w:t>We appreciate the time and attention you and the staff and officials of the Centers for Medicare</w:t>
      </w:r>
      <w:r>
        <w:rPr>
          <w:spacing w:val="-10"/>
        </w:rPr>
        <w:t> </w:t>
      </w:r>
      <w:r>
        <w:rPr/>
        <w:t>&amp;</w:t>
      </w:r>
      <w:r>
        <w:rPr>
          <w:spacing w:val="-8"/>
        </w:rPr>
        <w:t> </w:t>
      </w:r>
      <w:r>
        <w:rPr/>
        <w:t>Medicaid</w:t>
      </w:r>
      <w:r>
        <w:rPr>
          <w:spacing w:val="-8"/>
        </w:rPr>
        <w:t> </w:t>
      </w:r>
      <w:r>
        <w:rPr/>
        <w:t>Services</w:t>
      </w:r>
      <w:r>
        <w:rPr>
          <w:spacing w:val="-8"/>
        </w:rPr>
        <w:t> </w:t>
      </w:r>
      <w:r>
        <w:rPr/>
        <w:t>(CMS)</w:t>
      </w:r>
      <w:r>
        <w:rPr>
          <w:spacing w:val="-9"/>
        </w:rPr>
        <w:t> </w:t>
      </w:r>
      <w:r>
        <w:rPr/>
        <w:t>have</w:t>
      </w:r>
      <w:r>
        <w:rPr>
          <w:spacing w:val="-7"/>
        </w:rPr>
        <w:t> </w:t>
      </w:r>
      <w:r>
        <w:rPr/>
        <w:t>given</w:t>
      </w:r>
      <w:r>
        <w:rPr>
          <w:spacing w:val="-7"/>
        </w:rPr>
        <w:t> </w:t>
      </w:r>
      <w:r>
        <w:rPr/>
        <w:t>to</w:t>
      </w:r>
      <w:r>
        <w:rPr>
          <w:spacing w:val="-8"/>
        </w:rPr>
        <w:t> </w:t>
      </w:r>
      <w:r>
        <w:rPr/>
        <w:t>the</w:t>
      </w:r>
      <w:r>
        <w:rPr>
          <w:spacing w:val="-9"/>
        </w:rPr>
        <w:t> </w:t>
      </w:r>
      <w:r>
        <w:rPr/>
        <w:t>unique</w:t>
      </w:r>
      <w:r>
        <w:rPr>
          <w:spacing w:val="-10"/>
        </w:rPr>
        <w:t> </w:t>
      </w:r>
      <w:r>
        <w:rPr/>
        <w:t>challenges</w:t>
      </w:r>
      <w:r>
        <w:rPr>
          <w:spacing w:val="-8"/>
        </w:rPr>
        <w:t> </w:t>
      </w:r>
      <w:r>
        <w:rPr/>
        <w:t>faced</w:t>
      </w:r>
      <w:r>
        <w:rPr>
          <w:spacing w:val="-9"/>
        </w:rPr>
        <w:t> </w:t>
      </w:r>
      <w:r>
        <w:rPr/>
        <w:t>by</w:t>
      </w:r>
      <w:r>
        <w:rPr>
          <w:spacing w:val="-13"/>
        </w:rPr>
        <w:t> </w:t>
      </w:r>
      <w:r>
        <w:rPr/>
        <w:t>the</w:t>
      </w:r>
      <w:r>
        <w:rPr>
          <w:spacing w:val="-10"/>
        </w:rPr>
        <w:t> </w:t>
      </w:r>
      <w:r>
        <w:rPr/>
        <w:t>Puerto</w:t>
      </w:r>
      <w:r>
        <w:rPr>
          <w:spacing w:val="-9"/>
        </w:rPr>
        <w:t> </w:t>
      </w:r>
      <w:r>
        <w:rPr/>
        <w:t>Rico health care system. We are particularly grateful for swift and meaningful response by CMS following the devastation of Hurricane</w:t>
      </w:r>
      <w:r>
        <w:rPr>
          <w:spacing w:val="-7"/>
        </w:rPr>
        <w:t> </w:t>
      </w:r>
      <w:r>
        <w:rPr/>
        <w:t>María.</w:t>
      </w:r>
    </w:p>
    <w:p>
      <w:pPr>
        <w:pStyle w:val="BodyText"/>
      </w:pPr>
    </w:p>
    <w:p>
      <w:pPr>
        <w:spacing w:before="0"/>
        <w:ind w:left="120" w:right="115" w:firstLine="719"/>
        <w:jc w:val="both"/>
        <w:rPr>
          <w:b/>
          <w:sz w:val="24"/>
        </w:rPr>
      </w:pPr>
      <w:r>
        <w:rPr>
          <w:sz w:val="24"/>
        </w:rPr>
        <w:t>In response to our productive meeting with you on November 14, 2017, the undersigned members of the Medicaid and Medicare Advantage Products Association (MMAPA) write now to provide</w:t>
      </w:r>
      <w:r>
        <w:rPr>
          <w:spacing w:val="-12"/>
          <w:sz w:val="24"/>
        </w:rPr>
        <w:t> </w:t>
      </w:r>
      <w:r>
        <w:rPr>
          <w:sz w:val="24"/>
        </w:rPr>
        <w:t>requested</w:t>
      </w:r>
      <w:r>
        <w:rPr>
          <w:spacing w:val="-11"/>
          <w:sz w:val="24"/>
        </w:rPr>
        <w:t> </w:t>
      </w:r>
      <w:r>
        <w:rPr>
          <w:sz w:val="24"/>
        </w:rPr>
        <w:t>information</w:t>
      </w:r>
      <w:r>
        <w:rPr>
          <w:spacing w:val="-11"/>
          <w:sz w:val="24"/>
        </w:rPr>
        <w:t> </w:t>
      </w:r>
      <w:r>
        <w:rPr>
          <w:sz w:val="24"/>
        </w:rPr>
        <w:t>and</w:t>
      </w:r>
      <w:r>
        <w:rPr>
          <w:spacing w:val="-10"/>
          <w:sz w:val="24"/>
        </w:rPr>
        <w:t> </w:t>
      </w:r>
      <w:r>
        <w:rPr>
          <w:sz w:val="24"/>
        </w:rPr>
        <w:t>outline</w:t>
      </w:r>
      <w:r>
        <w:rPr>
          <w:spacing w:val="-12"/>
          <w:sz w:val="24"/>
        </w:rPr>
        <w:t> </w:t>
      </w:r>
      <w:r>
        <w:rPr>
          <w:sz w:val="24"/>
        </w:rPr>
        <w:t>suggested</w:t>
      </w:r>
      <w:r>
        <w:rPr>
          <w:spacing w:val="-11"/>
          <w:sz w:val="24"/>
        </w:rPr>
        <w:t> </w:t>
      </w:r>
      <w:r>
        <w:rPr>
          <w:sz w:val="24"/>
        </w:rPr>
        <w:t>reforms</w:t>
      </w:r>
      <w:r>
        <w:rPr>
          <w:spacing w:val="-11"/>
          <w:sz w:val="24"/>
        </w:rPr>
        <w:t> </w:t>
      </w:r>
      <w:r>
        <w:rPr>
          <w:sz w:val="24"/>
        </w:rPr>
        <w:t>to</w:t>
      </w:r>
      <w:r>
        <w:rPr>
          <w:spacing w:val="-11"/>
          <w:sz w:val="24"/>
        </w:rPr>
        <w:t> </w:t>
      </w:r>
      <w:r>
        <w:rPr>
          <w:sz w:val="24"/>
        </w:rPr>
        <w:t>the</w:t>
      </w:r>
      <w:r>
        <w:rPr>
          <w:spacing w:val="-12"/>
          <w:sz w:val="24"/>
        </w:rPr>
        <w:t> </w:t>
      </w:r>
      <w:r>
        <w:rPr>
          <w:sz w:val="24"/>
        </w:rPr>
        <w:t>Medicare</w:t>
      </w:r>
      <w:r>
        <w:rPr>
          <w:spacing w:val="-12"/>
          <w:sz w:val="24"/>
        </w:rPr>
        <w:t> </w:t>
      </w:r>
      <w:r>
        <w:rPr>
          <w:sz w:val="24"/>
        </w:rPr>
        <w:t>Advantage</w:t>
      </w:r>
      <w:r>
        <w:rPr>
          <w:spacing w:val="-12"/>
          <w:sz w:val="24"/>
        </w:rPr>
        <w:t> </w:t>
      </w:r>
      <w:r>
        <w:rPr>
          <w:sz w:val="24"/>
        </w:rPr>
        <w:t>benchmark setting process that CMS can now take to improve equitable reimbursement for care of Medicare beneficiaries in the Commonwealth. </w:t>
      </w:r>
      <w:r>
        <w:rPr>
          <w:b/>
          <w:sz w:val="24"/>
        </w:rPr>
        <w:t>As you will see in our analysis in </w:t>
      </w:r>
      <w:r>
        <w:rPr>
          <w:b/>
          <w:i/>
          <w:sz w:val="24"/>
        </w:rPr>
        <w:t>Appendix 3</w:t>
      </w:r>
      <w:r>
        <w:rPr>
          <w:b/>
          <w:sz w:val="24"/>
        </w:rPr>
        <w:t>, a Medicare Advantage adjustment to the USVI MA rates could support keeping 100,000 Medicare beneficiaries in Puerto Rico and generate $1.1 billion in annual savings for US taxpayers. Conversely,</w:t>
      </w:r>
      <w:r>
        <w:rPr>
          <w:b/>
          <w:spacing w:val="-16"/>
          <w:sz w:val="24"/>
        </w:rPr>
        <w:t> </w:t>
      </w:r>
      <w:r>
        <w:rPr>
          <w:b/>
          <w:sz w:val="24"/>
        </w:rPr>
        <w:t>if</w:t>
      </w:r>
      <w:r>
        <w:rPr>
          <w:b/>
          <w:spacing w:val="-15"/>
          <w:sz w:val="24"/>
        </w:rPr>
        <w:t> </w:t>
      </w:r>
      <w:r>
        <w:rPr>
          <w:b/>
          <w:sz w:val="24"/>
        </w:rPr>
        <w:t>no</w:t>
      </w:r>
      <w:r>
        <w:rPr>
          <w:b/>
          <w:spacing w:val="-17"/>
          <w:sz w:val="24"/>
        </w:rPr>
        <w:t> </w:t>
      </w:r>
      <w:r>
        <w:rPr>
          <w:b/>
          <w:sz w:val="24"/>
        </w:rPr>
        <w:t>action</w:t>
      </w:r>
      <w:r>
        <w:rPr>
          <w:b/>
          <w:spacing w:val="-19"/>
          <w:sz w:val="24"/>
        </w:rPr>
        <w:t> </w:t>
      </w:r>
      <w:r>
        <w:rPr>
          <w:b/>
          <w:sz w:val="24"/>
        </w:rPr>
        <w:t>is</w:t>
      </w:r>
      <w:r>
        <w:rPr>
          <w:b/>
          <w:spacing w:val="-16"/>
          <w:sz w:val="24"/>
        </w:rPr>
        <w:t> </w:t>
      </w:r>
      <w:r>
        <w:rPr>
          <w:b/>
          <w:sz w:val="24"/>
        </w:rPr>
        <w:t>taken</w:t>
      </w:r>
      <w:r>
        <w:rPr>
          <w:b/>
          <w:spacing w:val="-15"/>
          <w:sz w:val="24"/>
        </w:rPr>
        <w:t> </w:t>
      </w:r>
      <w:r>
        <w:rPr>
          <w:b/>
          <w:sz w:val="24"/>
        </w:rPr>
        <w:t>to</w:t>
      </w:r>
      <w:r>
        <w:rPr>
          <w:b/>
          <w:spacing w:val="-18"/>
          <w:sz w:val="24"/>
        </w:rPr>
        <w:t> </w:t>
      </w:r>
      <w:r>
        <w:rPr>
          <w:b/>
          <w:sz w:val="24"/>
        </w:rPr>
        <w:t>change</w:t>
      </w:r>
      <w:r>
        <w:rPr>
          <w:b/>
          <w:spacing w:val="-18"/>
          <w:sz w:val="24"/>
        </w:rPr>
        <w:t> </w:t>
      </w:r>
      <w:r>
        <w:rPr>
          <w:b/>
          <w:sz w:val="24"/>
        </w:rPr>
        <w:t>current</w:t>
      </w:r>
      <w:r>
        <w:rPr>
          <w:b/>
          <w:spacing w:val="-18"/>
          <w:sz w:val="24"/>
        </w:rPr>
        <w:t> </w:t>
      </w:r>
      <w:r>
        <w:rPr>
          <w:b/>
          <w:sz w:val="24"/>
        </w:rPr>
        <w:t>trends,</w:t>
      </w:r>
      <w:r>
        <w:rPr>
          <w:b/>
          <w:spacing w:val="-17"/>
          <w:sz w:val="24"/>
        </w:rPr>
        <w:t> </w:t>
      </w:r>
      <w:r>
        <w:rPr>
          <w:b/>
          <w:sz w:val="24"/>
        </w:rPr>
        <w:t>100,000</w:t>
      </w:r>
      <w:r>
        <w:rPr>
          <w:b/>
          <w:spacing w:val="-17"/>
          <w:sz w:val="24"/>
        </w:rPr>
        <w:t> </w:t>
      </w:r>
      <w:r>
        <w:rPr>
          <w:b/>
          <w:sz w:val="24"/>
        </w:rPr>
        <w:t>more</w:t>
      </w:r>
      <w:r>
        <w:rPr>
          <w:b/>
          <w:spacing w:val="-15"/>
          <w:sz w:val="24"/>
        </w:rPr>
        <w:t> </w:t>
      </w:r>
      <w:r>
        <w:rPr>
          <w:b/>
          <w:sz w:val="24"/>
        </w:rPr>
        <w:t>Medicare</w:t>
      </w:r>
      <w:r>
        <w:rPr>
          <w:b/>
          <w:spacing w:val="-18"/>
          <w:sz w:val="24"/>
        </w:rPr>
        <w:t> </w:t>
      </w:r>
      <w:r>
        <w:rPr>
          <w:b/>
          <w:sz w:val="24"/>
        </w:rPr>
        <w:t>beneficiaries from Puerto Rico moving to the mainland would result in $2.8 billion additional costs to US taxpayers due to higher overall program</w:t>
      </w:r>
      <w:r>
        <w:rPr>
          <w:b/>
          <w:spacing w:val="-11"/>
          <w:sz w:val="24"/>
        </w:rPr>
        <w:t> </w:t>
      </w:r>
      <w:r>
        <w:rPr>
          <w:b/>
          <w:sz w:val="24"/>
        </w:rPr>
        <w:t>costs.</w:t>
      </w:r>
    </w:p>
    <w:p>
      <w:pPr>
        <w:pStyle w:val="BodyText"/>
        <w:spacing w:before="2"/>
        <w:rPr>
          <w:b/>
        </w:rPr>
      </w:pPr>
    </w:p>
    <w:p>
      <w:pPr>
        <w:pStyle w:val="BodyText"/>
        <w:spacing w:line="237" w:lineRule="auto"/>
        <w:ind w:left="120" w:right="112" w:firstLine="719"/>
        <w:jc w:val="both"/>
      </w:pPr>
      <w:r>
        <w:rPr/>
        <w:t>As we discussed at the meeting, Puerto Rico is amidst unprecedented migration. Movement of local populations from US jurisdictions due to natural disasters has reached up to 6% of the total population leaving (Louisiana after hurricane Katrina). In the case of Puerto Rico, it has been reported that approximately 100,000, or 3% have already left the island to move to the mainland United States in the 50 days following Hurricane Maria. This impact is incremental to the close to 2% annual exodus that had already been occurring before the natural disaster hit.</w:t>
      </w:r>
      <w:r>
        <w:rPr>
          <w:position w:val="9"/>
          <w:sz w:val="16"/>
        </w:rPr>
        <w:t>1 </w:t>
      </w:r>
      <w:r>
        <w:rPr/>
        <w:t>Recent estimates from research at Hunter College are that Puerto Rico may lose approximately 14% or 470,000 citizens just between 2017 and 2019.</w:t>
      </w:r>
      <w:r>
        <w:rPr>
          <w:position w:val="9"/>
          <w:sz w:val="16"/>
        </w:rPr>
        <w:t>2 </w:t>
      </w:r>
      <w:r>
        <w:rPr/>
        <w:t>The gravity of the situation was also described in similar projections by Lyman Stone, at the recent public meeting of the </w:t>
      </w:r>
      <w:r>
        <w:rPr>
          <w:b/>
          <w:i/>
        </w:rPr>
        <w:t>Federal Financial Oversight and </w:t>
      </w:r>
      <w:r>
        <w:rPr>
          <w:b/>
          <w:i/>
        </w:rPr>
        <w:t>Management</w:t>
      </w:r>
      <w:r>
        <w:rPr>
          <w:b/>
          <w:i/>
          <w:spacing w:val="-11"/>
        </w:rPr>
        <w:t> </w:t>
      </w:r>
      <w:r>
        <w:rPr>
          <w:b/>
          <w:i/>
        </w:rPr>
        <w:t>Board</w:t>
      </w:r>
      <w:r>
        <w:rPr>
          <w:b/>
          <w:i/>
          <w:spacing w:val="-9"/>
        </w:rPr>
        <w:t> </w:t>
      </w:r>
      <w:r>
        <w:rPr>
          <w:b/>
          <w:i/>
        </w:rPr>
        <w:t>of</w:t>
      </w:r>
      <w:r>
        <w:rPr>
          <w:b/>
          <w:i/>
          <w:spacing w:val="-9"/>
        </w:rPr>
        <w:t> </w:t>
      </w:r>
      <w:r>
        <w:rPr>
          <w:b/>
          <w:i/>
        </w:rPr>
        <w:t>Puerto</w:t>
      </w:r>
      <w:r>
        <w:rPr>
          <w:b/>
          <w:i/>
          <w:spacing w:val="-9"/>
        </w:rPr>
        <w:t> </w:t>
      </w:r>
      <w:r>
        <w:rPr>
          <w:b/>
          <w:i/>
        </w:rPr>
        <w:t>Rico</w:t>
      </w:r>
      <w:r>
        <w:rPr/>
        <w:t>.</w:t>
      </w:r>
      <w:r>
        <w:rPr>
          <w:position w:val="9"/>
          <w:sz w:val="16"/>
        </w:rPr>
        <w:t>3</w:t>
      </w:r>
      <w:r>
        <w:rPr>
          <w:spacing w:val="23"/>
          <w:position w:val="9"/>
          <w:sz w:val="16"/>
        </w:rPr>
        <w:t> </w:t>
      </w:r>
      <w:r>
        <w:rPr/>
        <w:t>Extrapolating</w:t>
      </w:r>
      <w:r>
        <w:rPr>
          <w:spacing w:val="-11"/>
        </w:rPr>
        <w:t> </w:t>
      </w:r>
      <w:r>
        <w:rPr/>
        <w:t>the</w:t>
      </w:r>
      <w:r>
        <w:rPr>
          <w:spacing w:val="-9"/>
        </w:rPr>
        <w:t> </w:t>
      </w:r>
      <w:r>
        <w:rPr/>
        <w:t>recent</w:t>
      </w:r>
      <w:r>
        <w:rPr>
          <w:spacing w:val="-9"/>
        </w:rPr>
        <w:t> </w:t>
      </w:r>
      <w:r>
        <w:rPr/>
        <w:t>overall</w:t>
      </w:r>
      <w:r>
        <w:rPr>
          <w:spacing w:val="-9"/>
        </w:rPr>
        <w:t> </w:t>
      </w:r>
      <w:r>
        <w:rPr/>
        <w:t>population</w:t>
      </w:r>
      <w:r>
        <w:rPr>
          <w:spacing w:val="-9"/>
        </w:rPr>
        <w:t> </w:t>
      </w:r>
      <w:r>
        <w:rPr/>
        <w:t>data</w:t>
      </w:r>
      <w:r>
        <w:rPr>
          <w:spacing w:val="-9"/>
        </w:rPr>
        <w:t> </w:t>
      </w:r>
      <w:r>
        <w:rPr/>
        <w:t>to</w:t>
      </w:r>
      <w:r>
        <w:rPr>
          <w:spacing w:val="-9"/>
        </w:rPr>
        <w:t> </w:t>
      </w:r>
      <w:r>
        <w:rPr/>
        <w:t>movement of the Puerto Rico Medicare beneficiary population, the impact of the hurricanes could generate a massive  exodus  of  Medicare  beneficiaries  or   citizens  close  to  Medicare  age   resulting      </w:t>
      </w:r>
      <w:r>
        <w:rPr>
          <w:spacing w:val="7"/>
        </w:rPr>
        <w:t> </w:t>
      </w:r>
      <w:r>
        <w:rPr/>
        <w:t>in</w:t>
      </w:r>
    </w:p>
    <w:p>
      <w:pPr>
        <w:pStyle w:val="BodyText"/>
        <w:rPr>
          <w:sz w:val="20"/>
        </w:rPr>
      </w:pPr>
    </w:p>
    <w:p>
      <w:pPr>
        <w:pStyle w:val="BodyText"/>
        <w:spacing w:before="6"/>
        <w:rPr>
          <w:sz w:val="20"/>
        </w:rPr>
      </w:pPr>
      <w:r>
        <w:rPr/>
        <w:pict>
          <v:line style="position:absolute;mso-position-horizontal-relative:page;mso-position-vertical-relative:paragraph;z-index:0;mso-wrap-distance-left:0;mso-wrap-distance-right:0" from="72.024002pt,14.057225pt" to="216.044002pt,14.057225pt" stroked="true" strokeweight=".599980pt" strokecolor="#000000">
            <v:stroke dashstyle="solid"/>
            <w10:wrap type="topAndBottom"/>
          </v:line>
        </w:pict>
      </w:r>
    </w:p>
    <w:p>
      <w:pPr>
        <w:pStyle w:val="BodyText"/>
        <w:spacing w:before="9"/>
        <w:rPr>
          <w:sz w:val="18"/>
        </w:rPr>
      </w:pPr>
    </w:p>
    <w:p>
      <w:pPr>
        <w:spacing w:before="94"/>
        <w:ind w:left="120" w:right="152" w:firstLine="0"/>
        <w:jc w:val="left"/>
        <w:rPr>
          <w:sz w:val="20"/>
        </w:rPr>
      </w:pPr>
      <w:r>
        <w:rPr>
          <w:position w:val="7"/>
          <w:sz w:val="13"/>
        </w:rPr>
        <w:t>1 </w:t>
      </w:r>
      <w:r>
        <w:rPr>
          <w:sz w:val="20"/>
        </w:rPr>
        <w:t>The Wall Street Journal. </w:t>
      </w:r>
      <w:hyperlink r:id="rId5">
        <w:r>
          <w:rPr>
            <w:color w:val="0000FF"/>
            <w:sz w:val="20"/>
            <w:u w:val="single" w:color="0000FF"/>
          </w:rPr>
          <w:t>https://blogs.wsj.com/economics/2016/01/04/how-not-to-fix-a-fiscal-crisis-puerto-ricos-</w:t>
        </w:r>
      </w:hyperlink>
      <w:r>
        <w:rPr>
          <w:color w:val="0000FF"/>
          <w:sz w:val="20"/>
          <w:u w:val="single" w:color="0000FF"/>
        </w:rPr>
        <w:t> </w:t>
      </w:r>
      <w:hyperlink r:id="rId5">
        <w:r>
          <w:rPr>
            <w:color w:val="0000FF"/>
            <w:sz w:val="20"/>
            <w:u w:val="single" w:color="0000FF"/>
          </w:rPr>
          <w:t>population-loss-accelerates/ </w:t>
        </w:r>
      </w:hyperlink>
      <w:r>
        <w:rPr>
          <w:sz w:val="20"/>
        </w:rPr>
        <w:t>; also in </w:t>
      </w:r>
      <w:hyperlink r:id="rId6">
        <w:r>
          <w:rPr>
            <w:color w:val="0000FF"/>
            <w:sz w:val="20"/>
            <w:u w:val="single" w:color="0000FF"/>
          </w:rPr>
          <w:t>http://diariodepuertorico.com/2016/01/how-not-to-fix-a-fiscal-crisis-puerto-ricos-</w:t>
        </w:r>
      </w:hyperlink>
      <w:r>
        <w:rPr>
          <w:color w:val="0000FF"/>
          <w:sz w:val="20"/>
          <w:u w:val="single" w:color="0000FF"/>
        </w:rPr>
        <w:t> </w:t>
      </w:r>
      <w:hyperlink r:id="rId6">
        <w:r>
          <w:rPr>
            <w:color w:val="0000FF"/>
            <w:sz w:val="20"/>
            <w:u w:val="single" w:color="0000FF"/>
          </w:rPr>
          <w:t>population-loss-accelerates/</w:t>
        </w:r>
        <w:r>
          <w:rPr>
            <w:sz w:val="20"/>
          </w:rPr>
          <w:t>.</w:t>
        </w:r>
      </w:hyperlink>
    </w:p>
    <w:p>
      <w:pPr>
        <w:spacing w:line="228" w:lineRule="exact" w:before="0"/>
        <w:ind w:left="120" w:right="0" w:firstLine="0"/>
        <w:jc w:val="left"/>
        <w:rPr>
          <w:sz w:val="20"/>
        </w:rPr>
      </w:pPr>
      <w:r>
        <w:rPr>
          <w:position w:val="7"/>
          <w:sz w:val="13"/>
        </w:rPr>
        <w:t>2 </w:t>
      </w:r>
      <w:r>
        <w:rPr>
          <w:i/>
          <w:sz w:val="20"/>
        </w:rPr>
        <w:t>Estimates of Post-Hurricane Maria Exodus</w:t>
      </w:r>
      <w:r>
        <w:rPr>
          <w:sz w:val="20"/>
        </w:rPr>
        <w:t>. Center for Puerto Rican Studies. Hunter College, October 2017.</w:t>
      </w:r>
    </w:p>
    <w:p>
      <w:pPr>
        <w:spacing w:line="233" w:lineRule="exact" w:before="0"/>
        <w:ind w:left="120" w:right="0" w:firstLine="0"/>
        <w:jc w:val="left"/>
        <w:rPr>
          <w:sz w:val="20"/>
        </w:rPr>
      </w:pPr>
      <w:r>
        <w:rPr>
          <w:position w:val="7"/>
          <w:sz w:val="13"/>
        </w:rPr>
        <w:t>3 </w:t>
      </w:r>
      <w:hyperlink r:id="rId7">
        <w:r>
          <w:rPr>
            <w:color w:val="0000FF"/>
            <w:sz w:val="20"/>
            <w:u w:val="single" w:color="0000FF"/>
          </w:rPr>
          <w:t>https://juntasupervision.pr.gov/index.php/en/documents/</w:t>
        </w:r>
      </w:hyperlink>
    </w:p>
    <w:p>
      <w:pPr>
        <w:spacing w:after="0" w:line="233" w:lineRule="exact"/>
        <w:jc w:val="left"/>
        <w:rPr>
          <w:sz w:val="20"/>
        </w:rPr>
        <w:sectPr>
          <w:type w:val="continuous"/>
          <w:pgSz w:w="12240" w:h="15840"/>
          <w:pgMar w:top="1360" w:bottom="280" w:left="1320" w:right="1140"/>
        </w:sectPr>
      </w:pPr>
    </w:p>
    <w:p>
      <w:pPr>
        <w:pStyle w:val="BodyText"/>
        <w:spacing w:line="276" w:lineRule="exact" w:before="82"/>
        <w:ind w:left="120"/>
        <w:rPr>
          <w:sz w:val="16"/>
        </w:rPr>
      </w:pPr>
      <w:r>
        <w:rPr/>
        <w:t>unprecedented, unbudgeted increases in Medicare and Medicaid costs for the United States when comparing the funding disparities for Puerto Rico versus US mainland states. </w:t>
      </w:r>
      <w:r>
        <w:rPr>
          <w:position w:val="9"/>
          <w:sz w:val="16"/>
        </w:rPr>
        <w:t>4</w:t>
      </w:r>
    </w:p>
    <w:p>
      <w:pPr>
        <w:pStyle w:val="BodyText"/>
        <w:spacing w:before="7"/>
        <w:rPr>
          <w:sz w:val="23"/>
        </w:rPr>
      </w:pPr>
    </w:p>
    <w:p>
      <w:pPr>
        <w:pStyle w:val="BodyText"/>
        <w:ind w:left="120" w:right="115" w:firstLine="719"/>
        <w:jc w:val="both"/>
      </w:pPr>
      <w:r>
        <w:rPr/>
        <w:t>As we have documented in the past, costs for the Federal Government can be 2 to 4 times higher for each Medicare beneficiary in the US mainland resulting from an accelerated wave of migration without any meaningful, immediate action to change the course. </w:t>
      </w:r>
      <w:r>
        <w:rPr>
          <w:spacing w:val="-3"/>
        </w:rPr>
        <w:t>It </w:t>
      </w:r>
      <w:r>
        <w:rPr/>
        <w:t>is within this context that a basic policy fix in the MA program for Puerto Rico becomes the quickest, most meaningful and financially safe-guarded way of helping the population and creating change for the health care system and economy. This is an unprecedented opportunity to improve the overall quality of the Puerto Rico health care system, to make it better than it ever has been. With the highest MA penetration (percentage) in the nation, and the largest D-SNP program, MA serves almost 600,000 beneficiaries in Puerto Rico. However, after becoming the backbone of our system, historic programmatic</w:t>
      </w:r>
      <w:r>
        <w:rPr>
          <w:spacing w:val="-12"/>
        </w:rPr>
        <w:t> </w:t>
      </w:r>
      <w:r>
        <w:rPr/>
        <w:t>and</w:t>
      </w:r>
      <w:r>
        <w:rPr>
          <w:spacing w:val="-9"/>
        </w:rPr>
        <w:t> </w:t>
      </w:r>
      <w:r>
        <w:rPr/>
        <w:t>data</w:t>
      </w:r>
      <w:r>
        <w:rPr>
          <w:spacing w:val="-9"/>
        </w:rPr>
        <w:t> </w:t>
      </w:r>
      <w:r>
        <w:rPr/>
        <w:t>anomalies</w:t>
      </w:r>
      <w:r>
        <w:rPr>
          <w:spacing w:val="-11"/>
        </w:rPr>
        <w:t> </w:t>
      </w:r>
      <w:r>
        <w:rPr/>
        <w:t>exacerbated</w:t>
      </w:r>
      <w:r>
        <w:rPr>
          <w:spacing w:val="-11"/>
        </w:rPr>
        <w:t> </w:t>
      </w:r>
      <w:r>
        <w:rPr/>
        <w:t>harmful</w:t>
      </w:r>
      <w:r>
        <w:rPr>
          <w:spacing w:val="-11"/>
        </w:rPr>
        <w:t> </w:t>
      </w:r>
      <w:r>
        <w:rPr/>
        <w:t>funding</w:t>
      </w:r>
      <w:r>
        <w:rPr>
          <w:spacing w:val="-11"/>
        </w:rPr>
        <w:t> </w:t>
      </w:r>
      <w:r>
        <w:rPr/>
        <w:t>reductions</w:t>
      </w:r>
      <w:r>
        <w:rPr>
          <w:spacing w:val="-11"/>
        </w:rPr>
        <w:t> </w:t>
      </w:r>
      <w:r>
        <w:rPr/>
        <w:t>from</w:t>
      </w:r>
      <w:r>
        <w:rPr>
          <w:spacing w:val="-11"/>
        </w:rPr>
        <w:t> </w:t>
      </w:r>
      <w:r>
        <w:rPr/>
        <w:t>the</w:t>
      </w:r>
      <w:r>
        <w:rPr>
          <w:spacing w:val="-12"/>
        </w:rPr>
        <w:t> </w:t>
      </w:r>
      <w:r>
        <w:rPr/>
        <w:t>Affordable</w:t>
      </w:r>
      <w:r>
        <w:rPr>
          <w:spacing w:val="-11"/>
        </w:rPr>
        <w:t> </w:t>
      </w:r>
      <w:r>
        <w:rPr/>
        <w:t>Care Act. Our proposal is based on the possibility of administrative action thru the 2019 Call Letter to establish a proxy methodology for MA rates that can alter the spiral to the bottom, now accelerated by hurricane</w:t>
      </w:r>
      <w:r>
        <w:rPr>
          <w:spacing w:val="-8"/>
        </w:rPr>
        <w:t> </w:t>
      </w:r>
      <w:r>
        <w:rPr/>
        <w:t>Maria.</w:t>
      </w:r>
    </w:p>
    <w:p>
      <w:pPr>
        <w:pStyle w:val="BodyText"/>
        <w:spacing w:before="11"/>
        <w:rPr>
          <w:sz w:val="23"/>
        </w:rPr>
      </w:pPr>
    </w:p>
    <w:p>
      <w:pPr>
        <w:pStyle w:val="BodyText"/>
        <w:ind w:left="120" w:right="115" w:firstLine="719"/>
        <w:jc w:val="both"/>
      </w:pPr>
      <w:r>
        <w:rPr/>
        <w:t>Furthermore, the gap between PR’s current MA funding at the bottom of the MA rates is such that even if Puerto Rico were increased to the USVI MA rates, Puerto Rico would still be the lowest</w:t>
      </w:r>
      <w:r>
        <w:rPr>
          <w:spacing w:val="-7"/>
        </w:rPr>
        <w:t> </w:t>
      </w:r>
      <w:r>
        <w:rPr/>
        <w:t>cost</w:t>
      </w:r>
      <w:r>
        <w:rPr>
          <w:spacing w:val="-7"/>
        </w:rPr>
        <w:t> </w:t>
      </w:r>
      <w:r>
        <w:rPr/>
        <w:t>MA</w:t>
      </w:r>
      <w:r>
        <w:rPr>
          <w:spacing w:val="-8"/>
        </w:rPr>
        <w:t> </w:t>
      </w:r>
      <w:r>
        <w:rPr/>
        <w:t>program</w:t>
      </w:r>
      <w:r>
        <w:rPr>
          <w:spacing w:val="-5"/>
        </w:rPr>
        <w:t> </w:t>
      </w:r>
      <w:r>
        <w:rPr/>
        <w:t>in</w:t>
      </w:r>
      <w:r>
        <w:rPr>
          <w:spacing w:val="-7"/>
        </w:rPr>
        <w:t> </w:t>
      </w:r>
      <w:r>
        <w:rPr/>
        <w:t>the</w:t>
      </w:r>
      <w:r>
        <w:rPr>
          <w:spacing w:val="-8"/>
        </w:rPr>
        <w:t> </w:t>
      </w:r>
      <w:r>
        <w:rPr/>
        <w:t>nation,</w:t>
      </w:r>
      <w:r>
        <w:rPr>
          <w:spacing w:val="-8"/>
        </w:rPr>
        <w:t> </w:t>
      </w:r>
      <w:r>
        <w:rPr/>
        <w:t>by</w:t>
      </w:r>
      <w:r>
        <w:rPr>
          <w:spacing w:val="-12"/>
        </w:rPr>
        <w:t> </w:t>
      </w:r>
      <w:r>
        <w:rPr/>
        <w:t>far.</w:t>
      </w:r>
      <w:r>
        <w:rPr>
          <w:spacing w:val="48"/>
        </w:rPr>
        <w:t> </w:t>
      </w:r>
      <w:r>
        <w:rPr/>
        <w:t>By</w:t>
      </w:r>
      <w:r>
        <w:rPr>
          <w:spacing w:val="-8"/>
        </w:rPr>
        <w:t> </w:t>
      </w:r>
      <w:r>
        <w:rPr/>
        <w:t>way</w:t>
      </w:r>
      <w:r>
        <w:rPr>
          <w:spacing w:val="-12"/>
        </w:rPr>
        <w:t> </w:t>
      </w:r>
      <w:r>
        <w:rPr/>
        <w:t>of</w:t>
      </w:r>
      <w:r>
        <w:rPr>
          <w:spacing w:val="-5"/>
        </w:rPr>
        <w:t> </w:t>
      </w:r>
      <w:r>
        <w:rPr/>
        <w:t>example,</w:t>
      </w:r>
      <w:r>
        <w:rPr>
          <w:spacing w:val="-8"/>
        </w:rPr>
        <w:t> </w:t>
      </w:r>
      <w:r>
        <w:rPr/>
        <w:t>an</w:t>
      </w:r>
      <w:r>
        <w:rPr>
          <w:spacing w:val="-7"/>
        </w:rPr>
        <w:t> </w:t>
      </w:r>
      <w:r>
        <w:rPr/>
        <w:t>MA</w:t>
      </w:r>
      <w:r>
        <w:rPr>
          <w:spacing w:val="-6"/>
        </w:rPr>
        <w:t> </w:t>
      </w:r>
      <w:r>
        <w:rPr/>
        <w:t>fix</w:t>
      </w:r>
      <w:r>
        <w:rPr>
          <w:spacing w:val="-4"/>
        </w:rPr>
        <w:t> </w:t>
      </w:r>
      <w:r>
        <w:rPr/>
        <w:t>at</w:t>
      </w:r>
      <w:r>
        <w:rPr>
          <w:spacing w:val="-7"/>
        </w:rPr>
        <w:t> </w:t>
      </w:r>
      <w:r>
        <w:rPr/>
        <w:t>the</w:t>
      </w:r>
      <w:r>
        <w:rPr>
          <w:spacing w:val="-8"/>
        </w:rPr>
        <w:t> </w:t>
      </w:r>
      <w:r>
        <w:rPr/>
        <w:t>USVI</w:t>
      </w:r>
      <w:r>
        <w:rPr>
          <w:spacing w:val="-11"/>
        </w:rPr>
        <w:t> </w:t>
      </w:r>
      <w:r>
        <w:rPr/>
        <w:t>MA</w:t>
      </w:r>
      <w:r>
        <w:rPr>
          <w:spacing w:val="-8"/>
        </w:rPr>
        <w:t> </w:t>
      </w:r>
      <w:r>
        <w:rPr/>
        <w:t>rates could support keeping 100,000 Medicare beneficiaries in Puerto Rico, and still generate approximately $1.1 billion in annual savings to the Federal government compared to a scenario where</w:t>
      </w:r>
      <w:r>
        <w:rPr>
          <w:spacing w:val="-13"/>
        </w:rPr>
        <w:t> </w:t>
      </w:r>
      <w:r>
        <w:rPr/>
        <w:t>this</w:t>
      </w:r>
      <w:r>
        <w:rPr>
          <w:spacing w:val="-10"/>
        </w:rPr>
        <w:t> </w:t>
      </w:r>
      <w:r>
        <w:rPr/>
        <w:t>MA</w:t>
      </w:r>
      <w:r>
        <w:rPr>
          <w:spacing w:val="-11"/>
        </w:rPr>
        <w:t> </w:t>
      </w:r>
      <w:r>
        <w:rPr/>
        <w:t>population</w:t>
      </w:r>
      <w:r>
        <w:rPr>
          <w:spacing w:val="-11"/>
        </w:rPr>
        <w:t> </w:t>
      </w:r>
      <w:r>
        <w:rPr/>
        <w:t>is</w:t>
      </w:r>
      <w:r>
        <w:rPr>
          <w:spacing w:val="-10"/>
        </w:rPr>
        <w:t> </w:t>
      </w:r>
      <w:r>
        <w:rPr/>
        <w:t>served</w:t>
      </w:r>
      <w:r>
        <w:rPr>
          <w:spacing w:val="-11"/>
        </w:rPr>
        <w:t> </w:t>
      </w:r>
      <w:r>
        <w:rPr/>
        <w:t>by</w:t>
      </w:r>
      <w:r>
        <w:rPr>
          <w:spacing w:val="-18"/>
        </w:rPr>
        <w:t> </w:t>
      </w:r>
      <w:r>
        <w:rPr/>
        <w:t>the</w:t>
      </w:r>
      <w:r>
        <w:rPr>
          <w:spacing w:val="-12"/>
        </w:rPr>
        <w:t> </w:t>
      </w:r>
      <w:r>
        <w:rPr/>
        <w:t>programs</w:t>
      </w:r>
      <w:r>
        <w:rPr>
          <w:spacing w:val="-9"/>
        </w:rPr>
        <w:t> </w:t>
      </w:r>
      <w:r>
        <w:rPr/>
        <w:t>in</w:t>
      </w:r>
      <w:r>
        <w:rPr>
          <w:spacing w:val="-13"/>
        </w:rPr>
        <w:t> </w:t>
      </w:r>
      <w:r>
        <w:rPr/>
        <w:t>the</w:t>
      </w:r>
      <w:r>
        <w:rPr>
          <w:spacing w:val="-12"/>
        </w:rPr>
        <w:t> </w:t>
      </w:r>
      <w:r>
        <w:rPr/>
        <w:t>mainland.</w:t>
      </w:r>
      <w:r>
        <w:rPr>
          <w:spacing w:val="37"/>
        </w:rPr>
        <w:t> </w:t>
      </w:r>
      <w:r>
        <w:rPr/>
        <w:t>The</w:t>
      </w:r>
      <w:r>
        <w:rPr>
          <w:spacing w:val="-15"/>
        </w:rPr>
        <w:t> </w:t>
      </w:r>
      <w:r>
        <w:rPr/>
        <w:t>adjustment</w:t>
      </w:r>
      <w:r>
        <w:rPr>
          <w:spacing w:val="-11"/>
        </w:rPr>
        <w:t> </w:t>
      </w:r>
      <w:r>
        <w:rPr/>
        <w:t>would</w:t>
      </w:r>
      <w:r>
        <w:rPr>
          <w:spacing w:val="-11"/>
        </w:rPr>
        <w:t> </w:t>
      </w:r>
      <w:r>
        <w:rPr/>
        <w:t>support access to care, extra help for the part B premium payment for the dual eligible, and crucial investments in health care infrastructure and support for our providers. Increasing funding disparities have created a large imbalance that pulls away our best physicians and health care professionals.</w:t>
      </w:r>
      <w:r>
        <w:rPr>
          <w:spacing w:val="38"/>
        </w:rPr>
        <w:t> </w:t>
      </w:r>
      <w:r>
        <w:rPr/>
        <w:t>Keeping</w:t>
      </w:r>
      <w:r>
        <w:rPr>
          <w:spacing w:val="-14"/>
        </w:rPr>
        <w:t> </w:t>
      </w:r>
      <w:r>
        <w:rPr/>
        <w:t>physicians</w:t>
      </w:r>
      <w:r>
        <w:rPr>
          <w:spacing w:val="-12"/>
        </w:rPr>
        <w:t> </w:t>
      </w:r>
      <w:r>
        <w:rPr/>
        <w:t>in</w:t>
      </w:r>
      <w:r>
        <w:rPr>
          <w:spacing w:val="-12"/>
        </w:rPr>
        <w:t> </w:t>
      </w:r>
      <w:r>
        <w:rPr/>
        <w:t>Puerto</w:t>
      </w:r>
      <w:r>
        <w:rPr>
          <w:spacing w:val="-12"/>
        </w:rPr>
        <w:t> </w:t>
      </w:r>
      <w:r>
        <w:rPr/>
        <w:t>Rico</w:t>
      </w:r>
      <w:r>
        <w:rPr>
          <w:spacing w:val="-10"/>
        </w:rPr>
        <w:t> </w:t>
      </w:r>
      <w:r>
        <w:rPr/>
        <w:t>will</w:t>
      </w:r>
      <w:r>
        <w:rPr>
          <w:spacing w:val="-11"/>
        </w:rPr>
        <w:t> </w:t>
      </w:r>
      <w:r>
        <w:rPr/>
        <w:t>keep</w:t>
      </w:r>
      <w:r>
        <w:rPr>
          <w:spacing w:val="-12"/>
        </w:rPr>
        <w:t> </w:t>
      </w:r>
      <w:r>
        <w:rPr/>
        <w:t>beneficiaries</w:t>
      </w:r>
      <w:r>
        <w:rPr>
          <w:spacing w:val="-12"/>
        </w:rPr>
        <w:t> </w:t>
      </w:r>
      <w:r>
        <w:rPr/>
        <w:t>in</w:t>
      </w:r>
      <w:r>
        <w:rPr>
          <w:spacing w:val="-9"/>
        </w:rPr>
        <w:t> </w:t>
      </w:r>
      <w:r>
        <w:rPr/>
        <w:t>Puerto</w:t>
      </w:r>
      <w:r>
        <w:rPr>
          <w:spacing w:val="-12"/>
        </w:rPr>
        <w:t> </w:t>
      </w:r>
      <w:r>
        <w:rPr/>
        <w:t>Rico,</w:t>
      </w:r>
      <w:r>
        <w:rPr>
          <w:spacing w:val="-13"/>
        </w:rPr>
        <w:t> </w:t>
      </w:r>
      <w:r>
        <w:rPr/>
        <w:t>and</w:t>
      </w:r>
      <w:r>
        <w:rPr>
          <w:spacing w:val="-12"/>
        </w:rPr>
        <w:t> </w:t>
      </w:r>
      <w:r>
        <w:rPr/>
        <w:t>nurture the most cost-efficient Medicare program in the</w:t>
      </w:r>
      <w:r>
        <w:rPr>
          <w:spacing w:val="-10"/>
        </w:rPr>
        <w:t> </w:t>
      </w:r>
      <w:r>
        <w:rPr/>
        <w:t>nation.</w:t>
      </w:r>
    </w:p>
    <w:p>
      <w:pPr>
        <w:pStyle w:val="BodyText"/>
        <w:spacing w:before="11"/>
        <w:rPr>
          <w:sz w:val="23"/>
        </w:rPr>
      </w:pPr>
    </w:p>
    <w:p>
      <w:pPr>
        <w:pStyle w:val="BodyText"/>
        <w:ind w:left="120" w:right="117" w:firstLine="719"/>
        <w:jc w:val="both"/>
      </w:pPr>
      <w:r>
        <w:rPr/>
        <w:t>In summary, these exodus and anomalies are destined to continue and get worse, unless action is taken by CMS administratively in MA to help Puerto Rico and break the spiral. Puerto Rico’s health care system cannot be fixed with its currently underfunded MA program, and our economy cannot be supported if meaningful action is not taken. We are confident that the MA program in the island is the most organized, structured, performance-based health care program in Puerto Rico, which relies on strong competition and effective fraud, waste and abuse programs to make the most efficient use of resources for our beneficiaries and providers.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r>
        <w:rPr/>
        <w:pict>
          <v:line style="position:absolute;mso-position-horizontal-relative:page;mso-position-vertical-relative:paragraph;z-index:1048;mso-wrap-distance-left:0;mso-wrap-distance-right:0" from="72.024002pt,11.597005pt" to="216.044002pt,11.597005pt" stroked="true" strokeweight=".60004pt" strokecolor="#000000">
            <v:stroke dashstyle="solid"/>
            <w10:wrap type="topAndBottom"/>
          </v:line>
        </w:pict>
      </w:r>
    </w:p>
    <w:p>
      <w:pPr>
        <w:pStyle w:val="BodyText"/>
        <w:spacing w:before="9"/>
        <w:rPr>
          <w:sz w:val="18"/>
        </w:rPr>
      </w:pPr>
    </w:p>
    <w:p>
      <w:pPr>
        <w:spacing w:before="94"/>
        <w:ind w:left="120" w:right="0" w:firstLine="0"/>
        <w:jc w:val="left"/>
        <w:rPr>
          <w:sz w:val="20"/>
        </w:rPr>
      </w:pPr>
      <w:r>
        <w:rPr>
          <w:position w:val="7"/>
          <w:sz w:val="13"/>
        </w:rPr>
        <w:t>4 </w:t>
      </w:r>
      <w:r>
        <w:rPr>
          <w:sz w:val="20"/>
        </w:rPr>
        <w:t>The Moran Company. Report 2017. Included as Attachment 1.</w:t>
      </w:r>
    </w:p>
    <w:p>
      <w:pPr>
        <w:spacing w:after="0"/>
        <w:jc w:val="left"/>
        <w:rPr>
          <w:sz w:val="20"/>
        </w:rPr>
        <w:sectPr>
          <w:footerReference w:type="default" r:id="rId8"/>
          <w:pgSz w:w="12240" w:h="15840"/>
          <w:pgMar w:footer="1092" w:header="0" w:top="1360" w:bottom="1280" w:left="1320" w:right="1140"/>
        </w:sectPr>
      </w:pPr>
    </w:p>
    <w:p>
      <w:pPr>
        <w:spacing w:before="73"/>
        <w:ind w:left="120" w:right="0" w:firstLine="0"/>
        <w:jc w:val="left"/>
        <w:rPr>
          <w:b/>
          <w:sz w:val="14"/>
        </w:rPr>
      </w:pPr>
      <w:r>
        <w:rPr/>
        <w:pict>
          <v:line style="position:absolute;mso-position-horizontal-relative:page;mso-position-vertical-relative:paragraph;z-index:-26824" from="72.024002pt,15.925185pt" to="460.514002pt,15.925185pt" stroked="true" strokeweight="1.08pt" strokecolor="#000000">
            <v:stroke dashstyle="solid"/>
            <w10:wrap type="none"/>
          </v:line>
        </w:pict>
      </w:r>
      <w:r>
        <w:rPr>
          <w:b/>
          <w:sz w:val="22"/>
        </w:rPr>
        <w:t>From “</w:t>
      </w:r>
      <w:r>
        <w:rPr>
          <w:b/>
          <w:i/>
          <w:sz w:val="22"/>
        </w:rPr>
        <w:t>Estimates of Post-Hurricane Maria Exodus from Puerto Rico</w:t>
      </w:r>
      <w:r>
        <w:rPr>
          <w:b/>
          <w:sz w:val="22"/>
        </w:rPr>
        <w:t>” October 2017</w:t>
      </w:r>
      <w:r>
        <w:rPr>
          <w:b/>
          <w:position w:val="8"/>
          <w:sz w:val="14"/>
        </w:rPr>
        <w:t>5</w:t>
      </w:r>
    </w:p>
    <w:p>
      <w:pPr>
        <w:pStyle w:val="BodyText"/>
        <w:spacing w:before="10"/>
        <w:rPr>
          <w:b/>
          <w:sz w:val="19"/>
        </w:rPr>
      </w:pPr>
      <w:r>
        <w:rPr/>
        <w:pict>
          <v:group style="position:absolute;margin-left:147.005005pt;margin-top:13.41082pt;width:362.85pt;height:243.3pt;mso-position-horizontal-relative:page;mso-position-vertical-relative:paragraph;z-index:1072;mso-wrap-distance-left:0;mso-wrap-distance-right:0" coordorigin="2940,268" coordsize="7257,4866">
            <v:shape style="position:absolute;left:2955;top:283;width:7205;height:4836" type="#_x0000_t75" stroked="false">
              <v:imagedata r:id="rId10" o:title=""/>
            </v:shape>
            <v:rect style="position:absolute;left:2948;top:276;width:7242;height:4851" filled="false" stroked="true" strokeweight=".75pt" strokecolor="#4f81bc">
              <v:stroke dashstyle="solid"/>
            </v:rect>
            <w10:wrap type="topAndBottom"/>
          </v:group>
        </w:pict>
      </w:r>
    </w:p>
    <w:p>
      <w:pPr>
        <w:pStyle w:val="BodyText"/>
        <w:spacing w:before="5"/>
        <w:rPr>
          <w:b/>
          <w:sz w:val="14"/>
        </w:rPr>
      </w:pPr>
    </w:p>
    <w:p>
      <w:pPr>
        <w:pStyle w:val="BodyText"/>
        <w:spacing w:before="90"/>
        <w:ind w:left="120" w:right="120" w:firstLine="719"/>
        <w:jc w:val="both"/>
      </w:pPr>
      <w:r>
        <w:rPr/>
        <w:t>Our recommendations are outlined and explained below, prior to your drafting of the 2019 Advance Notice and Draft Call Letter. We welcome the opportunity to answer any questions you may have or discuss these proposals further, at your request.</w:t>
      </w:r>
    </w:p>
    <w:p>
      <w:pPr>
        <w:pStyle w:val="BodyText"/>
      </w:pPr>
    </w:p>
    <w:p>
      <w:pPr>
        <w:pStyle w:val="Heading1"/>
        <w:numPr>
          <w:ilvl w:val="0"/>
          <w:numId w:val="1"/>
        </w:numPr>
        <w:tabs>
          <w:tab w:pos="840" w:val="left" w:leader="none"/>
          <w:tab w:pos="841" w:val="left" w:leader="none"/>
        </w:tabs>
        <w:spacing w:line="240" w:lineRule="auto" w:before="0" w:after="0"/>
        <w:ind w:left="840" w:right="0" w:hanging="720"/>
        <w:jc w:val="left"/>
      </w:pPr>
      <w:r>
        <w:rPr>
          <w:u w:val="thick"/>
        </w:rPr>
        <w:t>The MA benchmarks for Puerto Rico are</w:t>
      </w:r>
      <w:r>
        <w:rPr>
          <w:spacing w:val="-10"/>
          <w:u w:val="thick"/>
        </w:rPr>
        <w:t> </w:t>
      </w:r>
      <w:r>
        <w:rPr>
          <w:u w:val="thick"/>
        </w:rPr>
        <w:t>Wrong</w:t>
      </w:r>
    </w:p>
    <w:p>
      <w:pPr>
        <w:pStyle w:val="BodyText"/>
        <w:spacing w:before="2"/>
        <w:rPr>
          <w:b/>
          <w:sz w:val="16"/>
        </w:rPr>
      </w:pPr>
    </w:p>
    <w:p>
      <w:pPr>
        <w:pStyle w:val="Heading2"/>
        <w:ind w:left="840" w:right="499"/>
        <w:jc w:val="both"/>
      </w:pPr>
      <w:r>
        <w:rPr>
          <w:i/>
        </w:rPr>
        <w:t>The underlying data supporting the current MA benchmark process is unreliable and </w:t>
      </w:r>
      <w:r>
        <w:rPr/>
        <w:t>thus cannot be used to accurately predict what would be the costs of a Medicare FFS program in Puerto Rico.</w:t>
      </w:r>
    </w:p>
    <w:p>
      <w:pPr>
        <w:pStyle w:val="BodyText"/>
        <w:spacing w:before="9"/>
        <w:rPr>
          <w:b/>
          <w:i/>
          <w:sz w:val="20"/>
        </w:rPr>
      </w:pPr>
    </w:p>
    <w:p>
      <w:pPr>
        <w:pStyle w:val="BodyText"/>
        <w:ind w:left="120" w:right="115" w:firstLine="719"/>
        <w:jc w:val="both"/>
      </w:pPr>
      <w:r>
        <w:rPr/>
        <w:t>It</w:t>
      </w:r>
      <w:r>
        <w:rPr>
          <w:spacing w:val="-6"/>
        </w:rPr>
        <w:t> </w:t>
      </w:r>
      <w:r>
        <w:rPr/>
        <w:t>is</w:t>
      </w:r>
      <w:r>
        <w:rPr>
          <w:spacing w:val="-3"/>
        </w:rPr>
        <w:t> </w:t>
      </w:r>
      <w:r>
        <w:rPr/>
        <w:t>factually</w:t>
      </w:r>
      <w:r>
        <w:rPr>
          <w:spacing w:val="-9"/>
        </w:rPr>
        <w:t> </w:t>
      </w:r>
      <w:r>
        <w:rPr/>
        <w:t>apparent</w:t>
      </w:r>
      <w:r>
        <w:rPr>
          <w:spacing w:val="-4"/>
        </w:rPr>
        <w:t> </w:t>
      </w:r>
      <w:r>
        <w:rPr/>
        <w:t>that</w:t>
      </w:r>
      <w:r>
        <w:rPr>
          <w:spacing w:val="-6"/>
        </w:rPr>
        <w:t> </w:t>
      </w:r>
      <w:r>
        <w:rPr/>
        <w:t>the</w:t>
      </w:r>
      <w:r>
        <w:rPr>
          <w:spacing w:val="-7"/>
        </w:rPr>
        <w:t> </w:t>
      </w:r>
      <w:r>
        <w:rPr/>
        <w:t>Medicare</w:t>
      </w:r>
      <w:r>
        <w:rPr>
          <w:spacing w:val="-5"/>
        </w:rPr>
        <w:t> </w:t>
      </w:r>
      <w:r>
        <w:rPr/>
        <w:t>FFS</w:t>
      </w:r>
      <w:r>
        <w:rPr>
          <w:spacing w:val="-6"/>
        </w:rPr>
        <w:t> </w:t>
      </w:r>
      <w:r>
        <w:rPr/>
        <w:t>program</w:t>
      </w:r>
      <w:r>
        <w:rPr>
          <w:spacing w:val="-6"/>
        </w:rPr>
        <w:t> </w:t>
      </w:r>
      <w:r>
        <w:rPr/>
        <w:t>that</w:t>
      </w:r>
      <w:r>
        <w:rPr>
          <w:spacing w:val="-6"/>
        </w:rPr>
        <w:t> </w:t>
      </w:r>
      <w:r>
        <w:rPr/>
        <w:t>Congress</w:t>
      </w:r>
      <w:r>
        <w:rPr>
          <w:spacing w:val="-2"/>
        </w:rPr>
        <w:t> </w:t>
      </w:r>
      <w:r>
        <w:rPr/>
        <w:t>established</w:t>
      </w:r>
      <w:r>
        <w:rPr>
          <w:spacing w:val="-6"/>
        </w:rPr>
        <w:t> </w:t>
      </w:r>
      <w:r>
        <w:rPr/>
        <w:t>as</w:t>
      </w:r>
      <w:r>
        <w:rPr>
          <w:spacing w:val="-6"/>
        </w:rPr>
        <w:t> </w:t>
      </w:r>
      <w:r>
        <w:rPr/>
        <w:t>the</w:t>
      </w:r>
      <w:r>
        <w:rPr>
          <w:spacing w:val="-5"/>
        </w:rPr>
        <w:t> </w:t>
      </w:r>
      <w:r>
        <w:rPr/>
        <w:t>basis for</w:t>
      </w:r>
      <w:r>
        <w:rPr>
          <w:spacing w:val="-5"/>
        </w:rPr>
        <w:t> </w:t>
      </w:r>
      <w:r>
        <w:rPr/>
        <w:t>MA</w:t>
      </w:r>
      <w:r>
        <w:rPr>
          <w:spacing w:val="-5"/>
        </w:rPr>
        <w:t> </w:t>
      </w:r>
      <w:r>
        <w:rPr/>
        <w:t>rate</w:t>
      </w:r>
      <w:r>
        <w:rPr>
          <w:spacing w:val="-5"/>
        </w:rPr>
        <w:t> </w:t>
      </w:r>
      <w:r>
        <w:rPr/>
        <w:t>setting</w:t>
      </w:r>
      <w:r>
        <w:rPr>
          <w:spacing w:val="-6"/>
        </w:rPr>
        <w:t> </w:t>
      </w:r>
      <w:r>
        <w:rPr/>
        <w:t>has</w:t>
      </w:r>
      <w:r>
        <w:rPr>
          <w:spacing w:val="-5"/>
        </w:rPr>
        <w:t> </w:t>
      </w:r>
      <w:r>
        <w:rPr/>
        <w:t>eroded</w:t>
      </w:r>
      <w:r>
        <w:rPr>
          <w:spacing w:val="-4"/>
        </w:rPr>
        <w:t> </w:t>
      </w:r>
      <w:r>
        <w:rPr/>
        <w:t>in</w:t>
      </w:r>
      <w:r>
        <w:rPr>
          <w:spacing w:val="-4"/>
        </w:rPr>
        <w:t> </w:t>
      </w:r>
      <w:r>
        <w:rPr/>
        <w:t>Puerto</w:t>
      </w:r>
      <w:r>
        <w:rPr>
          <w:spacing w:val="-5"/>
        </w:rPr>
        <w:t> </w:t>
      </w:r>
      <w:r>
        <w:rPr/>
        <w:t>Rico</w:t>
      </w:r>
      <w:r>
        <w:rPr>
          <w:spacing w:val="-5"/>
        </w:rPr>
        <w:t> </w:t>
      </w:r>
      <w:r>
        <w:rPr/>
        <w:t>and</w:t>
      </w:r>
      <w:r>
        <w:rPr>
          <w:spacing w:val="-5"/>
        </w:rPr>
        <w:t> </w:t>
      </w:r>
      <w:r>
        <w:rPr/>
        <w:t>no</w:t>
      </w:r>
      <w:r>
        <w:rPr>
          <w:spacing w:val="-5"/>
        </w:rPr>
        <w:t> </w:t>
      </w:r>
      <w:r>
        <w:rPr/>
        <w:t>longer</w:t>
      </w:r>
      <w:r>
        <w:rPr>
          <w:spacing w:val="-2"/>
        </w:rPr>
        <w:t> </w:t>
      </w:r>
      <w:r>
        <w:rPr/>
        <w:t>aligns</w:t>
      </w:r>
      <w:r>
        <w:rPr>
          <w:spacing w:val="-5"/>
        </w:rPr>
        <w:t> </w:t>
      </w:r>
      <w:r>
        <w:rPr/>
        <w:t>with</w:t>
      </w:r>
      <w:r>
        <w:rPr>
          <w:spacing w:val="-4"/>
        </w:rPr>
        <w:t> </w:t>
      </w:r>
      <w:r>
        <w:rPr/>
        <w:t>the</w:t>
      </w:r>
      <w:r>
        <w:rPr>
          <w:spacing w:val="-2"/>
        </w:rPr>
        <w:t> </w:t>
      </w:r>
      <w:r>
        <w:rPr/>
        <w:t>assumptions</w:t>
      </w:r>
      <w:r>
        <w:rPr>
          <w:spacing w:val="-5"/>
        </w:rPr>
        <w:t> </w:t>
      </w:r>
      <w:r>
        <w:rPr/>
        <w:t>underlying its use for MA benchmarks. </w:t>
      </w:r>
      <w:r>
        <w:rPr>
          <w:spacing w:val="-3"/>
        </w:rPr>
        <w:t>In </w:t>
      </w:r>
      <w:r>
        <w:rPr/>
        <w:t>2017, the Moran Company worked on an analysis of the FFS data from Puerto Rico for the past years. After several exchanges of information and reports with CMS, The Moran Company finalized its report which addresses the following causes of benchmark deficiency and is found at </w:t>
      </w:r>
      <w:r>
        <w:rPr>
          <w:b/>
          <w:i/>
        </w:rPr>
        <w:t>Appendix</w:t>
      </w:r>
      <w:r>
        <w:rPr>
          <w:b/>
          <w:i/>
          <w:spacing w:val="-5"/>
        </w:rPr>
        <w:t> </w:t>
      </w:r>
      <w:r>
        <w:rPr>
          <w:b/>
          <w:i/>
        </w:rPr>
        <w:t>1</w:t>
      </w:r>
      <w:r>
        <w:rPr/>
        <w:t>.</w:t>
      </w:r>
    </w:p>
    <w:p>
      <w:pPr>
        <w:pStyle w:val="BodyText"/>
        <w:rPr>
          <w:sz w:val="26"/>
        </w:rPr>
      </w:pPr>
    </w:p>
    <w:p>
      <w:pPr>
        <w:pStyle w:val="Heading1"/>
        <w:numPr>
          <w:ilvl w:val="1"/>
          <w:numId w:val="1"/>
        </w:numPr>
        <w:tabs>
          <w:tab w:pos="1561" w:val="left" w:leader="none"/>
        </w:tabs>
        <w:spacing w:line="240" w:lineRule="auto" w:before="217" w:after="0"/>
        <w:ind w:left="1540" w:right="0" w:hanging="340"/>
        <w:jc w:val="left"/>
      </w:pPr>
      <w:r>
        <w:rPr/>
        <w:t>Contrasting Duals Proportion and Utilization</w:t>
      </w:r>
      <w:r>
        <w:rPr>
          <w:spacing w:val="-10"/>
        </w:rPr>
        <w:t> </w:t>
      </w:r>
      <w:r>
        <w:rPr/>
        <w:t>Habits</w:t>
      </w:r>
    </w:p>
    <w:p>
      <w:pPr>
        <w:pStyle w:val="BodyText"/>
        <w:rPr>
          <w:b/>
        </w:rPr>
      </w:pPr>
    </w:p>
    <w:p>
      <w:pPr>
        <w:pStyle w:val="BodyText"/>
        <w:ind w:left="120" w:right="114" w:firstLine="719"/>
        <w:jc w:val="both"/>
      </w:pPr>
      <w:r>
        <w:rPr/>
        <w:t>The</w:t>
      </w:r>
      <w:r>
        <w:rPr>
          <w:spacing w:val="-7"/>
        </w:rPr>
        <w:t> </w:t>
      </w:r>
      <w:r>
        <w:rPr/>
        <w:t>difference</w:t>
      </w:r>
      <w:r>
        <w:rPr>
          <w:spacing w:val="-4"/>
        </w:rPr>
        <w:t> </w:t>
      </w:r>
      <w:r>
        <w:rPr/>
        <w:t>in</w:t>
      </w:r>
      <w:r>
        <w:rPr>
          <w:spacing w:val="-6"/>
        </w:rPr>
        <w:t> </w:t>
      </w:r>
      <w:r>
        <w:rPr/>
        <w:t>the</w:t>
      </w:r>
      <w:r>
        <w:rPr>
          <w:spacing w:val="-5"/>
        </w:rPr>
        <w:t> </w:t>
      </w:r>
      <w:r>
        <w:rPr/>
        <w:t>proportion</w:t>
      </w:r>
      <w:r>
        <w:rPr>
          <w:spacing w:val="-6"/>
        </w:rPr>
        <w:t> </w:t>
      </w:r>
      <w:r>
        <w:rPr/>
        <w:t>of</w:t>
      </w:r>
      <w:r>
        <w:rPr>
          <w:spacing w:val="-7"/>
        </w:rPr>
        <w:t> </w:t>
      </w:r>
      <w:r>
        <w:rPr/>
        <w:t>duals</w:t>
      </w:r>
      <w:r>
        <w:rPr>
          <w:spacing w:val="-6"/>
        </w:rPr>
        <w:t> </w:t>
      </w:r>
      <w:r>
        <w:rPr/>
        <w:t>MA</w:t>
      </w:r>
      <w:r>
        <w:rPr>
          <w:spacing w:val="-4"/>
        </w:rPr>
        <w:t> </w:t>
      </w:r>
      <w:r>
        <w:rPr/>
        <w:t>and</w:t>
      </w:r>
      <w:r>
        <w:rPr>
          <w:spacing w:val="-4"/>
        </w:rPr>
        <w:t> </w:t>
      </w:r>
      <w:r>
        <w:rPr/>
        <w:t>FFS</w:t>
      </w:r>
      <w:r>
        <w:rPr>
          <w:spacing w:val="-6"/>
        </w:rPr>
        <w:t> </w:t>
      </w:r>
      <w:r>
        <w:rPr/>
        <w:t>populations</w:t>
      </w:r>
      <w:r>
        <w:rPr>
          <w:spacing w:val="-6"/>
        </w:rPr>
        <w:t> </w:t>
      </w:r>
      <w:r>
        <w:rPr/>
        <w:t>in</w:t>
      </w:r>
      <w:r>
        <w:rPr>
          <w:spacing w:val="-6"/>
        </w:rPr>
        <w:t> </w:t>
      </w:r>
      <w:r>
        <w:rPr/>
        <w:t>Puerto</w:t>
      </w:r>
      <w:r>
        <w:rPr>
          <w:spacing w:val="-6"/>
        </w:rPr>
        <w:t> </w:t>
      </w:r>
      <w:r>
        <w:rPr/>
        <w:t>Rico</w:t>
      </w:r>
      <w:r>
        <w:rPr>
          <w:spacing w:val="-7"/>
        </w:rPr>
        <w:t> </w:t>
      </w:r>
      <w:r>
        <w:rPr/>
        <w:t>is</w:t>
      </w:r>
      <w:r>
        <w:rPr>
          <w:spacing w:val="-6"/>
        </w:rPr>
        <w:t> </w:t>
      </w:r>
      <w:r>
        <w:rPr/>
        <w:t>so</w:t>
      </w:r>
      <w:r>
        <w:rPr>
          <w:spacing w:val="-6"/>
        </w:rPr>
        <w:t> </w:t>
      </w:r>
      <w:r>
        <w:rPr/>
        <w:t>large that risk scores alone cannot correct the large discrepancy that exists between the two populations without an adjustment at the base rates. Puerto Rico has the highest enrollment MA Dual Eligible Special</w:t>
      </w:r>
      <w:r>
        <w:rPr>
          <w:spacing w:val="-5"/>
        </w:rPr>
        <w:t> </w:t>
      </w:r>
      <w:r>
        <w:rPr/>
        <w:t>Needs</w:t>
      </w:r>
      <w:r>
        <w:rPr>
          <w:spacing w:val="-5"/>
        </w:rPr>
        <w:t> </w:t>
      </w:r>
      <w:r>
        <w:rPr/>
        <w:t>Plans</w:t>
      </w:r>
      <w:r>
        <w:rPr>
          <w:spacing w:val="-5"/>
        </w:rPr>
        <w:t> </w:t>
      </w:r>
      <w:r>
        <w:rPr/>
        <w:t>(“D-SNPs”)</w:t>
      </w:r>
      <w:r>
        <w:rPr>
          <w:spacing w:val="-6"/>
        </w:rPr>
        <w:t> </w:t>
      </w:r>
      <w:r>
        <w:rPr/>
        <w:t>at</w:t>
      </w:r>
      <w:r>
        <w:rPr>
          <w:spacing w:val="-4"/>
        </w:rPr>
        <w:t> </w:t>
      </w:r>
      <w:r>
        <w:rPr/>
        <w:t>more</w:t>
      </w:r>
      <w:r>
        <w:rPr>
          <w:spacing w:val="-6"/>
        </w:rPr>
        <w:t> </w:t>
      </w:r>
      <w:r>
        <w:rPr/>
        <w:t>than</w:t>
      </w:r>
      <w:r>
        <w:rPr>
          <w:spacing w:val="-5"/>
        </w:rPr>
        <w:t> </w:t>
      </w:r>
      <w:r>
        <w:rPr/>
        <w:t>283,000,</w:t>
      </w:r>
      <w:r>
        <w:rPr>
          <w:spacing w:val="-5"/>
        </w:rPr>
        <w:t> </w:t>
      </w:r>
      <w:r>
        <w:rPr/>
        <w:t>which</w:t>
      </w:r>
      <w:r>
        <w:rPr>
          <w:spacing w:val="-5"/>
        </w:rPr>
        <w:t> </w:t>
      </w:r>
      <w:r>
        <w:rPr/>
        <w:t>is</w:t>
      </w:r>
      <w:r>
        <w:rPr>
          <w:spacing w:val="-4"/>
        </w:rPr>
        <w:t> </w:t>
      </w:r>
      <w:r>
        <w:rPr/>
        <w:t>greater</w:t>
      </w:r>
      <w:r>
        <w:rPr>
          <w:spacing w:val="-6"/>
        </w:rPr>
        <w:t> </w:t>
      </w:r>
      <w:r>
        <w:rPr/>
        <w:t>than</w:t>
      </w:r>
      <w:r>
        <w:rPr>
          <w:spacing w:val="-5"/>
        </w:rPr>
        <w:t> </w:t>
      </w:r>
      <w:r>
        <w:rPr/>
        <w:t>Florida,</w:t>
      </w:r>
      <w:r>
        <w:rPr>
          <w:spacing w:val="-5"/>
        </w:rPr>
        <w:t> </w:t>
      </w:r>
      <w:r>
        <w:rPr/>
        <w:t>New</w:t>
      </w:r>
      <w:r>
        <w:rPr>
          <w:spacing w:val="-5"/>
        </w:rPr>
        <w:t> </w:t>
      </w:r>
      <w:r>
        <w:rPr/>
        <w:t>York,</w:t>
      </w:r>
      <w:r>
        <w:rPr>
          <w:spacing w:val="-5"/>
        </w:rPr>
        <w:t> </w:t>
      </w:r>
      <w:r>
        <w:rPr/>
        <w:t>or</w:t>
      </w:r>
    </w:p>
    <w:p>
      <w:pPr>
        <w:pStyle w:val="BodyText"/>
        <w:spacing w:before="3"/>
        <w:rPr>
          <w:sz w:val="17"/>
        </w:rPr>
      </w:pPr>
      <w:r>
        <w:rPr/>
        <w:pict>
          <v:line style="position:absolute;mso-position-horizontal-relative:page;mso-position-vertical-relative:paragraph;z-index:1096;mso-wrap-distance-left:0;mso-wrap-distance-right:0" from="72.024002pt,12.210365pt" to="216.044002pt,12.210365pt" stroked="true" strokeweight=".60004pt" strokecolor="#000000">
            <v:stroke dashstyle="solid"/>
            <w10:wrap type="topAndBottom"/>
          </v:line>
        </w:pict>
      </w:r>
    </w:p>
    <w:p>
      <w:pPr>
        <w:pStyle w:val="BodyText"/>
        <w:spacing w:before="9"/>
        <w:rPr>
          <w:sz w:val="18"/>
        </w:rPr>
      </w:pPr>
    </w:p>
    <w:p>
      <w:pPr>
        <w:spacing w:before="94"/>
        <w:ind w:left="120" w:right="0" w:firstLine="0"/>
        <w:jc w:val="left"/>
        <w:rPr>
          <w:sz w:val="20"/>
        </w:rPr>
      </w:pPr>
      <w:r>
        <w:rPr>
          <w:position w:val="7"/>
          <w:sz w:val="13"/>
        </w:rPr>
        <w:t>5 </w:t>
      </w:r>
      <w:r>
        <w:rPr>
          <w:sz w:val="20"/>
        </w:rPr>
        <w:t>Hunter College, October 2017.</w:t>
      </w:r>
    </w:p>
    <w:p>
      <w:pPr>
        <w:spacing w:after="0"/>
        <w:jc w:val="left"/>
        <w:rPr>
          <w:sz w:val="20"/>
        </w:rPr>
        <w:sectPr>
          <w:footerReference w:type="default" r:id="rId9"/>
          <w:pgSz w:w="12240" w:h="15840"/>
          <w:pgMar w:footer="1092" w:header="0" w:top="1360" w:bottom="1280" w:left="1320" w:right="1140"/>
          <w:pgNumType w:start="3"/>
        </w:sectPr>
      </w:pPr>
    </w:p>
    <w:p>
      <w:pPr>
        <w:spacing w:before="79"/>
        <w:ind w:left="100" w:right="118" w:firstLine="0"/>
        <w:jc w:val="both"/>
        <w:rPr>
          <w:i/>
          <w:sz w:val="24"/>
        </w:rPr>
      </w:pPr>
      <w:r>
        <w:rPr>
          <w:sz w:val="24"/>
        </w:rPr>
        <w:t>Texas. These beneficiaries have selected the integrated MA, Part D and Medicaid program (Medicare Platino) voluntarily since 2006. However, as presented in </w:t>
      </w:r>
      <w:r>
        <w:rPr>
          <w:b/>
          <w:sz w:val="24"/>
        </w:rPr>
        <w:t>Table 13 </w:t>
      </w:r>
      <w:r>
        <w:rPr>
          <w:sz w:val="24"/>
        </w:rPr>
        <w:t>of The Moran Company</w:t>
      </w:r>
      <w:r>
        <w:rPr>
          <w:spacing w:val="-13"/>
          <w:sz w:val="24"/>
        </w:rPr>
        <w:t> </w:t>
      </w:r>
      <w:r>
        <w:rPr>
          <w:sz w:val="24"/>
        </w:rPr>
        <w:t>report</w:t>
      </w:r>
      <w:r>
        <w:rPr>
          <w:spacing w:val="-9"/>
          <w:sz w:val="24"/>
        </w:rPr>
        <w:t> </w:t>
      </w:r>
      <w:r>
        <w:rPr>
          <w:sz w:val="24"/>
        </w:rPr>
        <w:t>(</w:t>
      </w:r>
      <w:r>
        <w:rPr>
          <w:b/>
          <w:i/>
          <w:sz w:val="24"/>
        </w:rPr>
        <w:t>Appendix</w:t>
      </w:r>
      <w:r>
        <w:rPr>
          <w:b/>
          <w:i/>
          <w:spacing w:val="-7"/>
          <w:sz w:val="24"/>
        </w:rPr>
        <w:t> </w:t>
      </w:r>
      <w:r>
        <w:rPr>
          <w:b/>
          <w:i/>
          <w:sz w:val="24"/>
        </w:rPr>
        <w:t>1</w:t>
      </w:r>
      <w:r>
        <w:rPr>
          <w:sz w:val="24"/>
        </w:rPr>
        <w:t>),</w:t>
      </w:r>
      <w:r>
        <w:rPr>
          <w:spacing w:val="-9"/>
          <w:sz w:val="24"/>
        </w:rPr>
        <w:t> </w:t>
      </w:r>
      <w:r>
        <w:rPr>
          <w:sz w:val="24"/>
        </w:rPr>
        <w:t>in</w:t>
      </w:r>
      <w:r>
        <w:rPr>
          <w:spacing w:val="-8"/>
          <w:sz w:val="24"/>
        </w:rPr>
        <w:t> </w:t>
      </w:r>
      <w:r>
        <w:rPr>
          <w:sz w:val="24"/>
        </w:rPr>
        <w:t>2014</w:t>
      </w:r>
      <w:r>
        <w:rPr>
          <w:spacing w:val="-11"/>
          <w:sz w:val="24"/>
        </w:rPr>
        <w:t> </w:t>
      </w:r>
      <w:r>
        <w:rPr>
          <w:sz w:val="24"/>
        </w:rPr>
        <w:t>there</w:t>
      </w:r>
      <w:r>
        <w:rPr>
          <w:spacing w:val="-10"/>
          <w:sz w:val="24"/>
        </w:rPr>
        <w:t> </w:t>
      </w:r>
      <w:r>
        <w:rPr>
          <w:sz w:val="24"/>
        </w:rPr>
        <w:t>were</w:t>
      </w:r>
      <w:r>
        <w:rPr>
          <w:spacing w:val="-10"/>
          <w:sz w:val="24"/>
        </w:rPr>
        <w:t> </w:t>
      </w:r>
      <w:r>
        <w:rPr>
          <w:sz w:val="24"/>
        </w:rPr>
        <w:t>only</w:t>
      </w:r>
      <w:r>
        <w:rPr>
          <w:spacing w:val="-16"/>
          <w:sz w:val="24"/>
        </w:rPr>
        <w:t> </w:t>
      </w:r>
      <w:r>
        <w:rPr>
          <w:sz w:val="24"/>
        </w:rPr>
        <w:t>5,837</w:t>
      </w:r>
      <w:r>
        <w:rPr>
          <w:spacing w:val="-9"/>
          <w:sz w:val="24"/>
        </w:rPr>
        <w:t> </w:t>
      </w:r>
      <w:r>
        <w:rPr>
          <w:sz w:val="24"/>
        </w:rPr>
        <w:t>beneficiaries</w:t>
      </w:r>
      <w:r>
        <w:rPr>
          <w:spacing w:val="-6"/>
          <w:sz w:val="24"/>
        </w:rPr>
        <w:t> </w:t>
      </w:r>
      <w:r>
        <w:rPr>
          <w:sz w:val="24"/>
        </w:rPr>
        <w:t>Medicare</w:t>
      </w:r>
      <w:r>
        <w:rPr>
          <w:spacing w:val="-10"/>
          <w:sz w:val="24"/>
        </w:rPr>
        <w:t> </w:t>
      </w:r>
      <w:r>
        <w:rPr>
          <w:sz w:val="24"/>
        </w:rPr>
        <w:t>FFS</w:t>
      </w:r>
      <w:r>
        <w:rPr>
          <w:spacing w:val="-8"/>
          <w:sz w:val="24"/>
        </w:rPr>
        <w:t> </w:t>
      </w:r>
      <w:r>
        <w:rPr>
          <w:sz w:val="24"/>
        </w:rPr>
        <w:t>with</w:t>
      </w:r>
      <w:r>
        <w:rPr>
          <w:spacing w:val="-8"/>
          <w:sz w:val="24"/>
        </w:rPr>
        <w:t> </w:t>
      </w:r>
      <w:r>
        <w:rPr>
          <w:sz w:val="24"/>
        </w:rPr>
        <w:t>Parts A &amp; B in Puerto Rico. </w:t>
      </w:r>
      <w:r>
        <w:rPr>
          <w:sz w:val="24"/>
          <w:u w:val="single"/>
        </w:rPr>
        <w:t>This means that 98% of all the dual Medicare A &amp; B population are served by</w:t>
      </w:r>
      <w:r>
        <w:rPr>
          <w:spacing w:val="-16"/>
          <w:sz w:val="24"/>
          <w:u w:val="single"/>
        </w:rPr>
        <w:t> </w:t>
      </w:r>
      <w:r>
        <w:rPr>
          <w:sz w:val="24"/>
          <w:u w:val="single"/>
        </w:rPr>
        <w:t>the</w:t>
      </w:r>
      <w:r>
        <w:rPr>
          <w:spacing w:val="-9"/>
          <w:sz w:val="24"/>
          <w:u w:val="single"/>
        </w:rPr>
        <w:t> </w:t>
      </w:r>
      <w:r>
        <w:rPr>
          <w:sz w:val="24"/>
          <w:u w:val="single"/>
        </w:rPr>
        <w:t>MA</w:t>
      </w:r>
      <w:r>
        <w:rPr>
          <w:spacing w:val="-11"/>
          <w:sz w:val="24"/>
          <w:u w:val="single"/>
        </w:rPr>
        <w:t> </w:t>
      </w:r>
      <w:r>
        <w:rPr>
          <w:sz w:val="24"/>
          <w:u w:val="single"/>
        </w:rPr>
        <w:t>program,</w:t>
      </w:r>
      <w:r>
        <w:rPr>
          <w:spacing w:val="-11"/>
          <w:sz w:val="24"/>
          <w:u w:val="single"/>
        </w:rPr>
        <w:t> </w:t>
      </w:r>
      <w:r>
        <w:rPr>
          <w:sz w:val="24"/>
          <w:u w:val="single"/>
        </w:rPr>
        <w:t>and</w:t>
      </w:r>
      <w:r>
        <w:rPr>
          <w:spacing w:val="-8"/>
          <w:sz w:val="24"/>
          <w:u w:val="single"/>
        </w:rPr>
        <w:t> </w:t>
      </w:r>
      <w:r>
        <w:rPr>
          <w:sz w:val="24"/>
          <w:u w:val="single"/>
        </w:rPr>
        <w:t>only</w:t>
      </w:r>
      <w:r>
        <w:rPr>
          <w:spacing w:val="-16"/>
          <w:sz w:val="24"/>
          <w:u w:val="single"/>
        </w:rPr>
        <w:t> </w:t>
      </w:r>
      <w:r>
        <w:rPr>
          <w:sz w:val="24"/>
          <w:u w:val="single"/>
        </w:rPr>
        <w:t>2%</w:t>
      </w:r>
      <w:r>
        <w:rPr>
          <w:spacing w:val="-9"/>
          <w:sz w:val="24"/>
          <w:u w:val="single"/>
        </w:rPr>
        <w:t> </w:t>
      </w:r>
      <w:r>
        <w:rPr>
          <w:sz w:val="24"/>
          <w:u w:val="single"/>
        </w:rPr>
        <w:t>are</w:t>
      </w:r>
      <w:r>
        <w:rPr>
          <w:spacing w:val="-12"/>
          <w:sz w:val="24"/>
          <w:u w:val="single"/>
        </w:rPr>
        <w:t> </w:t>
      </w:r>
      <w:r>
        <w:rPr>
          <w:sz w:val="24"/>
          <w:u w:val="single"/>
        </w:rPr>
        <w:t>served</w:t>
      </w:r>
      <w:r>
        <w:rPr>
          <w:spacing w:val="-11"/>
          <w:sz w:val="24"/>
          <w:u w:val="single"/>
        </w:rPr>
        <w:t> </w:t>
      </w:r>
      <w:r>
        <w:rPr>
          <w:sz w:val="24"/>
          <w:u w:val="single"/>
        </w:rPr>
        <w:t>by</w:t>
      </w:r>
      <w:r>
        <w:rPr>
          <w:spacing w:val="-13"/>
          <w:sz w:val="24"/>
          <w:u w:val="single"/>
        </w:rPr>
        <w:t> </w:t>
      </w:r>
      <w:r>
        <w:rPr>
          <w:sz w:val="24"/>
          <w:u w:val="single"/>
        </w:rPr>
        <w:t>FFS</w:t>
      </w:r>
      <w:r>
        <w:rPr>
          <w:sz w:val="24"/>
        </w:rPr>
        <w:t>.</w:t>
      </w:r>
      <w:r>
        <w:rPr>
          <w:spacing w:val="-11"/>
          <w:sz w:val="24"/>
        </w:rPr>
        <w:t> </w:t>
      </w:r>
      <w:r>
        <w:rPr>
          <w:i/>
          <w:sz w:val="24"/>
          <w:u w:val="single"/>
        </w:rPr>
        <w:t>This</w:t>
      </w:r>
      <w:r>
        <w:rPr>
          <w:i/>
          <w:spacing w:val="-10"/>
          <w:sz w:val="24"/>
          <w:u w:val="single"/>
        </w:rPr>
        <w:t> </w:t>
      </w:r>
      <w:r>
        <w:rPr>
          <w:i/>
          <w:sz w:val="24"/>
          <w:u w:val="single"/>
        </w:rPr>
        <w:t>fact</w:t>
      </w:r>
      <w:r>
        <w:rPr>
          <w:i/>
          <w:spacing w:val="-11"/>
          <w:sz w:val="24"/>
          <w:u w:val="single"/>
        </w:rPr>
        <w:t> </w:t>
      </w:r>
      <w:r>
        <w:rPr>
          <w:i/>
          <w:sz w:val="24"/>
          <w:u w:val="single"/>
        </w:rPr>
        <w:t>alone</w:t>
      </w:r>
      <w:r>
        <w:rPr>
          <w:i/>
          <w:spacing w:val="-11"/>
          <w:sz w:val="24"/>
          <w:u w:val="single"/>
        </w:rPr>
        <w:t> </w:t>
      </w:r>
      <w:r>
        <w:rPr>
          <w:i/>
          <w:sz w:val="24"/>
          <w:u w:val="single"/>
        </w:rPr>
        <w:t>negates</w:t>
      </w:r>
      <w:r>
        <w:rPr>
          <w:i/>
          <w:spacing w:val="-11"/>
          <w:sz w:val="24"/>
          <w:u w:val="single"/>
        </w:rPr>
        <w:t> </w:t>
      </w:r>
      <w:r>
        <w:rPr>
          <w:i/>
          <w:sz w:val="24"/>
          <w:u w:val="single"/>
        </w:rPr>
        <w:t>the</w:t>
      </w:r>
      <w:r>
        <w:rPr>
          <w:i/>
          <w:spacing w:val="-12"/>
          <w:sz w:val="24"/>
          <w:u w:val="single"/>
        </w:rPr>
        <w:t> </w:t>
      </w:r>
      <w:r>
        <w:rPr>
          <w:i/>
          <w:sz w:val="24"/>
          <w:u w:val="single"/>
        </w:rPr>
        <w:t>reliability</w:t>
      </w:r>
      <w:r>
        <w:rPr>
          <w:i/>
          <w:spacing w:val="-12"/>
          <w:sz w:val="24"/>
          <w:u w:val="single"/>
        </w:rPr>
        <w:t> </w:t>
      </w:r>
      <w:r>
        <w:rPr>
          <w:i/>
          <w:sz w:val="24"/>
          <w:u w:val="single"/>
        </w:rPr>
        <w:t>of</w:t>
      </w:r>
      <w:r>
        <w:rPr>
          <w:i/>
          <w:spacing w:val="-11"/>
          <w:sz w:val="24"/>
          <w:u w:val="single"/>
        </w:rPr>
        <w:t> </w:t>
      </w:r>
      <w:r>
        <w:rPr>
          <w:i/>
          <w:sz w:val="24"/>
          <w:u w:val="single"/>
        </w:rPr>
        <w:t>Puerto </w:t>
      </w:r>
      <w:r>
        <w:rPr>
          <w:i/>
          <w:sz w:val="24"/>
          <w:u w:val="single"/>
        </w:rPr>
        <w:t>Rico FFS data as a predictor of what would be the Medicare FFS costs in Puerto</w:t>
      </w:r>
      <w:r>
        <w:rPr>
          <w:i/>
          <w:spacing w:val="-11"/>
          <w:sz w:val="24"/>
          <w:u w:val="single"/>
        </w:rPr>
        <w:t> </w:t>
      </w:r>
      <w:r>
        <w:rPr>
          <w:i/>
          <w:sz w:val="24"/>
          <w:u w:val="single"/>
        </w:rPr>
        <w:t>Rico.</w:t>
      </w:r>
    </w:p>
    <w:p>
      <w:pPr>
        <w:pStyle w:val="BodyText"/>
        <w:spacing w:before="1"/>
        <w:rPr>
          <w:i/>
          <w:sz w:val="16"/>
        </w:rPr>
      </w:pPr>
    </w:p>
    <w:p>
      <w:pPr>
        <w:pStyle w:val="BodyText"/>
        <w:spacing w:before="90"/>
        <w:ind w:left="100" w:right="115" w:firstLine="719"/>
        <w:jc w:val="both"/>
      </w:pPr>
      <w:r>
        <w:rPr/>
        <w:t>The</w:t>
      </w:r>
      <w:r>
        <w:rPr>
          <w:spacing w:val="-12"/>
        </w:rPr>
        <w:t> </w:t>
      </w:r>
      <w:r>
        <w:rPr/>
        <w:t>very</w:t>
      </w:r>
      <w:r>
        <w:rPr>
          <w:spacing w:val="-18"/>
        </w:rPr>
        <w:t> </w:t>
      </w:r>
      <w:r>
        <w:rPr/>
        <w:t>low</w:t>
      </w:r>
      <w:r>
        <w:rPr>
          <w:spacing w:val="-11"/>
        </w:rPr>
        <w:t> </w:t>
      </w:r>
      <w:r>
        <w:rPr/>
        <w:t>and</w:t>
      </w:r>
      <w:r>
        <w:rPr>
          <w:spacing w:val="-11"/>
        </w:rPr>
        <w:t> </w:t>
      </w:r>
      <w:r>
        <w:rPr/>
        <w:t>eroding</w:t>
      </w:r>
      <w:r>
        <w:rPr>
          <w:spacing w:val="-11"/>
        </w:rPr>
        <w:t> </w:t>
      </w:r>
      <w:r>
        <w:rPr/>
        <w:t>number</w:t>
      </w:r>
      <w:r>
        <w:rPr>
          <w:spacing w:val="-12"/>
        </w:rPr>
        <w:t> </w:t>
      </w:r>
      <w:r>
        <w:rPr/>
        <w:t>of</w:t>
      </w:r>
      <w:r>
        <w:rPr>
          <w:spacing w:val="-12"/>
        </w:rPr>
        <w:t> </w:t>
      </w:r>
      <w:r>
        <w:rPr/>
        <w:t>dually</w:t>
      </w:r>
      <w:r>
        <w:rPr>
          <w:spacing w:val="-16"/>
        </w:rPr>
        <w:t> </w:t>
      </w:r>
      <w:r>
        <w:rPr/>
        <w:t>eligible</w:t>
      </w:r>
      <w:r>
        <w:rPr>
          <w:spacing w:val="-10"/>
        </w:rPr>
        <w:t> </w:t>
      </w:r>
      <w:r>
        <w:rPr/>
        <w:t>beneficiaries</w:t>
      </w:r>
      <w:r>
        <w:rPr>
          <w:spacing w:val="-11"/>
        </w:rPr>
        <w:t> </w:t>
      </w:r>
      <w:r>
        <w:rPr/>
        <w:t>in</w:t>
      </w:r>
      <w:r>
        <w:rPr>
          <w:spacing w:val="-11"/>
        </w:rPr>
        <w:t> </w:t>
      </w:r>
      <w:r>
        <w:rPr/>
        <w:t>the</w:t>
      </w:r>
      <w:r>
        <w:rPr>
          <w:spacing w:val="-12"/>
        </w:rPr>
        <w:t> </w:t>
      </w:r>
      <w:r>
        <w:rPr/>
        <w:t>Puerto</w:t>
      </w:r>
      <w:r>
        <w:rPr>
          <w:spacing w:val="-11"/>
        </w:rPr>
        <w:t> </w:t>
      </w:r>
      <w:r>
        <w:rPr/>
        <w:t>Rico</w:t>
      </w:r>
      <w:r>
        <w:rPr>
          <w:spacing w:val="-11"/>
        </w:rPr>
        <w:t> </w:t>
      </w:r>
      <w:r>
        <w:rPr/>
        <w:t>FFS</w:t>
      </w:r>
      <w:r>
        <w:rPr>
          <w:spacing w:val="-10"/>
        </w:rPr>
        <w:t> </w:t>
      </w:r>
      <w:r>
        <w:rPr/>
        <w:t>data suggests that this portion of the data used to set MA benchmarks is distorted by selection bias, and reliance on different data in Puerto Rico is needed from that used in the mainland US. The Moran Company</w:t>
      </w:r>
      <w:r>
        <w:rPr>
          <w:spacing w:val="-16"/>
        </w:rPr>
        <w:t> </w:t>
      </w:r>
      <w:r>
        <w:rPr/>
        <w:t>report</w:t>
      </w:r>
      <w:r>
        <w:rPr>
          <w:spacing w:val="-11"/>
        </w:rPr>
        <w:t> </w:t>
      </w:r>
      <w:r>
        <w:rPr/>
        <w:t>shows</w:t>
      </w:r>
      <w:r>
        <w:rPr>
          <w:spacing w:val="-9"/>
        </w:rPr>
        <w:t> </w:t>
      </w:r>
      <w:r>
        <w:rPr/>
        <w:t>a</w:t>
      </w:r>
      <w:r>
        <w:rPr>
          <w:spacing w:val="-10"/>
        </w:rPr>
        <w:t> </w:t>
      </w:r>
      <w:r>
        <w:rPr/>
        <w:t>significant</w:t>
      </w:r>
      <w:r>
        <w:rPr>
          <w:spacing w:val="-11"/>
        </w:rPr>
        <w:t> </w:t>
      </w:r>
      <w:r>
        <w:rPr/>
        <w:t>number</w:t>
      </w:r>
      <w:r>
        <w:rPr>
          <w:spacing w:val="-12"/>
        </w:rPr>
        <w:t> </w:t>
      </w:r>
      <w:r>
        <w:rPr/>
        <w:t>of</w:t>
      </w:r>
      <w:r>
        <w:rPr>
          <w:spacing w:val="-10"/>
        </w:rPr>
        <w:t> </w:t>
      </w:r>
      <w:r>
        <w:rPr/>
        <w:t>Puerto</w:t>
      </w:r>
      <w:r>
        <w:rPr>
          <w:spacing w:val="-11"/>
        </w:rPr>
        <w:t> </w:t>
      </w:r>
      <w:r>
        <w:rPr/>
        <w:t>Rico</w:t>
      </w:r>
      <w:r>
        <w:rPr>
          <w:spacing w:val="-9"/>
        </w:rPr>
        <w:t> </w:t>
      </w:r>
      <w:r>
        <w:rPr/>
        <w:t>resident</w:t>
      </w:r>
      <w:r>
        <w:rPr>
          <w:spacing w:val="-11"/>
        </w:rPr>
        <w:t> </w:t>
      </w:r>
      <w:r>
        <w:rPr/>
        <w:t>duals</w:t>
      </w:r>
      <w:r>
        <w:rPr>
          <w:spacing w:val="-8"/>
        </w:rPr>
        <w:t> </w:t>
      </w:r>
      <w:r>
        <w:rPr/>
        <w:t>with</w:t>
      </w:r>
      <w:r>
        <w:rPr>
          <w:spacing w:val="-11"/>
        </w:rPr>
        <w:t> </w:t>
      </w:r>
      <w:r>
        <w:rPr/>
        <w:t>Medicaid</w:t>
      </w:r>
      <w:r>
        <w:rPr>
          <w:spacing w:val="-11"/>
        </w:rPr>
        <w:t> </w:t>
      </w:r>
      <w:r>
        <w:rPr/>
        <w:t>enrollment in the States should not be used in setting the benchmarks. Those beneficiaries have vastly higher PMPM cost compared to Puerto Rico residents with Medicaid enrollment from Puerto Rico. The FFS duals represent a particular case of selection bias in using their data to set MA benchmarks for the vast majority of dually eligible beneficiaries in MA plans. Risk adjustment by itself cannot correct for this selection</w:t>
      </w:r>
      <w:r>
        <w:rPr>
          <w:spacing w:val="-5"/>
        </w:rPr>
        <w:t> </w:t>
      </w:r>
      <w:r>
        <w:rPr/>
        <w:t>bias.</w:t>
      </w:r>
    </w:p>
    <w:p>
      <w:pPr>
        <w:pStyle w:val="BodyText"/>
        <w:spacing w:before="11"/>
        <w:rPr>
          <w:sz w:val="23"/>
        </w:rPr>
      </w:pPr>
    </w:p>
    <w:p>
      <w:pPr>
        <w:pStyle w:val="BodyText"/>
        <w:ind w:left="100" w:right="117" w:firstLine="719"/>
        <w:jc w:val="both"/>
      </w:pPr>
      <w:r>
        <w:rPr/>
        <w:t>In addition, the difference in how the dual eligible beneficiaries are managed in Puerto</w:t>
      </w:r>
      <w:r>
        <w:rPr>
          <w:spacing w:val="-23"/>
        </w:rPr>
        <w:t> </w:t>
      </w:r>
      <w:r>
        <w:rPr/>
        <w:t>Rico presents a unique challenge to the development of accurate benchmarks for the overall Medicare population. Two aspects could likely result in the overall benchmark underestimating the true cost of a Medicare FFS program for Puerto Rico</w:t>
      </w:r>
      <w:r>
        <w:rPr>
          <w:spacing w:val="-11"/>
        </w:rPr>
        <w:t> </w:t>
      </w:r>
      <w:r>
        <w:rPr/>
        <w:t>beneficiaries.</w:t>
      </w:r>
    </w:p>
    <w:p>
      <w:pPr>
        <w:pStyle w:val="BodyText"/>
      </w:pPr>
    </w:p>
    <w:p>
      <w:pPr>
        <w:pStyle w:val="BodyText"/>
        <w:ind w:left="100" w:right="112" w:firstLine="719"/>
        <w:jc w:val="both"/>
      </w:pPr>
      <w:r>
        <w:rPr/>
        <w:t>First,</w:t>
      </w:r>
      <w:r>
        <w:rPr>
          <w:spacing w:val="-6"/>
        </w:rPr>
        <w:t> </w:t>
      </w:r>
      <w:r>
        <w:rPr/>
        <w:t>since</w:t>
      </w:r>
      <w:r>
        <w:rPr>
          <w:spacing w:val="-8"/>
        </w:rPr>
        <w:t> </w:t>
      </w:r>
      <w:r>
        <w:rPr/>
        <w:t>the</w:t>
      </w:r>
      <w:r>
        <w:rPr>
          <w:spacing w:val="-7"/>
        </w:rPr>
        <w:t> </w:t>
      </w:r>
      <w:r>
        <w:rPr/>
        <w:t>Puerto</w:t>
      </w:r>
      <w:r>
        <w:rPr>
          <w:spacing w:val="-6"/>
        </w:rPr>
        <w:t> </w:t>
      </w:r>
      <w:r>
        <w:rPr/>
        <w:t>Rico</w:t>
      </w:r>
      <w:r>
        <w:rPr>
          <w:spacing w:val="-6"/>
        </w:rPr>
        <w:t> </w:t>
      </w:r>
      <w:r>
        <w:rPr/>
        <w:t>Medicare</w:t>
      </w:r>
      <w:r>
        <w:rPr>
          <w:spacing w:val="-7"/>
        </w:rPr>
        <w:t> </w:t>
      </w:r>
      <w:r>
        <w:rPr/>
        <w:t>Platino</w:t>
      </w:r>
      <w:r>
        <w:rPr>
          <w:spacing w:val="-6"/>
        </w:rPr>
        <w:t> </w:t>
      </w:r>
      <w:r>
        <w:rPr/>
        <w:t>program</w:t>
      </w:r>
      <w:r>
        <w:rPr>
          <w:spacing w:val="-6"/>
        </w:rPr>
        <w:t> </w:t>
      </w:r>
      <w:r>
        <w:rPr/>
        <w:t>basically</w:t>
      </w:r>
      <w:r>
        <w:rPr>
          <w:spacing w:val="-13"/>
        </w:rPr>
        <w:t> </w:t>
      </w:r>
      <w:r>
        <w:rPr/>
        <w:t>provides</w:t>
      </w:r>
      <w:r>
        <w:rPr>
          <w:spacing w:val="-6"/>
        </w:rPr>
        <w:t> </w:t>
      </w:r>
      <w:r>
        <w:rPr/>
        <w:t>full</w:t>
      </w:r>
      <w:r>
        <w:rPr>
          <w:spacing w:val="-5"/>
        </w:rPr>
        <w:t> </w:t>
      </w:r>
      <w:r>
        <w:rPr/>
        <w:t>cost</w:t>
      </w:r>
      <w:r>
        <w:rPr>
          <w:spacing w:val="-6"/>
        </w:rPr>
        <w:t> </w:t>
      </w:r>
      <w:r>
        <w:rPr/>
        <w:t>share</w:t>
      </w:r>
      <w:r>
        <w:rPr>
          <w:spacing w:val="-8"/>
        </w:rPr>
        <w:t> </w:t>
      </w:r>
      <w:r>
        <w:rPr/>
        <w:t>buy- down</w:t>
      </w:r>
      <w:r>
        <w:rPr>
          <w:spacing w:val="-14"/>
        </w:rPr>
        <w:t> </w:t>
      </w:r>
      <w:r>
        <w:rPr/>
        <w:t>for</w:t>
      </w:r>
      <w:r>
        <w:rPr>
          <w:spacing w:val="-15"/>
        </w:rPr>
        <w:t> </w:t>
      </w:r>
      <w:r>
        <w:rPr/>
        <w:t>Part</w:t>
      </w:r>
      <w:r>
        <w:rPr>
          <w:spacing w:val="-14"/>
        </w:rPr>
        <w:t> </w:t>
      </w:r>
      <w:r>
        <w:rPr/>
        <w:t>A/B</w:t>
      </w:r>
      <w:r>
        <w:rPr>
          <w:spacing w:val="-15"/>
        </w:rPr>
        <w:t> </w:t>
      </w:r>
      <w:r>
        <w:rPr/>
        <w:t>and</w:t>
      </w:r>
      <w:r>
        <w:rPr>
          <w:spacing w:val="-13"/>
        </w:rPr>
        <w:t> </w:t>
      </w:r>
      <w:r>
        <w:rPr/>
        <w:t>D</w:t>
      </w:r>
      <w:r>
        <w:rPr>
          <w:spacing w:val="-9"/>
        </w:rPr>
        <w:t> </w:t>
      </w:r>
      <w:r>
        <w:rPr/>
        <w:t>services</w:t>
      </w:r>
      <w:r>
        <w:rPr>
          <w:spacing w:val="-11"/>
        </w:rPr>
        <w:t> </w:t>
      </w:r>
      <w:r>
        <w:rPr/>
        <w:t>and</w:t>
      </w:r>
      <w:r>
        <w:rPr>
          <w:spacing w:val="-13"/>
        </w:rPr>
        <w:t> </w:t>
      </w:r>
      <w:r>
        <w:rPr/>
        <w:t>no</w:t>
      </w:r>
      <w:r>
        <w:rPr>
          <w:spacing w:val="-13"/>
        </w:rPr>
        <w:t> </w:t>
      </w:r>
      <w:r>
        <w:rPr/>
        <w:t>other</w:t>
      </w:r>
      <w:r>
        <w:rPr>
          <w:spacing w:val="-12"/>
        </w:rPr>
        <w:t> </w:t>
      </w:r>
      <w:r>
        <w:rPr/>
        <w:t>government</w:t>
      </w:r>
      <w:r>
        <w:rPr>
          <w:spacing w:val="-13"/>
        </w:rPr>
        <w:t> </w:t>
      </w:r>
      <w:r>
        <w:rPr/>
        <w:t>programs</w:t>
      </w:r>
      <w:r>
        <w:rPr>
          <w:spacing w:val="-13"/>
        </w:rPr>
        <w:t> </w:t>
      </w:r>
      <w:r>
        <w:rPr/>
        <w:t>are</w:t>
      </w:r>
      <w:r>
        <w:rPr>
          <w:spacing w:val="-14"/>
        </w:rPr>
        <w:t> </w:t>
      </w:r>
      <w:r>
        <w:rPr/>
        <w:t>available</w:t>
      </w:r>
      <w:r>
        <w:rPr>
          <w:spacing w:val="-14"/>
        </w:rPr>
        <w:t> </w:t>
      </w:r>
      <w:r>
        <w:rPr/>
        <w:t>to</w:t>
      </w:r>
      <w:r>
        <w:rPr>
          <w:spacing w:val="-13"/>
        </w:rPr>
        <w:t> </w:t>
      </w:r>
      <w:r>
        <w:rPr/>
        <w:t>provide</w:t>
      </w:r>
      <w:r>
        <w:rPr>
          <w:spacing w:val="-15"/>
        </w:rPr>
        <w:t> </w:t>
      </w:r>
      <w:r>
        <w:rPr/>
        <w:t>similar coverage, the dual population remaining in Medicare Fee For Services (less than 7,500 as of 2014) likely faces significant financial and/or accessibility issues. The distinct accessibility issues may be causing dual members not enrolled in Platino plans to not seek needed medical care, or most likely use a significantly different model to access care through Puerto Rico Medicaid (Mi</w:t>
      </w:r>
      <w:r>
        <w:rPr>
          <w:spacing w:val="-18"/>
        </w:rPr>
        <w:t> </w:t>
      </w:r>
      <w:r>
        <w:rPr/>
        <w:t>Salud).</w:t>
      </w:r>
    </w:p>
    <w:p>
      <w:pPr>
        <w:pStyle w:val="BodyText"/>
      </w:pPr>
    </w:p>
    <w:p>
      <w:pPr>
        <w:pStyle w:val="BodyText"/>
        <w:ind w:left="100" w:right="112" w:firstLine="719"/>
        <w:jc w:val="both"/>
      </w:pPr>
      <w:r>
        <w:rPr/>
        <w:t>Second, the dual population represents 50% of MA enrollment, but 10% of the remaining FFS population. This discrepancy significantly leverages the impact of misestimating the dual eligible</w:t>
      </w:r>
      <w:r>
        <w:rPr>
          <w:spacing w:val="-5"/>
        </w:rPr>
        <w:t> </w:t>
      </w:r>
      <w:r>
        <w:rPr/>
        <w:t>population.</w:t>
      </w:r>
      <w:r>
        <w:rPr>
          <w:spacing w:val="-3"/>
        </w:rPr>
        <w:t> </w:t>
      </w:r>
      <w:r>
        <w:rPr/>
        <w:t>For</w:t>
      </w:r>
      <w:r>
        <w:rPr>
          <w:spacing w:val="-5"/>
        </w:rPr>
        <w:t> </w:t>
      </w:r>
      <w:r>
        <w:rPr/>
        <w:t>example,</w:t>
      </w:r>
      <w:r>
        <w:rPr>
          <w:spacing w:val="-4"/>
        </w:rPr>
        <w:t> </w:t>
      </w:r>
      <w:r>
        <w:rPr/>
        <w:t>a</w:t>
      </w:r>
      <w:r>
        <w:rPr>
          <w:spacing w:val="-5"/>
        </w:rPr>
        <w:t> </w:t>
      </w:r>
      <w:r>
        <w:rPr/>
        <w:t>10%</w:t>
      </w:r>
      <w:r>
        <w:rPr>
          <w:spacing w:val="-5"/>
        </w:rPr>
        <w:t> </w:t>
      </w:r>
      <w:r>
        <w:rPr/>
        <w:t>change</w:t>
      </w:r>
      <w:r>
        <w:rPr>
          <w:spacing w:val="-5"/>
        </w:rPr>
        <w:t> </w:t>
      </w:r>
      <w:r>
        <w:rPr/>
        <w:t>in</w:t>
      </w:r>
      <w:r>
        <w:rPr>
          <w:spacing w:val="-1"/>
        </w:rPr>
        <w:t> </w:t>
      </w:r>
      <w:r>
        <w:rPr/>
        <w:t>the</w:t>
      </w:r>
      <w:r>
        <w:rPr>
          <w:spacing w:val="-4"/>
        </w:rPr>
        <w:t> </w:t>
      </w:r>
      <w:r>
        <w:rPr/>
        <w:t>dual</w:t>
      </w:r>
      <w:r>
        <w:rPr>
          <w:spacing w:val="-3"/>
        </w:rPr>
        <w:t> </w:t>
      </w:r>
      <w:r>
        <w:rPr/>
        <w:t>population</w:t>
      </w:r>
      <w:r>
        <w:rPr>
          <w:spacing w:val="-3"/>
        </w:rPr>
        <w:t> </w:t>
      </w:r>
      <w:r>
        <w:rPr/>
        <w:t>cost</w:t>
      </w:r>
      <w:r>
        <w:rPr>
          <w:spacing w:val="-6"/>
        </w:rPr>
        <w:t> </w:t>
      </w:r>
      <w:r>
        <w:rPr/>
        <w:t>results</w:t>
      </w:r>
      <w:r>
        <w:rPr>
          <w:spacing w:val="-4"/>
        </w:rPr>
        <w:t> </w:t>
      </w:r>
      <w:r>
        <w:rPr/>
        <w:t>in</w:t>
      </w:r>
      <w:r>
        <w:rPr>
          <w:spacing w:val="-3"/>
        </w:rPr>
        <w:t> </w:t>
      </w:r>
      <w:r>
        <w:rPr/>
        <w:t>approximately 1.2% impact on the overall fee for service cost, but 5.5% impact for the equivalent Medicare Advantage dual</w:t>
      </w:r>
      <w:r>
        <w:rPr>
          <w:spacing w:val="-4"/>
        </w:rPr>
        <w:t> </w:t>
      </w:r>
      <w:r>
        <w:rPr/>
        <w:t>distribution.</w:t>
      </w:r>
    </w:p>
    <w:p>
      <w:pPr>
        <w:pStyle w:val="BodyText"/>
      </w:pPr>
    </w:p>
    <w:p>
      <w:pPr>
        <w:pStyle w:val="BodyText"/>
        <w:ind w:left="100" w:right="114" w:firstLine="719"/>
        <w:jc w:val="both"/>
      </w:pPr>
      <w:r>
        <w:rPr/>
        <w:t>We lack sufficient data to evaluate the likely impact of the dual issues identified. The dual population for the 5% sample and 100% CMS Statistical Analytical File (SAF) appears to identify dual members flagged in other stateside Medicaid buy-in programs, as the Puerto Rico Medicaid program</w:t>
      </w:r>
      <w:r>
        <w:rPr>
          <w:spacing w:val="-4"/>
        </w:rPr>
        <w:t> </w:t>
      </w:r>
      <w:r>
        <w:rPr/>
        <w:t>does</w:t>
      </w:r>
      <w:r>
        <w:rPr>
          <w:spacing w:val="-5"/>
        </w:rPr>
        <w:t> </w:t>
      </w:r>
      <w:r>
        <w:rPr/>
        <w:t>not</w:t>
      </w:r>
      <w:r>
        <w:rPr>
          <w:spacing w:val="-4"/>
        </w:rPr>
        <w:t> </w:t>
      </w:r>
      <w:r>
        <w:rPr/>
        <w:t>provide</w:t>
      </w:r>
      <w:r>
        <w:rPr>
          <w:spacing w:val="-5"/>
        </w:rPr>
        <w:t> </w:t>
      </w:r>
      <w:r>
        <w:rPr/>
        <w:t>such</w:t>
      </w:r>
      <w:r>
        <w:rPr>
          <w:spacing w:val="-5"/>
        </w:rPr>
        <w:t> </w:t>
      </w:r>
      <w:r>
        <w:rPr/>
        <w:t>coverage.</w:t>
      </w:r>
      <w:r>
        <w:rPr>
          <w:spacing w:val="-5"/>
        </w:rPr>
        <w:t> </w:t>
      </w:r>
      <w:r>
        <w:rPr/>
        <w:t>This</w:t>
      </w:r>
      <w:r>
        <w:rPr>
          <w:spacing w:val="-4"/>
        </w:rPr>
        <w:t> </w:t>
      </w:r>
      <w:r>
        <w:rPr/>
        <w:t>population</w:t>
      </w:r>
      <w:r>
        <w:rPr>
          <w:spacing w:val="-4"/>
        </w:rPr>
        <w:t> </w:t>
      </w:r>
      <w:r>
        <w:rPr/>
        <w:t>represents</w:t>
      </w:r>
      <w:r>
        <w:rPr>
          <w:spacing w:val="-4"/>
        </w:rPr>
        <w:t> </w:t>
      </w:r>
      <w:r>
        <w:rPr/>
        <w:t>about</w:t>
      </w:r>
      <w:r>
        <w:rPr>
          <w:spacing w:val="-2"/>
        </w:rPr>
        <w:t> </w:t>
      </w:r>
      <w:r>
        <w:rPr/>
        <w:t>2%</w:t>
      </w:r>
      <w:r>
        <w:rPr>
          <w:spacing w:val="-5"/>
        </w:rPr>
        <w:t> </w:t>
      </w:r>
      <w:r>
        <w:rPr/>
        <w:t>of</w:t>
      </w:r>
      <w:r>
        <w:rPr>
          <w:spacing w:val="-5"/>
        </w:rPr>
        <w:t> </w:t>
      </w:r>
      <w:r>
        <w:rPr/>
        <w:t>the</w:t>
      </w:r>
      <w:r>
        <w:rPr>
          <w:spacing w:val="-5"/>
        </w:rPr>
        <w:t> </w:t>
      </w:r>
      <w:r>
        <w:rPr/>
        <w:t>fee</w:t>
      </w:r>
      <w:r>
        <w:rPr>
          <w:spacing w:val="-5"/>
        </w:rPr>
        <w:t> </w:t>
      </w:r>
      <w:r>
        <w:rPr/>
        <w:t>for</w:t>
      </w:r>
      <w:r>
        <w:rPr>
          <w:spacing w:val="-5"/>
        </w:rPr>
        <w:t> </w:t>
      </w:r>
      <w:r>
        <w:rPr/>
        <w:t>service population (approximately 1,600 members out of approximately 74,000 in 2014). The dual population’s normalized cost is more than double the cost for the non-dual Puerto Rico population, likely indicating that the actual cost for dual members once they are engaged in other health care assistance programs is significantly higher than for those duals that remain in Puerto Rico without access to the Platino</w:t>
      </w:r>
      <w:r>
        <w:rPr>
          <w:spacing w:val="-7"/>
        </w:rPr>
        <w:t> </w:t>
      </w:r>
      <w:r>
        <w:rPr/>
        <w:t>program.</w:t>
      </w:r>
    </w:p>
    <w:p>
      <w:pPr>
        <w:spacing w:after="0"/>
        <w:jc w:val="both"/>
        <w:sectPr>
          <w:pgSz w:w="12240" w:h="15840"/>
          <w:pgMar w:header="0" w:footer="1092" w:top="1360" w:bottom="1340" w:left="1340" w:right="1140"/>
        </w:sectPr>
      </w:pPr>
    </w:p>
    <w:p>
      <w:pPr>
        <w:pStyle w:val="Heading1"/>
        <w:numPr>
          <w:ilvl w:val="1"/>
          <w:numId w:val="1"/>
        </w:numPr>
        <w:tabs>
          <w:tab w:pos="1541" w:val="left" w:leader="none"/>
        </w:tabs>
        <w:spacing w:line="240" w:lineRule="auto" w:before="79" w:after="0"/>
        <w:ind w:left="1540" w:right="116" w:hanging="360"/>
        <w:jc w:val="right"/>
      </w:pPr>
      <w:r>
        <w:rPr/>
        <w:t>CMS Has Previously Recognized the Underlying</w:t>
      </w:r>
      <w:r>
        <w:rPr>
          <w:spacing w:val="27"/>
        </w:rPr>
        <w:t> </w:t>
      </w:r>
      <w:r>
        <w:rPr/>
        <w:t>Benchmarks</w:t>
      </w:r>
      <w:r>
        <w:rPr>
          <w:spacing w:val="47"/>
        </w:rPr>
        <w:t> </w:t>
      </w:r>
      <w:r>
        <w:rPr/>
        <w:t>Problems</w:t>
      </w:r>
      <w:r>
        <w:rPr>
          <w:w w:val="99"/>
        </w:rPr>
        <w:t> </w:t>
      </w:r>
      <w:r>
        <w:rPr/>
        <w:t>Through</w:t>
      </w:r>
      <w:r>
        <w:rPr>
          <w:spacing w:val="-14"/>
        </w:rPr>
        <w:t> </w:t>
      </w:r>
      <w:r>
        <w:rPr/>
        <w:t>Successive</w:t>
      </w:r>
      <w:r>
        <w:rPr>
          <w:spacing w:val="-15"/>
        </w:rPr>
        <w:t> </w:t>
      </w:r>
      <w:r>
        <w:rPr/>
        <w:t>Short-term</w:t>
      </w:r>
      <w:r>
        <w:rPr>
          <w:spacing w:val="-16"/>
        </w:rPr>
        <w:t> </w:t>
      </w:r>
      <w:r>
        <w:rPr/>
        <w:t>Administrative</w:t>
      </w:r>
      <w:r>
        <w:rPr>
          <w:spacing w:val="-17"/>
        </w:rPr>
        <w:t> </w:t>
      </w:r>
      <w:r>
        <w:rPr/>
        <w:t>Adjustments</w:t>
      </w:r>
      <w:r>
        <w:rPr>
          <w:spacing w:val="-14"/>
        </w:rPr>
        <w:t> </w:t>
      </w:r>
      <w:r>
        <w:rPr/>
        <w:t>for</w:t>
      </w:r>
      <w:r>
        <w:rPr>
          <w:spacing w:val="-16"/>
        </w:rPr>
        <w:t> </w:t>
      </w:r>
      <w:r>
        <w:rPr/>
        <w:t>“Zero-Claims”</w:t>
      </w:r>
    </w:p>
    <w:p>
      <w:pPr>
        <w:pStyle w:val="BodyText"/>
        <w:spacing w:before="11"/>
        <w:rPr>
          <w:b/>
          <w:sz w:val="23"/>
        </w:rPr>
      </w:pPr>
    </w:p>
    <w:p>
      <w:pPr>
        <w:pStyle w:val="BodyText"/>
        <w:ind w:left="100" w:right="119" w:firstLine="719"/>
        <w:jc w:val="right"/>
      </w:pPr>
      <w:r>
        <w:rPr/>
        <w:t>The FFS population utilization experience in Puerto Rico is not representative of</w:t>
      </w:r>
      <w:r>
        <w:rPr>
          <w:spacing w:val="12"/>
        </w:rPr>
        <w:t> </w:t>
      </w:r>
      <w:r>
        <w:rPr/>
        <w:t>the</w:t>
      </w:r>
      <w:r>
        <w:rPr>
          <w:spacing w:val="5"/>
        </w:rPr>
        <w:t> </w:t>
      </w:r>
      <w:r>
        <w:rPr/>
        <w:t>larger MA population and exhibits selection bias. Utilization of services is also distinctly higher</w:t>
      </w:r>
      <w:r>
        <w:rPr>
          <w:spacing w:val="40"/>
        </w:rPr>
        <w:t> </w:t>
      </w:r>
      <w:r>
        <w:rPr/>
        <w:t>in</w:t>
      </w:r>
      <w:r>
        <w:rPr>
          <w:spacing w:val="13"/>
        </w:rPr>
        <w:t> </w:t>
      </w:r>
      <w:r>
        <w:rPr/>
        <w:t>MA,</w:t>
      </w:r>
      <w:r>
        <w:rPr>
          <w:w w:val="99"/>
        </w:rPr>
        <w:t> </w:t>
      </w:r>
      <w:r>
        <w:rPr/>
        <w:t>and</w:t>
      </w:r>
      <w:r>
        <w:rPr>
          <w:spacing w:val="34"/>
        </w:rPr>
        <w:t> </w:t>
      </w:r>
      <w:r>
        <w:rPr/>
        <w:t>FFS</w:t>
      </w:r>
      <w:r>
        <w:rPr>
          <w:spacing w:val="35"/>
        </w:rPr>
        <w:t> </w:t>
      </w:r>
      <w:r>
        <w:rPr/>
        <w:t>beneficiaries</w:t>
      </w:r>
      <w:r>
        <w:rPr>
          <w:spacing w:val="34"/>
        </w:rPr>
        <w:t> </w:t>
      </w:r>
      <w:r>
        <w:rPr/>
        <w:t>show</w:t>
      </w:r>
      <w:r>
        <w:rPr>
          <w:spacing w:val="34"/>
        </w:rPr>
        <w:t> </w:t>
      </w:r>
      <w:r>
        <w:rPr/>
        <w:t>consistently</w:t>
      </w:r>
      <w:r>
        <w:rPr>
          <w:spacing w:val="29"/>
        </w:rPr>
        <w:t> </w:t>
      </w:r>
      <w:r>
        <w:rPr/>
        <w:t>much</w:t>
      </w:r>
      <w:r>
        <w:rPr>
          <w:spacing w:val="36"/>
        </w:rPr>
        <w:t> </w:t>
      </w:r>
      <w:r>
        <w:rPr/>
        <w:t>higher</w:t>
      </w:r>
      <w:r>
        <w:rPr>
          <w:spacing w:val="36"/>
        </w:rPr>
        <w:t> </w:t>
      </w:r>
      <w:r>
        <w:rPr/>
        <w:t>rates</w:t>
      </w:r>
      <w:r>
        <w:rPr>
          <w:spacing w:val="34"/>
        </w:rPr>
        <w:t> </w:t>
      </w:r>
      <w:r>
        <w:rPr/>
        <w:t>of</w:t>
      </w:r>
      <w:r>
        <w:rPr>
          <w:spacing w:val="34"/>
        </w:rPr>
        <w:t> </w:t>
      </w:r>
      <w:r>
        <w:rPr/>
        <w:t>zero-claims</w:t>
      </w:r>
      <w:r>
        <w:rPr>
          <w:spacing w:val="35"/>
        </w:rPr>
        <w:t> </w:t>
      </w:r>
      <w:r>
        <w:rPr/>
        <w:t>(no</w:t>
      </w:r>
      <w:r>
        <w:rPr>
          <w:spacing w:val="34"/>
        </w:rPr>
        <w:t> </w:t>
      </w:r>
      <w:r>
        <w:rPr/>
        <w:t>use</w:t>
      </w:r>
      <w:r>
        <w:rPr>
          <w:spacing w:val="34"/>
        </w:rPr>
        <w:t> </w:t>
      </w:r>
      <w:r>
        <w:rPr/>
        <w:t>of</w:t>
      </w:r>
      <w:r>
        <w:rPr>
          <w:spacing w:val="34"/>
        </w:rPr>
        <w:t> </w:t>
      </w:r>
      <w:r>
        <w:rPr/>
        <w:t>Medicare services</w:t>
      </w:r>
      <w:r>
        <w:rPr>
          <w:spacing w:val="-8"/>
        </w:rPr>
        <w:t> </w:t>
      </w:r>
      <w:r>
        <w:rPr/>
        <w:t>over</w:t>
      </w:r>
      <w:r>
        <w:rPr>
          <w:spacing w:val="-9"/>
        </w:rPr>
        <w:t> </w:t>
      </w:r>
      <w:r>
        <w:rPr/>
        <w:t>significant</w:t>
      </w:r>
      <w:r>
        <w:rPr>
          <w:spacing w:val="-7"/>
        </w:rPr>
        <w:t> </w:t>
      </w:r>
      <w:r>
        <w:rPr/>
        <w:t>periods</w:t>
      </w:r>
      <w:r>
        <w:rPr>
          <w:spacing w:val="-8"/>
        </w:rPr>
        <w:t> </w:t>
      </w:r>
      <w:r>
        <w:rPr/>
        <w:t>of</w:t>
      </w:r>
      <w:r>
        <w:rPr>
          <w:spacing w:val="-9"/>
        </w:rPr>
        <w:t> </w:t>
      </w:r>
      <w:r>
        <w:rPr/>
        <w:t>time),</w:t>
      </w:r>
      <w:r>
        <w:rPr>
          <w:spacing w:val="-9"/>
        </w:rPr>
        <w:t> </w:t>
      </w:r>
      <w:r>
        <w:rPr/>
        <w:t>ranging</w:t>
      </w:r>
      <w:r>
        <w:rPr>
          <w:spacing w:val="-9"/>
        </w:rPr>
        <w:t> </w:t>
      </w:r>
      <w:r>
        <w:rPr/>
        <w:t>up</w:t>
      </w:r>
      <w:r>
        <w:rPr>
          <w:spacing w:val="-9"/>
        </w:rPr>
        <w:t> </w:t>
      </w:r>
      <w:r>
        <w:rPr/>
        <w:t>to</w:t>
      </w:r>
      <w:r>
        <w:rPr>
          <w:spacing w:val="-8"/>
        </w:rPr>
        <w:t> </w:t>
      </w:r>
      <w:r>
        <w:rPr/>
        <w:t>three</w:t>
      </w:r>
      <w:r>
        <w:rPr>
          <w:spacing w:val="-10"/>
        </w:rPr>
        <w:t> </w:t>
      </w:r>
      <w:r>
        <w:rPr/>
        <w:t>times</w:t>
      </w:r>
      <w:r>
        <w:rPr>
          <w:spacing w:val="-9"/>
        </w:rPr>
        <w:t> </w:t>
      </w:r>
      <w:r>
        <w:rPr/>
        <w:t>higher</w:t>
      </w:r>
      <w:r>
        <w:rPr>
          <w:spacing w:val="-9"/>
        </w:rPr>
        <w:t> </w:t>
      </w:r>
      <w:r>
        <w:rPr/>
        <w:t>than</w:t>
      </w:r>
      <w:r>
        <w:rPr>
          <w:spacing w:val="-9"/>
        </w:rPr>
        <w:t> </w:t>
      </w:r>
      <w:r>
        <w:rPr/>
        <w:t>the</w:t>
      </w:r>
      <w:r>
        <w:rPr>
          <w:spacing w:val="-9"/>
        </w:rPr>
        <w:t> </w:t>
      </w:r>
      <w:r>
        <w:rPr/>
        <w:t>national</w:t>
      </w:r>
      <w:r>
        <w:rPr>
          <w:spacing w:val="-8"/>
        </w:rPr>
        <w:t> </w:t>
      </w:r>
      <w:r>
        <w:rPr/>
        <w:t>average.</w:t>
      </w:r>
    </w:p>
    <w:p>
      <w:pPr>
        <w:pStyle w:val="BodyText"/>
      </w:pPr>
    </w:p>
    <w:p>
      <w:pPr>
        <w:pStyle w:val="BodyText"/>
        <w:ind w:left="100" w:right="114" w:firstLine="719"/>
        <w:jc w:val="both"/>
      </w:pPr>
      <w:r>
        <w:rPr/>
        <w:t>Puerto Rico MA reimbursements may decline by more than $150 million if CMS does not maintain</w:t>
      </w:r>
      <w:r>
        <w:rPr>
          <w:spacing w:val="-11"/>
        </w:rPr>
        <w:t> </w:t>
      </w:r>
      <w:r>
        <w:rPr/>
        <w:t>in</w:t>
      </w:r>
      <w:r>
        <w:rPr>
          <w:spacing w:val="-11"/>
        </w:rPr>
        <w:t> </w:t>
      </w:r>
      <w:r>
        <w:rPr/>
        <w:t>2019</w:t>
      </w:r>
      <w:r>
        <w:rPr>
          <w:spacing w:val="-11"/>
        </w:rPr>
        <w:t> </w:t>
      </w:r>
      <w:r>
        <w:rPr/>
        <w:t>the</w:t>
      </w:r>
      <w:r>
        <w:rPr>
          <w:spacing w:val="-9"/>
        </w:rPr>
        <w:t> </w:t>
      </w:r>
      <w:r>
        <w:rPr/>
        <w:t>“zero</w:t>
      </w:r>
      <w:r>
        <w:rPr>
          <w:spacing w:val="-11"/>
        </w:rPr>
        <w:t> </w:t>
      </w:r>
      <w:r>
        <w:rPr/>
        <w:t>claims</w:t>
      </w:r>
      <w:r>
        <w:rPr>
          <w:spacing w:val="-11"/>
        </w:rPr>
        <w:t> </w:t>
      </w:r>
      <w:r>
        <w:rPr/>
        <w:t>adjustment”</w:t>
      </w:r>
      <w:r>
        <w:rPr>
          <w:spacing w:val="-12"/>
        </w:rPr>
        <w:t> </w:t>
      </w:r>
      <w:r>
        <w:rPr/>
        <w:t>previously</w:t>
      </w:r>
      <w:r>
        <w:rPr>
          <w:spacing w:val="-13"/>
        </w:rPr>
        <w:t> </w:t>
      </w:r>
      <w:r>
        <w:rPr/>
        <w:t>granted</w:t>
      </w:r>
      <w:r>
        <w:rPr>
          <w:spacing w:val="-12"/>
        </w:rPr>
        <w:t> </w:t>
      </w:r>
      <w:r>
        <w:rPr/>
        <w:t>by</w:t>
      </w:r>
      <w:r>
        <w:rPr>
          <w:spacing w:val="-16"/>
        </w:rPr>
        <w:t> </w:t>
      </w:r>
      <w:r>
        <w:rPr/>
        <w:t>CMS.</w:t>
      </w:r>
      <w:r>
        <w:rPr>
          <w:spacing w:val="48"/>
        </w:rPr>
        <w:t> </w:t>
      </w:r>
      <w:r>
        <w:rPr/>
        <w:t>In</w:t>
      </w:r>
      <w:r>
        <w:rPr>
          <w:spacing w:val="-11"/>
        </w:rPr>
        <w:t> </w:t>
      </w:r>
      <w:r>
        <w:rPr/>
        <w:t>2017</w:t>
      </w:r>
      <w:r>
        <w:rPr>
          <w:spacing w:val="-9"/>
        </w:rPr>
        <w:t> </w:t>
      </w:r>
      <w:r>
        <w:rPr/>
        <w:t>and</w:t>
      </w:r>
      <w:r>
        <w:rPr>
          <w:spacing w:val="-11"/>
        </w:rPr>
        <w:t> </w:t>
      </w:r>
      <w:r>
        <w:rPr/>
        <w:t>2018,</w:t>
      </w:r>
      <w:r>
        <w:rPr>
          <w:spacing w:val="-9"/>
        </w:rPr>
        <w:t> </w:t>
      </w:r>
      <w:r>
        <w:rPr/>
        <w:t>CMS included</w:t>
      </w:r>
      <w:r>
        <w:rPr>
          <w:spacing w:val="-16"/>
        </w:rPr>
        <w:t> </w:t>
      </w:r>
      <w:r>
        <w:rPr/>
        <w:t>an</w:t>
      </w:r>
      <w:r>
        <w:rPr>
          <w:spacing w:val="-13"/>
        </w:rPr>
        <w:t> </w:t>
      </w:r>
      <w:r>
        <w:rPr/>
        <w:t>adjustment</w:t>
      </w:r>
      <w:r>
        <w:rPr>
          <w:spacing w:val="-16"/>
        </w:rPr>
        <w:t> </w:t>
      </w:r>
      <w:r>
        <w:rPr/>
        <w:t>for</w:t>
      </w:r>
      <w:r>
        <w:rPr>
          <w:spacing w:val="-17"/>
        </w:rPr>
        <w:t> </w:t>
      </w:r>
      <w:r>
        <w:rPr/>
        <w:t>Puerto</w:t>
      </w:r>
      <w:r>
        <w:rPr>
          <w:spacing w:val="-16"/>
        </w:rPr>
        <w:t> </w:t>
      </w:r>
      <w:r>
        <w:rPr/>
        <w:t>Rico,</w:t>
      </w:r>
      <w:r>
        <w:rPr>
          <w:spacing w:val="-16"/>
        </w:rPr>
        <w:t> </w:t>
      </w:r>
      <w:r>
        <w:rPr/>
        <w:t>the</w:t>
      </w:r>
      <w:r>
        <w:rPr>
          <w:spacing w:val="-14"/>
        </w:rPr>
        <w:t> </w:t>
      </w:r>
      <w:r>
        <w:rPr/>
        <w:t>“zero</w:t>
      </w:r>
      <w:r>
        <w:rPr>
          <w:spacing w:val="-14"/>
        </w:rPr>
        <w:t> </w:t>
      </w:r>
      <w:r>
        <w:rPr/>
        <w:t>claimants’</w:t>
      </w:r>
      <w:r>
        <w:rPr>
          <w:spacing w:val="-15"/>
        </w:rPr>
        <w:t> </w:t>
      </w:r>
      <w:r>
        <w:rPr/>
        <w:t>adjustment,”</w:t>
      </w:r>
      <w:r>
        <w:rPr>
          <w:spacing w:val="-17"/>
        </w:rPr>
        <w:t> </w:t>
      </w:r>
      <w:r>
        <w:rPr/>
        <w:t>to</w:t>
      </w:r>
      <w:r>
        <w:rPr>
          <w:spacing w:val="-13"/>
        </w:rPr>
        <w:t> </w:t>
      </w:r>
      <w:r>
        <w:rPr/>
        <w:t>account</w:t>
      </w:r>
      <w:r>
        <w:rPr>
          <w:spacing w:val="-13"/>
        </w:rPr>
        <w:t> </w:t>
      </w:r>
      <w:r>
        <w:rPr/>
        <w:t>for</w:t>
      </w:r>
      <w:r>
        <w:rPr>
          <w:spacing w:val="-17"/>
        </w:rPr>
        <w:t> </w:t>
      </w:r>
      <w:r>
        <w:rPr/>
        <w:t>the</w:t>
      </w:r>
      <w:r>
        <w:rPr>
          <w:spacing w:val="-14"/>
        </w:rPr>
        <w:t> </w:t>
      </w:r>
      <w:r>
        <w:rPr/>
        <w:t>anomaly in</w:t>
      </w:r>
      <w:r>
        <w:rPr>
          <w:spacing w:val="-7"/>
        </w:rPr>
        <w:t> </w:t>
      </w:r>
      <w:r>
        <w:rPr/>
        <w:t>the</w:t>
      </w:r>
      <w:r>
        <w:rPr>
          <w:spacing w:val="-8"/>
        </w:rPr>
        <w:t> </w:t>
      </w:r>
      <w:r>
        <w:rPr/>
        <w:t>Parts</w:t>
      </w:r>
      <w:r>
        <w:rPr>
          <w:spacing w:val="-5"/>
        </w:rPr>
        <w:t> </w:t>
      </w:r>
      <w:r>
        <w:rPr/>
        <w:t>A</w:t>
      </w:r>
      <w:r>
        <w:rPr>
          <w:spacing w:val="-8"/>
        </w:rPr>
        <w:t> </w:t>
      </w:r>
      <w:r>
        <w:rPr/>
        <w:t>and</w:t>
      </w:r>
      <w:r>
        <w:rPr>
          <w:spacing w:val="-3"/>
        </w:rPr>
        <w:t> </w:t>
      </w:r>
      <w:r>
        <w:rPr/>
        <w:t>B</w:t>
      </w:r>
      <w:r>
        <w:rPr>
          <w:spacing w:val="-7"/>
        </w:rPr>
        <w:t> </w:t>
      </w:r>
      <w:r>
        <w:rPr/>
        <w:t>FFS</w:t>
      </w:r>
      <w:r>
        <w:rPr>
          <w:spacing w:val="-5"/>
        </w:rPr>
        <w:t> </w:t>
      </w:r>
      <w:r>
        <w:rPr/>
        <w:t>beneficiaries’</w:t>
      </w:r>
      <w:r>
        <w:rPr>
          <w:spacing w:val="-6"/>
        </w:rPr>
        <w:t> </w:t>
      </w:r>
      <w:r>
        <w:rPr/>
        <w:t>data</w:t>
      </w:r>
      <w:r>
        <w:rPr>
          <w:spacing w:val="-6"/>
        </w:rPr>
        <w:t> </w:t>
      </w:r>
      <w:r>
        <w:rPr/>
        <w:t>showing</w:t>
      </w:r>
      <w:r>
        <w:rPr>
          <w:spacing w:val="-10"/>
        </w:rPr>
        <w:t> </w:t>
      </w:r>
      <w:r>
        <w:rPr/>
        <w:t>many</w:t>
      </w:r>
      <w:r>
        <w:rPr>
          <w:spacing w:val="-12"/>
        </w:rPr>
        <w:t> </w:t>
      </w:r>
      <w:r>
        <w:rPr/>
        <w:t>more</w:t>
      </w:r>
      <w:r>
        <w:rPr>
          <w:spacing w:val="-9"/>
        </w:rPr>
        <w:t> </w:t>
      </w:r>
      <w:r>
        <w:rPr/>
        <w:t>beneficiaries</w:t>
      </w:r>
      <w:r>
        <w:rPr>
          <w:spacing w:val="-7"/>
        </w:rPr>
        <w:t> </w:t>
      </w:r>
      <w:r>
        <w:rPr/>
        <w:t>exhibiting</w:t>
      </w:r>
      <w:r>
        <w:rPr>
          <w:spacing w:val="-10"/>
        </w:rPr>
        <w:t> </w:t>
      </w:r>
      <w:r>
        <w:rPr/>
        <w:t>no</w:t>
      </w:r>
      <w:r>
        <w:rPr>
          <w:spacing w:val="-5"/>
        </w:rPr>
        <w:t> </w:t>
      </w:r>
      <w:r>
        <w:rPr/>
        <w:t>claims- related encounters or expenses than in the 50 States or DC, in essence corroborating our “lack of reliable baseline data” position set forth in Section 1.i.</w:t>
      </w:r>
      <w:r>
        <w:rPr>
          <w:spacing w:val="-11"/>
        </w:rPr>
        <w:t> </w:t>
      </w:r>
      <w:r>
        <w:rPr/>
        <w:t>above.</w:t>
      </w:r>
    </w:p>
    <w:p>
      <w:pPr>
        <w:pStyle w:val="BodyText"/>
      </w:pPr>
    </w:p>
    <w:p>
      <w:pPr>
        <w:pStyle w:val="BodyText"/>
        <w:ind w:left="100" w:right="114" w:firstLine="719"/>
        <w:jc w:val="both"/>
      </w:pPr>
      <w:r>
        <w:rPr/>
        <w:t>Approximately</w:t>
      </w:r>
      <w:r>
        <w:rPr>
          <w:spacing w:val="-10"/>
        </w:rPr>
        <w:t> </w:t>
      </w:r>
      <w:r>
        <w:rPr/>
        <w:t>26%</w:t>
      </w:r>
      <w:r>
        <w:rPr>
          <w:spacing w:val="-4"/>
        </w:rPr>
        <w:t> </w:t>
      </w:r>
      <w:r>
        <w:rPr/>
        <w:t>of</w:t>
      </w:r>
      <w:r>
        <w:rPr>
          <w:spacing w:val="-5"/>
        </w:rPr>
        <w:t> </w:t>
      </w:r>
      <w:r>
        <w:rPr/>
        <w:t>the</w:t>
      </w:r>
      <w:r>
        <w:rPr>
          <w:spacing w:val="-5"/>
        </w:rPr>
        <w:t> </w:t>
      </w:r>
      <w:r>
        <w:rPr/>
        <w:t>FFS</w:t>
      </w:r>
      <w:r>
        <w:rPr>
          <w:spacing w:val="-3"/>
        </w:rPr>
        <w:t> </w:t>
      </w:r>
      <w:r>
        <w:rPr/>
        <w:t>beneficiaries</w:t>
      </w:r>
      <w:r>
        <w:rPr>
          <w:spacing w:val="-3"/>
        </w:rPr>
        <w:t> </w:t>
      </w:r>
      <w:r>
        <w:rPr/>
        <w:t>in</w:t>
      </w:r>
      <w:r>
        <w:rPr>
          <w:spacing w:val="-4"/>
        </w:rPr>
        <w:t> </w:t>
      </w:r>
      <w:r>
        <w:rPr/>
        <w:t>Puerto</w:t>
      </w:r>
      <w:r>
        <w:rPr>
          <w:spacing w:val="-4"/>
        </w:rPr>
        <w:t> </w:t>
      </w:r>
      <w:r>
        <w:rPr/>
        <w:t>Rico</w:t>
      </w:r>
      <w:r>
        <w:rPr>
          <w:spacing w:val="-4"/>
        </w:rPr>
        <w:t> </w:t>
      </w:r>
      <w:r>
        <w:rPr/>
        <w:t>report</w:t>
      </w:r>
      <w:r>
        <w:rPr>
          <w:spacing w:val="-4"/>
        </w:rPr>
        <w:t> </w:t>
      </w:r>
      <w:r>
        <w:rPr/>
        <w:t>zero</w:t>
      </w:r>
      <w:r>
        <w:rPr>
          <w:spacing w:val="-5"/>
        </w:rPr>
        <w:t> </w:t>
      </w:r>
      <w:r>
        <w:rPr/>
        <w:t>claims,</w:t>
      </w:r>
      <w:r>
        <w:rPr>
          <w:spacing w:val="-4"/>
        </w:rPr>
        <w:t> </w:t>
      </w:r>
      <w:r>
        <w:rPr/>
        <w:t>compared</w:t>
      </w:r>
      <w:r>
        <w:rPr>
          <w:spacing w:val="-4"/>
        </w:rPr>
        <w:t> </w:t>
      </w:r>
      <w:r>
        <w:rPr/>
        <w:t>to a national average of less than 8% in a given year for those beneficiaries enrolled in both Medicare Parts A and B. Such an anomaly of a higher proportion of enrolled FFS months without any corresponding utilization in the denominator depresses the benchmark calculation. This selection bias</w:t>
      </w:r>
      <w:r>
        <w:rPr>
          <w:spacing w:val="-4"/>
        </w:rPr>
        <w:t> </w:t>
      </w:r>
      <w:r>
        <w:rPr/>
        <w:t>of</w:t>
      </w:r>
      <w:r>
        <w:rPr>
          <w:spacing w:val="-5"/>
        </w:rPr>
        <w:t> </w:t>
      </w:r>
      <w:r>
        <w:rPr/>
        <w:t>those</w:t>
      </w:r>
      <w:r>
        <w:rPr>
          <w:spacing w:val="-4"/>
        </w:rPr>
        <w:t> </w:t>
      </w:r>
      <w:r>
        <w:rPr/>
        <w:t>who</w:t>
      </w:r>
      <w:r>
        <w:rPr>
          <w:spacing w:val="-4"/>
        </w:rPr>
        <w:t> </w:t>
      </w:r>
      <w:r>
        <w:rPr/>
        <w:t>remain</w:t>
      </w:r>
      <w:r>
        <w:rPr>
          <w:spacing w:val="-2"/>
        </w:rPr>
        <w:t> </w:t>
      </w:r>
      <w:r>
        <w:rPr/>
        <w:t>in</w:t>
      </w:r>
      <w:r>
        <w:rPr>
          <w:spacing w:val="-3"/>
        </w:rPr>
        <w:t> </w:t>
      </w:r>
      <w:r>
        <w:rPr/>
        <w:t>FFS</w:t>
      </w:r>
      <w:r>
        <w:rPr>
          <w:spacing w:val="-3"/>
        </w:rPr>
        <w:t> </w:t>
      </w:r>
      <w:r>
        <w:rPr/>
        <w:t>versus</w:t>
      </w:r>
      <w:r>
        <w:rPr>
          <w:spacing w:val="-4"/>
        </w:rPr>
        <w:t> </w:t>
      </w:r>
      <w:r>
        <w:rPr/>
        <w:t>those</w:t>
      </w:r>
      <w:r>
        <w:rPr>
          <w:spacing w:val="-4"/>
        </w:rPr>
        <w:t> </w:t>
      </w:r>
      <w:r>
        <w:rPr/>
        <w:t>who</w:t>
      </w:r>
      <w:r>
        <w:rPr>
          <w:spacing w:val="-2"/>
        </w:rPr>
        <w:t> </w:t>
      </w:r>
      <w:r>
        <w:rPr/>
        <w:t>opt</w:t>
      </w:r>
      <w:r>
        <w:rPr>
          <w:spacing w:val="-3"/>
        </w:rPr>
        <w:t> </w:t>
      </w:r>
      <w:r>
        <w:rPr/>
        <w:t>into</w:t>
      </w:r>
      <w:r>
        <w:rPr>
          <w:spacing w:val="-4"/>
        </w:rPr>
        <w:t> </w:t>
      </w:r>
      <w:r>
        <w:rPr/>
        <w:t>an</w:t>
      </w:r>
      <w:r>
        <w:rPr>
          <w:spacing w:val="-4"/>
        </w:rPr>
        <w:t> </w:t>
      </w:r>
      <w:r>
        <w:rPr/>
        <w:t>MA</w:t>
      </w:r>
      <w:r>
        <w:rPr>
          <w:spacing w:val="-4"/>
        </w:rPr>
        <w:t> </w:t>
      </w:r>
      <w:r>
        <w:rPr/>
        <w:t>plan</w:t>
      </w:r>
      <w:r>
        <w:rPr>
          <w:spacing w:val="-4"/>
        </w:rPr>
        <w:t> </w:t>
      </w:r>
      <w:r>
        <w:rPr/>
        <w:t>further</w:t>
      </w:r>
      <w:r>
        <w:rPr>
          <w:spacing w:val="-5"/>
        </w:rPr>
        <w:t> </w:t>
      </w:r>
      <w:r>
        <w:rPr/>
        <w:t>distorts</w:t>
      </w:r>
      <w:r>
        <w:rPr>
          <w:spacing w:val="-4"/>
        </w:rPr>
        <w:t> </w:t>
      </w:r>
      <w:r>
        <w:rPr/>
        <w:t>the</w:t>
      </w:r>
      <w:r>
        <w:rPr>
          <w:spacing w:val="-4"/>
        </w:rPr>
        <w:t> </w:t>
      </w:r>
      <w:r>
        <w:rPr/>
        <w:t>FFS</w:t>
      </w:r>
      <w:r>
        <w:rPr>
          <w:spacing w:val="-3"/>
        </w:rPr>
        <w:t> </w:t>
      </w:r>
      <w:r>
        <w:rPr/>
        <w:t>data leading to a significant underestimation of what the FFS costs would be in Puerto Rico relative to other</w:t>
      </w:r>
      <w:r>
        <w:rPr>
          <w:spacing w:val="-3"/>
        </w:rPr>
        <w:t> </w:t>
      </w:r>
      <w:r>
        <w:rPr/>
        <w:t>jurisdictions.</w:t>
      </w:r>
    </w:p>
    <w:p>
      <w:pPr>
        <w:pStyle w:val="BodyText"/>
      </w:pPr>
    </w:p>
    <w:p>
      <w:pPr>
        <w:pStyle w:val="BodyText"/>
        <w:ind w:left="100" w:right="120" w:firstLine="719"/>
        <w:jc w:val="both"/>
      </w:pPr>
      <w:r>
        <w:rPr/>
        <w:t>Without the zero-claimants adjustment, the position of the payment levels for MA in Puerto Rico would continue to deteriorate, increasing the disparity with other jurisdictions and fueling the continuing exodus of beneficiaries and health care providers to the states.</w:t>
      </w:r>
    </w:p>
    <w:p>
      <w:pPr>
        <w:pStyle w:val="BodyText"/>
      </w:pPr>
    </w:p>
    <w:p>
      <w:pPr>
        <w:pStyle w:val="Heading1"/>
        <w:numPr>
          <w:ilvl w:val="1"/>
          <w:numId w:val="1"/>
        </w:numPr>
        <w:tabs>
          <w:tab w:pos="1541" w:val="left" w:leader="none"/>
        </w:tabs>
        <w:spacing w:line="240" w:lineRule="auto" w:before="0" w:after="0"/>
        <w:ind w:left="1540" w:right="115" w:hanging="360"/>
        <w:jc w:val="left"/>
      </w:pPr>
      <w:r>
        <w:rPr/>
        <w:t>Diminishing Claims Sample Cannot Continue to Project for Ever Growing MA Population</w:t>
      </w:r>
    </w:p>
    <w:p>
      <w:pPr>
        <w:pStyle w:val="BodyText"/>
        <w:rPr>
          <w:b/>
        </w:rPr>
      </w:pPr>
    </w:p>
    <w:p>
      <w:pPr>
        <w:pStyle w:val="ListParagraph"/>
        <w:numPr>
          <w:ilvl w:val="2"/>
          <w:numId w:val="1"/>
        </w:numPr>
        <w:tabs>
          <w:tab w:pos="2261" w:val="left" w:leader="none"/>
        </w:tabs>
        <w:spacing w:line="240" w:lineRule="auto" w:before="0" w:after="0"/>
        <w:ind w:left="2260" w:right="116" w:hanging="307"/>
        <w:jc w:val="left"/>
        <w:rPr>
          <w:sz w:val="24"/>
        </w:rPr>
      </w:pPr>
      <w:r>
        <w:rPr>
          <w:sz w:val="24"/>
          <w:u w:val="single"/>
        </w:rPr>
        <w:t>Can Any 10 Percent Sample Accurately Project Costs of what would be the regular Medicare FFS program operating in Puerto</w:t>
      </w:r>
      <w:r>
        <w:rPr>
          <w:spacing w:val="-13"/>
          <w:sz w:val="24"/>
          <w:u w:val="single"/>
        </w:rPr>
        <w:t> </w:t>
      </w:r>
      <w:r>
        <w:rPr>
          <w:sz w:val="24"/>
          <w:u w:val="single"/>
        </w:rPr>
        <w:t>Rico?</w:t>
      </w:r>
    </w:p>
    <w:p>
      <w:pPr>
        <w:pStyle w:val="BodyText"/>
        <w:spacing w:before="2"/>
        <w:rPr>
          <w:sz w:val="16"/>
        </w:rPr>
      </w:pPr>
    </w:p>
    <w:p>
      <w:pPr>
        <w:pStyle w:val="BodyText"/>
        <w:spacing w:before="90"/>
        <w:ind w:left="100" w:right="116" w:firstLine="719"/>
        <w:jc w:val="both"/>
      </w:pPr>
      <w:r>
        <w:rPr/>
        <w:t>In</w:t>
      </w:r>
      <w:r>
        <w:rPr>
          <w:spacing w:val="-2"/>
        </w:rPr>
        <w:t> </w:t>
      </w:r>
      <w:r>
        <w:rPr/>
        <w:t>general,</w:t>
      </w:r>
      <w:r>
        <w:rPr>
          <w:spacing w:val="-6"/>
        </w:rPr>
        <w:t> </w:t>
      </w:r>
      <w:r>
        <w:rPr/>
        <w:t>not</w:t>
      </w:r>
      <w:r>
        <w:rPr>
          <w:spacing w:val="-6"/>
        </w:rPr>
        <w:t> </w:t>
      </w:r>
      <w:r>
        <w:rPr/>
        <w:t>only</w:t>
      </w:r>
      <w:r>
        <w:rPr>
          <w:spacing w:val="-11"/>
        </w:rPr>
        <w:t> </w:t>
      </w:r>
      <w:r>
        <w:rPr/>
        <w:t>do</w:t>
      </w:r>
      <w:r>
        <w:rPr>
          <w:spacing w:val="-4"/>
        </w:rPr>
        <w:t> </w:t>
      </w:r>
      <w:r>
        <w:rPr/>
        <w:t>the</w:t>
      </w:r>
      <w:r>
        <w:rPr>
          <w:spacing w:val="-7"/>
        </w:rPr>
        <w:t> </w:t>
      </w:r>
      <w:r>
        <w:rPr/>
        <w:t>FFS</w:t>
      </w:r>
      <w:r>
        <w:rPr>
          <w:spacing w:val="-6"/>
        </w:rPr>
        <w:t> </w:t>
      </w:r>
      <w:r>
        <w:rPr/>
        <w:t>data</w:t>
      </w:r>
      <w:r>
        <w:rPr>
          <w:spacing w:val="-5"/>
        </w:rPr>
        <w:t> </w:t>
      </w:r>
      <w:r>
        <w:rPr/>
        <w:t>represent</w:t>
      </w:r>
      <w:r>
        <w:rPr>
          <w:spacing w:val="-4"/>
        </w:rPr>
        <w:t> </w:t>
      </w:r>
      <w:r>
        <w:rPr/>
        <w:t>only</w:t>
      </w:r>
      <w:r>
        <w:rPr>
          <w:spacing w:val="-9"/>
        </w:rPr>
        <w:t> </w:t>
      </w:r>
      <w:r>
        <w:rPr/>
        <w:t>approximately</w:t>
      </w:r>
      <w:r>
        <w:rPr>
          <w:spacing w:val="-11"/>
        </w:rPr>
        <w:t> </w:t>
      </w:r>
      <w:r>
        <w:rPr/>
        <w:t>10%</w:t>
      </w:r>
      <w:r>
        <w:rPr>
          <w:spacing w:val="-7"/>
        </w:rPr>
        <w:t> </w:t>
      </w:r>
      <w:r>
        <w:rPr/>
        <w:t>of</w:t>
      </w:r>
      <w:r>
        <w:rPr>
          <w:spacing w:val="-5"/>
        </w:rPr>
        <w:t> </w:t>
      </w:r>
      <w:r>
        <w:rPr/>
        <w:t>the</w:t>
      </w:r>
      <w:r>
        <w:rPr>
          <w:spacing w:val="-7"/>
        </w:rPr>
        <w:t> </w:t>
      </w:r>
      <w:r>
        <w:rPr/>
        <w:t>Medicare A</w:t>
      </w:r>
      <w:r>
        <w:rPr>
          <w:spacing w:val="-4"/>
        </w:rPr>
        <w:t> </w:t>
      </w:r>
      <w:r>
        <w:rPr/>
        <w:t>&amp; B</w:t>
      </w:r>
      <w:r>
        <w:rPr>
          <w:spacing w:val="-10"/>
        </w:rPr>
        <w:t> </w:t>
      </w:r>
      <w:r>
        <w:rPr/>
        <w:t>population</w:t>
      </w:r>
      <w:r>
        <w:rPr>
          <w:spacing w:val="-8"/>
        </w:rPr>
        <w:t> </w:t>
      </w:r>
      <w:r>
        <w:rPr/>
        <w:t>in</w:t>
      </w:r>
      <w:r>
        <w:rPr>
          <w:spacing w:val="-8"/>
        </w:rPr>
        <w:t> </w:t>
      </w:r>
      <w:r>
        <w:rPr/>
        <w:t>the</w:t>
      </w:r>
      <w:r>
        <w:rPr>
          <w:spacing w:val="-9"/>
        </w:rPr>
        <w:t> </w:t>
      </w:r>
      <w:r>
        <w:rPr/>
        <w:t>island,</w:t>
      </w:r>
      <w:r>
        <w:rPr>
          <w:spacing w:val="-9"/>
        </w:rPr>
        <w:t> </w:t>
      </w:r>
      <w:r>
        <w:rPr/>
        <w:t>but</w:t>
      </w:r>
      <w:r>
        <w:rPr>
          <w:spacing w:val="-8"/>
        </w:rPr>
        <w:t> </w:t>
      </w:r>
      <w:r>
        <w:rPr/>
        <w:t>the</w:t>
      </w:r>
      <w:r>
        <w:rPr>
          <w:spacing w:val="-9"/>
        </w:rPr>
        <w:t> </w:t>
      </w:r>
      <w:r>
        <w:rPr/>
        <w:t>findings</w:t>
      </w:r>
      <w:r>
        <w:rPr>
          <w:spacing w:val="-8"/>
        </w:rPr>
        <w:t> </w:t>
      </w:r>
      <w:r>
        <w:rPr/>
        <w:t>confirmed</w:t>
      </w:r>
      <w:r>
        <w:rPr>
          <w:spacing w:val="-9"/>
        </w:rPr>
        <w:t> </w:t>
      </w:r>
      <w:r>
        <w:rPr/>
        <w:t>that</w:t>
      </w:r>
      <w:r>
        <w:rPr>
          <w:spacing w:val="-9"/>
        </w:rPr>
        <w:t> </w:t>
      </w:r>
      <w:r>
        <w:rPr/>
        <w:t>the</w:t>
      </w:r>
      <w:r>
        <w:rPr>
          <w:spacing w:val="-9"/>
        </w:rPr>
        <w:t> </w:t>
      </w:r>
      <w:r>
        <w:rPr/>
        <w:t>Puerto</w:t>
      </w:r>
      <w:r>
        <w:rPr>
          <w:spacing w:val="-9"/>
        </w:rPr>
        <w:t> </w:t>
      </w:r>
      <w:r>
        <w:rPr/>
        <w:t>Rico</w:t>
      </w:r>
      <w:r>
        <w:rPr>
          <w:spacing w:val="-9"/>
        </w:rPr>
        <w:t> </w:t>
      </w:r>
      <w:r>
        <w:rPr/>
        <w:t>FFS</w:t>
      </w:r>
      <w:r>
        <w:rPr>
          <w:spacing w:val="-8"/>
        </w:rPr>
        <w:t> </w:t>
      </w:r>
      <w:r>
        <w:rPr/>
        <w:t>population</w:t>
      </w:r>
      <w:r>
        <w:rPr>
          <w:spacing w:val="-8"/>
        </w:rPr>
        <w:t> </w:t>
      </w:r>
      <w:r>
        <w:rPr/>
        <w:t>is</w:t>
      </w:r>
      <w:r>
        <w:rPr>
          <w:spacing w:val="-10"/>
        </w:rPr>
        <w:t> </w:t>
      </w:r>
      <w:r>
        <w:rPr/>
        <w:t>a</w:t>
      </w:r>
      <w:r>
        <w:rPr>
          <w:spacing w:val="-10"/>
        </w:rPr>
        <w:t> </w:t>
      </w:r>
      <w:r>
        <w:rPr/>
        <w:t>group of beneficiaries that self-selected themselves out of MA, with particular and significant differences in character and utilization patterns. Also, Medicare FFS member months have decreased 27%</w:t>
      </w:r>
      <w:r>
        <w:rPr>
          <w:spacing w:val="-39"/>
        </w:rPr>
        <w:t> </w:t>
      </w:r>
      <w:r>
        <w:rPr/>
        <w:t>over five years, with a much higher rate of switching to MA compared to the U.S.</w:t>
      </w:r>
      <w:r>
        <w:rPr>
          <w:spacing w:val="-13"/>
        </w:rPr>
        <w:t> </w:t>
      </w:r>
      <w:r>
        <w:rPr/>
        <w:t>mainland.</w:t>
      </w:r>
    </w:p>
    <w:p>
      <w:pPr>
        <w:pStyle w:val="BodyText"/>
      </w:pPr>
    </w:p>
    <w:p>
      <w:pPr>
        <w:pStyle w:val="BodyText"/>
        <w:ind w:left="100" w:right="119" w:firstLine="719"/>
        <w:jc w:val="both"/>
      </w:pPr>
      <w:r>
        <w:rPr/>
        <w:t>The trends suggest the discrepancy will grow further. Approximately 30% of FFS beneficiaries in Puerto Rico switch to an MA plan annually. This is in contrast to a 3 - 5% national average switch rate to MA.</w:t>
      </w:r>
    </w:p>
    <w:p>
      <w:pPr>
        <w:pStyle w:val="BodyText"/>
        <w:spacing w:before="10"/>
        <w:rPr>
          <w:sz w:val="23"/>
        </w:rPr>
      </w:pPr>
    </w:p>
    <w:p>
      <w:pPr>
        <w:pStyle w:val="ListParagraph"/>
        <w:numPr>
          <w:ilvl w:val="2"/>
          <w:numId w:val="1"/>
        </w:numPr>
        <w:tabs>
          <w:tab w:pos="2261" w:val="left" w:leader="none"/>
        </w:tabs>
        <w:spacing w:line="240" w:lineRule="auto" w:before="1" w:after="0"/>
        <w:ind w:left="2260" w:right="119" w:hanging="374"/>
        <w:jc w:val="left"/>
        <w:rPr>
          <w:sz w:val="24"/>
        </w:rPr>
      </w:pPr>
      <w:r>
        <w:rPr>
          <w:sz w:val="24"/>
          <w:u w:val="single"/>
        </w:rPr>
        <w:t>MA Enrollment Trends Indicate that Some Jurisdictions in the States will Soon be Faced with the Same</w:t>
      </w:r>
      <w:r>
        <w:rPr>
          <w:spacing w:val="-8"/>
          <w:sz w:val="24"/>
          <w:u w:val="single"/>
        </w:rPr>
        <w:t> </w:t>
      </w:r>
      <w:r>
        <w:rPr>
          <w:sz w:val="24"/>
          <w:u w:val="single"/>
        </w:rPr>
        <w:t>Problem</w:t>
      </w:r>
    </w:p>
    <w:p>
      <w:pPr>
        <w:spacing w:after="0" w:line="240" w:lineRule="auto"/>
        <w:jc w:val="left"/>
        <w:rPr>
          <w:sz w:val="24"/>
        </w:rPr>
        <w:sectPr>
          <w:pgSz w:w="12240" w:h="15840"/>
          <w:pgMar w:header="0" w:footer="1092" w:top="1360" w:bottom="1340" w:left="1340" w:right="1140"/>
        </w:sectPr>
      </w:pPr>
    </w:p>
    <w:p>
      <w:pPr>
        <w:pStyle w:val="BodyText"/>
        <w:spacing w:before="79"/>
        <w:ind w:left="120" w:right="113" w:firstLine="719"/>
        <w:jc w:val="both"/>
      </w:pPr>
      <w:r>
        <w:rPr/>
        <w:t>CMS has an opportunity now with Puerto Rico to tackle the problem, unanticipated by Congress, of a minority of a jurisdiction’s beneficiary population in Medicare FFS being used to project</w:t>
      </w:r>
      <w:r>
        <w:rPr>
          <w:spacing w:val="-8"/>
        </w:rPr>
        <w:t> </w:t>
      </w:r>
      <w:r>
        <w:rPr/>
        <w:t>the</w:t>
      </w:r>
      <w:r>
        <w:rPr>
          <w:spacing w:val="-9"/>
        </w:rPr>
        <w:t> </w:t>
      </w:r>
      <w:r>
        <w:rPr/>
        <w:t>benchmark</w:t>
      </w:r>
      <w:r>
        <w:rPr>
          <w:spacing w:val="-9"/>
        </w:rPr>
        <w:t> </w:t>
      </w:r>
      <w:r>
        <w:rPr/>
        <w:t>for</w:t>
      </w:r>
      <w:r>
        <w:rPr>
          <w:spacing w:val="-9"/>
        </w:rPr>
        <w:t> </w:t>
      </w:r>
      <w:r>
        <w:rPr/>
        <w:t>services</w:t>
      </w:r>
      <w:r>
        <w:rPr>
          <w:spacing w:val="-8"/>
        </w:rPr>
        <w:t> </w:t>
      </w:r>
      <w:r>
        <w:rPr/>
        <w:t>provided</w:t>
      </w:r>
      <w:r>
        <w:rPr>
          <w:spacing w:val="-9"/>
        </w:rPr>
        <w:t> </w:t>
      </w:r>
      <w:r>
        <w:rPr/>
        <w:t>to</w:t>
      </w:r>
      <w:r>
        <w:rPr>
          <w:spacing w:val="-8"/>
        </w:rPr>
        <w:t> </w:t>
      </w:r>
      <w:r>
        <w:rPr/>
        <w:t>a</w:t>
      </w:r>
      <w:r>
        <w:rPr>
          <w:spacing w:val="-10"/>
        </w:rPr>
        <w:t> </w:t>
      </w:r>
      <w:r>
        <w:rPr/>
        <w:t>majority</w:t>
      </w:r>
      <w:r>
        <w:rPr>
          <w:spacing w:val="-13"/>
        </w:rPr>
        <w:t> </w:t>
      </w:r>
      <w:r>
        <w:rPr/>
        <w:t>MA</w:t>
      </w:r>
      <w:r>
        <w:rPr>
          <w:spacing w:val="-9"/>
        </w:rPr>
        <w:t> </w:t>
      </w:r>
      <w:r>
        <w:rPr/>
        <w:t>enrollee</w:t>
      </w:r>
      <w:r>
        <w:rPr>
          <w:spacing w:val="-10"/>
        </w:rPr>
        <w:t> </w:t>
      </w:r>
      <w:r>
        <w:rPr/>
        <w:t>population.</w:t>
      </w:r>
      <w:r>
        <w:rPr>
          <w:spacing w:val="45"/>
        </w:rPr>
        <w:t> </w:t>
      </w:r>
      <w:r>
        <w:rPr>
          <w:spacing w:val="-3"/>
        </w:rPr>
        <w:t>It</w:t>
      </w:r>
      <w:r>
        <w:rPr>
          <w:spacing w:val="-8"/>
        </w:rPr>
        <w:t> </w:t>
      </w:r>
      <w:r>
        <w:rPr/>
        <w:t>is</w:t>
      </w:r>
      <w:r>
        <w:rPr>
          <w:spacing w:val="-8"/>
        </w:rPr>
        <w:t> </w:t>
      </w:r>
      <w:r>
        <w:rPr/>
        <w:t>not</w:t>
      </w:r>
      <w:r>
        <w:rPr>
          <w:spacing w:val="-8"/>
        </w:rPr>
        <w:t> </w:t>
      </w:r>
      <w:r>
        <w:rPr/>
        <w:t>disputed that there is a “tipping point” at which an ever diminishing FFS population is too small to project with any actuarial equivalence, the likely Medicare FFS costs of an MA population. Obviously, it is our belief that Puerto Rico has far surpassed this “tipping</w:t>
      </w:r>
      <w:r>
        <w:rPr>
          <w:spacing w:val="-10"/>
        </w:rPr>
        <w:t> </w:t>
      </w:r>
      <w:r>
        <w:rPr/>
        <w:t>point”.</w:t>
      </w:r>
    </w:p>
    <w:p>
      <w:pPr>
        <w:pStyle w:val="BodyText"/>
        <w:spacing w:before="9"/>
        <w:rPr>
          <w:sz w:val="20"/>
        </w:rPr>
      </w:pPr>
    </w:p>
    <w:p>
      <w:pPr>
        <w:pStyle w:val="BodyText"/>
        <w:ind w:left="120" w:right="113" w:firstLine="719"/>
        <w:jc w:val="both"/>
      </w:pPr>
      <w:r>
        <w:rPr/>
        <w:t>Under</w:t>
      </w:r>
      <w:r>
        <w:rPr>
          <w:spacing w:val="-14"/>
        </w:rPr>
        <w:t> </w:t>
      </w:r>
      <w:r>
        <w:rPr/>
        <w:t>current</w:t>
      </w:r>
      <w:r>
        <w:rPr>
          <w:spacing w:val="-13"/>
        </w:rPr>
        <w:t> </w:t>
      </w:r>
      <w:r>
        <w:rPr/>
        <w:t>trends,</w:t>
      </w:r>
      <w:r>
        <w:rPr>
          <w:spacing w:val="-13"/>
        </w:rPr>
        <w:t> </w:t>
      </w:r>
      <w:r>
        <w:rPr/>
        <w:t>counties</w:t>
      </w:r>
      <w:r>
        <w:rPr>
          <w:spacing w:val="-13"/>
        </w:rPr>
        <w:t> </w:t>
      </w:r>
      <w:r>
        <w:rPr/>
        <w:t>in</w:t>
      </w:r>
      <w:r>
        <w:rPr>
          <w:spacing w:val="-13"/>
        </w:rPr>
        <w:t> </w:t>
      </w:r>
      <w:r>
        <w:rPr/>
        <w:t>Minnesota</w:t>
      </w:r>
      <w:r>
        <w:rPr>
          <w:spacing w:val="-14"/>
        </w:rPr>
        <w:t> </w:t>
      </w:r>
      <w:r>
        <w:rPr/>
        <w:t>and</w:t>
      </w:r>
      <w:r>
        <w:rPr>
          <w:spacing w:val="-13"/>
        </w:rPr>
        <w:t> </w:t>
      </w:r>
      <w:r>
        <w:rPr/>
        <w:t>Oregon</w:t>
      </w:r>
      <w:r>
        <w:rPr>
          <w:spacing w:val="-11"/>
        </w:rPr>
        <w:t> </w:t>
      </w:r>
      <w:r>
        <w:rPr/>
        <w:t>with</w:t>
      </w:r>
      <w:r>
        <w:rPr>
          <w:spacing w:val="-13"/>
        </w:rPr>
        <w:t> </w:t>
      </w:r>
      <w:r>
        <w:rPr/>
        <w:t>very</w:t>
      </w:r>
      <w:r>
        <w:rPr>
          <w:spacing w:val="-18"/>
        </w:rPr>
        <w:t> </w:t>
      </w:r>
      <w:r>
        <w:rPr/>
        <w:t>high</w:t>
      </w:r>
      <w:r>
        <w:rPr>
          <w:spacing w:val="-13"/>
        </w:rPr>
        <w:t> </w:t>
      </w:r>
      <w:r>
        <w:rPr/>
        <w:t>MA</w:t>
      </w:r>
      <w:r>
        <w:rPr>
          <w:spacing w:val="-9"/>
        </w:rPr>
        <w:t> </w:t>
      </w:r>
      <w:r>
        <w:rPr/>
        <w:t>penetration</w:t>
      </w:r>
      <w:r>
        <w:rPr>
          <w:spacing w:val="-13"/>
        </w:rPr>
        <w:t> </w:t>
      </w:r>
      <w:r>
        <w:rPr/>
        <w:t>rates should be the next jurisdictions to be faced with this problem. Outgoing MedPAC Director, Mark Miller, agreed this was an emerging problem for the Medicare Advantage program. During meetings, Mr. Miller stated that MedPAC staff were conducting research into the impact of MA enrollee majority jurisdictions and possible policy</w:t>
      </w:r>
      <w:r>
        <w:rPr>
          <w:spacing w:val="-10"/>
        </w:rPr>
        <w:t> </w:t>
      </w:r>
      <w:r>
        <w:rPr/>
        <w:t>remedies.</w:t>
      </w:r>
    </w:p>
    <w:p>
      <w:pPr>
        <w:pStyle w:val="BodyText"/>
      </w:pPr>
    </w:p>
    <w:p>
      <w:pPr>
        <w:pStyle w:val="Heading1"/>
        <w:numPr>
          <w:ilvl w:val="0"/>
          <w:numId w:val="1"/>
        </w:numPr>
        <w:tabs>
          <w:tab w:pos="840" w:val="left" w:leader="none"/>
          <w:tab w:pos="841" w:val="left" w:leader="none"/>
        </w:tabs>
        <w:spacing w:line="240" w:lineRule="auto" w:before="0" w:after="0"/>
        <w:ind w:left="840" w:right="118" w:hanging="720"/>
        <w:jc w:val="left"/>
      </w:pPr>
      <w:r>
        <w:rPr>
          <w:u w:val="thick"/>
        </w:rPr>
        <w:t>Based on Unreliable Data Currently Used to Compute the MA Benchmark, a Proxy Methodology Should be  a Substitute for Puerto Rico’s Ratemaking</w:t>
      </w:r>
      <w:r>
        <w:rPr>
          <w:spacing w:val="-22"/>
          <w:u w:val="thick"/>
        </w:rPr>
        <w:t> </w:t>
      </w:r>
      <w:r>
        <w:rPr>
          <w:u w:val="thick"/>
        </w:rPr>
        <w:t>Computation</w:t>
      </w:r>
    </w:p>
    <w:p>
      <w:pPr>
        <w:pStyle w:val="BodyText"/>
        <w:spacing w:before="2"/>
        <w:rPr>
          <w:b/>
          <w:sz w:val="16"/>
        </w:rPr>
      </w:pPr>
    </w:p>
    <w:p>
      <w:pPr>
        <w:pStyle w:val="Heading2"/>
        <w:ind w:left="840"/>
        <w:rPr>
          <w:i/>
        </w:rPr>
      </w:pPr>
      <w:r>
        <w:rPr>
          <w:i/>
        </w:rPr>
        <w:t>Use of an MA benchmark proxy will improve the health care system immediately.</w:t>
      </w:r>
    </w:p>
    <w:p>
      <w:pPr>
        <w:pStyle w:val="BodyText"/>
        <w:rPr>
          <w:b/>
          <w:i/>
        </w:rPr>
      </w:pPr>
    </w:p>
    <w:p>
      <w:pPr>
        <w:pStyle w:val="ListParagraph"/>
        <w:numPr>
          <w:ilvl w:val="1"/>
          <w:numId w:val="1"/>
        </w:numPr>
        <w:tabs>
          <w:tab w:pos="1561" w:val="left" w:leader="none"/>
        </w:tabs>
        <w:spacing w:line="240" w:lineRule="auto" w:before="0" w:after="0"/>
        <w:ind w:left="1560" w:right="119" w:hanging="360"/>
        <w:jc w:val="both"/>
        <w:rPr>
          <w:b/>
          <w:sz w:val="24"/>
        </w:rPr>
      </w:pPr>
      <w:r>
        <w:rPr>
          <w:b/>
          <w:sz w:val="24"/>
        </w:rPr>
        <w:t>Puerto Rico’s historically underfunded health care system has created a frayed infrastructure</w:t>
      </w:r>
      <w:r>
        <w:rPr>
          <w:b/>
          <w:spacing w:val="-15"/>
          <w:sz w:val="24"/>
        </w:rPr>
        <w:t> </w:t>
      </w:r>
      <w:r>
        <w:rPr>
          <w:b/>
          <w:sz w:val="24"/>
        </w:rPr>
        <w:t>which</w:t>
      </w:r>
      <w:r>
        <w:rPr>
          <w:b/>
          <w:spacing w:val="-14"/>
          <w:sz w:val="24"/>
        </w:rPr>
        <w:t> </w:t>
      </w:r>
      <w:r>
        <w:rPr>
          <w:b/>
          <w:sz w:val="24"/>
        </w:rPr>
        <w:t>necessitates</w:t>
      </w:r>
      <w:r>
        <w:rPr>
          <w:b/>
          <w:spacing w:val="-14"/>
          <w:sz w:val="24"/>
        </w:rPr>
        <w:t> </w:t>
      </w:r>
      <w:r>
        <w:rPr>
          <w:b/>
          <w:sz w:val="24"/>
        </w:rPr>
        <w:t>immediate</w:t>
      </w:r>
      <w:r>
        <w:rPr>
          <w:b/>
          <w:spacing w:val="-16"/>
          <w:sz w:val="24"/>
        </w:rPr>
        <w:t> </w:t>
      </w:r>
      <w:r>
        <w:rPr>
          <w:b/>
          <w:sz w:val="24"/>
        </w:rPr>
        <w:t>improvement</w:t>
      </w:r>
      <w:r>
        <w:rPr>
          <w:b/>
          <w:spacing w:val="-15"/>
          <w:sz w:val="24"/>
        </w:rPr>
        <w:t> </w:t>
      </w:r>
      <w:r>
        <w:rPr>
          <w:b/>
          <w:sz w:val="24"/>
        </w:rPr>
        <w:t>in</w:t>
      </w:r>
      <w:r>
        <w:rPr>
          <w:b/>
          <w:spacing w:val="-13"/>
          <w:sz w:val="24"/>
        </w:rPr>
        <w:t> </w:t>
      </w:r>
      <w:r>
        <w:rPr>
          <w:b/>
          <w:sz w:val="24"/>
        </w:rPr>
        <w:t>the</w:t>
      </w:r>
      <w:r>
        <w:rPr>
          <w:b/>
          <w:spacing w:val="-13"/>
          <w:sz w:val="24"/>
        </w:rPr>
        <w:t> </w:t>
      </w:r>
      <w:r>
        <w:rPr>
          <w:b/>
          <w:sz w:val="24"/>
        </w:rPr>
        <w:t>crisis</w:t>
      </w:r>
      <w:r>
        <w:rPr>
          <w:b/>
          <w:spacing w:val="-14"/>
          <w:sz w:val="24"/>
        </w:rPr>
        <w:t> </w:t>
      </w:r>
      <w:r>
        <w:rPr>
          <w:b/>
          <w:sz w:val="24"/>
        </w:rPr>
        <w:t>state</w:t>
      </w:r>
      <w:r>
        <w:rPr>
          <w:b/>
          <w:spacing w:val="-15"/>
          <w:sz w:val="24"/>
        </w:rPr>
        <w:t> </w:t>
      </w:r>
      <w:r>
        <w:rPr>
          <w:b/>
          <w:sz w:val="24"/>
        </w:rPr>
        <w:t>post Maria.</w:t>
      </w:r>
    </w:p>
    <w:p>
      <w:pPr>
        <w:pStyle w:val="BodyText"/>
        <w:spacing w:before="11"/>
        <w:rPr>
          <w:b/>
          <w:sz w:val="23"/>
        </w:rPr>
      </w:pPr>
    </w:p>
    <w:p>
      <w:pPr>
        <w:pStyle w:val="ListParagraph"/>
        <w:numPr>
          <w:ilvl w:val="2"/>
          <w:numId w:val="1"/>
        </w:numPr>
        <w:tabs>
          <w:tab w:pos="2281" w:val="left" w:leader="none"/>
        </w:tabs>
        <w:spacing w:line="240" w:lineRule="auto" w:before="0" w:after="0"/>
        <w:ind w:left="2280" w:right="0" w:hanging="307"/>
        <w:jc w:val="left"/>
        <w:rPr>
          <w:sz w:val="24"/>
        </w:rPr>
      </w:pPr>
      <w:r>
        <w:rPr>
          <w:sz w:val="24"/>
          <w:u w:val="single"/>
        </w:rPr>
        <w:t>Medicaid Funding is Arbitrarily Capped by</w:t>
      </w:r>
      <w:r>
        <w:rPr>
          <w:spacing w:val="-11"/>
          <w:sz w:val="24"/>
          <w:u w:val="single"/>
        </w:rPr>
        <w:t> </w:t>
      </w:r>
      <w:r>
        <w:rPr>
          <w:sz w:val="24"/>
          <w:u w:val="single"/>
        </w:rPr>
        <w:t>Statute</w:t>
      </w:r>
    </w:p>
    <w:p>
      <w:pPr>
        <w:pStyle w:val="BodyText"/>
        <w:spacing w:before="1"/>
        <w:rPr>
          <w:sz w:val="16"/>
        </w:rPr>
      </w:pPr>
    </w:p>
    <w:p>
      <w:pPr>
        <w:pStyle w:val="BodyText"/>
        <w:spacing w:line="235" w:lineRule="auto" w:before="95"/>
        <w:ind w:left="120" w:right="115" w:firstLine="719"/>
        <w:jc w:val="both"/>
      </w:pPr>
      <w:r>
        <w:rPr/>
        <w:t>Unlike Medicaid programs in the States, a statutory cap has been placed the federal contribution to the Medicaid program in Puerto Rico.</w:t>
      </w:r>
      <w:r>
        <w:rPr>
          <w:position w:val="9"/>
          <w:sz w:val="16"/>
        </w:rPr>
        <w:t>6 </w:t>
      </w:r>
      <w:r>
        <w:rPr/>
        <w:t>Congress further prescribed different Medicaid Federal medical assistance percentage (“FMAP”) rates for States and Territories. For States, the FMAP is determined on a per capita income basis,</w:t>
      </w:r>
      <w:r>
        <w:rPr>
          <w:b/>
          <w:i/>
          <w:position w:val="8"/>
          <w:sz w:val="16"/>
        </w:rPr>
        <w:t>7 </w:t>
      </w:r>
      <w:r>
        <w:rPr/>
        <w:t>while Congress established fixed FMAP</w:t>
      </w:r>
      <w:r>
        <w:rPr>
          <w:spacing w:val="-6"/>
        </w:rPr>
        <w:t> </w:t>
      </w:r>
      <w:r>
        <w:rPr/>
        <w:t>rates</w:t>
      </w:r>
      <w:r>
        <w:rPr>
          <w:spacing w:val="-7"/>
        </w:rPr>
        <w:t> </w:t>
      </w:r>
      <w:r>
        <w:rPr/>
        <w:t>of</w:t>
      </w:r>
      <w:r>
        <w:rPr>
          <w:spacing w:val="-7"/>
        </w:rPr>
        <w:t> </w:t>
      </w:r>
      <w:r>
        <w:rPr/>
        <w:t>55%</w:t>
      </w:r>
      <w:r>
        <w:rPr>
          <w:spacing w:val="-7"/>
        </w:rPr>
        <w:t> </w:t>
      </w:r>
      <w:r>
        <w:rPr/>
        <w:t>for</w:t>
      </w:r>
      <w:r>
        <w:rPr>
          <w:spacing w:val="-8"/>
        </w:rPr>
        <w:t> </w:t>
      </w:r>
      <w:r>
        <w:rPr/>
        <w:t>the</w:t>
      </w:r>
      <w:r>
        <w:rPr>
          <w:spacing w:val="-7"/>
        </w:rPr>
        <w:t> </w:t>
      </w:r>
      <w:r>
        <w:rPr/>
        <w:t>Territories.</w:t>
      </w:r>
      <w:r>
        <w:rPr>
          <w:b/>
          <w:i/>
          <w:position w:val="8"/>
          <w:sz w:val="16"/>
        </w:rPr>
        <w:t>8</w:t>
      </w:r>
      <w:r>
        <w:rPr>
          <w:b/>
          <w:i/>
          <w:spacing w:val="30"/>
          <w:position w:val="8"/>
          <w:sz w:val="16"/>
        </w:rPr>
        <w:t> </w:t>
      </w:r>
      <w:r>
        <w:rPr/>
        <w:t>Current</w:t>
      </w:r>
      <w:r>
        <w:rPr>
          <w:spacing w:val="-6"/>
        </w:rPr>
        <w:t> </w:t>
      </w:r>
      <w:r>
        <w:rPr/>
        <w:t>levels</w:t>
      </w:r>
      <w:r>
        <w:rPr>
          <w:spacing w:val="-6"/>
        </w:rPr>
        <w:t> </w:t>
      </w:r>
      <w:r>
        <w:rPr/>
        <w:t>of</w:t>
      </w:r>
      <w:r>
        <w:rPr>
          <w:spacing w:val="-7"/>
        </w:rPr>
        <w:t> </w:t>
      </w:r>
      <w:r>
        <w:rPr/>
        <w:t>funding</w:t>
      </w:r>
      <w:r>
        <w:rPr>
          <w:spacing w:val="-6"/>
        </w:rPr>
        <w:t> </w:t>
      </w:r>
      <w:r>
        <w:rPr/>
        <w:t>are</w:t>
      </w:r>
      <w:r>
        <w:rPr>
          <w:spacing w:val="-8"/>
        </w:rPr>
        <w:t> </w:t>
      </w:r>
      <w:r>
        <w:rPr/>
        <w:t>60%</w:t>
      </w:r>
      <w:r>
        <w:rPr>
          <w:spacing w:val="-7"/>
        </w:rPr>
        <w:t> </w:t>
      </w:r>
      <w:r>
        <w:rPr/>
        <w:t>below</w:t>
      </w:r>
      <w:r>
        <w:rPr>
          <w:spacing w:val="-6"/>
        </w:rPr>
        <w:t> </w:t>
      </w:r>
      <w:r>
        <w:rPr/>
        <w:t>the</w:t>
      </w:r>
      <w:r>
        <w:rPr>
          <w:spacing w:val="-7"/>
        </w:rPr>
        <w:t> </w:t>
      </w:r>
      <w:r>
        <w:rPr/>
        <w:t>average</w:t>
      </w:r>
      <w:r>
        <w:rPr>
          <w:spacing w:val="-7"/>
        </w:rPr>
        <w:t> </w:t>
      </w:r>
      <w:r>
        <w:rPr/>
        <w:t>in</w:t>
      </w:r>
      <w:r>
        <w:rPr>
          <w:spacing w:val="-6"/>
        </w:rPr>
        <w:t> </w:t>
      </w:r>
      <w:r>
        <w:rPr/>
        <w:t>the mainland. Puerto Rico is hopeful that current efforts in Congress will provide at least $1 billion stability through the currently proposed CHIP</w:t>
      </w:r>
      <w:r>
        <w:rPr>
          <w:spacing w:val="-11"/>
        </w:rPr>
        <w:t> </w:t>
      </w:r>
      <w:r>
        <w:rPr/>
        <w:t>bill.</w:t>
      </w:r>
    </w:p>
    <w:p>
      <w:pPr>
        <w:pStyle w:val="BodyText"/>
      </w:pPr>
    </w:p>
    <w:p>
      <w:pPr>
        <w:pStyle w:val="ListParagraph"/>
        <w:numPr>
          <w:ilvl w:val="2"/>
          <w:numId w:val="1"/>
        </w:numPr>
        <w:tabs>
          <w:tab w:pos="2281" w:val="left" w:leader="none"/>
        </w:tabs>
        <w:spacing w:line="240" w:lineRule="auto" w:before="1" w:after="0"/>
        <w:ind w:left="2280" w:right="121" w:hanging="374"/>
        <w:jc w:val="left"/>
        <w:rPr>
          <w:sz w:val="24"/>
        </w:rPr>
      </w:pPr>
      <w:r>
        <w:rPr>
          <w:sz w:val="24"/>
          <w:u w:val="single"/>
        </w:rPr>
        <w:t>Outmigration Leads to an Older, Sicker, and Poorer Population that Strains the</w:t>
      </w:r>
      <w:r>
        <w:rPr>
          <w:spacing w:val="-4"/>
          <w:sz w:val="24"/>
          <w:u w:val="single"/>
        </w:rPr>
        <w:t> </w:t>
      </w:r>
      <w:r>
        <w:rPr>
          <w:sz w:val="24"/>
          <w:u w:val="single"/>
        </w:rPr>
        <w:t>System</w:t>
      </w:r>
    </w:p>
    <w:p>
      <w:pPr>
        <w:pStyle w:val="BodyText"/>
        <w:spacing w:before="10"/>
        <w:rPr>
          <w:sz w:val="20"/>
        </w:rPr>
      </w:pPr>
    </w:p>
    <w:p>
      <w:pPr>
        <w:pStyle w:val="BodyText"/>
        <w:ind w:left="120" w:right="117" w:firstLine="719"/>
        <w:jc w:val="both"/>
      </w:pPr>
      <w:r>
        <w:rPr/>
        <w:t>Since</w:t>
      </w:r>
      <w:r>
        <w:rPr>
          <w:spacing w:val="-12"/>
        </w:rPr>
        <w:t> </w:t>
      </w:r>
      <w:r>
        <w:rPr/>
        <w:t>2011,</w:t>
      </w:r>
      <w:r>
        <w:rPr>
          <w:spacing w:val="-11"/>
        </w:rPr>
        <w:t> </w:t>
      </w:r>
      <w:r>
        <w:rPr/>
        <w:t>approximately</w:t>
      </w:r>
      <w:r>
        <w:rPr>
          <w:spacing w:val="-13"/>
        </w:rPr>
        <w:t> </w:t>
      </w:r>
      <w:r>
        <w:rPr/>
        <w:t>400,000</w:t>
      </w:r>
      <w:r>
        <w:rPr>
          <w:spacing w:val="-11"/>
        </w:rPr>
        <w:t> </w:t>
      </w:r>
      <w:r>
        <w:rPr/>
        <w:t>residents</w:t>
      </w:r>
      <w:r>
        <w:rPr>
          <w:spacing w:val="-10"/>
        </w:rPr>
        <w:t> </w:t>
      </w:r>
      <w:r>
        <w:rPr/>
        <w:t>of</w:t>
      </w:r>
      <w:r>
        <w:rPr>
          <w:spacing w:val="-12"/>
        </w:rPr>
        <w:t> </w:t>
      </w:r>
      <w:r>
        <w:rPr/>
        <w:t>Puerto</w:t>
      </w:r>
      <w:r>
        <w:rPr>
          <w:spacing w:val="-11"/>
        </w:rPr>
        <w:t> </w:t>
      </w:r>
      <w:r>
        <w:rPr/>
        <w:t>Rico</w:t>
      </w:r>
      <w:r>
        <w:rPr>
          <w:spacing w:val="-12"/>
        </w:rPr>
        <w:t> </w:t>
      </w:r>
      <w:r>
        <w:rPr/>
        <w:t>have</w:t>
      </w:r>
      <w:r>
        <w:rPr>
          <w:spacing w:val="-12"/>
        </w:rPr>
        <w:t> </w:t>
      </w:r>
      <w:r>
        <w:rPr/>
        <w:t>migrated</w:t>
      </w:r>
      <w:r>
        <w:rPr>
          <w:spacing w:val="-11"/>
        </w:rPr>
        <w:t> </w:t>
      </w:r>
      <w:r>
        <w:rPr/>
        <w:t>to</w:t>
      </w:r>
      <w:r>
        <w:rPr>
          <w:spacing w:val="-11"/>
        </w:rPr>
        <w:t> </w:t>
      </w:r>
      <w:r>
        <w:rPr/>
        <w:t>the</w:t>
      </w:r>
      <w:r>
        <w:rPr>
          <w:spacing w:val="-12"/>
        </w:rPr>
        <w:t> </w:t>
      </w:r>
      <w:r>
        <w:rPr/>
        <w:t>States.</w:t>
      </w:r>
      <w:r>
        <w:rPr>
          <w:spacing w:val="-10"/>
        </w:rPr>
        <w:t> </w:t>
      </w:r>
      <w:r>
        <w:rPr/>
        <w:t>The population of Puerto Rico declined by 7.3% between 2004 and 2014, the first sustained decline in population in approximately 500 years. The younger population groups make up the majority of migration,</w:t>
      </w:r>
      <w:r>
        <w:rPr>
          <w:spacing w:val="-4"/>
        </w:rPr>
        <w:t> </w:t>
      </w:r>
      <w:r>
        <w:rPr/>
        <w:t>leading</w:t>
      </w:r>
      <w:r>
        <w:rPr>
          <w:spacing w:val="-6"/>
        </w:rPr>
        <w:t> </w:t>
      </w:r>
      <w:r>
        <w:rPr/>
        <w:t>to</w:t>
      </w:r>
      <w:r>
        <w:rPr>
          <w:spacing w:val="-3"/>
        </w:rPr>
        <w:t> </w:t>
      </w:r>
      <w:r>
        <w:rPr/>
        <w:t>the</w:t>
      </w:r>
      <w:r>
        <w:rPr>
          <w:spacing w:val="-1"/>
        </w:rPr>
        <w:t> </w:t>
      </w:r>
      <w:r>
        <w:rPr/>
        <w:t>median</w:t>
      </w:r>
      <w:r>
        <w:rPr>
          <w:spacing w:val="-4"/>
        </w:rPr>
        <w:t> </w:t>
      </w:r>
      <w:r>
        <w:rPr/>
        <w:t>age</w:t>
      </w:r>
      <w:r>
        <w:rPr>
          <w:spacing w:val="-5"/>
        </w:rPr>
        <w:t> </w:t>
      </w:r>
      <w:r>
        <w:rPr/>
        <w:t>of</w:t>
      </w:r>
      <w:r>
        <w:rPr>
          <w:spacing w:val="-2"/>
        </w:rPr>
        <w:t> </w:t>
      </w:r>
      <w:r>
        <w:rPr/>
        <w:t>Puerto</w:t>
      </w:r>
      <w:r>
        <w:rPr>
          <w:spacing w:val="-4"/>
        </w:rPr>
        <w:t> </w:t>
      </w:r>
      <w:r>
        <w:rPr/>
        <w:t>Rico</w:t>
      </w:r>
      <w:r>
        <w:rPr>
          <w:spacing w:val="-4"/>
        </w:rPr>
        <w:t> </w:t>
      </w:r>
      <w:r>
        <w:rPr/>
        <w:t>residents</w:t>
      </w:r>
      <w:r>
        <w:rPr>
          <w:spacing w:val="-3"/>
        </w:rPr>
        <w:t> </w:t>
      </w:r>
      <w:r>
        <w:rPr/>
        <w:t>surpassing</w:t>
      </w:r>
      <w:r>
        <w:rPr>
          <w:spacing w:val="-6"/>
        </w:rPr>
        <w:t> </w:t>
      </w:r>
      <w:r>
        <w:rPr/>
        <w:t>the</w:t>
      </w:r>
      <w:r>
        <w:rPr>
          <w:spacing w:val="-2"/>
        </w:rPr>
        <w:t> </w:t>
      </w:r>
      <w:r>
        <w:rPr/>
        <w:t>median</w:t>
      </w:r>
      <w:r>
        <w:rPr>
          <w:spacing w:val="-4"/>
        </w:rPr>
        <w:t> </w:t>
      </w:r>
      <w:r>
        <w:rPr/>
        <w:t>age</w:t>
      </w:r>
      <w:r>
        <w:rPr>
          <w:spacing w:val="-5"/>
        </w:rPr>
        <w:t> </w:t>
      </w:r>
      <w:r>
        <w:rPr/>
        <w:t>of</w:t>
      </w:r>
      <w:r>
        <w:rPr>
          <w:spacing w:val="-5"/>
        </w:rPr>
        <w:t> </w:t>
      </w:r>
      <w:r>
        <w:rPr/>
        <w:t>the</w:t>
      </w:r>
      <w:r>
        <w:rPr>
          <w:spacing w:val="-4"/>
        </w:rPr>
        <w:t> </w:t>
      </w:r>
      <w:r>
        <w:rPr/>
        <w:t>U.S. average</w:t>
      </w:r>
      <w:r>
        <w:rPr>
          <w:spacing w:val="-7"/>
        </w:rPr>
        <w:t> </w:t>
      </w:r>
      <w:r>
        <w:rPr/>
        <w:t>for</w:t>
      </w:r>
      <w:r>
        <w:rPr>
          <w:spacing w:val="-7"/>
        </w:rPr>
        <w:t> </w:t>
      </w:r>
      <w:r>
        <w:rPr/>
        <w:t>the</w:t>
      </w:r>
      <w:r>
        <w:rPr>
          <w:spacing w:val="-4"/>
        </w:rPr>
        <w:t> </w:t>
      </w:r>
      <w:r>
        <w:rPr/>
        <w:t>first</w:t>
      </w:r>
      <w:r>
        <w:rPr>
          <w:spacing w:val="-6"/>
        </w:rPr>
        <w:t> </w:t>
      </w:r>
      <w:r>
        <w:rPr/>
        <w:t>time.</w:t>
      </w:r>
      <w:r>
        <w:rPr>
          <w:spacing w:val="47"/>
        </w:rPr>
        <w:t> </w:t>
      </w:r>
      <w:r>
        <w:rPr/>
        <w:t>The</w:t>
      </w:r>
      <w:r>
        <w:rPr>
          <w:spacing w:val="-7"/>
        </w:rPr>
        <w:t> </w:t>
      </w:r>
      <w:r>
        <w:rPr/>
        <w:t>population</w:t>
      </w:r>
      <w:r>
        <w:rPr>
          <w:spacing w:val="-6"/>
        </w:rPr>
        <w:t> </w:t>
      </w:r>
      <w:r>
        <w:rPr/>
        <w:t>over</w:t>
      </w:r>
      <w:r>
        <w:rPr>
          <w:spacing w:val="-7"/>
        </w:rPr>
        <w:t> </w:t>
      </w:r>
      <w:r>
        <w:rPr/>
        <w:t>65</w:t>
      </w:r>
      <w:r>
        <w:rPr>
          <w:spacing w:val="-6"/>
        </w:rPr>
        <w:t> </w:t>
      </w:r>
      <w:r>
        <w:rPr/>
        <w:t>years</w:t>
      </w:r>
      <w:r>
        <w:rPr>
          <w:spacing w:val="-7"/>
        </w:rPr>
        <w:t> </w:t>
      </w:r>
      <w:r>
        <w:rPr/>
        <w:t>of</w:t>
      </w:r>
      <w:r>
        <w:rPr>
          <w:spacing w:val="-7"/>
        </w:rPr>
        <w:t> </w:t>
      </w:r>
      <w:r>
        <w:rPr/>
        <w:t>age</w:t>
      </w:r>
      <w:r>
        <w:rPr>
          <w:spacing w:val="-7"/>
        </w:rPr>
        <w:t> </w:t>
      </w:r>
      <w:r>
        <w:rPr/>
        <w:t>has</w:t>
      </w:r>
      <w:r>
        <w:rPr>
          <w:spacing w:val="-6"/>
        </w:rPr>
        <w:t> </w:t>
      </w:r>
      <w:r>
        <w:rPr/>
        <w:t>the</w:t>
      </w:r>
      <w:r>
        <w:rPr>
          <w:spacing w:val="-7"/>
        </w:rPr>
        <w:t> </w:t>
      </w:r>
      <w:r>
        <w:rPr/>
        <w:t>lowest</w:t>
      </w:r>
      <w:r>
        <w:rPr>
          <w:spacing w:val="-6"/>
        </w:rPr>
        <w:t> </w:t>
      </w:r>
      <w:r>
        <w:rPr/>
        <w:t>rate</w:t>
      </w:r>
      <w:r>
        <w:rPr>
          <w:spacing w:val="-7"/>
        </w:rPr>
        <w:t> </w:t>
      </w:r>
      <w:r>
        <w:rPr/>
        <w:t>of</w:t>
      </w:r>
      <w:r>
        <w:rPr>
          <w:spacing w:val="-7"/>
        </w:rPr>
        <w:t> </w:t>
      </w:r>
      <w:r>
        <w:rPr/>
        <w:t>migration</w:t>
      </w:r>
      <w:r>
        <w:rPr>
          <w:spacing w:val="-6"/>
        </w:rPr>
        <w:t> </w:t>
      </w:r>
      <w:r>
        <w:rPr/>
        <w:t>from Puerto Rico over the last ten years. However, if only 10% of the migrants since 2011 were around 65</w:t>
      </w:r>
      <w:r>
        <w:rPr>
          <w:spacing w:val="-7"/>
        </w:rPr>
        <w:t> </w:t>
      </w:r>
      <w:r>
        <w:rPr/>
        <w:t>years</w:t>
      </w:r>
      <w:r>
        <w:rPr>
          <w:spacing w:val="-10"/>
        </w:rPr>
        <w:t> </w:t>
      </w:r>
      <w:r>
        <w:rPr/>
        <w:t>old,</w:t>
      </w:r>
      <w:r>
        <w:rPr>
          <w:spacing w:val="-9"/>
        </w:rPr>
        <w:t> </w:t>
      </w:r>
      <w:r>
        <w:rPr/>
        <w:t>the</w:t>
      </w:r>
      <w:r>
        <w:rPr>
          <w:spacing w:val="-10"/>
        </w:rPr>
        <w:t> </w:t>
      </w:r>
      <w:r>
        <w:rPr/>
        <w:t>amount</w:t>
      </w:r>
      <w:r>
        <w:rPr>
          <w:spacing w:val="-7"/>
        </w:rPr>
        <w:t> </w:t>
      </w:r>
      <w:r>
        <w:rPr/>
        <w:t>of</w:t>
      </w:r>
      <w:r>
        <w:rPr>
          <w:spacing w:val="-10"/>
        </w:rPr>
        <w:t> </w:t>
      </w:r>
      <w:r>
        <w:rPr/>
        <w:t>incremental</w:t>
      </w:r>
      <w:r>
        <w:rPr>
          <w:spacing w:val="-9"/>
        </w:rPr>
        <w:t> </w:t>
      </w:r>
      <w:r>
        <w:rPr/>
        <w:t>Medicare</w:t>
      </w:r>
      <w:r>
        <w:rPr>
          <w:spacing w:val="-8"/>
        </w:rPr>
        <w:t> </w:t>
      </w:r>
      <w:r>
        <w:rPr/>
        <w:t>beneficiaries</w:t>
      </w:r>
      <w:r>
        <w:rPr>
          <w:spacing w:val="-9"/>
        </w:rPr>
        <w:t> </w:t>
      </w:r>
      <w:r>
        <w:rPr/>
        <w:t>in</w:t>
      </w:r>
      <w:r>
        <w:rPr>
          <w:spacing w:val="-7"/>
        </w:rPr>
        <w:t> </w:t>
      </w:r>
      <w:r>
        <w:rPr/>
        <w:t>states</w:t>
      </w:r>
      <w:r>
        <w:rPr>
          <w:spacing w:val="-9"/>
        </w:rPr>
        <w:t> </w:t>
      </w:r>
      <w:r>
        <w:rPr/>
        <w:t>resulting</w:t>
      </w:r>
      <w:r>
        <w:rPr>
          <w:spacing w:val="-12"/>
        </w:rPr>
        <w:t> </w:t>
      </w:r>
      <w:r>
        <w:rPr/>
        <w:t>from</w:t>
      </w:r>
      <w:r>
        <w:rPr>
          <w:spacing w:val="-9"/>
        </w:rPr>
        <w:t> </w:t>
      </w:r>
      <w:r>
        <w:rPr/>
        <w:t>Puerto</w:t>
      </w:r>
      <w:r>
        <w:rPr>
          <w:spacing w:val="-10"/>
        </w:rPr>
        <w:t> </w:t>
      </w:r>
      <w:r>
        <w:rPr/>
        <w:t>Rican migration  is  certainly  significant.    The  recent  natural  disaster,  coupled  with  the</w:t>
      </w:r>
      <w:r>
        <w:rPr>
          <w:spacing w:val="12"/>
        </w:rPr>
        <w:t> </w:t>
      </w:r>
      <w:r>
        <w:rPr/>
        <w:t>deteriorating</w:t>
      </w:r>
    </w:p>
    <w:p>
      <w:pPr>
        <w:pStyle w:val="BodyText"/>
        <w:spacing w:before="4"/>
        <w:rPr>
          <w:sz w:val="14"/>
        </w:rPr>
      </w:pPr>
      <w:r>
        <w:rPr/>
        <w:pict>
          <v:line style="position:absolute;mso-position-horizontal-relative:page;mso-position-vertical-relative:paragraph;z-index:1144;mso-wrap-distance-left:0;mso-wrap-distance-right:0" from="72.024002pt,10.540264pt" to="216.044002pt,10.540264pt" stroked="true" strokeweight=".599980pt" strokecolor="#000000">
            <v:stroke dashstyle="solid"/>
            <w10:wrap type="topAndBottom"/>
          </v:line>
        </w:pict>
      </w:r>
    </w:p>
    <w:p>
      <w:pPr>
        <w:pStyle w:val="BodyText"/>
        <w:spacing w:before="9"/>
        <w:rPr>
          <w:sz w:val="18"/>
        </w:rPr>
      </w:pPr>
    </w:p>
    <w:p>
      <w:pPr>
        <w:spacing w:line="233" w:lineRule="exact" w:before="94"/>
        <w:ind w:left="120" w:right="0" w:firstLine="0"/>
        <w:jc w:val="left"/>
        <w:rPr>
          <w:sz w:val="20"/>
        </w:rPr>
      </w:pPr>
      <w:r>
        <w:rPr>
          <w:position w:val="7"/>
          <w:sz w:val="13"/>
        </w:rPr>
        <w:t>6 </w:t>
      </w:r>
      <w:r>
        <w:rPr>
          <w:sz w:val="20"/>
        </w:rPr>
        <w:t>See Social Security Act § 1108.</w:t>
      </w:r>
    </w:p>
    <w:p>
      <w:pPr>
        <w:spacing w:line="230" w:lineRule="exact" w:before="0"/>
        <w:ind w:left="120" w:right="0" w:firstLine="0"/>
        <w:jc w:val="left"/>
        <w:rPr>
          <w:sz w:val="20"/>
        </w:rPr>
      </w:pPr>
      <w:r>
        <w:rPr>
          <w:position w:val="7"/>
          <w:sz w:val="13"/>
        </w:rPr>
        <w:t>7 </w:t>
      </w:r>
      <w:r>
        <w:rPr>
          <w:sz w:val="20"/>
        </w:rPr>
        <w:t>S.S.A. § 1903(a)(1).</w:t>
      </w:r>
    </w:p>
    <w:p>
      <w:pPr>
        <w:spacing w:line="233" w:lineRule="exact" w:before="0"/>
        <w:ind w:left="120" w:right="0" w:firstLine="0"/>
        <w:jc w:val="left"/>
        <w:rPr>
          <w:sz w:val="20"/>
        </w:rPr>
      </w:pPr>
      <w:r>
        <w:rPr>
          <w:position w:val="7"/>
          <w:sz w:val="13"/>
        </w:rPr>
        <w:t>8 </w:t>
      </w:r>
      <w:r>
        <w:rPr>
          <w:i/>
          <w:sz w:val="20"/>
        </w:rPr>
        <w:t>Id</w:t>
      </w:r>
      <w:r>
        <w:rPr>
          <w:sz w:val="20"/>
        </w:rPr>
        <w:t>. § 1905(b), </w:t>
      </w:r>
      <w:r>
        <w:rPr>
          <w:i/>
          <w:sz w:val="20"/>
        </w:rPr>
        <w:t>as amended by </w:t>
      </w:r>
      <w:r>
        <w:rPr>
          <w:sz w:val="20"/>
        </w:rPr>
        <w:t>A.C.A. § 2005(c).</w:t>
      </w:r>
    </w:p>
    <w:p>
      <w:pPr>
        <w:spacing w:after="0" w:line="233" w:lineRule="exact"/>
        <w:jc w:val="left"/>
        <w:rPr>
          <w:sz w:val="20"/>
        </w:rPr>
        <w:sectPr>
          <w:pgSz w:w="12240" w:h="15840"/>
          <w:pgMar w:header="0" w:footer="1092" w:top="1360" w:bottom="1280" w:left="1320" w:right="1140"/>
        </w:sectPr>
      </w:pPr>
    </w:p>
    <w:p>
      <w:pPr>
        <w:pStyle w:val="BodyText"/>
        <w:spacing w:before="79"/>
        <w:ind w:left="120"/>
      </w:pPr>
      <w:r>
        <w:rPr/>
        <w:t>economic situation, has been the basis for experts to estimate an exodus even larger than the one since 2011.</w:t>
      </w:r>
    </w:p>
    <w:p>
      <w:pPr>
        <w:pStyle w:val="BodyText"/>
        <w:spacing w:before="2"/>
      </w:pPr>
    </w:p>
    <w:p>
      <w:pPr>
        <w:pStyle w:val="BodyText"/>
        <w:spacing w:line="276" w:lineRule="exact"/>
        <w:ind w:left="120" w:right="117" w:firstLine="719"/>
        <w:jc w:val="both"/>
      </w:pPr>
      <w:r>
        <w:rPr/>
        <w:t>The</w:t>
      </w:r>
      <w:r>
        <w:rPr>
          <w:spacing w:val="-5"/>
        </w:rPr>
        <w:t> </w:t>
      </w:r>
      <w:r>
        <w:rPr/>
        <w:t>historical</w:t>
      </w:r>
      <w:r>
        <w:rPr>
          <w:spacing w:val="-3"/>
        </w:rPr>
        <w:t> </w:t>
      </w:r>
      <w:r>
        <w:rPr/>
        <w:t>underfunding</w:t>
      </w:r>
      <w:r>
        <w:rPr>
          <w:spacing w:val="-6"/>
        </w:rPr>
        <w:t> </w:t>
      </w:r>
      <w:r>
        <w:rPr/>
        <w:t>of</w:t>
      </w:r>
      <w:r>
        <w:rPr>
          <w:spacing w:val="-5"/>
        </w:rPr>
        <w:t> </w:t>
      </w:r>
      <w:r>
        <w:rPr/>
        <w:t>health</w:t>
      </w:r>
      <w:r>
        <w:rPr>
          <w:spacing w:val="-4"/>
        </w:rPr>
        <w:t> </w:t>
      </w:r>
      <w:r>
        <w:rPr/>
        <w:t>care</w:t>
      </w:r>
      <w:r>
        <w:rPr>
          <w:spacing w:val="-6"/>
        </w:rPr>
        <w:t> </w:t>
      </w:r>
      <w:r>
        <w:rPr/>
        <w:t>in</w:t>
      </w:r>
      <w:r>
        <w:rPr>
          <w:spacing w:val="-3"/>
        </w:rPr>
        <w:t> </w:t>
      </w:r>
      <w:r>
        <w:rPr/>
        <w:t>Puerto</w:t>
      </w:r>
      <w:r>
        <w:rPr>
          <w:spacing w:val="-4"/>
        </w:rPr>
        <w:t> </w:t>
      </w:r>
      <w:r>
        <w:rPr/>
        <w:t>Rico</w:t>
      </w:r>
      <w:r>
        <w:rPr>
          <w:spacing w:val="-4"/>
        </w:rPr>
        <w:t> </w:t>
      </w:r>
      <w:r>
        <w:rPr/>
        <w:t>is</w:t>
      </w:r>
      <w:r>
        <w:rPr>
          <w:spacing w:val="-6"/>
        </w:rPr>
        <w:t> </w:t>
      </w:r>
      <w:r>
        <w:rPr/>
        <w:t>a</w:t>
      </w:r>
      <w:r>
        <w:rPr>
          <w:spacing w:val="-5"/>
        </w:rPr>
        <w:t> </w:t>
      </w:r>
      <w:r>
        <w:rPr/>
        <w:t>contributing</w:t>
      </w:r>
      <w:r>
        <w:rPr>
          <w:spacing w:val="-6"/>
        </w:rPr>
        <w:t> </w:t>
      </w:r>
      <w:r>
        <w:rPr/>
        <w:t>factor</w:t>
      </w:r>
      <w:r>
        <w:rPr>
          <w:spacing w:val="-4"/>
        </w:rPr>
        <w:t> </w:t>
      </w:r>
      <w:r>
        <w:rPr/>
        <w:t>to</w:t>
      </w:r>
      <w:r>
        <w:rPr>
          <w:spacing w:val="-3"/>
        </w:rPr>
        <w:t> </w:t>
      </w:r>
      <w:r>
        <w:rPr/>
        <w:t>the</w:t>
      </w:r>
      <w:r>
        <w:rPr>
          <w:spacing w:val="-4"/>
        </w:rPr>
        <w:t> </w:t>
      </w:r>
      <w:r>
        <w:rPr/>
        <w:t>mass migration of residents to the continental United States. The migrating residents include doctors, nurses, and other medical personnel, seeking better salaries and reimbursement for their services, given the significant funding cuts in MA seen thru the ACA. It has been estimated that 310 doctors migrate</w:t>
      </w:r>
      <w:r>
        <w:rPr>
          <w:spacing w:val="-7"/>
        </w:rPr>
        <w:t> </w:t>
      </w:r>
      <w:r>
        <w:rPr/>
        <w:t>from</w:t>
      </w:r>
      <w:r>
        <w:rPr>
          <w:spacing w:val="-8"/>
        </w:rPr>
        <w:t> </w:t>
      </w:r>
      <w:r>
        <w:rPr/>
        <w:t>Puerto</w:t>
      </w:r>
      <w:r>
        <w:rPr>
          <w:spacing w:val="-9"/>
        </w:rPr>
        <w:t> </w:t>
      </w:r>
      <w:r>
        <w:rPr/>
        <w:t>Rico</w:t>
      </w:r>
      <w:r>
        <w:rPr>
          <w:spacing w:val="-9"/>
        </w:rPr>
        <w:t> </w:t>
      </w:r>
      <w:r>
        <w:rPr/>
        <w:t>to</w:t>
      </w:r>
      <w:r>
        <w:rPr>
          <w:spacing w:val="-8"/>
        </w:rPr>
        <w:t> </w:t>
      </w:r>
      <w:r>
        <w:rPr/>
        <w:t>the</w:t>
      </w:r>
      <w:r>
        <w:rPr>
          <w:spacing w:val="-9"/>
        </w:rPr>
        <w:t> </w:t>
      </w:r>
      <w:r>
        <w:rPr/>
        <w:t>States</w:t>
      </w:r>
      <w:r>
        <w:rPr>
          <w:spacing w:val="-8"/>
        </w:rPr>
        <w:t> </w:t>
      </w:r>
      <w:r>
        <w:rPr/>
        <w:t>every</w:t>
      </w:r>
      <w:r>
        <w:rPr>
          <w:spacing w:val="-9"/>
        </w:rPr>
        <w:t> </w:t>
      </w:r>
      <w:r>
        <w:rPr/>
        <w:t>year,</w:t>
      </w:r>
      <w:r>
        <w:rPr>
          <w:spacing w:val="-7"/>
        </w:rPr>
        <w:t> </w:t>
      </w:r>
      <w:r>
        <w:rPr/>
        <w:t>nearly</w:t>
      </w:r>
      <w:r>
        <w:rPr>
          <w:spacing w:val="-13"/>
        </w:rPr>
        <w:t> </w:t>
      </w:r>
      <w:r>
        <w:rPr/>
        <w:t>one</w:t>
      </w:r>
      <w:r>
        <w:rPr>
          <w:spacing w:val="-10"/>
        </w:rPr>
        <w:t> </w:t>
      </w:r>
      <w:r>
        <w:rPr/>
        <w:t>each</w:t>
      </w:r>
      <w:r>
        <w:rPr>
          <w:spacing w:val="-9"/>
        </w:rPr>
        <w:t> </w:t>
      </w:r>
      <w:r>
        <w:rPr/>
        <w:t>day,</w:t>
      </w:r>
      <w:r>
        <w:rPr>
          <w:spacing w:val="-9"/>
        </w:rPr>
        <w:t> </w:t>
      </w:r>
      <w:r>
        <w:rPr/>
        <w:t>leaving</w:t>
      </w:r>
      <w:r>
        <w:rPr>
          <w:spacing w:val="-11"/>
        </w:rPr>
        <w:t> </w:t>
      </w:r>
      <w:r>
        <w:rPr/>
        <w:t>fewer</w:t>
      </w:r>
      <w:r>
        <w:rPr>
          <w:spacing w:val="-9"/>
        </w:rPr>
        <w:t> </w:t>
      </w:r>
      <w:r>
        <w:rPr/>
        <w:t>to</w:t>
      </w:r>
      <w:r>
        <w:rPr>
          <w:spacing w:val="-8"/>
        </w:rPr>
        <w:t> </w:t>
      </w:r>
      <w:r>
        <w:rPr/>
        <w:t>treat</w:t>
      </w:r>
      <w:r>
        <w:rPr>
          <w:spacing w:val="-8"/>
        </w:rPr>
        <w:t> </w:t>
      </w:r>
      <w:r>
        <w:rPr/>
        <w:t>a</w:t>
      </w:r>
      <w:r>
        <w:rPr>
          <w:spacing w:val="-10"/>
        </w:rPr>
        <w:t> </w:t>
      </w:r>
      <w:r>
        <w:rPr/>
        <w:t>more complex patient base</w:t>
      </w:r>
      <w:r>
        <w:rPr>
          <w:position w:val="9"/>
          <w:sz w:val="16"/>
        </w:rPr>
        <w:t>9 </w:t>
      </w:r>
      <w:r>
        <w:rPr/>
        <w:t>- the prevalence of chronic conditions among adults over 65 in Puerto Rico is higher than the U.S. average.</w:t>
      </w:r>
      <w:r>
        <w:rPr>
          <w:position w:val="9"/>
          <w:sz w:val="16"/>
        </w:rPr>
        <w:t>10 </w:t>
      </w:r>
      <w:r>
        <w:rPr/>
        <w:t>The median household income in Puerto Rico is by far the lowest of any U.S. jurisdiction, while the unemployment rate is the</w:t>
      </w:r>
      <w:r>
        <w:rPr>
          <w:spacing w:val="-14"/>
        </w:rPr>
        <w:t> </w:t>
      </w:r>
      <w:r>
        <w:rPr/>
        <w:t>highest.</w:t>
      </w:r>
    </w:p>
    <w:p>
      <w:pPr>
        <w:pStyle w:val="BodyText"/>
        <w:rPr>
          <w:sz w:val="26"/>
        </w:rPr>
      </w:pPr>
    </w:p>
    <w:p>
      <w:pPr>
        <w:pStyle w:val="BodyText"/>
        <w:spacing w:before="8"/>
        <w:rPr>
          <w:sz w:val="21"/>
        </w:rPr>
      </w:pPr>
    </w:p>
    <w:p>
      <w:pPr>
        <w:pStyle w:val="Heading1"/>
        <w:numPr>
          <w:ilvl w:val="1"/>
          <w:numId w:val="1"/>
        </w:numPr>
        <w:tabs>
          <w:tab w:pos="1561" w:val="left" w:leader="none"/>
        </w:tabs>
        <w:spacing w:line="240" w:lineRule="auto" w:before="0" w:after="0"/>
        <w:ind w:left="1560" w:right="118" w:hanging="360"/>
        <w:jc w:val="both"/>
      </w:pPr>
      <w:r>
        <w:rPr/>
        <w:t>Recent legislation has fatally hurt the MA system, and undermined its capacity to generate the change needed to keep beneficiaries and professionals on the island.</w:t>
      </w:r>
    </w:p>
    <w:p>
      <w:pPr>
        <w:pStyle w:val="BodyText"/>
        <w:rPr>
          <w:b/>
          <w:sz w:val="21"/>
        </w:rPr>
      </w:pPr>
    </w:p>
    <w:p>
      <w:pPr>
        <w:pStyle w:val="BodyText"/>
        <w:spacing w:line="237" w:lineRule="auto"/>
        <w:ind w:left="120" w:right="114" w:firstLine="719"/>
        <w:jc w:val="both"/>
      </w:pPr>
      <w:r>
        <w:rPr/>
        <w:t>MA</w:t>
      </w:r>
      <w:r>
        <w:rPr>
          <w:spacing w:val="-3"/>
        </w:rPr>
        <w:t> </w:t>
      </w:r>
      <w:r>
        <w:rPr/>
        <w:t>remains</w:t>
      </w:r>
      <w:r>
        <w:rPr>
          <w:spacing w:val="-3"/>
        </w:rPr>
        <w:t> </w:t>
      </w:r>
      <w:r>
        <w:rPr/>
        <w:t>the</w:t>
      </w:r>
      <w:r>
        <w:rPr>
          <w:spacing w:val="-4"/>
        </w:rPr>
        <w:t> </w:t>
      </w:r>
      <w:r>
        <w:rPr/>
        <w:t>largest</w:t>
      </w:r>
      <w:r>
        <w:rPr>
          <w:spacing w:val="-2"/>
        </w:rPr>
        <w:t> </w:t>
      </w:r>
      <w:r>
        <w:rPr/>
        <w:t>source</w:t>
      </w:r>
      <w:r>
        <w:rPr>
          <w:spacing w:val="-4"/>
        </w:rPr>
        <w:t> </w:t>
      </w:r>
      <w:r>
        <w:rPr/>
        <w:t>of</w:t>
      </w:r>
      <w:r>
        <w:rPr>
          <w:spacing w:val="-4"/>
        </w:rPr>
        <w:t> </w:t>
      </w:r>
      <w:r>
        <w:rPr/>
        <w:t>federal</w:t>
      </w:r>
      <w:r>
        <w:rPr>
          <w:spacing w:val="-2"/>
        </w:rPr>
        <w:t> </w:t>
      </w:r>
      <w:r>
        <w:rPr/>
        <w:t>health</w:t>
      </w:r>
      <w:r>
        <w:rPr>
          <w:spacing w:val="-3"/>
        </w:rPr>
        <w:t> </w:t>
      </w:r>
      <w:r>
        <w:rPr/>
        <w:t>care</w:t>
      </w:r>
      <w:r>
        <w:rPr>
          <w:spacing w:val="-5"/>
        </w:rPr>
        <w:t> </w:t>
      </w:r>
      <w:r>
        <w:rPr/>
        <w:t>funding</w:t>
      </w:r>
      <w:r>
        <w:rPr>
          <w:spacing w:val="-3"/>
        </w:rPr>
        <w:t> </w:t>
      </w:r>
      <w:r>
        <w:rPr/>
        <w:t>in</w:t>
      </w:r>
      <w:r>
        <w:rPr>
          <w:spacing w:val="-2"/>
        </w:rPr>
        <w:t> </w:t>
      </w:r>
      <w:r>
        <w:rPr/>
        <w:t>Puerto</w:t>
      </w:r>
      <w:r>
        <w:rPr>
          <w:spacing w:val="-3"/>
        </w:rPr>
        <w:t> </w:t>
      </w:r>
      <w:r>
        <w:rPr/>
        <w:t>Rico</w:t>
      </w:r>
      <w:r>
        <w:rPr>
          <w:spacing w:val="-1"/>
        </w:rPr>
        <w:t> </w:t>
      </w:r>
      <w:r>
        <w:rPr/>
        <w:t>and</w:t>
      </w:r>
      <w:r>
        <w:rPr>
          <w:spacing w:val="-3"/>
        </w:rPr>
        <w:t> </w:t>
      </w:r>
      <w:r>
        <w:rPr/>
        <w:t>is</w:t>
      </w:r>
      <w:r>
        <w:rPr>
          <w:spacing w:val="-2"/>
        </w:rPr>
        <w:t> </w:t>
      </w:r>
      <w:r>
        <w:rPr/>
        <w:t>therefore the foundation of its health care system. MA plans account for 46% of all funding to the Puerto Rico health care system.</w:t>
      </w:r>
      <w:r>
        <w:rPr>
          <w:position w:val="9"/>
          <w:sz w:val="16"/>
        </w:rPr>
        <w:t>11 </w:t>
      </w:r>
      <w:r>
        <w:rPr/>
        <w:t>In contrast, Medicaid funds 25%, commercial insurance funds 23%, and Medicare FFS funds 6%. Puerto Rico is a unique jurisdiction in overwhelmingly embracing MA early, with the nation’s eighth largest enrolled MA population</w:t>
      </w:r>
      <w:r>
        <w:rPr>
          <w:position w:val="9"/>
          <w:sz w:val="16"/>
        </w:rPr>
        <w:t>12 </w:t>
      </w:r>
      <w:r>
        <w:rPr/>
        <w:t>and an MA penetration rate of</w:t>
      </w:r>
      <w:r>
        <w:rPr>
          <w:spacing w:val="-22"/>
        </w:rPr>
        <w:t> </w:t>
      </w:r>
      <w:r>
        <w:rPr/>
        <w:t>90% among the Medicare eligible (with Parts A &amp; B), the highest penetration in the United States. Unfortunately, the capacity of the MA program suffered significant setbacks due to the ACA cuts. Puerto</w:t>
      </w:r>
      <w:r>
        <w:rPr>
          <w:spacing w:val="-4"/>
        </w:rPr>
        <w:t> </w:t>
      </w:r>
      <w:r>
        <w:rPr/>
        <w:t>Rico</w:t>
      </w:r>
      <w:r>
        <w:rPr>
          <w:spacing w:val="-4"/>
        </w:rPr>
        <w:t> </w:t>
      </w:r>
      <w:r>
        <w:rPr/>
        <w:t>MA</w:t>
      </w:r>
      <w:r>
        <w:rPr>
          <w:spacing w:val="-4"/>
        </w:rPr>
        <w:t> </w:t>
      </w:r>
      <w:r>
        <w:rPr/>
        <w:t>benchmarks</w:t>
      </w:r>
      <w:r>
        <w:rPr>
          <w:spacing w:val="-4"/>
        </w:rPr>
        <w:t> </w:t>
      </w:r>
      <w:r>
        <w:rPr/>
        <w:t>were</w:t>
      </w:r>
      <w:r>
        <w:rPr>
          <w:spacing w:val="-5"/>
        </w:rPr>
        <w:t> </w:t>
      </w:r>
      <w:r>
        <w:rPr/>
        <w:t>24%</w:t>
      </w:r>
      <w:r>
        <w:rPr>
          <w:spacing w:val="-5"/>
        </w:rPr>
        <w:t> </w:t>
      </w:r>
      <w:r>
        <w:rPr/>
        <w:t>below</w:t>
      </w:r>
      <w:r>
        <w:rPr>
          <w:spacing w:val="-4"/>
        </w:rPr>
        <w:t> </w:t>
      </w:r>
      <w:r>
        <w:rPr/>
        <w:t>the</w:t>
      </w:r>
      <w:r>
        <w:rPr>
          <w:spacing w:val="-3"/>
        </w:rPr>
        <w:t> </w:t>
      </w:r>
      <w:r>
        <w:rPr/>
        <w:t>US</w:t>
      </w:r>
      <w:r>
        <w:rPr>
          <w:spacing w:val="-3"/>
        </w:rPr>
        <w:t> </w:t>
      </w:r>
      <w:r>
        <w:rPr/>
        <w:t>average</w:t>
      </w:r>
      <w:r>
        <w:rPr>
          <w:spacing w:val="-5"/>
        </w:rPr>
        <w:t> </w:t>
      </w:r>
      <w:r>
        <w:rPr/>
        <w:t>in</w:t>
      </w:r>
      <w:r>
        <w:rPr>
          <w:spacing w:val="-3"/>
        </w:rPr>
        <w:t> </w:t>
      </w:r>
      <w:r>
        <w:rPr/>
        <w:t>2011,</w:t>
      </w:r>
      <w:r>
        <w:rPr>
          <w:spacing w:val="-4"/>
        </w:rPr>
        <w:t> </w:t>
      </w:r>
      <w:r>
        <w:rPr/>
        <w:t>and</w:t>
      </w:r>
      <w:r>
        <w:rPr>
          <w:spacing w:val="-2"/>
        </w:rPr>
        <w:t> </w:t>
      </w:r>
      <w:r>
        <w:rPr/>
        <w:t>are</w:t>
      </w:r>
      <w:r>
        <w:rPr>
          <w:spacing w:val="-6"/>
        </w:rPr>
        <w:t> </w:t>
      </w:r>
      <w:r>
        <w:rPr/>
        <w:t>now</w:t>
      </w:r>
      <w:r>
        <w:rPr>
          <w:spacing w:val="-4"/>
        </w:rPr>
        <w:t> </w:t>
      </w:r>
      <w:r>
        <w:rPr/>
        <w:t>43%</w:t>
      </w:r>
      <w:r>
        <w:rPr>
          <w:spacing w:val="-5"/>
        </w:rPr>
        <w:t> </w:t>
      </w:r>
      <w:r>
        <w:rPr/>
        <w:t>below</w:t>
      </w:r>
      <w:r>
        <w:rPr>
          <w:spacing w:val="-4"/>
        </w:rPr>
        <w:t> </w:t>
      </w:r>
      <w:r>
        <w:rPr/>
        <w:t>the US average in 2018 after the implementation of the ACA formula based on our deficient and anomalous Medicare FFS program and</w:t>
      </w:r>
      <w:r>
        <w:rPr>
          <w:spacing w:val="-11"/>
        </w:rPr>
        <w:t> </w:t>
      </w:r>
      <w:r>
        <w:rPr/>
        <w:t>data.</w:t>
      </w:r>
    </w:p>
    <w:p>
      <w:pPr>
        <w:pStyle w:val="BodyText"/>
        <w:spacing w:before="11"/>
        <w:rPr>
          <w:sz w:val="23"/>
        </w:rPr>
      </w:pPr>
    </w:p>
    <w:p>
      <w:pPr>
        <w:pStyle w:val="ListParagraph"/>
        <w:numPr>
          <w:ilvl w:val="2"/>
          <w:numId w:val="1"/>
        </w:numPr>
        <w:tabs>
          <w:tab w:pos="2281" w:val="left" w:leader="none"/>
        </w:tabs>
        <w:spacing w:line="240" w:lineRule="auto" w:before="0" w:after="0"/>
        <w:ind w:left="2280" w:right="0" w:hanging="307"/>
        <w:jc w:val="left"/>
        <w:rPr>
          <w:sz w:val="24"/>
        </w:rPr>
      </w:pPr>
      <w:r>
        <w:rPr>
          <w:sz w:val="24"/>
          <w:u w:val="single"/>
        </w:rPr>
        <w:t>ACA-Imposed Reduction Fell Hardest on Puerto</w:t>
      </w:r>
      <w:r>
        <w:rPr>
          <w:spacing w:val="-10"/>
          <w:sz w:val="24"/>
          <w:u w:val="single"/>
        </w:rPr>
        <w:t> </w:t>
      </w:r>
      <w:r>
        <w:rPr>
          <w:sz w:val="24"/>
          <w:u w:val="single"/>
        </w:rPr>
        <w:t>Rico</w:t>
      </w:r>
    </w:p>
    <w:p>
      <w:pPr>
        <w:pStyle w:val="BodyText"/>
        <w:spacing w:before="9"/>
        <w:rPr>
          <w:sz w:val="20"/>
        </w:rPr>
      </w:pPr>
    </w:p>
    <w:p>
      <w:pPr>
        <w:pStyle w:val="BodyText"/>
        <w:ind w:left="120" w:right="115" w:firstLine="719"/>
        <w:jc w:val="both"/>
      </w:pPr>
      <w:r>
        <w:rPr/>
        <w:t>In spite of Puerto Rico’s reliance on MA, Congress enacted a revised MA “blended benchmark” methodology for plans as a part of the Affordable Care Act (ACA). It is not clear if Congress specifically intended the level of reductions for Puerto Rico, but MA rates have subsequently been reduced by over $100pmpm and approximately 20%. In 2011, Puerto Rico was already lower than the average MA benchmark in any state.</w:t>
      </w:r>
    </w:p>
    <w:p>
      <w:pPr>
        <w:pStyle w:val="BodyText"/>
        <w:spacing w:before="10"/>
        <w:rPr>
          <w:sz w:val="23"/>
        </w:rPr>
      </w:pPr>
    </w:p>
    <w:p>
      <w:pPr>
        <w:pStyle w:val="BodyText"/>
        <w:spacing w:before="1"/>
        <w:ind w:left="120" w:right="117" w:firstLine="719"/>
        <w:jc w:val="both"/>
      </w:pPr>
      <w:r>
        <w:rPr/>
        <w:t>In fact, as seen in the Table below, actuaries have estimated that after accounting for the Section 9010 Health Insurance Providers Fee, the base payment change (not including stars quality bonus) for 2018 is -0.5%. Based on the 2018 MA Ratebook, Puerto Rico MA rates are still 43% below the national average, 39% below the average in the lowest state, Hawaii, and 26% below the rates in our neighboring Territory the US Virgin Islands.</w:t>
      </w:r>
    </w:p>
    <w:p>
      <w:pPr>
        <w:pStyle w:val="BodyText"/>
        <w:rPr>
          <w:sz w:val="20"/>
        </w:rPr>
      </w:pPr>
    </w:p>
    <w:p>
      <w:pPr>
        <w:pStyle w:val="BodyText"/>
        <w:spacing w:before="7"/>
        <w:rPr>
          <w:sz w:val="22"/>
        </w:rPr>
      </w:pPr>
      <w:r>
        <w:rPr/>
        <w:pict>
          <v:line style="position:absolute;mso-position-horizontal-relative:page;mso-position-vertical-relative:paragraph;z-index:1168;mso-wrap-distance-left:0;mso-wrap-distance-right:0" from="72.024002pt,15.250626pt" to="216.044002pt,15.250626pt" stroked="true" strokeweight=".60004pt" strokecolor="#000000">
            <v:stroke dashstyle="solid"/>
            <w10:wrap type="topAndBottom"/>
          </v:line>
        </w:pict>
      </w:r>
    </w:p>
    <w:p>
      <w:pPr>
        <w:pStyle w:val="BodyText"/>
        <w:spacing w:before="6"/>
        <w:rPr>
          <w:sz w:val="18"/>
        </w:rPr>
      </w:pPr>
    </w:p>
    <w:p>
      <w:pPr>
        <w:spacing w:line="232" w:lineRule="exact" w:before="94"/>
        <w:ind w:left="120" w:right="0" w:firstLine="0"/>
        <w:jc w:val="left"/>
        <w:rPr>
          <w:sz w:val="20"/>
        </w:rPr>
      </w:pPr>
      <w:r>
        <w:rPr>
          <w:position w:val="7"/>
          <w:sz w:val="13"/>
        </w:rPr>
        <w:t>9 </w:t>
      </w:r>
      <w:r>
        <w:rPr>
          <w:sz w:val="20"/>
        </w:rPr>
        <w:t>Based on Public Use Microdata Sample of the American Community Survey of 2011.</w:t>
      </w:r>
    </w:p>
    <w:p>
      <w:pPr>
        <w:spacing w:line="230" w:lineRule="exact" w:before="0"/>
        <w:ind w:left="120" w:right="0" w:firstLine="0"/>
        <w:jc w:val="left"/>
        <w:rPr>
          <w:sz w:val="20"/>
        </w:rPr>
      </w:pPr>
      <w:r>
        <w:rPr>
          <w:position w:val="7"/>
          <w:sz w:val="13"/>
        </w:rPr>
        <w:t>10 </w:t>
      </w:r>
      <w:r>
        <w:rPr>
          <w:sz w:val="20"/>
        </w:rPr>
        <w:t>Centers for Disease Control and Prevention; Behavioral Risk Factor Surveillance System 2015</w:t>
      </w:r>
    </w:p>
    <w:p>
      <w:pPr>
        <w:spacing w:line="230" w:lineRule="exact" w:before="0"/>
        <w:ind w:left="120" w:right="0" w:firstLine="0"/>
        <w:jc w:val="left"/>
        <w:rPr>
          <w:sz w:val="20"/>
        </w:rPr>
      </w:pPr>
      <w:r>
        <w:rPr>
          <w:position w:val="7"/>
          <w:sz w:val="13"/>
        </w:rPr>
        <w:t>11 </w:t>
      </w:r>
      <w:r>
        <w:rPr>
          <w:sz w:val="20"/>
        </w:rPr>
        <w:t>Including Dual Eligible Special Needs Plans.</w:t>
      </w:r>
    </w:p>
    <w:p>
      <w:pPr>
        <w:spacing w:line="233" w:lineRule="exact" w:before="0"/>
        <w:ind w:left="120" w:right="0" w:firstLine="0"/>
        <w:jc w:val="left"/>
        <w:rPr>
          <w:sz w:val="20"/>
        </w:rPr>
      </w:pPr>
      <w:r>
        <w:rPr>
          <w:position w:val="7"/>
          <w:sz w:val="13"/>
        </w:rPr>
        <w:t>12  </w:t>
      </w:r>
      <w:r>
        <w:rPr>
          <w:sz w:val="20"/>
        </w:rPr>
        <w:t>577,842 MA enrollees in May 2017.</w:t>
      </w:r>
    </w:p>
    <w:p>
      <w:pPr>
        <w:spacing w:after="0" w:line="233" w:lineRule="exact"/>
        <w:jc w:val="left"/>
        <w:rPr>
          <w:sz w:val="20"/>
        </w:rPr>
        <w:sectPr>
          <w:pgSz w:w="12240" w:h="15840"/>
          <w:pgMar w:header="0" w:footer="1092" w:top="1360" w:bottom="1280" w:left="1320" w:right="1140"/>
        </w:sectPr>
      </w:pPr>
    </w:p>
    <w:p>
      <w:pPr>
        <w:pStyle w:val="BodyText"/>
        <w:spacing w:before="79"/>
        <w:ind w:left="2914"/>
      </w:pPr>
      <w:r>
        <w:rPr>
          <w:u w:val="single"/>
        </w:rPr>
        <w:t>Table: 2011- 2018 MA Rate Comparison</w:t>
      </w:r>
    </w:p>
    <w:p>
      <w:pPr>
        <w:pStyle w:val="BodyText"/>
        <w:spacing w:before="6"/>
        <w:rPr>
          <w:sz w:val="20"/>
        </w:rPr>
      </w:pPr>
      <w:r>
        <w:rPr/>
        <w:drawing>
          <wp:anchor distT="0" distB="0" distL="0" distR="0" allowOverlap="1" layoutInCell="1" locked="0" behindDoc="0" simplePos="0" relativeHeight="1192">
            <wp:simplePos x="0" y="0"/>
            <wp:positionH relativeFrom="page">
              <wp:posOffset>914399</wp:posOffset>
            </wp:positionH>
            <wp:positionV relativeFrom="paragraph">
              <wp:posOffset>175227</wp:posOffset>
            </wp:positionV>
            <wp:extent cx="5811761" cy="3850481"/>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5811761" cy="3850481"/>
                    </a:xfrm>
                    <a:prstGeom prst="rect">
                      <a:avLst/>
                    </a:prstGeom>
                  </pic:spPr>
                </pic:pic>
              </a:graphicData>
            </a:graphic>
          </wp:anchor>
        </w:drawing>
      </w:r>
    </w:p>
    <w:p>
      <w:pPr>
        <w:pStyle w:val="BodyText"/>
        <w:rPr>
          <w:sz w:val="26"/>
        </w:rPr>
      </w:pPr>
    </w:p>
    <w:p>
      <w:pPr>
        <w:pStyle w:val="ListParagraph"/>
        <w:numPr>
          <w:ilvl w:val="2"/>
          <w:numId w:val="1"/>
        </w:numPr>
        <w:tabs>
          <w:tab w:pos="2281" w:val="left" w:leader="none"/>
        </w:tabs>
        <w:spacing w:line="240" w:lineRule="auto" w:before="213" w:after="0"/>
        <w:ind w:left="2280" w:right="199" w:hanging="374"/>
        <w:jc w:val="left"/>
        <w:rPr>
          <w:sz w:val="24"/>
        </w:rPr>
      </w:pPr>
      <w:r>
        <w:rPr>
          <w:sz w:val="24"/>
          <w:u w:val="single"/>
        </w:rPr>
        <w:t>Sec. 9010 Health Insurance Providers Fee Taxes Puerto Rico Plans to Fund Services in the</w:t>
      </w:r>
      <w:r>
        <w:rPr>
          <w:spacing w:val="-6"/>
          <w:sz w:val="24"/>
          <w:u w:val="single"/>
        </w:rPr>
        <w:t> </w:t>
      </w:r>
      <w:r>
        <w:rPr>
          <w:sz w:val="24"/>
          <w:u w:val="single"/>
        </w:rPr>
        <w:t>States</w:t>
      </w:r>
    </w:p>
    <w:p>
      <w:pPr>
        <w:pStyle w:val="BodyText"/>
        <w:spacing w:before="9"/>
        <w:rPr>
          <w:sz w:val="20"/>
        </w:rPr>
      </w:pPr>
    </w:p>
    <w:p>
      <w:pPr>
        <w:pStyle w:val="BodyText"/>
        <w:ind w:left="120" w:right="112" w:firstLine="719"/>
        <w:jc w:val="both"/>
      </w:pPr>
      <w:r>
        <w:rPr/>
        <w:t>MA plans in Puerto Rico are also subject to the health insurance plan tax authorized by section 9010 of the ACA, even though Puerto Rico is exempt from Title I of the ACA and has received none o the coverage or quality benefits from the ACA. Congressional offices and officials at the Department of the Treasury over two successive Administrations have agreed that is unfair and intended that plans in the Territories be subjected to this tax, but neither will take legislation or regulatory initiative to provide relief to the Territories. As such, approximately $200 million is expected to be collected from health plans in Puerto Rico in 2018 in order to fund Exchanges and premium subsidies in the 50 States.</w:t>
      </w:r>
    </w:p>
    <w:p>
      <w:pPr>
        <w:pStyle w:val="BodyText"/>
        <w:rPr>
          <w:sz w:val="26"/>
        </w:rPr>
      </w:pPr>
    </w:p>
    <w:p>
      <w:pPr>
        <w:pStyle w:val="ListParagraph"/>
        <w:numPr>
          <w:ilvl w:val="2"/>
          <w:numId w:val="1"/>
        </w:numPr>
        <w:tabs>
          <w:tab w:pos="2281" w:val="left" w:leader="none"/>
        </w:tabs>
        <w:spacing w:line="240" w:lineRule="auto" w:before="217" w:after="0"/>
        <w:ind w:left="2280" w:right="117" w:hanging="439"/>
        <w:jc w:val="left"/>
        <w:rPr>
          <w:sz w:val="24"/>
        </w:rPr>
      </w:pPr>
      <w:r>
        <w:rPr>
          <w:sz w:val="24"/>
          <w:u w:val="single"/>
        </w:rPr>
        <w:t>Beneficiaries in the Territories are Excluded from Low-Income Prescription Drug</w:t>
      </w:r>
      <w:r>
        <w:rPr>
          <w:spacing w:val="-6"/>
          <w:sz w:val="24"/>
          <w:u w:val="single"/>
        </w:rPr>
        <w:t> </w:t>
      </w:r>
      <w:r>
        <w:rPr>
          <w:sz w:val="24"/>
          <w:u w:val="single"/>
        </w:rPr>
        <w:t>Assistance</w:t>
      </w:r>
    </w:p>
    <w:p>
      <w:pPr>
        <w:pStyle w:val="BodyText"/>
        <w:spacing w:before="2"/>
        <w:rPr>
          <w:sz w:val="16"/>
        </w:rPr>
      </w:pPr>
    </w:p>
    <w:p>
      <w:pPr>
        <w:pStyle w:val="BodyText"/>
        <w:spacing w:line="276" w:lineRule="exact" w:before="93"/>
        <w:ind w:left="120" w:firstLine="719"/>
        <w:rPr>
          <w:b/>
          <w:i/>
          <w:sz w:val="16"/>
        </w:rPr>
      </w:pPr>
      <w:r>
        <w:rPr/>
        <w:t>When establishing the Medicare Prescription Drug Benefit, Congress also established the prescription</w:t>
      </w:r>
      <w:r>
        <w:rPr>
          <w:spacing w:val="-12"/>
        </w:rPr>
        <w:t> </w:t>
      </w:r>
      <w:r>
        <w:rPr/>
        <w:t>drug</w:t>
      </w:r>
      <w:r>
        <w:rPr>
          <w:spacing w:val="-14"/>
        </w:rPr>
        <w:t> </w:t>
      </w:r>
      <w:r>
        <w:rPr/>
        <w:t>assistance</w:t>
      </w:r>
      <w:r>
        <w:rPr>
          <w:spacing w:val="-13"/>
        </w:rPr>
        <w:t> </w:t>
      </w:r>
      <w:r>
        <w:rPr/>
        <w:t>program</w:t>
      </w:r>
      <w:r>
        <w:rPr>
          <w:spacing w:val="-12"/>
        </w:rPr>
        <w:t> </w:t>
      </w:r>
      <w:r>
        <w:rPr/>
        <w:t>for</w:t>
      </w:r>
      <w:r>
        <w:rPr>
          <w:spacing w:val="-14"/>
        </w:rPr>
        <w:t> </w:t>
      </w:r>
      <w:r>
        <w:rPr/>
        <w:t>dual-eligibles</w:t>
      </w:r>
      <w:r>
        <w:rPr>
          <w:spacing w:val="-12"/>
        </w:rPr>
        <w:t> </w:t>
      </w:r>
      <w:r>
        <w:rPr/>
        <w:t>known</w:t>
      </w:r>
      <w:r>
        <w:rPr>
          <w:spacing w:val="-13"/>
        </w:rPr>
        <w:t> </w:t>
      </w:r>
      <w:r>
        <w:rPr/>
        <w:t>as</w:t>
      </w:r>
      <w:r>
        <w:rPr>
          <w:spacing w:val="-12"/>
        </w:rPr>
        <w:t> </w:t>
      </w:r>
      <w:r>
        <w:rPr/>
        <w:t>the</w:t>
      </w:r>
      <w:r>
        <w:rPr>
          <w:spacing w:val="-13"/>
        </w:rPr>
        <w:t> </w:t>
      </w:r>
      <w:r>
        <w:rPr/>
        <w:t>Low-Income</w:t>
      </w:r>
      <w:r>
        <w:rPr>
          <w:spacing w:val="-13"/>
        </w:rPr>
        <w:t> </w:t>
      </w:r>
      <w:r>
        <w:rPr/>
        <w:t>Subsidy</w:t>
      </w:r>
      <w:r>
        <w:rPr>
          <w:spacing w:val="-18"/>
        </w:rPr>
        <w:t> </w:t>
      </w:r>
      <w:r>
        <w:rPr/>
        <w:t>(“LIS”)</w:t>
      </w:r>
      <w:r>
        <w:rPr>
          <w:b/>
          <w:i/>
          <w:position w:val="8"/>
          <w:sz w:val="16"/>
        </w:rPr>
        <w:t>13</w:t>
      </w:r>
    </w:p>
    <w:p>
      <w:pPr>
        <w:pStyle w:val="BodyText"/>
        <w:rPr>
          <w:b/>
          <w:i/>
          <w:sz w:val="20"/>
        </w:rPr>
      </w:pPr>
    </w:p>
    <w:p>
      <w:pPr>
        <w:pStyle w:val="BodyText"/>
        <w:spacing w:before="9"/>
        <w:rPr>
          <w:b/>
          <w:i/>
          <w:sz w:val="11"/>
        </w:rPr>
      </w:pPr>
      <w:r>
        <w:rPr/>
        <w:pict>
          <v:line style="position:absolute;mso-position-horizontal-relative:page;mso-position-vertical-relative:paragraph;z-index:1216;mso-wrap-distance-left:0;mso-wrap-distance-right:0" from="72.024002pt,9.07279pt" to="216.044002pt,9.07279pt" stroked="true" strokeweight=".60004pt" strokecolor="#000000">
            <v:stroke dashstyle="solid"/>
            <w10:wrap type="topAndBottom"/>
          </v:line>
        </w:pict>
      </w:r>
    </w:p>
    <w:p>
      <w:pPr>
        <w:pStyle w:val="BodyText"/>
        <w:spacing w:before="9"/>
        <w:rPr>
          <w:b/>
          <w:i/>
          <w:sz w:val="18"/>
        </w:rPr>
      </w:pPr>
    </w:p>
    <w:p>
      <w:pPr>
        <w:spacing w:line="234" w:lineRule="exact" w:before="94"/>
        <w:ind w:left="0" w:right="178" w:firstLine="0"/>
        <w:jc w:val="right"/>
        <w:rPr>
          <w:sz w:val="20"/>
        </w:rPr>
      </w:pPr>
      <w:r>
        <w:rPr>
          <w:position w:val="7"/>
          <w:sz w:val="13"/>
        </w:rPr>
        <w:t>13 </w:t>
      </w:r>
      <w:r>
        <w:rPr>
          <w:sz w:val="20"/>
        </w:rPr>
        <w:t>SSA § 1860D-14, </w:t>
      </w:r>
      <w:r>
        <w:rPr>
          <w:i/>
          <w:sz w:val="20"/>
        </w:rPr>
        <w:t>as amended by </w:t>
      </w:r>
      <w:r>
        <w:rPr>
          <w:sz w:val="20"/>
        </w:rPr>
        <w:t>Medicare Prescription Drug, Improvement and Modernization Act of 2003, § 101.</w:t>
      </w:r>
    </w:p>
    <w:p>
      <w:pPr>
        <w:pStyle w:val="BodyText"/>
        <w:spacing w:line="276" w:lineRule="exact"/>
        <w:ind w:right="209"/>
        <w:jc w:val="right"/>
      </w:pPr>
      <w:r>
        <w:rPr/>
        <w:t>Page 8</w:t>
      </w:r>
    </w:p>
    <w:p>
      <w:pPr>
        <w:spacing w:after="0" w:line="276" w:lineRule="exact"/>
        <w:jc w:val="right"/>
        <w:sectPr>
          <w:footerReference w:type="default" r:id="rId11"/>
          <w:pgSz w:w="12240" w:h="15840"/>
          <w:pgMar w:footer="0" w:header="0" w:top="1360" w:bottom="280" w:left="1320" w:right="1140"/>
        </w:sectPr>
      </w:pPr>
    </w:p>
    <w:p>
      <w:pPr>
        <w:pStyle w:val="BodyText"/>
        <w:spacing w:before="74"/>
        <w:ind w:left="120" w:right="117"/>
        <w:jc w:val="both"/>
      </w:pPr>
      <w:r>
        <w:rPr/>
        <w:t>Yet,</w:t>
      </w:r>
      <w:r>
        <w:rPr>
          <w:spacing w:val="-4"/>
        </w:rPr>
        <w:t> </w:t>
      </w:r>
      <w:r>
        <w:rPr/>
        <w:t>Congress</w:t>
      </w:r>
      <w:r>
        <w:rPr>
          <w:spacing w:val="-4"/>
        </w:rPr>
        <w:t> </w:t>
      </w:r>
      <w:r>
        <w:rPr/>
        <w:t>excluded</w:t>
      </w:r>
      <w:r>
        <w:rPr>
          <w:spacing w:val="-5"/>
        </w:rPr>
        <w:t> </w:t>
      </w:r>
      <w:r>
        <w:rPr/>
        <w:t>beneficiaries</w:t>
      </w:r>
      <w:r>
        <w:rPr>
          <w:spacing w:val="-5"/>
        </w:rPr>
        <w:t> </w:t>
      </w:r>
      <w:r>
        <w:rPr/>
        <w:t>residing</w:t>
      </w:r>
      <w:r>
        <w:rPr>
          <w:spacing w:val="-7"/>
        </w:rPr>
        <w:t> </w:t>
      </w:r>
      <w:r>
        <w:rPr/>
        <w:t>in</w:t>
      </w:r>
      <w:r>
        <w:rPr>
          <w:spacing w:val="-4"/>
        </w:rPr>
        <w:t> </w:t>
      </w:r>
      <w:r>
        <w:rPr/>
        <w:t>the</w:t>
      </w:r>
      <w:r>
        <w:rPr>
          <w:spacing w:val="-5"/>
        </w:rPr>
        <w:t> </w:t>
      </w:r>
      <w:r>
        <w:rPr/>
        <w:t>Territories from</w:t>
      </w:r>
      <w:r>
        <w:rPr>
          <w:spacing w:val="-4"/>
        </w:rPr>
        <w:t> </w:t>
      </w:r>
      <w:r>
        <w:rPr/>
        <w:t>participating</w:t>
      </w:r>
      <w:r>
        <w:rPr>
          <w:spacing w:val="-7"/>
        </w:rPr>
        <w:t> </w:t>
      </w:r>
      <w:r>
        <w:rPr/>
        <w:t>in</w:t>
      </w:r>
      <w:r>
        <w:rPr>
          <w:spacing w:val="-4"/>
        </w:rPr>
        <w:t> </w:t>
      </w:r>
      <w:r>
        <w:rPr/>
        <w:t>the</w:t>
      </w:r>
      <w:r>
        <w:rPr>
          <w:spacing w:val="-5"/>
        </w:rPr>
        <w:t> </w:t>
      </w:r>
      <w:r>
        <w:rPr/>
        <w:t>program.</w:t>
      </w:r>
      <w:r>
        <w:rPr>
          <w:b/>
          <w:i/>
          <w:position w:val="8"/>
          <w:sz w:val="16"/>
        </w:rPr>
        <w:t>14 </w:t>
      </w:r>
      <w:r>
        <w:rPr/>
        <w:t>Instead,</w:t>
      </w:r>
      <w:r>
        <w:rPr>
          <w:spacing w:val="-12"/>
        </w:rPr>
        <w:t> </w:t>
      </w:r>
      <w:r>
        <w:rPr/>
        <w:t>Congress</w:t>
      </w:r>
      <w:r>
        <w:rPr>
          <w:spacing w:val="-12"/>
        </w:rPr>
        <w:t> </w:t>
      </w:r>
      <w:r>
        <w:rPr/>
        <w:t>created</w:t>
      </w:r>
      <w:r>
        <w:rPr>
          <w:spacing w:val="-10"/>
        </w:rPr>
        <w:t> </w:t>
      </w:r>
      <w:r>
        <w:rPr/>
        <w:t>a</w:t>
      </w:r>
      <w:r>
        <w:rPr>
          <w:spacing w:val="-13"/>
        </w:rPr>
        <w:t> </w:t>
      </w:r>
      <w:r>
        <w:rPr/>
        <w:t>separate</w:t>
      </w:r>
      <w:r>
        <w:rPr>
          <w:spacing w:val="-13"/>
        </w:rPr>
        <w:t> </w:t>
      </w:r>
      <w:r>
        <w:rPr/>
        <w:t>program</w:t>
      </w:r>
      <w:r>
        <w:rPr>
          <w:spacing w:val="-12"/>
        </w:rPr>
        <w:t> </w:t>
      </w:r>
      <w:r>
        <w:rPr/>
        <w:t>known</w:t>
      </w:r>
      <w:r>
        <w:rPr>
          <w:spacing w:val="-13"/>
        </w:rPr>
        <w:t> </w:t>
      </w:r>
      <w:r>
        <w:rPr/>
        <w:t>as</w:t>
      </w:r>
      <w:r>
        <w:rPr>
          <w:spacing w:val="-12"/>
        </w:rPr>
        <w:t> </w:t>
      </w:r>
      <w:r>
        <w:rPr/>
        <w:t>the</w:t>
      </w:r>
      <w:r>
        <w:rPr>
          <w:spacing w:val="-13"/>
        </w:rPr>
        <w:t> </w:t>
      </w:r>
      <w:r>
        <w:rPr/>
        <w:t>“Treatment</w:t>
      </w:r>
      <w:r>
        <w:rPr>
          <w:spacing w:val="-12"/>
        </w:rPr>
        <w:t> </w:t>
      </w:r>
      <w:r>
        <w:rPr/>
        <w:t>for</w:t>
      </w:r>
      <w:r>
        <w:rPr>
          <w:spacing w:val="-14"/>
        </w:rPr>
        <w:t> </w:t>
      </w:r>
      <w:r>
        <w:rPr/>
        <w:t>Territories,”</w:t>
      </w:r>
      <w:r>
        <w:rPr>
          <w:spacing w:val="-13"/>
        </w:rPr>
        <w:t> </w:t>
      </w:r>
      <w:r>
        <w:rPr/>
        <w:t>or</w:t>
      </w:r>
      <w:r>
        <w:rPr>
          <w:spacing w:val="-13"/>
        </w:rPr>
        <w:t> </w:t>
      </w:r>
      <w:r>
        <w:rPr/>
        <w:t>Enhanced Allotment</w:t>
      </w:r>
      <w:r>
        <w:rPr>
          <w:spacing w:val="-4"/>
        </w:rPr>
        <w:t> </w:t>
      </w:r>
      <w:r>
        <w:rPr/>
        <w:t>Plan</w:t>
      </w:r>
      <w:r>
        <w:rPr>
          <w:spacing w:val="-4"/>
        </w:rPr>
        <w:t> </w:t>
      </w:r>
      <w:r>
        <w:rPr/>
        <w:t>(“EAP”),</w:t>
      </w:r>
      <w:r>
        <w:rPr>
          <w:spacing w:val="-5"/>
        </w:rPr>
        <w:t> </w:t>
      </w:r>
      <w:r>
        <w:rPr/>
        <w:t>to</w:t>
      </w:r>
      <w:r>
        <w:rPr>
          <w:spacing w:val="-3"/>
        </w:rPr>
        <w:t> </w:t>
      </w:r>
      <w:r>
        <w:rPr/>
        <w:t>provide</w:t>
      </w:r>
      <w:r>
        <w:rPr>
          <w:spacing w:val="-5"/>
        </w:rPr>
        <w:t> </w:t>
      </w:r>
      <w:r>
        <w:rPr/>
        <w:t>a</w:t>
      </w:r>
      <w:r>
        <w:rPr>
          <w:spacing w:val="-5"/>
        </w:rPr>
        <w:t> </w:t>
      </w:r>
      <w:r>
        <w:rPr/>
        <w:t>modicum</w:t>
      </w:r>
      <w:r>
        <w:rPr>
          <w:spacing w:val="-3"/>
        </w:rPr>
        <w:t> </w:t>
      </w:r>
      <w:r>
        <w:rPr/>
        <w:t>of</w:t>
      </w:r>
      <w:r>
        <w:rPr>
          <w:spacing w:val="-5"/>
        </w:rPr>
        <w:t> </w:t>
      </w:r>
      <w:r>
        <w:rPr/>
        <w:t>support</w:t>
      </w:r>
      <w:r>
        <w:rPr>
          <w:spacing w:val="-4"/>
        </w:rPr>
        <w:t> </w:t>
      </w:r>
      <w:r>
        <w:rPr/>
        <w:t>for</w:t>
      </w:r>
      <w:r>
        <w:rPr>
          <w:spacing w:val="-5"/>
        </w:rPr>
        <w:t> </w:t>
      </w:r>
      <w:r>
        <w:rPr/>
        <w:t>the</w:t>
      </w:r>
      <w:r>
        <w:rPr>
          <w:spacing w:val="-4"/>
        </w:rPr>
        <w:t> </w:t>
      </w:r>
      <w:r>
        <w:rPr/>
        <w:t>provision</w:t>
      </w:r>
      <w:r>
        <w:rPr>
          <w:spacing w:val="-3"/>
        </w:rPr>
        <w:t> </w:t>
      </w:r>
      <w:r>
        <w:rPr/>
        <w:t>of</w:t>
      </w:r>
      <w:r>
        <w:rPr>
          <w:spacing w:val="-5"/>
        </w:rPr>
        <w:t> </w:t>
      </w:r>
      <w:r>
        <w:rPr/>
        <w:t>prescription</w:t>
      </w:r>
      <w:r>
        <w:rPr>
          <w:spacing w:val="-4"/>
        </w:rPr>
        <w:t> </w:t>
      </w:r>
      <w:r>
        <w:rPr/>
        <w:t>drugs</w:t>
      </w:r>
      <w:r>
        <w:rPr>
          <w:spacing w:val="-4"/>
        </w:rPr>
        <w:t> </w:t>
      </w:r>
      <w:r>
        <w:rPr/>
        <w:t>to dual-eligible.</w:t>
      </w:r>
    </w:p>
    <w:p>
      <w:pPr>
        <w:pStyle w:val="BodyText"/>
        <w:spacing w:before="3"/>
      </w:pPr>
    </w:p>
    <w:p>
      <w:pPr>
        <w:pStyle w:val="BodyText"/>
        <w:spacing w:line="276" w:lineRule="exact"/>
        <w:ind w:left="120" w:right="111" w:firstLine="719"/>
        <w:jc w:val="both"/>
      </w:pPr>
      <w:r>
        <w:rPr/>
        <w:t>Under the EAP, Territories may receive a substantially limited grant of funds to provide prescription drug assistance.</w:t>
      </w:r>
      <w:r>
        <w:rPr>
          <w:b/>
          <w:i/>
          <w:position w:val="8"/>
          <w:sz w:val="16"/>
        </w:rPr>
        <w:t>15 </w:t>
      </w:r>
      <w:r>
        <w:rPr/>
        <w:t>However, CMS has chosen to use its discretionary authority to</w:t>
      </w:r>
      <w:r>
        <w:rPr>
          <w:spacing w:val="-41"/>
        </w:rPr>
        <w:t> </w:t>
      </w:r>
      <w:r>
        <w:rPr/>
        <w:t>apply the FMAP requirement to the EAP funds, requiring Puerto Rico to match payments under the program</w:t>
      </w:r>
      <w:r>
        <w:rPr>
          <w:spacing w:val="-7"/>
        </w:rPr>
        <w:t> </w:t>
      </w:r>
      <w:r>
        <w:rPr/>
        <w:t>in</w:t>
      </w:r>
      <w:r>
        <w:rPr>
          <w:spacing w:val="-7"/>
        </w:rPr>
        <w:t> </w:t>
      </w:r>
      <w:r>
        <w:rPr/>
        <w:t>order</w:t>
      </w:r>
      <w:r>
        <w:rPr>
          <w:spacing w:val="-8"/>
        </w:rPr>
        <w:t> </w:t>
      </w:r>
      <w:r>
        <w:rPr/>
        <w:t>to</w:t>
      </w:r>
      <w:r>
        <w:rPr>
          <w:spacing w:val="-7"/>
        </w:rPr>
        <w:t> </w:t>
      </w:r>
      <w:r>
        <w:rPr/>
        <w:t>access</w:t>
      </w:r>
      <w:r>
        <w:rPr>
          <w:spacing w:val="-7"/>
        </w:rPr>
        <w:t> </w:t>
      </w:r>
      <w:r>
        <w:rPr/>
        <w:t>the</w:t>
      </w:r>
      <w:r>
        <w:rPr>
          <w:spacing w:val="-8"/>
        </w:rPr>
        <w:t> </w:t>
      </w:r>
      <w:r>
        <w:rPr/>
        <w:t>full</w:t>
      </w:r>
      <w:r>
        <w:rPr>
          <w:spacing w:val="-7"/>
        </w:rPr>
        <w:t> </w:t>
      </w:r>
      <w:r>
        <w:rPr/>
        <w:t>amount</w:t>
      </w:r>
      <w:r>
        <w:rPr>
          <w:spacing w:val="-8"/>
        </w:rPr>
        <w:t> </w:t>
      </w:r>
      <w:r>
        <w:rPr/>
        <w:t>allotted</w:t>
      </w:r>
      <w:r>
        <w:rPr>
          <w:spacing w:val="-9"/>
        </w:rPr>
        <w:t> </w:t>
      </w:r>
      <w:r>
        <w:rPr/>
        <w:t>under</w:t>
      </w:r>
      <w:r>
        <w:rPr>
          <w:spacing w:val="-8"/>
        </w:rPr>
        <w:t> </w:t>
      </w:r>
      <w:r>
        <w:rPr/>
        <w:t>statute.</w:t>
      </w:r>
      <w:r>
        <w:rPr>
          <w:spacing w:val="47"/>
        </w:rPr>
        <w:t> </w:t>
      </w:r>
      <w:r>
        <w:rPr/>
        <w:t>This</w:t>
      </w:r>
      <w:r>
        <w:rPr>
          <w:spacing w:val="-7"/>
        </w:rPr>
        <w:t> </w:t>
      </w:r>
      <w:r>
        <w:rPr/>
        <w:t>CMS</w:t>
      </w:r>
      <w:r>
        <w:rPr>
          <w:spacing w:val="-8"/>
        </w:rPr>
        <w:t> </w:t>
      </w:r>
      <w:r>
        <w:rPr/>
        <w:t>action</w:t>
      </w:r>
      <w:r>
        <w:rPr>
          <w:spacing w:val="-7"/>
        </w:rPr>
        <w:t> </w:t>
      </w:r>
      <w:r>
        <w:rPr/>
        <w:t>further</w:t>
      </w:r>
      <w:r>
        <w:rPr>
          <w:spacing w:val="-8"/>
        </w:rPr>
        <w:t> </w:t>
      </w:r>
      <w:r>
        <w:rPr/>
        <w:t>limits</w:t>
      </w:r>
      <w:r>
        <w:rPr>
          <w:spacing w:val="-7"/>
        </w:rPr>
        <w:t> </w:t>
      </w:r>
      <w:r>
        <w:rPr/>
        <w:t>the levels of federal prescription drug assistance to Puerto Rico to only a fraction of what it would receive under the LIS. Given the limited resources of the Medicaid program, MA plans in Puerto Rico have been using funds to make up the</w:t>
      </w:r>
      <w:r>
        <w:rPr>
          <w:spacing w:val="-11"/>
        </w:rPr>
        <w:t> </w:t>
      </w:r>
      <w:r>
        <w:rPr/>
        <w:t>difference.</w:t>
      </w:r>
    </w:p>
    <w:p>
      <w:pPr>
        <w:pStyle w:val="BodyText"/>
        <w:rPr>
          <w:sz w:val="26"/>
        </w:rPr>
      </w:pPr>
    </w:p>
    <w:p>
      <w:pPr>
        <w:pStyle w:val="BodyText"/>
        <w:spacing w:before="8"/>
        <w:rPr>
          <w:sz w:val="21"/>
        </w:rPr>
      </w:pPr>
    </w:p>
    <w:p>
      <w:pPr>
        <w:pStyle w:val="Heading2"/>
        <w:numPr>
          <w:ilvl w:val="1"/>
          <w:numId w:val="1"/>
        </w:numPr>
        <w:tabs>
          <w:tab w:pos="1561" w:val="left" w:leader="none"/>
        </w:tabs>
        <w:spacing w:line="240" w:lineRule="auto" w:before="0" w:after="0"/>
        <w:ind w:left="1560" w:right="113" w:hanging="360"/>
        <w:jc w:val="left"/>
      </w:pPr>
      <w:r>
        <w:rPr>
          <w:i/>
        </w:rPr>
        <w:t>MA is the best platform for immediate improvement in Puerto Rico’s health care </w:t>
      </w:r>
      <w:r>
        <w:rPr/>
        <w:t>delivery</w:t>
      </w:r>
      <w:r>
        <w:rPr>
          <w:spacing w:val="-4"/>
        </w:rPr>
        <w:t> </w:t>
      </w:r>
      <w:r>
        <w:rPr/>
        <w:t>system.</w:t>
      </w:r>
    </w:p>
    <w:p>
      <w:pPr>
        <w:pStyle w:val="BodyText"/>
        <w:spacing w:before="10"/>
        <w:rPr>
          <w:b/>
          <w:i/>
          <w:sz w:val="23"/>
        </w:rPr>
      </w:pPr>
    </w:p>
    <w:p>
      <w:pPr>
        <w:pStyle w:val="BodyText"/>
        <w:ind w:left="120" w:right="116" w:firstLine="899"/>
        <w:jc w:val="both"/>
      </w:pPr>
      <w:r>
        <w:rPr/>
        <w:t>In spite of Hurricane Maria’s devastation to the Island and continuing struggles with electrical grid challenges, health plans are operational and devote all efforts to address the care of the most vulnerable. Our plans have implemented immediate administrative flexibility measures that</w:t>
      </w:r>
      <w:r>
        <w:rPr>
          <w:spacing w:val="-4"/>
        </w:rPr>
        <w:t> </w:t>
      </w:r>
      <w:r>
        <w:rPr/>
        <w:t>have</w:t>
      </w:r>
      <w:r>
        <w:rPr>
          <w:spacing w:val="-5"/>
        </w:rPr>
        <w:t> </w:t>
      </w:r>
      <w:r>
        <w:rPr/>
        <w:t>facilitated</w:t>
      </w:r>
      <w:r>
        <w:rPr>
          <w:spacing w:val="-4"/>
        </w:rPr>
        <w:t> </w:t>
      </w:r>
      <w:r>
        <w:rPr/>
        <w:t>open</w:t>
      </w:r>
      <w:r>
        <w:rPr>
          <w:spacing w:val="-2"/>
        </w:rPr>
        <w:t> </w:t>
      </w:r>
      <w:r>
        <w:rPr/>
        <w:t>access</w:t>
      </w:r>
      <w:r>
        <w:rPr>
          <w:spacing w:val="-3"/>
        </w:rPr>
        <w:t> </w:t>
      </w:r>
      <w:r>
        <w:rPr/>
        <w:t>to</w:t>
      </w:r>
      <w:r>
        <w:rPr>
          <w:spacing w:val="-3"/>
        </w:rPr>
        <w:t> </w:t>
      </w:r>
      <w:r>
        <w:rPr/>
        <w:t>care</w:t>
      </w:r>
      <w:r>
        <w:rPr>
          <w:spacing w:val="-3"/>
        </w:rPr>
        <w:t> </w:t>
      </w:r>
      <w:r>
        <w:rPr/>
        <w:t>and</w:t>
      </w:r>
      <w:r>
        <w:rPr>
          <w:spacing w:val="-4"/>
        </w:rPr>
        <w:t> </w:t>
      </w:r>
      <w:r>
        <w:rPr/>
        <w:t>accelerated</w:t>
      </w:r>
      <w:r>
        <w:rPr>
          <w:spacing w:val="-4"/>
        </w:rPr>
        <w:t> </w:t>
      </w:r>
      <w:r>
        <w:rPr/>
        <w:t>payments</w:t>
      </w:r>
      <w:r>
        <w:rPr>
          <w:spacing w:val="-4"/>
        </w:rPr>
        <w:t> </w:t>
      </w:r>
      <w:r>
        <w:rPr/>
        <w:t>to</w:t>
      </w:r>
      <w:r>
        <w:rPr>
          <w:spacing w:val="-3"/>
        </w:rPr>
        <w:t> </w:t>
      </w:r>
      <w:r>
        <w:rPr/>
        <w:t>hospitals,</w:t>
      </w:r>
      <w:r>
        <w:rPr>
          <w:spacing w:val="-3"/>
        </w:rPr>
        <w:t> </w:t>
      </w:r>
      <w:r>
        <w:rPr/>
        <w:t>while</w:t>
      </w:r>
      <w:r>
        <w:rPr>
          <w:spacing w:val="-4"/>
        </w:rPr>
        <w:t> </w:t>
      </w:r>
      <w:r>
        <w:rPr/>
        <w:t>supporting</w:t>
      </w:r>
      <w:r>
        <w:rPr>
          <w:spacing w:val="-6"/>
        </w:rPr>
        <w:t> </w:t>
      </w:r>
      <w:r>
        <w:rPr/>
        <w:t>the steadfast reactivation of provider operations and coordinated care. Even when progress is being made, the deterioration and underdevelopment of health care operations on the island is now more evident</w:t>
      </w:r>
      <w:r>
        <w:rPr>
          <w:spacing w:val="-14"/>
        </w:rPr>
        <w:t> </w:t>
      </w:r>
      <w:r>
        <w:rPr/>
        <w:t>in</w:t>
      </w:r>
      <w:r>
        <w:rPr>
          <w:spacing w:val="-14"/>
        </w:rPr>
        <w:t> </w:t>
      </w:r>
      <w:r>
        <w:rPr/>
        <w:t>the</w:t>
      </w:r>
      <w:r>
        <w:rPr>
          <w:spacing w:val="-15"/>
        </w:rPr>
        <w:t> </w:t>
      </w:r>
      <w:r>
        <w:rPr/>
        <w:t>post-Hurricane</w:t>
      </w:r>
      <w:r>
        <w:rPr>
          <w:spacing w:val="-15"/>
        </w:rPr>
        <w:t> </w:t>
      </w:r>
      <w:r>
        <w:rPr/>
        <w:t>Maria</w:t>
      </w:r>
      <w:r>
        <w:rPr>
          <w:spacing w:val="-16"/>
        </w:rPr>
        <w:t> </w:t>
      </w:r>
      <w:r>
        <w:rPr/>
        <w:t>scenario.</w:t>
      </w:r>
      <w:r>
        <w:rPr>
          <w:spacing w:val="-15"/>
        </w:rPr>
        <w:t> </w:t>
      </w:r>
      <w:r>
        <w:rPr/>
        <w:t>Plans</w:t>
      </w:r>
      <w:r>
        <w:rPr>
          <w:spacing w:val="-15"/>
        </w:rPr>
        <w:t> </w:t>
      </w:r>
      <w:r>
        <w:rPr/>
        <w:t>now</w:t>
      </w:r>
      <w:r>
        <w:rPr>
          <w:spacing w:val="-15"/>
        </w:rPr>
        <w:t> </w:t>
      </w:r>
      <w:r>
        <w:rPr/>
        <w:t>face</w:t>
      </w:r>
      <w:r>
        <w:rPr>
          <w:spacing w:val="-15"/>
        </w:rPr>
        <w:t> </w:t>
      </w:r>
      <w:r>
        <w:rPr/>
        <w:t>exponentially</w:t>
      </w:r>
      <w:r>
        <w:rPr>
          <w:spacing w:val="-19"/>
        </w:rPr>
        <w:t> </w:t>
      </w:r>
      <w:r>
        <w:rPr/>
        <w:t>more</w:t>
      </w:r>
      <w:r>
        <w:rPr>
          <w:spacing w:val="-16"/>
        </w:rPr>
        <w:t> </w:t>
      </w:r>
      <w:r>
        <w:rPr/>
        <w:t>difficult</w:t>
      </w:r>
      <w:r>
        <w:rPr>
          <w:spacing w:val="-14"/>
        </w:rPr>
        <w:t> </w:t>
      </w:r>
      <w:r>
        <w:rPr/>
        <w:t>challenges as the storm impact increases the resource gap for</w:t>
      </w:r>
      <w:r>
        <w:rPr>
          <w:spacing w:val="-12"/>
        </w:rPr>
        <w:t> </w:t>
      </w:r>
      <w:r>
        <w:rPr/>
        <w:t>care.</w:t>
      </w:r>
    </w:p>
    <w:p>
      <w:pPr>
        <w:pStyle w:val="BodyText"/>
        <w:spacing w:before="11"/>
        <w:rPr>
          <w:sz w:val="23"/>
        </w:rPr>
      </w:pPr>
    </w:p>
    <w:p>
      <w:pPr>
        <w:pStyle w:val="BodyText"/>
        <w:ind w:left="120" w:right="113" w:firstLine="899"/>
        <w:jc w:val="both"/>
      </w:pPr>
      <w:r>
        <w:rPr/>
        <w:t>As an immediate problem, many enrollees have evacuated to the mainland States, where they are receiving care for which MA plans are financially responsible. Such services are often two to three times more expensive than the care they would receive in Puerto Rico. When MA</w:t>
      </w:r>
      <w:r>
        <w:rPr>
          <w:spacing w:val="-38"/>
        </w:rPr>
        <w:t> </w:t>
      </w:r>
      <w:r>
        <w:rPr/>
        <w:t>enrollees leave the Island, they most often seek medically necessary services from out of network providers that bill at rates greatly in excess of what providers receive on the island. Although PR is currently under a CMS waiver and required to pay stateside rates, managed care organizations in Puerto</w:t>
      </w:r>
      <w:r>
        <w:rPr>
          <w:spacing w:val="-26"/>
        </w:rPr>
        <w:t> </w:t>
      </w:r>
      <w:r>
        <w:rPr/>
        <w:t>Rico will be unable to pay these disproportionately higher rates over the long-term compared to local rates. As you know this payment disparity for hurricane-related out-of-network care is not reflected in the current benchmark for Puerto Rico</w:t>
      </w:r>
      <w:r>
        <w:rPr>
          <w:spacing w:val="-10"/>
        </w:rPr>
        <w:t> </w:t>
      </w:r>
      <w:r>
        <w:rPr/>
        <w:t>counties.</w:t>
      </w:r>
    </w:p>
    <w:p>
      <w:pPr>
        <w:pStyle w:val="BodyText"/>
        <w:spacing w:before="11"/>
        <w:rPr>
          <w:sz w:val="23"/>
        </w:rPr>
      </w:pPr>
    </w:p>
    <w:p>
      <w:pPr>
        <w:pStyle w:val="BodyText"/>
        <w:ind w:left="120" w:right="116" w:firstLine="899"/>
        <w:jc w:val="both"/>
      </w:pPr>
      <w:r>
        <w:rPr/>
        <w:t>As a result of the hurricanes, it is becoming more expensive to provide the care to those enrollees who remain in Puerto Rico. History has shown that patient acuities increase in the weeks and months following disasters of this type. Based on reports by the Puerto Rico Government, as</w:t>
      </w:r>
      <w:r>
        <w:rPr>
          <w:spacing w:val="-35"/>
        </w:rPr>
        <w:t> </w:t>
      </w:r>
      <w:r>
        <w:rPr/>
        <w:t>of October 18, 35% of the population is still without running water, while most lack access to clean potable water, and over 80% do not have electricity. All health plans are reporting increasing cost trends as more facilities electricity/ connectivity</w:t>
      </w:r>
      <w:r>
        <w:rPr>
          <w:spacing w:val="-14"/>
        </w:rPr>
        <w:t> </w:t>
      </w:r>
      <w:r>
        <w:rPr/>
        <w:t>increase.</w:t>
      </w:r>
    </w:p>
    <w:p>
      <w:pPr>
        <w:pStyle w:val="BodyText"/>
        <w:rPr>
          <w:sz w:val="20"/>
        </w:rPr>
      </w:pPr>
    </w:p>
    <w:p>
      <w:pPr>
        <w:pStyle w:val="BodyText"/>
        <w:rPr>
          <w:sz w:val="20"/>
        </w:rPr>
      </w:pPr>
    </w:p>
    <w:p>
      <w:pPr>
        <w:pStyle w:val="BodyText"/>
        <w:spacing w:before="2"/>
        <w:rPr>
          <w:sz w:val="12"/>
        </w:rPr>
      </w:pPr>
      <w:r>
        <w:rPr/>
        <w:pict>
          <v:line style="position:absolute;mso-position-horizontal-relative:page;mso-position-vertical-relative:paragraph;z-index:1240;mso-wrap-distance-left:0;mso-wrap-distance-right:0" from="72.024002pt,9.248911pt" to="216.044002pt,9.248911pt" stroked="true" strokeweight=".599980pt" strokecolor="#000000">
            <v:stroke dashstyle="solid"/>
            <w10:wrap type="topAndBottom"/>
          </v:line>
        </w:pict>
      </w:r>
    </w:p>
    <w:p>
      <w:pPr>
        <w:pStyle w:val="BodyText"/>
        <w:spacing w:before="9"/>
        <w:rPr>
          <w:sz w:val="18"/>
        </w:rPr>
      </w:pPr>
    </w:p>
    <w:p>
      <w:pPr>
        <w:spacing w:line="233" w:lineRule="exact" w:before="94"/>
        <w:ind w:left="120" w:right="0" w:firstLine="0"/>
        <w:jc w:val="left"/>
        <w:rPr>
          <w:sz w:val="20"/>
        </w:rPr>
      </w:pPr>
      <w:r>
        <w:rPr>
          <w:position w:val="7"/>
          <w:sz w:val="13"/>
        </w:rPr>
        <w:t>14 </w:t>
      </w:r>
      <w:r>
        <w:rPr>
          <w:i/>
          <w:sz w:val="20"/>
        </w:rPr>
        <w:t>Id</w:t>
      </w:r>
      <w:r>
        <w:rPr>
          <w:sz w:val="20"/>
        </w:rPr>
        <w:t>. at § 1860D-14(a)(3)(F); § 1935(e)(1)(A).</w:t>
      </w:r>
    </w:p>
    <w:p>
      <w:pPr>
        <w:spacing w:line="233" w:lineRule="exact" w:before="0"/>
        <w:ind w:left="120" w:right="0" w:firstLine="0"/>
        <w:jc w:val="left"/>
        <w:rPr>
          <w:sz w:val="20"/>
        </w:rPr>
      </w:pPr>
      <w:r>
        <w:rPr>
          <w:position w:val="7"/>
          <w:sz w:val="13"/>
        </w:rPr>
        <w:t>15 </w:t>
      </w:r>
      <w:r>
        <w:rPr>
          <w:i/>
          <w:sz w:val="20"/>
        </w:rPr>
        <w:t>Id</w:t>
      </w:r>
      <w:r>
        <w:rPr>
          <w:sz w:val="20"/>
        </w:rPr>
        <w:t>. at § 1935(e)(1)(B); 1935(e)(2); 42 C.F.R. § 423.907.</w:t>
      </w:r>
    </w:p>
    <w:p>
      <w:pPr>
        <w:spacing w:after="0" w:line="233" w:lineRule="exact"/>
        <w:jc w:val="left"/>
        <w:rPr>
          <w:sz w:val="20"/>
        </w:rPr>
        <w:sectPr>
          <w:footerReference w:type="default" r:id="rId13"/>
          <w:pgSz w:w="12240" w:h="15840"/>
          <w:pgMar w:footer="1092" w:header="0" w:top="1360" w:bottom="1280" w:left="1320" w:right="1140"/>
          <w:pgNumType w:start="9"/>
        </w:sectPr>
      </w:pPr>
    </w:p>
    <w:p>
      <w:pPr>
        <w:pStyle w:val="BodyText"/>
        <w:spacing w:before="79"/>
        <w:ind w:left="120" w:right="120" w:firstLine="899"/>
        <w:jc w:val="both"/>
      </w:pPr>
      <w:r>
        <w:rPr/>
        <w:t>For similar reasons, the costs of ensuring continuous ESRD treatment will soon increase to an unsustainable level; and of course, the ESRD system in Puerto Rico was already underfunded before Hurricane Maria. Moreover, the costs will inevitably rise even more due to the increasing number of our ESRD beneficiaries moving to the US to get treatment. These increases costs automatically for the system and to Medicare.</w:t>
      </w:r>
    </w:p>
    <w:p>
      <w:pPr>
        <w:pStyle w:val="BodyText"/>
        <w:spacing w:before="11"/>
        <w:rPr>
          <w:sz w:val="23"/>
        </w:rPr>
      </w:pPr>
    </w:p>
    <w:p>
      <w:pPr>
        <w:pStyle w:val="BodyText"/>
        <w:ind w:left="120" w:right="117" w:firstLine="899"/>
        <w:jc w:val="both"/>
      </w:pPr>
      <w:r>
        <w:rPr/>
        <w:t>The aforementioned context is one that can be tackled with meaningful support to the proven MA platform in Puerto Rico. The MA program contracts directly with private industry, and partners</w:t>
      </w:r>
      <w:r>
        <w:rPr>
          <w:spacing w:val="-12"/>
        </w:rPr>
        <w:t> </w:t>
      </w:r>
      <w:r>
        <w:rPr/>
        <w:t>with</w:t>
      </w:r>
      <w:r>
        <w:rPr>
          <w:spacing w:val="-11"/>
        </w:rPr>
        <w:t> </w:t>
      </w:r>
      <w:r>
        <w:rPr/>
        <w:t>managed</w:t>
      </w:r>
      <w:r>
        <w:rPr>
          <w:spacing w:val="-11"/>
        </w:rPr>
        <w:t> </w:t>
      </w:r>
      <w:r>
        <w:rPr/>
        <w:t>care</w:t>
      </w:r>
      <w:r>
        <w:rPr>
          <w:spacing w:val="-13"/>
        </w:rPr>
        <w:t> </w:t>
      </w:r>
      <w:r>
        <w:rPr/>
        <w:t>organizations</w:t>
      </w:r>
      <w:r>
        <w:rPr>
          <w:spacing w:val="-11"/>
        </w:rPr>
        <w:t> </w:t>
      </w:r>
      <w:r>
        <w:rPr/>
        <w:t>that</w:t>
      </w:r>
      <w:r>
        <w:rPr>
          <w:spacing w:val="-11"/>
        </w:rPr>
        <w:t> </w:t>
      </w:r>
      <w:r>
        <w:rPr/>
        <w:t>are</w:t>
      </w:r>
      <w:r>
        <w:rPr>
          <w:spacing w:val="-13"/>
        </w:rPr>
        <w:t> </w:t>
      </w:r>
      <w:r>
        <w:rPr/>
        <w:t>closely</w:t>
      </w:r>
      <w:r>
        <w:rPr>
          <w:spacing w:val="-16"/>
        </w:rPr>
        <w:t> </w:t>
      </w:r>
      <w:r>
        <w:rPr/>
        <w:t>regulated,</w:t>
      </w:r>
      <w:r>
        <w:rPr>
          <w:spacing w:val="-12"/>
        </w:rPr>
        <w:t> </w:t>
      </w:r>
      <w:r>
        <w:rPr/>
        <w:t>audited</w:t>
      </w:r>
      <w:r>
        <w:rPr>
          <w:spacing w:val="-9"/>
        </w:rPr>
        <w:t> </w:t>
      </w:r>
      <w:r>
        <w:rPr/>
        <w:t>and</w:t>
      </w:r>
      <w:r>
        <w:rPr>
          <w:spacing w:val="-11"/>
        </w:rPr>
        <w:t> </w:t>
      </w:r>
      <w:r>
        <w:rPr/>
        <w:t>monitored</w:t>
      </w:r>
      <w:r>
        <w:rPr>
          <w:spacing w:val="-11"/>
        </w:rPr>
        <w:t> </w:t>
      </w:r>
      <w:r>
        <w:rPr/>
        <w:t>by</w:t>
      </w:r>
      <w:r>
        <w:rPr>
          <w:spacing w:val="-16"/>
        </w:rPr>
        <w:t> </w:t>
      </w:r>
      <w:r>
        <w:rPr/>
        <w:t>CMS, as</w:t>
      </w:r>
      <w:r>
        <w:rPr>
          <w:spacing w:val="-6"/>
        </w:rPr>
        <w:t> </w:t>
      </w:r>
      <w:r>
        <w:rPr/>
        <w:t>well</w:t>
      </w:r>
      <w:r>
        <w:rPr>
          <w:spacing w:val="-5"/>
        </w:rPr>
        <w:t> </w:t>
      </w:r>
      <w:r>
        <w:rPr/>
        <w:t>as</w:t>
      </w:r>
      <w:r>
        <w:rPr>
          <w:spacing w:val="-6"/>
        </w:rPr>
        <w:t> </w:t>
      </w:r>
      <w:r>
        <w:rPr/>
        <w:t>external</w:t>
      </w:r>
      <w:r>
        <w:rPr>
          <w:spacing w:val="-3"/>
        </w:rPr>
        <w:t> </w:t>
      </w:r>
      <w:r>
        <w:rPr/>
        <w:t>auditors.</w:t>
      </w:r>
      <w:r>
        <w:rPr>
          <w:spacing w:val="-4"/>
        </w:rPr>
        <w:t> </w:t>
      </w:r>
      <w:r>
        <w:rPr/>
        <w:t>In</w:t>
      </w:r>
      <w:r>
        <w:rPr>
          <w:spacing w:val="-6"/>
        </w:rPr>
        <w:t> </w:t>
      </w:r>
      <w:r>
        <w:rPr/>
        <w:t>addition,</w:t>
      </w:r>
      <w:r>
        <w:rPr>
          <w:spacing w:val="-6"/>
        </w:rPr>
        <w:t> </w:t>
      </w:r>
      <w:r>
        <w:rPr/>
        <w:t>the</w:t>
      </w:r>
      <w:r>
        <w:rPr>
          <w:spacing w:val="-7"/>
        </w:rPr>
        <w:t> </w:t>
      </w:r>
      <w:r>
        <w:rPr/>
        <w:t>vast</w:t>
      </w:r>
      <w:r>
        <w:rPr>
          <w:spacing w:val="-6"/>
        </w:rPr>
        <w:t> </w:t>
      </w:r>
      <w:r>
        <w:rPr/>
        <w:t>majority</w:t>
      </w:r>
      <w:r>
        <w:rPr>
          <w:spacing w:val="-11"/>
        </w:rPr>
        <w:t> </w:t>
      </w:r>
      <w:r>
        <w:rPr/>
        <w:t>of</w:t>
      </w:r>
      <w:r>
        <w:rPr>
          <w:spacing w:val="-5"/>
        </w:rPr>
        <w:t> </w:t>
      </w:r>
      <w:r>
        <w:rPr/>
        <w:t>MA</w:t>
      </w:r>
      <w:r>
        <w:rPr>
          <w:spacing w:val="-7"/>
        </w:rPr>
        <w:t> </w:t>
      </w:r>
      <w:r>
        <w:rPr/>
        <w:t>plans</w:t>
      </w:r>
      <w:r>
        <w:rPr>
          <w:spacing w:val="-6"/>
        </w:rPr>
        <w:t> </w:t>
      </w:r>
      <w:r>
        <w:rPr/>
        <w:t>in</w:t>
      </w:r>
      <w:r>
        <w:rPr>
          <w:spacing w:val="-6"/>
        </w:rPr>
        <w:t> </w:t>
      </w:r>
      <w:r>
        <w:rPr/>
        <w:t>Puerto</w:t>
      </w:r>
      <w:r>
        <w:rPr>
          <w:spacing w:val="-6"/>
        </w:rPr>
        <w:t> </w:t>
      </w:r>
      <w:r>
        <w:rPr/>
        <w:t>Rico</w:t>
      </w:r>
      <w:r>
        <w:rPr>
          <w:spacing w:val="-7"/>
        </w:rPr>
        <w:t> </w:t>
      </w:r>
      <w:r>
        <w:rPr/>
        <w:t>have</w:t>
      </w:r>
      <w:r>
        <w:rPr>
          <w:spacing w:val="-7"/>
        </w:rPr>
        <w:t> </w:t>
      </w:r>
      <w:r>
        <w:rPr/>
        <w:t>obtained 4 stars for 2018, and all maintain integrated care management systems far in advance of any other line</w:t>
      </w:r>
      <w:r>
        <w:rPr>
          <w:spacing w:val="-10"/>
        </w:rPr>
        <w:t> </w:t>
      </w:r>
      <w:r>
        <w:rPr/>
        <w:t>of</w:t>
      </w:r>
      <w:r>
        <w:rPr>
          <w:spacing w:val="-9"/>
        </w:rPr>
        <w:t> </w:t>
      </w:r>
      <w:r>
        <w:rPr/>
        <w:t>business</w:t>
      </w:r>
      <w:r>
        <w:rPr>
          <w:spacing w:val="-8"/>
        </w:rPr>
        <w:t> </w:t>
      </w:r>
      <w:r>
        <w:rPr/>
        <w:t>in</w:t>
      </w:r>
      <w:r>
        <w:rPr>
          <w:spacing w:val="-6"/>
        </w:rPr>
        <w:t> </w:t>
      </w:r>
      <w:r>
        <w:rPr/>
        <w:t>Puerto</w:t>
      </w:r>
      <w:r>
        <w:rPr>
          <w:spacing w:val="-6"/>
        </w:rPr>
        <w:t> </w:t>
      </w:r>
      <w:r>
        <w:rPr/>
        <w:t>Rico.</w:t>
      </w:r>
      <w:r>
        <w:rPr>
          <w:spacing w:val="44"/>
        </w:rPr>
        <w:t> </w:t>
      </w:r>
      <w:r>
        <w:rPr/>
        <w:t>For</w:t>
      </w:r>
      <w:r>
        <w:rPr>
          <w:spacing w:val="-7"/>
        </w:rPr>
        <w:t> </w:t>
      </w:r>
      <w:r>
        <w:rPr/>
        <w:t>example,</w:t>
      </w:r>
      <w:r>
        <w:rPr>
          <w:spacing w:val="-9"/>
        </w:rPr>
        <w:t> </w:t>
      </w:r>
      <w:r>
        <w:rPr/>
        <w:t>the</w:t>
      </w:r>
      <w:r>
        <w:rPr>
          <w:spacing w:val="-4"/>
        </w:rPr>
        <w:t> </w:t>
      </w:r>
      <w:r>
        <w:rPr/>
        <w:t>MA</w:t>
      </w:r>
      <w:r>
        <w:rPr>
          <w:spacing w:val="-9"/>
        </w:rPr>
        <w:t> </w:t>
      </w:r>
      <w:r>
        <w:rPr/>
        <w:t>program</w:t>
      </w:r>
      <w:r>
        <w:rPr>
          <w:spacing w:val="-8"/>
        </w:rPr>
        <w:t> </w:t>
      </w:r>
      <w:r>
        <w:rPr/>
        <w:t>in</w:t>
      </w:r>
      <w:r>
        <w:rPr>
          <w:spacing w:val="-8"/>
        </w:rPr>
        <w:t> </w:t>
      </w:r>
      <w:r>
        <w:rPr/>
        <w:t>Puerto</w:t>
      </w:r>
      <w:r>
        <w:rPr>
          <w:spacing w:val="-9"/>
        </w:rPr>
        <w:t> </w:t>
      </w:r>
      <w:r>
        <w:rPr/>
        <w:t>Rico</w:t>
      </w:r>
      <w:r>
        <w:rPr>
          <w:spacing w:val="-9"/>
        </w:rPr>
        <w:t> </w:t>
      </w:r>
      <w:r>
        <w:rPr/>
        <w:t>takes</w:t>
      </w:r>
      <w:r>
        <w:rPr>
          <w:spacing w:val="-6"/>
        </w:rPr>
        <w:t> </w:t>
      </w:r>
      <w:r>
        <w:rPr/>
        <w:t>care</w:t>
      </w:r>
      <w:r>
        <w:rPr>
          <w:spacing w:val="-8"/>
        </w:rPr>
        <w:t> </w:t>
      </w:r>
      <w:r>
        <w:rPr/>
        <w:t>of</w:t>
      </w:r>
      <w:r>
        <w:rPr>
          <w:spacing w:val="-9"/>
        </w:rPr>
        <w:t> </w:t>
      </w:r>
      <w:r>
        <w:rPr/>
        <w:t>the</w:t>
      </w:r>
      <w:r>
        <w:rPr>
          <w:spacing w:val="-7"/>
        </w:rPr>
        <w:t> </w:t>
      </w:r>
      <w:r>
        <w:rPr/>
        <w:t>most fragile population in our system, including 98% of all the dual eligible and over 50% of all the Medicare beneficiaries with ESRD. Fraud, waste and abuse programs, and the positive pressures of market competition have also been evident in the recent performance of the program on the</w:t>
      </w:r>
      <w:r>
        <w:rPr>
          <w:spacing w:val="-15"/>
        </w:rPr>
        <w:t> </w:t>
      </w:r>
      <w:r>
        <w:rPr/>
        <w:t>island.</w:t>
      </w:r>
    </w:p>
    <w:p>
      <w:pPr>
        <w:pStyle w:val="BodyText"/>
        <w:rPr>
          <w:sz w:val="26"/>
        </w:rPr>
      </w:pPr>
    </w:p>
    <w:p>
      <w:pPr>
        <w:pStyle w:val="BodyText"/>
        <w:rPr>
          <w:sz w:val="22"/>
        </w:rPr>
      </w:pPr>
    </w:p>
    <w:p>
      <w:pPr>
        <w:pStyle w:val="Heading1"/>
        <w:numPr>
          <w:ilvl w:val="0"/>
          <w:numId w:val="1"/>
        </w:numPr>
        <w:tabs>
          <w:tab w:pos="1200" w:val="left" w:leader="none"/>
          <w:tab w:pos="1201" w:val="left" w:leader="none"/>
        </w:tabs>
        <w:spacing w:line="240" w:lineRule="auto" w:before="0" w:after="0"/>
        <w:ind w:left="1200" w:right="118" w:hanging="720"/>
        <w:jc w:val="left"/>
      </w:pPr>
      <w:r>
        <w:rPr>
          <w:u w:val="thick"/>
        </w:rPr>
        <w:t>CMS Has Authority Under Statute to Take Action in its Ratemaking Methodology in the Absence of Reliable</w:t>
      </w:r>
      <w:r>
        <w:rPr>
          <w:spacing w:val="-5"/>
          <w:u w:val="thick"/>
        </w:rPr>
        <w:t> </w:t>
      </w:r>
      <w:r>
        <w:rPr>
          <w:u w:val="thick"/>
        </w:rPr>
        <w:t>Data</w:t>
      </w:r>
    </w:p>
    <w:p>
      <w:pPr>
        <w:pStyle w:val="BodyText"/>
        <w:spacing w:before="2"/>
        <w:rPr>
          <w:b/>
          <w:sz w:val="16"/>
        </w:rPr>
      </w:pPr>
    </w:p>
    <w:p>
      <w:pPr>
        <w:pStyle w:val="Heading2"/>
        <w:ind w:left="1200"/>
      </w:pPr>
      <w:r>
        <w:rPr>
          <w:i/>
        </w:rPr>
        <w:t>Statue allows to use data from another jurisdiction as a proxy in setting the MA </w:t>
      </w:r>
      <w:r>
        <w:rPr/>
        <w:t>benchmark for Puerto Rico</w:t>
      </w:r>
    </w:p>
    <w:p>
      <w:pPr>
        <w:pStyle w:val="BodyText"/>
        <w:spacing w:before="2"/>
        <w:rPr>
          <w:b/>
          <w:i/>
        </w:rPr>
      </w:pPr>
    </w:p>
    <w:p>
      <w:pPr>
        <w:pStyle w:val="BodyText"/>
        <w:spacing w:line="237" w:lineRule="auto"/>
        <w:ind w:left="120" w:right="113" w:firstLine="719"/>
        <w:jc w:val="both"/>
      </w:pPr>
      <w:r>
        <w:rPr/>
        <w:t>We have shared with CMS an October 11, 2017 legal memorandum from Epstein Becker &amp; Green, P.C. that demonstrates that the use of an MA benchmark proxy would be consistent with authority provided to the Secretary of HHS by Congress. (</w:t>
      </w:r>
      <w:r>
        <w:rPr>
          <w:b/>
          <w:i/>
        </w:rPr>
        <w:t>See Appendix 2</w:t>
      </w:r>
      <w:r>
        <w:rPr/>
        <w:t>) Specifically, the statute explicitly allows the Secretary to use alternative FFS data sources from “a similar [geographic] area,”</w:t>
      </w:r>
      <w:r>
        <w:rPr>
          <w:position w:val="9"/>
          <w:sz w:val="16"/>
        </w:rPr>
        <w:t>16 </w:t>
      </w:r>
      <w:r>
        <w:rPr/>
        <w:t>when the data from the jurisdiction is not reliable for use in setting the benchmark. Further, courts recognize broad authority of agencies like CMS to effectively administer programs, such as MA. Finally, the legislative and regulatory history demonstrates that Congress anticipated the use of proxy data sources in establishing Puerto Rico MA benchmarks.</w:t>
      </w:r>
    </w:p>
    <w:p>
      <w:pPr>
        <w:pStyle w:val="BodyText"/>
        <w:spacing w:before="2"/>
      </w:pPr>
    </w:p>
    <w:p>
      <w:pPr>
        <w:pStyle w:val="BodyText"/>
        <w:spacing w:line="237" w:lineRule="auto"/>
        <w:ind w:left="120" w:right="116" w:firstLine="719"/>
        <w:jc w:val="both"/>
      </w:pPr>
      <w:r>
        <w:rPr/>
        <w:t>In this case, we recommend that CMS apply the average geographic adjustment (AGA) for counties that have a similar Cost of Living Index (COLI) to Puerto Rico using a nationally recognized survey.</w:t>
      </w:r>
      <w:r>
        <w:rPr>
          <w:position w:val="9"/>
          <w:sz w:val="16"/>
        </w:rPr>
        <w:t>17 </w:t>
      </w:r>
      <w:r>
        <w:rPr/>
        <w:t>Given that anomalous health care economics and Medicare FFS data are not a reliable source in Puerto Rico as Congress assumed, using the MA factors of similarly situated counties in terms of COLI provides a rational basis for a proxy. Alternatively, the use of the factors applicable to the U.S. Virgin Islands (USVI) when calculating the Puerto Rico MA benchmark is also a possibility, supported by recent policies formalized by CMS for Part B payments.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r>
        <w:rPr/>
        <w:pict>
          <v:line style="position:absolute;mso-position-horizontal-relative:page;mso-position-vertical-relative:paragraph;z-index:1264;mso-wrap-distance-left:0;mso-wrap-distance-right:0" from="72.024002pt,15.669388pt" to="216.044002pt,15.669388pt" stroked="true" strokeweight=".599980pt" strokecolor="#000000">
            <v:stroke dashstyle="solid"/>
            <w10:wrap type="topAndBottom"/>
          </v:line>
        </w:pict>
      </w:r>
    </w:p>
    <w:p>
      <w:pPr>
        <w:pStyle w:val="BodyText"/>
        <w:spacing w:before="9"/>
        <w:rPr>
          <w:sz w:val="18"/>
        </w:rPr>
      </w:pPr>
    </w:p>
    <w:p>
      <w:pPr>
        <w:spacing w:line="233" w:lineRule="exact" w:before="94"/>
        <w:ind w:left="120" w:right="0" w:firstLine="0"/>
        <w:jc w:val="left"/>
        <w:rPr>
          <w:sz w:val="20"/>
        </w:rPr>
      </w:pPr>
      <w:r>
        <w:rPr>
          <w:position w:val="7"/>
          <w:sz w:val="13"/>
        </w:rPr>
        <w:t>16 </w:t>
      </w:r>
      <w:r>
        <w:rPr>
          <w:sz w:val="20"/>
        </w:rPr>
        <w:t>SSA § 1876(a)(4).</w:t>
      </w:r>
    </w:p>
    <w:p>
      <w:pPr>
        <w:spacing w:line="233" w:lineRule="exact" w:before="0"/>
        <w:ind w:left="120" w:right="0" w:firstLine="0"/>
        <w:jc w:val="left"/>
        <w:rPr>
          <w:sz w:val="20"/>
        </w:rPr>
      </w:pPr>
      <w:r>
        <w:rPr>
          <w:position w:val="7"/>
          <w:sz w:val="13"/>
        </w:rPr>
        <w:t>17 </w:t>
      </w:r>
      <w:r>
        <w:rPr>
          <w:sz w:val="20"/>
        </w:rPr>
        <w:t>The Council for Community and Economic Research. </w:t>
      </w:r>
      <w:hyperlink r:id="rId14">
        <w:r>
          <w:rPr>
            <w:color w:val="0000FF"/>
            <w:sz w:val="20"/>
            <w:u w:val="single" w:color="0000FF"/>
          </w:rPr>
          <w:t>http://coli.org/</w:t>
        </w:r>
      </w:hyperlink>
    </w:p>
    <w:p>
      <w:pPr>
        <w:spacing w:after="0" w:line="233" w:lineRule="exact"/>
        <w:jc w:val="left"/>
        <w:rPr>
          <w:sz w:val="20"/>
        </w:rPr>
        <w:sectPr>
          <w:pgSz w:w="12240" w:h="15840"/>
          <w:pgMar w:header="0" w:footer="1092" w:top="1360" w:bottom="1340" w:left="1320" w:right="1140"/>
        </w:sectPr>
      </w:pPr>
    </w:p>
    <w:p>
      <w:pPr>
        <w:pStyle w:val="Heading1"/>
        <w:numPr>
          <w:ilvl w:val="0"/>
          <w:numId w:val="1"/>
        </w:numPr>
        <w:tabs>
          <w:tab w:pos="1180" w:val="left" w:leader="none"/>
          <w:tab w:pos="1181" w:val="left" w:leader="none"/>
        </w:tabs>
        <w:spacing w:line="240" w:lineRule="auto" w:before="79" w:after="0"/>
        <w:ind w:left="1180" w:right="0" w:hanging="720"/>
        <w:jc w:val="left"/>
      </w:pPr>
      <w:r>
        <w:rPr>
          <w:u w:val="thick"/>
        </w:rPr>
        <w:t>The MA Benchmark Proxy is Supported by Regulatory</w:t>
      </w:r>
      <w:r>
        <w:rPr>
          <w:spacing w:val="-17"/>
          <w:u w:val="thick"/>
        </w:rPr>
        <w:t> </w:t>
      </w:r>
      <w:r>
        <w:rPr>
          <w:u w:val="thick"/>
        </w:rPr>
        <w:t>Precedent</w:t>
      </w:r>
    </w:p>
    <w:p>
      <w:pPr>
        <w:pStyle w:val="BodyText"/>
        <w:spacing w:before="1"/>
        <w:rPr>
          <w:b/>
          <w:sz w:val="16"/>
        </w:rPr>
      </w:pPr>
    </w:p>
    <w:p>
      <w:pPr>
        <w:pStyle w:val="Heading2"/>
        <w:ind w:left="1180" w:right="115"/>
        <w:jc w:val="both"/>
      </w:pPr>
      <w:r>
        <w:rPr>
          <w:i/>
        </w:rPr>
        <w:t>Information is provided to tie Puerto Rico counties to the level of similarly situated </w:t>
      </w:r>
      <w:r>
        <w:rPr/>
        <w:t>counties</w:t>
      </w:r>
      <w:r>
        <w:rPr>
          <w:spacing w:val="-12"/>
        </w:rPr>
        <w:t> </w:t>
      </w:r>
      <w:r>
        <w:rPr/>
        <w:t>in</w:t>
      </w:r>
      <w:r>
        <w:rPr>
          <w:spacing w:val="-13"/>
        </w:rPr>
        <w:t> </w:t>
      </w:r>
      <w:r>
        <w:rPr/>
        <w:t>terms</w:t>
      </w:r>
      <w:r>
        <w:rPr>
          <w:spacing w:val="-14"/>
        </w:rPr>
        <w:t> </w:t>
      </w:r>
      <w:r>
        <w:rPr/>
        <w:t>of</w:t>
      </w:r>
      <w:r>
        <w:rPr>
          <w:spacing w:val="-11"/>
        </w:rPr>
        <w:t> </w:t>
      </w:r>
      <w:r>
        <w:rPr/>
        <w:t>(non-health</w:t>
      </w:r>
      <w:r>
        <w:rPr>
          <w:spacing w:val="-11"/>
        </w:rPr>
        <w:t> </w:t>
      </w:r>
      <w:r>
        <w:rPr/>
        <w:t>care)</w:t>
      </w:r>
      <w:r>
        <w:rPr>
          <w:spacing w:val="-12"/>
        </w:rPr>
        <w:t> </w:t>
      </w:r>
      <w:r>
        <w:rPr/>
        <w:t>costs</w:t>
      </w:r>
      <w:r>
        <w:rPr>
          <w:spacing w:val="-11"/>
        </w:rPr>
        <w:t> </w:t>
      </w:r>
      <w:r>
        <w:rPr/>
        <w:t>of</w:t>
      </w:r>
      <w:r>
        <w:rPr>
          <w:spacing w:val="-13"/>
        </w:rPr>
        <w:t> </w:t>
      </w:r>
      <w:r>
        <w:rPr/>
        <w:t>living,</w:t>
      </w:r>
      <w:r>
        <w:rPr>
          <w:spacing w:val="-12"/>
        </w:rPr>
        <w:t> </w:t>
      </w:r>
      <w:r>
        <w:rPr/>
        <w:t>or</w:t>
      </w:r>
      <w:r>
        <w:rPr>
          <w:spacing w:val="-12"/>
        </w:rPr>
        <w:t> </w:t>
      </w:r>
      <w:r>
        <w:rPr/>
        <w:t>at</w:t>
      </w:r>
      <w:r>
        <w:rPr>
          <w:spacing w:val="-14"/>
        </w:rPr>
        <w:t> </w:t>
      </w:r>
      <w:r>
        <w:rPr/>
        <w:t>least</w:t>
      </w:r>
      <w:r>
        <w:rPr>
          <w:spacing w:val="-14"/>
        </w:rPr>
        <w:t> </w:t>
      </w:r>
      <w:r>
        <w:rPr/>
        <w:t>to</w:t>
      </w:r>
      <w:r>
        <w:rPr>
          <w:spacing w:val="-12"/>
        </w:rPr>
        <w:t> </w:t>
      </w:r>
      <w:r>
        <w:rPr/>
        <w:t>the</w:t>
      </w:r>
      <w:r>
        <w:rPr>
          <w:spacing w:val="-13"/>
        </w:rPr>
        <w:t> </w:t>
      </w:r>
      <w:r>
        <w:rPr/>
        <w:t>level</w:t>
      </w:r>
      <w:r>
        <w:rPr>
          <w:spacing w:val="-12"/>
        </w:rPr>
        <w:t> </w:t>
      </w:r>
      <w:r>
        <w:rPr/>
        <w:t>of</w:t>
      </w:r>
      <w:r>
        <w:rPr>
          <w:spacing w:val="-13"/>
        </w:rPr>
        <w:t> </w:t>
      </w:r>
      <w:r>
        <w:rPr/>
        <w:t>the</w:t>
      </w:r>
      <w:r>
        <w:rPr>
          <w:spacing w:val="-13"/>
        </w:rPr>
        <w:t> </w:t>
      </w:r>
      <w:r>
        <w:rPr/>
        <w:t>USVI MA</w:t>
      </w:r>
      <w:r>
        <w:rPr>
          <w:spacing w:val="-3"/>
        </w:rPr>
        <w:t> </w:t>
      </w:r>
      <w:r>
        <w:rPr/>
        <w:t>benchmark</w:t>
      </w:r>
    </w:p>
    <w:p>
      <w:pPr>
        <w:pStyle w:val="BodyText"/>
        <w:spacing w:before="11"/>
        <w:rPr>
          <w:b/>
          <w:i/>
          <w:sz w:val="23"/>
        </w:rPr>
      </w:pPr>
    </w:p>
    <w:p>
      <w:pPr>
        <w:pStyle w:val="ListParagraph"/>
        <w:numPr>
          <w:ilvl w:val="1"/>
          <w:numId w:val="1"/>
        </w:numPr>
        <w:tabs>
          <w:tab w:pos="1541" w:val="left" w:leader="none"/>
        </w:tabs>
        <w:spacing w:line="240" w:lineRule="auto" w:before="0" w:after="0"/>
        <w:ind w:left="1560" w:right="0" w:hanging="380"/>
        <w:jc w:val="both"/>
        <w:rPr>
          <w:sz w:val="24"/>
        </w:rPr>
      </w:pPr>
      <w:r>
        <w:rPr>
          <w:sz w:val="24"/>
        </w:rPr>
        <w:t>Using similarly situated counties in terms of cost of</w:t>
      </w:r>
      <w:r>
        <w:rPr>
          <w:spacing w:val="-7"/>
          <w:sz w:val="24"/>
        </w:rPr>
        <w:t> </w:t>
      </w:r>
      <w:r>
        <w:rPr>
          <w:sz w:val="24"/>
        </w:rPr>
        <w:t>living</w:t>
      </w:r>
    </w:p>
    <w:p>
      <w:pPr>
        <w:pStyle w:val="BodyText"/>
      </w:pPr>
    </w:p>
    <w:p>
      <w:pPr>
        <w:pStyle w:val="BodyText"/>
        <w:ind w:left="100" w:right="115" w:firstLine="719"/>
        <w:jc w:val="both"/>
      </w:pPr>
      <w:r>
        <w:rPr/>
        <w:t>Historic statutory differences and data anomalies in Puerto Rico have generated a deficient health care economy that is self-perpetuated and exacerbated by standard formulas used in rate setting. As an alternative to identify an appropriate proxy for MA rates, we propose that CMS uses the COLI done by the </w:t>
      </w:r>
      <w:r>
        <w:rPr>
          <w:b/>
          <w:i/>
        </w:rPr>
        <w:t>Council for Community and Economic Research </w:t>
      </w:r>
      <w:r>
        <w:rPr/>
        <w:t>to identify counties with similar costs of living and use their MA benchmarks as a proxy for Puerto Rico’s.</w:t>
      </w:r>
    </w:p>
    <w:p>
      <w:pPr>
        <w:pStyle w:val="BodyText"/>
      </w:pPr>
    </w:p>
    <w:p>
      <w:pPr>
        <w:pStyle w:val="BodyText"/>
        <w:ind w:left="100" w:right="118"/>
        <w:jc w:val="both"/>
      </w:pPr>
      <w:r>
        <w:rPr/>
        <w:t>If we review the ranking of cities in the COLI with the most recent data, we find that Madison, Wisconsin,</w:t>
      </w:r>
      <w:r>
        <w:rPr>
          <w:spacing w:val="-6"/>
        </w:rPr>
        <w:t> </w:t>
      </w:r>
      <w:r>
        <w:rPr/>
        <w:t>has</w:t>
      </w:r>
      <w:r>
        <w:rPr>
          <w:spacing w:val="-6"/>
        </w:rPr>
        <w:t> </w:t>
      </w:r>
      <w:r>
        <w:rPr/>
        <w:t>the</w:t>
      </w:r>
      <w:r>
        <w:rPr>
          <w:spacing w:val="-7"/>
        </w:rPr>
        <w:t> </w:t>
      </w:r>
      <w:r>
        <w:rPr/>
        <w:t>same</w:t>
      </w:r>
      <w:r>
        <w:rPr>
          <w:spacing w:val="-4"/>
        </w:rPr>
        <w:t> </w:t>
      </w:r>
      <w:r>
        <w:rPr/>
        <w:t>non-health</w:t>
      </w:r>
      <w:r>
        <w:rPr>
          <w:spacing w:val="-6"/>
        </w:rPr>
        <w:t> </w:t>
      </w:r>
      <w:r>
        <w:rPr/>
        <w:t>care</w:t>
      </w:r>
      <w:r>
        <w:rPr>
          <w:spacing w:val="-7"/>
        </w:rPr>
        <w:t> </w:t>
      </w:r>
      <w:r>
        <w:rPr/>
        <w:t>COLI</w:t>
      </w:r>
      <w:r>
        <w:rPr>
          <w:spacing w:val="-7"/>
        </w:rPr>
        <w:t> </w:t>
      </w:r>
      <w:r>
        <w:rPr/>
        <w:t>as</w:t>
      </w:r>
      <w:r>
        <w:rPr>
          <w:spacing w:val="-4"/>
        </w:rPr>
        <w:t> </w:t>
      </w:r>
      <w:r>
        <w:rPr/>
        <w:t>San</w:t>
      </w:r>
      <w:r>
        <w:rPr>
          <w:spacing w:val="-6"/>
        </w:rPr>
        <w:t> </w:t>
      </w:r>
      <w:r>
        <w:rPr/>
        <w:t>Juan</w:t>
      </w:r>
      <w:r>
        <w:rPr>
          <w:spacing w:val="-6"/>
        </w:rPr>
        <w:t> </w:t>
      </w:r>
      <w:r>
        <w:rPr/>
        <w:t>Puerto</w:t>
      </w:r>
      <w:r>
        <w:rPr>
          <w:spacing w:val="-6"/>
        </w:rPr>
        <w:t> </w:t>
      </w:r>
      <w:r>
        <w:rPr/>
        <w:t>Rico,</w:t>
      </w:r>
      <w:r>
        <w:rPr>
          <w:spacing w:val="-7"/>
        </w:rPr>
        <w:t> </w:t>
      </w:r>
      <w:r>
        <w:rPr/>
        <w:t>and</w:t>
      </w:r>
      <w:r>
        <w:rPr>
          <w:spacing w:val="-6"/>
        </w:rPr>
        <w:t> </w:t>
      </w:r>
      <w:r>
        <w:rPr/>
        <w:t>has</w:t>
      </w:r>
      <w:r>
        <w:rPr>
          <w:spacing w:val="-6"/>
        </w:rPr>
        <w:t> </w:t>
      </w:r>
      <w:r>
        <w:rPr/>
        <w:t>an</w:t>
      </w:r>
      <w:r>
        <w:rPr>
          <w:spacing w:val="-6"/>
        </w:rPr>
        <w:t> </w:t>
      </w:r>
      <w:r>
        <w:rPr/>
        <w:t>MA</w:t>
      </w:r>
      <w:r>
        <w:rPr>
          <w:spacing w:val="-7"/>
        </w:rPr>
        <w:t> </w:t>
      </w:r>
      <w:r>
        <w:rPr/>
        <w:t>benchmark of $794, compared to the $544 in the San Juan – Metro area (</w:t>
      </w:r>
      <w:r>
        <w:rPr>
          <w:i/>
        </w:rPr>
        <w:t>see Table below</w:t>
      </w:r>
      <w:r>
        <w:rPr/>
        <w:t>). As an applicable proxy,</w:t>
      </w:r>
      <w:r>
        <w:rPr>
          <w:spacing w:val="-10"/>
        </w:rPr>
        <w:t> </w:t>
      </w:r>
      <w:r>
        <w:rPr/>
        <w:t>we</w:t>
      </w:r>
      <w:r>
        <w:rPr>
          <w:spacing w:val="-11"/>
        </w:rPr>
        <w:t> </w:t>
      </w:r>
      <w:r>
        <w:rPr/>
        <w:t>propose</w:t>
      </w:r>
      <w:r>
        <w:rPr>
          <w:spacing w:val="-11"/>
        </w:rPr>
        <w:t> </w:t>
      </w:r>
      <w:r>
        <w:rPr/>
        <w:t>that</w:t>
      </w:r>
      <w:r>
        <w:rPr>
          <w:spacing w:val="-10"/>
        </w:rPr>
        <w:t> </w:t>
      </w:r>
      <w:r>
        <w:rPr/>
        <w:t>CMS</w:t>
      </w:r>
      <w:r>
        <w:rPr>
          <w:spacing w:val="-9"/>
        </w:rPr>
        <w:t> </w:t>
      </w:r>
      <w:r>
        <w:rPr/>
        <w:t>applies</w:t>
      </w:r>
      <w:r>
        <w:rPr>
          <w:spacing w:val="-9"/>
        </w:rPr>
        <w:t> </w:t>
      </w:r>
      <w:r>
        <w:rPr/>
        <w:t>a</w:t>
      </w:r>
      <w:r>
        <w:rPr>
          <w:spacing w:val="-11"/>
        </w:rPr>
        <w:t> </w:t>
      </w:r>
      <w:r>
        <w:rPr/>
        <w:t>factor</w:t>
      </w:r>
      <w:r>
        <w:rPr>
          <w:spacing w:val="-10"/>
        </w:rPr>
        <w:t> </w:t>
      </w:r>
      <w:r>
        <w:rPr/>
        <w:t>to</w:t>
      </w:r>
      <w:r>
        <w:rPr>
          <w:spacing w:val="-9"/>
        </w:rPr>
        <w:t> </w:t>
      </w:r>
      <w:r>
        <w:rPr/>
        <w:t>Puerto</w:t>
      </w:r>
      <w:r>
        <w:rPr>
          <w:spacing w:val="-10"/>
        </w:rPr>
        <w:t> </w:t>
      </w:r>
      <w:r>
        <w:rPr/>
        <w:t>Rico</w:t>
      </w:r>
      <w:r>
        <w:rPr>
          <w:spacing w:val="-10"/>
        </w:rPr>
        <w:t> </w:t>
      </w:r>
      <w:r>
        <w:rPr/>
        <w:t>counties</w:t>
      </w:r>
      <w:r>
        <w:rPr>
          <w:spacing w:val="-9"/>
        </w:rPr>
        <w:t> </w:t>
      </w:r>
      <w:r>
        <w:rPr/>
        <w:t>corresponding</w:t>
      </w:r>
      <w:r>
        <w:rPr>
          <w:spacing w:val="-12"/>
        </w:rPr>
        <w:t> </w:t>
      </w:r>
      <w:r>
        <w:rPr/>
        <w:t>to</w:t>
      </w:r>
      <w:r>
        <w:rPr>
          <w:spacing w:val="-9"/>
        </w:rPr>
        <w:t> </w:t>
      </w:r>
      <w:r>
        <w:rPr/>
        <w:t>the</w:t>
      </w:r>
      <w:r>
        <w:rPr>
          <w:spacing w:val="-10"/>
        </w:rPr>
        <w:t> </w:t>
      </w:r>
      <w:r>
        <w:rPr/>
        <w:t>difference between the MA benchmark in San Juan Metro and Wisconsin. This would base the definition of the proxy on the connection between Puerto Rico and a similar geographic area in terms of cost of living.</w:t>
      </w:r>
    </w:p>
    <w:p>
      <w:pPr>
        <w:pStyle w:val="BodyText"/>
        <w:spacing w:before="10"/>
        <w:rPr>
          <w:sz w:val="23"/>
        </w:rPr>
      </w:pPr>
    </w:p>
    <w:p>
      <w:pPr>
        <w:pStyle w:val="Heading1"/>
        <w:spacing w:before="1"/>
        <w:ind w:left="100" w:firstLine="0"/>
        <w:jc w:val="both"/>
      </w:pPr>
      <w:r>
        <w:rPr>
          <w:u w:val="thick"/>
        </w:rPr>
        <w:t>Table: Relation of COLI to MA Benchmarks (Areas with COLI of 100 to 106)</w:t>
      </w:r>
    </w:p>
    <w:p>
      <w:pPr>
        <w:pStyle w:val="BodyText"/>
        <w:spacing w:before="10"/>
        <w:rPr>
          <w:b/>
          <w:sz w:val="23"/>
        </w:rPr>
      </w:pP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6"/>
        <w:gridCol w:w="3074"/>
        <w:gridCol w:w="2219"/>
        <w:gridCol w:w="1317"/>
        <w:gridCol w:w="1343"/>
      </w:tblGrid>
      <w:tr>
        <w:trPr>
          <w:trHeight w:val="472" w:hRule="exact"/>
        </w:trPr>
        <w:tc>
          <w:tcPr>
            <w:tcW w:w="1396" w:type="dxa"/>
            <w:tcBorders>
              <w:right w:val="single" w:sz="4" w:space="0" w:color="D3D3D3"/>
            </w:tcBorders>
          </w:tcPr>
          <w:p>
            <w:pPr>
              <w:pStyle w:val="TableParagraph"/>
              <w:spacing w:before="10"/>
              <w:rPr>
                <w:rFonts w:ascii="Times New Roman"/>
                <w:b/>
                <w:sz w:val="20"/>
              </w:rPr>
            </w:pPr>
          </w:p>
          <w:p>
            <w:pPr>
              <w:pStyle w:val="TableParagraph"/>
              <w:spacing w:before="0"/>
              <w:ind w:left="31"/>
              <w:rPr>
                <w:b/>
                <w:sz w:val="18"/>
              </w:rPr>
            </w:pPr>
            <w:r>
              <w:rPr>
                <w:b/>
                <w:sz w:val="18"/>
              </w:rPr>
              <w:t>STATE</w:t>
            </w:r>
          </w:p>
        </w:tc>
        <w:tc>
          <w:tcPr>
            <w:tcW w:w="3074" w:type="dxa"/>
            <w:tcBorders>
              <w:left w:val="single" w:sz="4" w:space="0" w:color="D3D3D3"/>
              <w:right w:val="single" w:sz="4" w:space="0" w:color="D3D3D3"/>
            </w:tcBorders>
          </w:tcPr>
          <w:p>
            <w:pPr>
              <w:pStyle w:val="TableParagraph"/>
              <w:spacing w:before="10"/>
              <w:rPr>
                <w:rFonts w:ascii="Times New Roman"/>
                <w:b/>
                <w:sz w:val="20"/>
              </w:rPr>
            </w:pPr>
          </w:p>
          <w:p>
            <w:pPr>
              <w:pStyle w:val="TableParagraph"/>
              <w:spacing w:before="0"/>
              <w:ind w:left="31"/>
              <w:rPr>
                <w:b/>
                <w:sz w:val="18"/>
              </w:rPr>
            </w:pPr>
            <w:r>
              <w:rPr>
                <w:b/>
                <w:sz w:val="18"/>
              </w:rPr>
              <w:t>METRO/MICRO</w:t>
            </w:r>
          </w:p>
        </w:tc>
        <w:tc>
          <w:tcPr>
            <w:tcW w:w="2219" w:type="dxa"/>
            <w:tcBorders>
              <w:left w:val="single" w:sz="4" w:space="0" w:color="D3D3D3"/>
              <w:right w:val="single" w:sz="8" w:space="0" w:color="000000"/>
            </w:tcBorders>
          </w:tcPr>
          <w:p>
            <w:pPr>
              <w:pStyle w:val="TableParagraph"/>
              <w:spacing w:before="10"/>
              <w:rPr>
                <w:rFonts w:ascii="Times New Roman"/>
                <w:b/>
                <w:sz w:val="20"/>
              </w:rPr>
            </w:pPr>
          </w:p>
          <w:p>
            <w:pPr>
              <w:pStyle w:val="TableParagraph"/>
              <w:spacing w:before="0"/>
              <w:ind w:right="-1"/>
              <w:jc w:val="right"/>
              <w:rPr>
                <w:b/>
                <w:sz w:val="18"/>
              </w:rPr>
            </w:pPr>
            <w:r>
              <w:rPr>
                <w:b/>
                <w:spacing w:val="-6"/>
                <w:sz w:val="18"/>
              </w:rPr>
              <w:t>URBAN AREA AND STATE</w:t>
            </w:r>
          </w:p>
        </w:tc>
        <w:tc>
          <w:tcPr>
            <w:tcW w:w="2660" w:type="dxa"/>
            <w:gridSpan w:val="2"/>
            <w:tcBorders>
              <w:left w:val="single" w:sz="8" w:space="0" w:color="000000"/>
            </w:tcBorders>
            <w:shd w:val="clear" w:color="auto" w:fill="1F4E78"/>
          </w:tcPr>
          <w:p>
            <w:pPr>
              <w:pStyle w:val="TableParagraph"/>
              <w:tabs>
                <w:tab w:pos="1416" w:val="left" w:leader="none"/>
                <w:tab w:pos="1510" w:val="left" w:leader="none"/>
              </w:tabs>
              <w:spacing w:line="266" w:lineRule="auto" w:before="0"/>
              <w:ind w:left="230" w:right="102" w:hanging="42"/>
              <w:rPr>
                <w:b/>
                <w:sz w:val="18"/>
              </w:rPr>
            </w:pPr>
            <w:r>
              <w:rPr>
                <w:b/>
                <w:color w:val="FFFFFF"/>
                <w:spacing w:val="-3"/>
                <w:sz w:val="18"/>
              </w:rPr>
              <w:t>Non-Health</w:t>
              <w:tab/>
            </w:r>
            <w:r>
              <w:rPr>
                <w:b/>
                <w:color w:val="FFFFFF"/>
                <w:spacing w:val="-4"/>
                <w:sz w:val="18"/>
              </w:rPr>
              <w:t>2018</w:t>
            </w:r>
            <w:r>
              <w:rPr>
                <w:b/>
                <w:color w:val="FFFFFF"/>
                <w:spacing w:val="-10"/>
                <w:sz w:val="18"/>
              </w:rPr>
              <w:t> </w:t>
            </w:r>
            <w:r>
              <w:rPr>
                <w:b/>
                <w:color w:val="FFFFFF"/>
                <w:sz w:val="18"/>
              </w:rPr>
              <w:t>Part</w:t>
            </w:r>
            <w:r>
              <w:rPr>
                <w:b/>
                <w:color w:val="FFFFFF"/>
                <w:spacing w:val="-3"/>
                <w:sz w:val="18"/>
              </w:rPr>
              <w:t> </w:t>
            </w:r>
            <w:r>
              <w:rPr>
                <w:b/>
                <w:color w:val="FFFFFF"/>
                <w:spacing w:val="-4"/>
                <w:sz w:val="18"/>
              </w:rPr>
              <w:t>A/B</w:t>
            </w:r>
            <w:r>
              <w:rPr>
                <w:b/>
                <w:color w:val="FFFFFF"/>
                <w:w w:val="99"/>
                <w:sz w:val="18"/>
              </w:rPr>
              <w:t> </w:t>
            </w:r>
            <w:r>
              <w:rPr>
                <w:b/>
                <w:color w:val="FFFFFF"/>
                <w:sz w:val="18"/>
              </w:rPr>
              <w:t>Care</w:t>
            </w:r>
            <w:r>
              <w:rPr>
                <w:b/>
                <w:color w:val="FFFFFF"/>
                <w:spacing w:val="-7"/>
                <w:sz w:val="18"/>
              </w:rPr>
              <w:t> </w:t>
            </w:r>
            <w:r>
              <w:rPr>
                <w:b/>
                <w:color w:val="FFFFFF"/>
                <w:spacing w:val="-3"/>
                <w:sz w:val="18"/>
              </w:rPr>
              <w:t>COLI</w:t>
              <w:tab/>
              <w:tab/>
            </w:r>
            <w:r>
              <w:rPr>
                <w:b/>
                <w:color w:val="FFFFFF"/>
                <w:spacing w:val="-5"/>
                <w:sz w:val="18"/>
              </w:rPr>
              <w:t>Benchmark</w:t>
            </w:r>
          </w:p>
        </w:tc>
      </w:tr>
      <w:tr>
        <w:trPr>
          <w:trHeight w:val="231" w:hRule="exact"/>
        </w:trPr>
        <w:tc>
          <w:tcPr>
            <w:tcW w:w="1396" w:type="dxa"/>
            <w:tcBorders>
              <w:bottom w:val="single" w:sz="4" w:space="0" w:color="D3D3D3"/>
              <w:right w:val="single" w:sz="4" w:space="0" w:color="D3D3D3"/>
            </w:tcBorders>
          </w:tcPr>
          <w:p>
            <w:pPr>
              <w:pStyle w:val="TableParagraph"/>
              <w:ind w:left="31"/>
              <w:rPr>
                <w:sz w:val="18"/>
              </w:rPr>
            </w:pPr>
            <w:r>
              <w:rPr>
                <w:sz w:val="18"/>
              </w:rPr>
              <w:t>North Dakota</w:t>
            </w:r>
          </w:p>
        </w:tc>
        <w:tc>
          <w:tcPr>
            <w:tcW w:w="3074" w:type="dxa"/>
            <w:tcBorders>
              <w:left w:val="single" w:sz="4" w:space="0" w:color="D3D3D3"/>
              <w:bottom w:val="single" w:sz="4" w:space="0" w:color="D3D3D3"/>
              <w:right w:val="single" w:sz="4" w:space="0" w:color="D3D3D3"/>
            </w:tcBorders>
          </w:tcPr>
          <w:p>
            <w:pPr>
              <w:pStyle w:val="TableParagraph"/>
              <w:ind w:left="31"/>
              <w:rPr>
                <w:sz w:val="18"/>
              </w:rPr>
            </w:pPr>
            <w:r>
              <w:rPr>
                <w:sz w:val="18"/>
              </w:rPr>
              <w:t>Fargo ND-MN Metro</w:t>
            </w:r>
          </w:p>
        </w:tc>
        <w:tc>
          <w:tcPr>
            <w:tcW w:w="2219" w:type="dxa"/>
            <w:tcBorders>
              <w:left w:val="single" w:sz="4" w:space="0" w:color="D3D3D3"/>
              <w:bottom w:val="single" w:sz="4" w:space="0" w:color="D3D3D3"/>
              <w:right w:val="single" w:sz="8" w:space="0" w:color="000000"/>
            </w:tcBorders>
          </w:tcPr>
          <w:p>
            <w:pPr>
              <w:pStyle w:val="TableParagraph"/>
              <w:ind w:left="31"/>
              <w:rPr>
                <w:sz w:val="18"/>
              </w:rPr>
            </w:pPr>
            <w:r>
              <w:rPr>
                <w:sz w:val="18"/>
              </w:rPr>
              <w:t>Fargo-Moorhead ND-MN</w:t>
            </w:r>
          </w:p>
        </w:tc>
        <w:tc>
          <w:tcPr>
            <w:tcW w:w="1317" w:type="dxa"/>
            <w:tcBorders>
              <w:left w:val="single" w:sz="8" w:space="0" w:color="000000"/>
              <w:bottom w:val="single" w:sz="4" w:space="0" w:color="D3D3D3"/>
              <w:right w:val="single" w:sz="4" w:space="0" w:color="D3D3D3"/>
            </w:tcBorders>
          </w:tcPr>
          <w:p>
            <w:pPr>
              <w:pStyle w:val="TableParagraph"/>
              <w:ind w:right="25"/>
              <w:jc w:val="right"/>
              <w:rPr>
                <w:sz w:val="18"/>
              </w:rPr>
            </w:pPr>
            <w:r>
              <w:rPr>
                <w:w w:val="95"/>
                <w:sz w:val="18"/>
              </w:rPr>
              <w:t>100.1</w:t>
            </w:r>
          </w:p>
        </w:tc>
        <w:tc>
          <w:tcPr>
            <w:tcW w:w="1343" w:type="dxa"/>
            <w:tcBorders>
              <w:left w:val="single" w:sz="4" w:space="0" w:color="D3D3D3"/>
              <w:bottom w:val="single" w:sz="4" w:space="0" w:color="D3D3D3"/>
            </w:tcBorders>
          </w:tcPr>
          <w:p>
            <w:pPr>
              <w:pStyle w:val="TableParagraph"/>
              <w:ind w:right="29"/>
              <w:jc w:val="right"/>
              <w:rPr>
                <w:sz w:val="18"/>
              </w:rPr>
            </w:pPr>
            <w:r>
              <w:rPr>
                <w:w w:val="95"/>
                <w:sz w:val="18"/>
              </w:rPr>
              <w:t>824</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Ohio</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Cleveland-Elyria OH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Cleveland OH</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100.2</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842</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Utah</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St. George UT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St. George UT</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100.2</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821</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Pennsylvania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Harrisburg-Carlisle PA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Harrisburg PA</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100.3</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845</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Pennsylvania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Pittsburgh PA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Pittsburgh PA</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100.7</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836</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Louisiana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New Orleans-Metairie LA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New Orleans LA</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100.9</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807</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Montana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Bozeman MT Micro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Bozeman MT</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101.1</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829</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Delaware</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Salisbury MD-DE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Sussex County DE</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880</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North Dakota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Minot ND Micro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Minot ND</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827</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Texas</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Dallas-Plano-Irving Metro Metro Div.</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Dallas TX</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909</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Washington</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Olympia-Tumwater WA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Olympia WA</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102.6</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818</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Nevada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ight="-23"/>
              <w:rPr>
                <w:sz w:val="18"/>
              </w:rPr>
            </w:pPr>
            <w:r>
              <w:rPr>
                <w:spacing w:val="-4"/>
                <w:sz w:val="18"/>
              </w:rPr>
              <w:t>Las Vegas-Henderson-Paradise </w:t>
            </w:r>
            <w:r>
              <w:rPr>
                <w:spacing w:val="-7"/>
                <w:sz w:val="18"/>
              </w:rPr>
              <w:t>NV</w:t>
            </w:r>
            <w:r>
              <w:rPr>
                <w:spacing w:val="-14"/>
                <w:sz w:val="18"/>
              </w:rPr>
              <w:t> </w:t>
            </w:r>
            <w:r>
              <w:rPr>
                <w:spacing w:val="-6"/>
                <w:sz w:val="18"/>
              </w:rPr>
              <w:t>Met</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Las Vegas NV</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102.7</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934</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Minnesota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pacing w:val="-5"/>
                <w:sz w:val="18"/>
              </w:rPr>
              <w:t>Minneapolis-St. Paul-Bloomington </w:t>
            </w:r>
            <w:r>
              <w:rPr>
                <w:spacing w:val="-9"/>
                <w:sz w:val="18"/>
              </w:rPr>
              <w:t>MN-</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122"/>
              <w:rPr>
                <w:sz w:val="18"/>
              </w:rPr>
            </w:pPr>
            <w:r>
              <w:rPr>
                <w:sz w:val="18"/>
              </w:rPr>
              <w:t>WSt. Paul MN</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103.5</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831</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South Carolina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pacing w:val="-5"/>
                <w:sz w:val="18"/>
              </w:rPr>
              <w:t>Charleston-North Charleston </w:t>
            </w:r>
            <w:r>
              <w:rPr>
                <w:sz w:val="18"/>
              </w:rPr>
              <w:t>SC </w:t>
            </w:r>
            <w:r>
              <w:rPr>
                <w:spacing w:val="-5"/>
                <w:sz w:val="18"/>
              </w:rPr>
              <w:t>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right="9"/>
              <w:jc w:val="right"/>
              <w:rPr>
                <w:sz w:val="18"/>
              </w:rPr>
            </w:pPr>
            <w:r>
              <w:rPr>
                <w:spacing w:val="-4"/>
                <w:sz w:val="18"/>
              </w:rPr>
              <w:t>Charleston-N </w:t>
            </w:r>
            <w:r>
              <w:rPr>
                <w:spacing w:val="-5"/>
                <w:sz w:val="18"/>
              </w:rPr>
              <w:t>Charleston </w:t>
            </w:r>
            <w:r>
              <w:rPr>
                <w:sz w:val="18"/>
              </w:rPr>
              <w:t>SC</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103.5</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850</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California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Bakersfield CA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Bakersfield CA</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104.6</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842</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New York</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z w:val="18"/>
              </w:rPr>
              <w:t>Ithaca NY Metro</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31"/>
              <w:rPr>
                <w:sz w:val="18"/>
              </w:rPr>
            </w:pPr>
            <w:r>
              <w:rPr>
                <w:sz w:val="18"/>
              </w:rPr>
              <w:t>Ithaca NY</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104.8</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703</w:t>
            </w:r>
          </w:p>
        </w:tc>
      </w:tr>
      <w:tr>
        <w:trPr>
          <w:trHeight w:val="231" w:hRule="exact"/>
        </w:trPr>
        <w:tc>
          <w:tcPr>
            <w:tcW w:w="1396" w:type="dxa"/>
            <w:tcBorders>
              <w:top w:val="single" w:sz="4" w:space="0" w:color="D3D3D3"/>
              <w:bottom w:val="single" w:sz="4" w:space="0" w:color="D3D3D3"/>
              <w:right w:val="single" w:sz="4" w:space="0" w:color="D3D3D3"/>
            </w:tcBorders>
          </w:tcPr>
          <w:p>
            <w:pPr>
              <w:pStyle w:val="TableParagraph"/>
              <w:ind w:left="31"/>
              <w:rPr>
                <w:sz w:val="18"/>
              </w:rPr>
            </w:pPr>
            <w:r>
              <w:rPr>
                <w:sz w:val="18"/>
              </w:rPr>
              <w:t>Minnesota</w:t>
            </w:r>
          </w:p>
        </w:tc>
        <w:tc>
          <w:tcPr>
            <w:tcW w:w="3074" w:type="dxa"/>
            <w:tcBorders>
              <w:top w:val="single" w:sz="4" w:space="0" w:color="D3D3D3"/>
              <w:left w:val="single" w:sz="4" w:space="0" w:color="D3D3D3"/>
              <w:bottom w:val="single" w:sz="4" w:space="0" w:color="D3D3D3"/>
              <w:right w:val="single" w:sz="4" w:space="0" w:color="D3D3D3"/>
            </w:tcBorders>
          </w:tcPr>
          <w:p>
            <w:pPr>
              <w:pStyle w:val="TableParagraph"/>
              <w:ind w:left="31"/>
              <w:rPr>
                <w:sz w:val="18"/>
              </w:rPr>
            </w:pPr>
            <w:r>
              <w:rPr>
                <w:spacing w:val="-5"/>
                <w:sz w:val="18"/>
              </w:rPr>
              <w:t>Minneapolis-St. Paul-Bloomington </w:t>
            </w:r>
            <w:r>
              <w:rPr>
                <w:spacing w:val="-9"/>
                <w:sz w:val="18"/>
              </w:rPr>
              <w:t>MN-</w:t>
            </w:r>
          </w:p>
        </w:tc>
        <w:tc>
          <w:tcPr>
            <w:tcW w:w="2219" w:type="dxa"/>
            <w:tcBorders>
              <w:top w:val="single" w:sz="4" w:space="0" w:color="D3D3D3"/>
              <w:left w:val="single" w:sz="4" w:space="0" w:color="D3D3D3"/>
              <w:bottom w:val="single" w:sz="4" w:space="0" w:color="D3D3D3"/>
              <w:right w:val="single" w:sz="8" w:space="0" w:color="000000"/>
            </w:tcBorders>
          </w:tcPr>
          <w:p>
            <w:pPr>
              <w:pStyle w:val="TableParagraph"/>
              <w:ind w:left="-122"/>
              <w:rPr>
                <w:sz w:val="18"/>
              </w:rPr>
            </w:pPr>
            <w:r>
              <w:rPr>
                <w:sz w:val="18"/>
              </w:rPr>
              <w:t>WMinneapolis MN</w:t>
            </w:r>
          </w:p>
        </w:tc>
        <w:tc>
          <w:tcPr>
            <w:tcW w:w="1317" w:type="dxa"/>
            <w:tcBorders>
              <w:top w:val="single" w:sz="4" w:space="0" w:color="D3D3D3"/>
              <w:left w:val="single" w:sz="8" w:space="0" w:color="000000"/>
              <w:bottom w:val="single" w:sz="4" w:space="0" w:color="D3D3D3"/>
              <w:right w:val="single" w:sz="4" w:space="0" w:color="D3D3D3"/>
            </w:tcBorders>
          </w:tcPr>
          <w:p>
            <w:pPr>
              <w:pStyle w:val="TableParagraph"/>
              <w:ind w:right="25"/>
              <w:jc w:val="right"/>
              <w:rPr>
                <w:sz w:val="18"/>
              </w:rPr>
            </w:pPr>
            <w:r>
              <w:rPr>
                <w:w w:val="95"/>
                <w:sz w:val="18"/>
              </w:rPr>
              <w:t>104.9</w:t>
            </w:r>
          </w:p>
        </w:tc>
        <w:tc>
          <w:tcPr>
            <w:tcW w:w="1343" w:type="dxa"/>
            <w:tcBorders>
              <w:top w:val="single" w:sz="4" w:space="0" w:color="D3D3D3"/>
              <w:left w:val="single" w:sz="4" w:space="0" w:color="D3D3D3"/>
              <w:bottom w:val="single" w:sz="4" w:space="0" w:color="D3D3D3"/>
            </w:tcBorders>
          </w:tcPr>
          <w:p>
            <w:pPr>
              <w:pStyle w:val="TableParagraph"/>
              <w:ind w:right="29"/>
              <w:jc w:val="right"/>
              <w:rPr>
                <w:sz w:val="18"/>
              </w:rPr>
            </w:pPr>
            <w:r>
              <w:rPr>
                <w:w w:val="95"/>
                <w:sz w:val="18"/>
              </w:rPr>
              <w:t>821</w:t>
            </w:r>
          </w:p>
        </w:tc>
      </w:tr>
      <w:tr>
        <w:trPr>
          <w:trHeight w:val="236" w:hRule="exact"/>
        </w:trPr>
        <w:tc>
          <w:tcPr>
            <w:tcW w:w="1396" w:type="dxa"/>
            <w:tcBorders>
              <w:top w:val="single" w:sz="4" w:space="0" w:color="D3D3D3"/>
              <w:bottom w:val="nil"/>
              <w:right w:val="single" w:sz="4" w:space="0" w:color="D3D3D3"/>
            </w:tcBorders>
          </w:tcPr>
          <w:p>
            <w:pPr>
              <w:pStyle w:val="TableParagraph"/>
              <w:ind w:left="31"/>
              <w:rPr>
                <w:sz w:val="18"/>
              </w:rPr>
            </w:pPr>
            <w:r>
              <w:rPr>
                <w:sz w:val="18"/>
              </w:rPr>
              <w:t>Pennsylvania</w:t>
            </w:r>
          </w:p>
        </w:tc>
        <w:tc>
          <w:tcPr>
            <w:tcW w:w="3074" w:type="dxa"/>
            <w:tcBorders>
              <w:top w:val="single" w:sz="4" w:space="0" w:color="D3D3D3"/>
              <w:left w:val="single" w:sz="4" w:space="0" w:color="D3D3D3"/>
              <w:bottom w:val="nil"/>
              <w:right w:val="single" w:sz="4" w:space="0" w:color="D3D3D3"/>
            </w:tcBorders>
          </w:tcPr>
          <w:p>
            <w:pPr>
              <w:pStyle w:val="TableParagraph"/>
              <w:ind w:left="31" w:right="-13"/>
              <w:rPr>
                <w:sz w:val="18"/>
              </w:rPr>
            </w:pPr>
            <w:r>
              <w:rPr>
                <w:spacing w:val="-6"/>
                <w:sz w:val="18"/>
              </w:rPr>
              <w:t>Allentown-Bethlehem-Easton </w:t>
            </w:r>
            <w:r>
              <w:rPr>
                <w:spacing w:val="-4"/>
                <w:sz w:val="18"/>
              </w:rPr>
              <w:t>PA-NJ </w:t>
            </w:r>
            <w:r>
              <w:rPr>
                <w:spacing w:val="-6"/>
                <w:sz w:val="18"/>
              </w:rPr>
              <w:t>Met</w:t>
            </w:r>
          </w:p>
        </w:tc>
        <w:tc>
          <w:tcPr>
            <w:tcW w:w="2219" w:type="dxa"/>
            <w:tcBorders>
              <w:top w:val="single" w:sz="4" w:space="0" w:color="D3D3D3"/>
              <w:left w:val="single" w:sz="4" w:space="0" w:color="D3D3D3"/>
              <w:bottom w:val="nil"/>
              <w:right w:val="single" w:sz="8" w:space="0" w:color="000000"/>
            </w:tcBorders>
          </w:tcPr>
          <w:p>
            <w:pPr>
              <w:pStyle w:val="TableParagraph"/>
              <w:ind w:left="31"/>
              <w:rPr>
                <w:sz w:val="18"/>
              </w:rPr>
            </w:pPr>
            <w:r>
              <w:rPr>
                <w:sz w:val="18"/>
              </w:rPr>
              <w:t>Allentown PA</w:t>
            </w:r>
          </w:p>
        </w:tc>
        <w:tc>
          <w:tcPr>
            <w:tcW w:w="1317" w:type="dxa"/>
            <w:tcBorders>
              <w:top w:val="single" w:sz="4" w:space="0" w:color="D3D3D3"/>
              <w:left w:val="single" w:sz="8" w:space="0" w:color="000000"/>
              <w:bottom w:val="single" w:sz="8" w:space="0" w:color="000000"/>
              <w:right w:val="single" w:sz="4" w:space="0" w:color="D3D3D3"/>
            </w:tcBorders>
          </w:tcPr>
          <w:p>
            <w:pPr>
              <w:pStyle w:val="TableParagraph"/>
              <w:ind w:right="25"/>
              <w:jc w:val="right"/>
              <w:rPr>
                <w:sz w:val="18"/>
              </w:rPr>
            </w:pPr>
            <w:r>
              <w:rPr>
                <w:w w:val="95"/>
                <w:sz w:val="18"/>
              </w:rPr>
              <w:t>105.5</w:t>
            </w:r>
          </w:p>
        </w:tc>
        <w:tc>
          <w:tcPr>
            <w:tcW w:w="1343" w:type="dxa"/>
            <w:tcBorders>
              <w:top w:val="single" w:sz="4" w:space="0" w:color="D3D3D3"/>
              <w:left w:val="single" w:sz="4" w:space="0" w:color="D3D3D3"/>
              <w:bottom w:val="single" w:sz="8" w:space="0" w:color="000000"/>
            </w:tcBorders>
          </w:tcPr>
          <w:p>
            <w:pPr>
              <w:pStyle w:val="TableParagraph"/>
              <w:ind w:right="29"/>
              <w:jc w:val="right"/>
              <w:rPr>
                <w:sz w:val="18"/>
              </w:rPr>
            </w:pPr>
            <w:r>
              <w:rPr>
                <w:w w:val="95"/>
                <w:sz w:val="18"/>
              </w:rPr>
              <w:t>846</w:t>
            </w:r>
          </w:p>
        </w:tc>
      </w:tr>
      <w:tr>
        <w:trPr>
          <w:trHeight w:val="236" w:hRule="exact"/>
        </w:trPr>
        <w:tc>
          <w:tcPr>
            <w:tcW w:w="6689" w:type="dxa"/>
            <w:gridSpan w:val="3"/>
            <w:tcBorders>
              <w:top w:val="nil"/>
              <w:bottom w:val="single" w:sz="4" w:space="0" w:color="FFFFFF"/>
              <w:right w:val="single" w:sz="8" w:space="0" w:color="000000"/>
            </w:tcBorders>
            <w:shd w:val="clear" w:color="auto" w:fill="E1EEDA"/>
          </w:tcPr>
          <w:p>
            <w:pPr>
              <w:pStyle w:val="TableParagraph"/>
              <w:tabs>
                <w:tab w:pos="1427" w:val="left" w:leader="none"/>
                <w:tab w:pos="4501" w:val="left" w:leader="none"/>
              </w:tabs>
              <w:spacing w:before="19"/>
              <w:ind w:left="31"/>
              <w:rPr>
                <w:b/>
                <w:sz w:val="18"/>
              </w:rPr>
            </w:pPr>
            <w:r>
              <w:rPr>
                <w:b/>
                <w:spacing w:val="-4"/>
                <w:sz w:val="18"/>
              </w:rPr>
              <w:t>Wisconsin</w:t>
              <w:tab/>
            </w:r>
            <w:r>
              <w:rPr>
                <w:b/>
                <w:spacing w:val="-6"/>
                <w:sz w:val="18"/>
              </w:rPr>
              <w:t>Madison</w:t>
            </w:r>
            <w:r>
              <w:rPr>
                <w:b/>
                <w:spacing w:val="-5"/>
                <w:sz w:val="18"/>
              </w:rPr>
              <w:t> </w:t>
            </w:r>
            <w:r>
              <w:rPr>
                <w:b/>
                <w:spacing w:val="4"/>
                <w:sz w:val="18"/>
              </w:rPr>
              <w:t>WI</w:t>
            </w:r>
            <w:r>
              <w:rPr>
                <w:b/>
                <w:spacing w:val="-8"/>
                <w:sz w:val="18"/>
              </w:rPr>
              <w:t> </w:t>
            </w:r>
            <w:r>
              <w:rPr>
                <w:b/>
                <w:spacing w:val="-3"/>
                <w:sz w:val="18"/>
              </w:rPr>
              <w:t>Metro</w:t>
              <w:tab/>
            </w:r>
            <w:r>
              <w:rPr>
                <w:b/>
                <w:spacing w:val="-6"/>
                <w:sz w:val="18"/>
              </w:rPr>
              <w:t>Madison</w:t>
            </w:r>
            <w:r>
              <w:rPr>
                <w:b/>
                <w:spacing w:val="-9"/>
                <w:sz w:val="18"/>
              </w:rPr>
              <w:t> </w:t>
            </w:r>
            <w:r>
              <w:rPr>
                <w:b/>
                <w:spacing w:val="4"/>
                <w:sz w:val="18"/>
              </w:rPr>
              <w:t>WI</w:t>
            </w:r>
          </w:p>
        </w:tc>
        <w:tc>
          <w:tcPr>
            <w:tcW w:w="2660" w:type="dxa"/>
            <w:gridSpan w:val="2"/>
            <w:tcBorders>
              <w:top w:val="single" w:sz="8" w:space="0" w:color="000000"/>
              <w:left w:val="single" w:sz="8" w:space="0" w:color="000000"/>
              <w:bottom w:val="single" w:sz="4" w:space="0" w:color="FFFFFF"/>
              <w:right w:val="single" w:sz="8" w:space="0" w:color="000000"/>
            </w:tcBorders>
            <w:shd w:val="clear" w:color="auto" w:fill="E1EEDA"/>
          </w:tcPr>
          <w:p>
            <w:pPr>
              <w:pStyle w:val="TableParagraph"/>
              <w:tabs>
                <w:tab w:pos="2329" w:val="left" w:leader="none"/>
              </w:tabs>
              <w:ind w:left="839"/>
              <w:rPr>
                <w:b/>
                <w:sz w:val="18"/>
              </w:rPr>
            </w:pPr>
            <w:r>
              <w:rPr>
                <w:b/>
                <w:spacing w:val="-3"/>
                <w:sz w:val="18"/>
              </w:rPr>
              <w:t>105.9</w:t>
              <w:tab/>
            </w:r>
            <w:r>
              <w:rPr>
                <w:b/>
                <w:spacing w:val="-5"/>
                <w:sz w:val="18"/>
              </w:rPr>
              <w:t>794</w:t>
            </w:r>
          </w:p>
        </w:tc>
      </w:tr>
      <w:tr>
        <w:trPr>
          <w:trHeight w:val="247" w:hRule="exact"/>
        </w:trPr>
        <w:tc>
          <w:tcPr>
            <w:tcW w:w="6689" w:type="dxa"/>
            <w:gridSpan w:val="3"/>
            <w:tcBorders>
              <w:top w:val="single" w:sz="4" w:space="0" w:color="FFFFFF"/>
              <w:bottom w:val="nil"/>
              <w:right w:val="single" w:sz="8" w:space="0" w:color="000000"/>
            </w:tcBorders>
            <w:shd w:val="clear" w:color="auto" w:fill="FFFF00"/>
          </w:tcPr>
          <w:p>
            <w:pPr>
              <w:pStyle w:val="TableParagraph"/>
              <w:tabs>
                <w:tab w:pos="1427" w:val="left" w:leader="none"/>
              </w:tabs>
              <w:ind w:left="31"/>
              <w:rPr>
                <w:b/>
                <w:sz w:val="18"/>
              </w:rPr>
            </w:pPr>
            <w:r>
              <w:rPr>
                <w:b/>
                <w:sz w:val="18"/>
              </w:rPr>
              <w:t>Puerto</w:t>
            </w:r>
            <w:r>
              <w:rPr>
                <w:b/>
                <w:spacing w:val="-7"/>
                <w:sz w:val="18"/>
              </w:rPr>
              <w:t> </w:t>
            </w:r>
            <w:r>
              <w:rPr>
                <w:b/>
                <w:spacing w:val="-5"/>
                <w:sz w:val="18"/>
              </w:rPr>
              <w:t>Rico</w:t>
              <w:tab/>
            </w:r>
            <w:r>
              <w:rPr>
                <w:b/>
                <w:spacing w:val="-3"/>
                <w:sz w:val="18"/>
              </w:rPr>
              <w:t>San </w:t>
            </w:r>
            <w:r>
              <w:rPr>
                <w:b/>
                <w:spacing w:val="-4"/>
                <w:sz w:val="18"/>
              </w:rPr>
              <w:t>Juan-Carolina-Caguas </w:t>
            </w:r>
            <w:r>
              <w:rPr>
                <w:b/>
                <w:sz w:val="18"/>
              </w:rPr>
              <w:t>PR MetroSan </w:t>
            </w:r>
            <w:r>
              <w:rPr>
                <w:b/>
                <w:spacing w:val="-4"/>
                <w:sz w:val="18"/>
              </w:rPr>
              <w:t>Juan</w:t>
            </w:r>
            <w:r>
              <w:rPr>
                <w:b/>
                <w:spacing w:val="2"/>
                <w:sz w:val="18"/>
              </w:rPr>
              <w:t> </w:t>
            </w:r>
            <w:r>
              <w:rPr>
                <w:b/>
                <w:sz w:val="18"/>
              </w:rPr>
              <w:t>PR</w:t>
            </w:r>
          </w:p>
        </w:tc>
        <w:tc>
          <w:tcPr>
            <w:tcW w:w="2660" w:type="dxa"/>
            <w:gridSpan w:val="2"/>
            <w:tcBorders>
              <w:top w:val="single" w:sz="4" w:space="0" w:color="FFFFFF"/>
              <w:left w:val="single" w:sz="8" w:space="0" w:color="000000"/>
              <w:bottom w:val="single" w:sz="8" w:space="0" w:color="000000"/>
              <w:right w:val="single" w:sz="8" w:space="0" w:color="000000"/>
            </w:tcBorders>
            <w:shd w:val="clear" w:color="auto" w:fill="FFFF00"/>
          </w:tcPr>
          <w:p>
            <w:pPr>
              <w:pStyle w:val="TableParagraph"/>
              <w:tabs>
                <w:tab w:pos="2329" w:val="left" w:leader="none"/>
              </w:tabs>
              <w:ind w:left="839"/>
              <w:rPr>
                <w:b/>
                <w:sz w:val="18"/>
              </w:rPr>
            </w:pPr>
            <w:r>
              <w:rPr>
                <w:b/>
                <w:spacing w:val="-3"/>
                <w:sz w:val="18"/>
              </w:rPr>
              <w:t>105.9</w:t>
              <w:tab/>
            </w:r>
            <w:r>
              <w:rPr>
                <w:b/>
                <w:spacing w:val="-5"/>
                <w:sz w:val="18"/>
              </w:rPr>
              <w:t>544</w:t>
            </w:r>
          </w:p>
        </w:tc>
      </w:tr>
      <w:tr>
        <w:trPr>
          <w:trHeight w:val="226" w:hRule="exact"/>
        </w:trPr>
        <w:tc>
          <w:tcPr>
            <w:tcW w:w="1396" w:type="dxa"/>
            <w:tcBorders>
              <w:top w:val="nil"/>
              <w:right w:val="single" w:sz="4" w:space="0" w:color="D3D3D3"/>
            </w:tcBorders>
          </w:tcPr>
          <w:p>
            <w:pPr>
              <w:pStyle w:val="TableParagraph"/>
              <w:ind w:left="31"/>
              <w:rPr>
                <w:sz w:val="18"/>
              </w:rPr>
            </w:pPr>
            <w:r>
              <w:rPr>
                <w:sz w:val="18"/>
              </w:rPr>
              <w:t>Arizona</w:t>
            </w:r>
          </w:p>
        </w:tc>
        <w:tc>
          <w:tcPr>
            <w:tcW w:w="3074" w:type="dxa"/>
            <w:tcBorders>
              <w:top w:val="nil"/>
              <w:left w:val="single" w:sz="4" w:space="0" w:color="D3D3D3"/>
              <w:right w:val="single" w:sz="4" w:space="0" w:color="D3D3D3"/>
            </w:tcBorders>
          </w:tcPr>
          <w:p>
            <w:pPr>
              <w:pStyle w:val="TableParagraph"/>
              <w:ind w:left="31"/>
              <w:rPr>
                <w:sz w:val="18"/>
              </w:rPr>
            </w:pPr>
            <w:r>
              <w:rPr>
                <w:sz w:val="18"/>
              </w:rPr>
              <w:t>Lake Havasu City-Kingman AZ Metro</w:t>
            </w:r>
          </w:p>
        </w:tc>
        <w:tc>
          <w:tcPr>
            <w:tcW w:w="2219" w:type="dxa"/>
            <w:tcBorders>
              <w:top w:val="nil"/>
              <w:left w:val="single" w:sz="4" w:space="0" w:color="D3D3D3"/>
              <w:right w:val="single" w:sz="8" w:space="0" w:color="000000"/>
            </w:tcBorders>
          </w:tcPr>
          <w:p>
            <w:pPr>
              <w:pStyle w:val="TableParagraph"/>
              <w:ind w:left="31"/>
              <w:rPr>
                <w:sz w:val="18"/>
              </w:rPr>
            </w:pPr>
            <w:r>
              <w:rPr>
                <w:sz w:val="18"/>
              </w:rPr>
              <w:t>Lake Havasu City AZ</w:t>
            </w:r>
          </w:p>
        </w:tc>
        <w:tc>
          <w:tcPr>
            <w:tcW w:w="1317" w:type="dxa"/>
            <w:tcBorders>
              <w:top w:val="single" w:sz="8" w:space="0" w:color="000000"/>
              <w:left w:val="single" w:sz="8" w:space="0" w:color="000000"/>
              <w:right w:val="single" w:sz="4" w:space="0" w:color="D3D3D3"/>
            </w:tcBorders>
          </w:tcPr>
          <w:p>
            <w:pPr>
              <w:pStyle w:val="TableParagraph"/>
              <w:spacing w:line="206" w:lineRule="exact" w:before="0"/>
              <w:ind w:right="25"/>
              <w:jc w:val="right"/>
              <w:rPr>
                <w:sz w:val="18"/>
              </w:rPr>
            </w:pPr>
            <w:r>
              <w:rPr>
                <w:w w:val="95"/>
                <w:sz w:val="18"/>
              </w:rPr>
              <w:t>106.0</w:t>
            </w:r>
          </w:p>
        </w:tc>
        <w:tc>
          <w:tcPr>
            <w:tcW w:w="1343" w:type="dxa"/>
            <w:tcBorders>
              <w:top w:val="single" w:sz="8" w:space="0" w:color="000000"/>
              <w:left w:val="single" w:sz="4" w:space="0" w:color="D3D3D3"/>
            </w:tcBorders>
          </w:tcPr>
          <w:p>
            <w:pPr>
              <w:pStyle w:val="TableParagraph"/>
              <w:spacing w:line="206" w:lineRule="exact" w:before="0"/>
              <w:ind w:right="29"/>
              <w:jc w:val="right"/>
              <w:rPr>
                <w:sz w:val="18"/>
              </w:rPr>
            </w:pPr>
            <w:r>
              <w:rPr>
                <w:w w:val="95"/>
                <w:sz w:val="18"/>
              </w:rPr>
              <w:t>818</w:t>
            </w:r>
          </w:p>
        </w:tc>
      </w:tr>
    </w:tbl>
    <w:p>
      <w:pPr>
        <w:pStyle w:val="BodyText"/>
        <w:rPr>
          <w:b/>
        </w:rPr>
      </w:pPr>
    </w:p>
    <w:p>
      <w:pPr>
        <w:pStyle w:val="BodyText"/>
        <w:ind w:left="100" w:right="119" w:firstLine="719"/>
        <w:jc w:val="both"/>
      </w:pPr>
      <w:r>
        <w:rPr/>
        <w:t>The analysis of the COLI includes the comparison of the costs in 267 metropolitan areas formally surveyed. When comparing the COLI for each area and its corresponding MA</w:t>
      </w:r>
      <w:r>
        <w:rPr>
          <w:spacing w:val="-42"/>
        </w:rPr>
        <w:t> </w:t>
      </w:r>
      <w:r>
        <w:rPr/>
        <w:t>benchmark,</w:t>
      </w:r>
    </w:p>
    <w:p>
      <w:pPr>
        <w:spacing w:after="0"/>
        <w:jc w:val="both"/>
        <w:sectPr>
          <w:pgSz w:w="12240" w:h="15840"/>
          <w:pgMar w:header="0" w:footer="1092" w:top="1360" w:bottom="1340" w:left="1340" w:right="1140"/>
        </w:sectPr>
      </w:pPr>
    </w:p>
    <w:p>
      <w:pPr>
        <w:pStyle w:val="BodyText"/>
        <w:spacing w:before="79"/>
        <w:ind w:left="100" w:right="395"/>
      </w:pPr>
      <w:r>
        <w:rPr/>
        <w:pict>
          <v:group style="position:absolute;margin-left:130.125pt;margin-top:44.998131pt;width:360.75pt;height:238.35pt;mso-position-horizontal-relative:page;mso-position-vertical-relative:paragraph;z-index:1456" coordorigin="2603,900" coordsize="7215,4767">
            <v:shape style="position:absolute;left:3873;top:1893;width:5513;height:2878" coordorigin="3873,1893" coordsize="5513,2878" path="m3873,4452l9385,4452m3873,4131l9385,4131m3873,3811l9385,3811m3873,3492l9385,3492m3873,3173l9385,3173m3873,2854l9385,2854m3873,2532l9385,2532m3873,2213l9385,2213m3873,1893l9385,1893m4790,1893l4790,4771m5710,1893l5710,4771m6629,1893l6629,4771m7548,1893l7548,4771m8467,1893l8467,4771m9385,1893l9385,4771e" filled="false" stroked="true" strokeweight=".75pt" strokecolor="#d9d9d9">
              <v:path arrowok="t"/>
              <v:stroke dashstyle="solid"/>
            </v:shape>
            <v:shape style="position:absolute;left:3873;top:1893;width:5513;height:2878" coordorigin="3873,1893" coordsize="5513,2878" path="m3873,4771l3873,1893m3873,4771l9385,4771e" filled="false" stroked="true" strokeweight=".75pt" strokecolor="#bebebe">
              <v:path arrowok="t"/>
              <v:stroke dashstyle="solid"/>
            </v:shape>
            <v:shape style="position:absolute;left:5226;top:2911;width:396;height:758" type="#_x0000_t75" stroked="false">
              <v:imagedata r:id="rId15" o:title=""/>
            </v:shape>
            <v:shape style="position:absolute;left:5507;top:2203;width:115;height:115" type="#_x0000_t75" stroked="false">
              <v:imagedata r:id="rId16" o:title=""/>
            </v:shape>
            <v:shape style="position:absolute;left:5509;top:3111;width:185;height:550" type="#_x0000_t75" stroked="false">
              <v:imagedata r:id="rId17" o:title=""/>
            </v:shape>
            <v:shape style="position:absolute;left:5579;top:3749;width:115;height:115" type="#_x0000_t75" stroked="false">
              <v:imagedata r:id="rId18" o:title=""/>
            </v:shape>
            <v:shape style="position:absolute;left:5579;top:2995;width:271;height:586" type="#_x0000_t75" stroked="false">
              <v:imagedata r:id="rId19" o:title=""/>
            </v:shape>
            <v:shape style="position:absolute;left:5740;top:3744;width:115;height:115" type="#_x0000_t75" stroked="false">
              <v:imagedata r:id="rId20" o:title=""/>
            </v:shape>
            <v:shape style="position:absolute;left:5749;top:3375;width:101;height:101" coordorigin="5749,3375" coordsize="101,101" path="m5800,3375l5780,3379,5764,3389,5753,3405,5749,3425,5753,3445,5764,3461,5780,3471,5800,3475,5819,3471,5835,3461,5846,3445,5850,3425,5846,3405,5835,3389,5819,3379,5800,3375xe" filled="true" fillcolor="#4f81bc" stroked="false">
              <v:path arrowok="t"/>
              <v:fill type="solid"/>
            </v:shape>
            <v:shape style="position:absolute;left:5749;top:3375;width:101;height:101" coordorigin="5749,3375" coordsize="101,101" path="m5850,3425l5846,3445,5835,3461,5819,3471,5800,3475,5780,3471,5764,3461,5753,3445,5749,3425,5753,3405,5764,3389,5780,3379,5800,3375,5819,3379,5835,3389,5846,3405,5850,3425xe" filled="false" stroked="true" strokeweight=".72pt" strokecolor="#4f81bc">
              <v:path arrowok="t"/>
              <v:stroke dashstyle="solid"/>
            </v:shape>
            <v:shape style="position:absolute;left:5759;top:3295;width:101;height:101" coordorigin="5759,3295" coordsize="101,101" path="m5809,3295l5790,3299,5774,3310,5763,3326,5759,3346,5763,3365,5774,3381,5790,3392,5809,3396,5829,3392,5845,3381,5856,3365,5860,3346,5856,3326,5845,3310,5829,3299,5809,3295xe" filled="true" fillcolor="#4f81bc" stroked="false">
              <v:path arrowok="t"/>
              <v:fill type="solid"/>
            </v:shape>
            <v:shape style="position:absolute;left:5759;top:3295;width:101;height:101" coordorigin="5759,3295" coordsize="101,101" path="m5860,3346l5856,3365,5845,3381,5829,3392,5809,3396,5790,3392,5774,3381,5763,3365,5759,3346,5763,3326,5774,3310,5790,3299,5809,3295,5829,3299,5845,3310,5856,3326,5860,3346xe" filled="false" stroked="true" strokeweight=".72pt" strokecolor="#4f81bc">
              <v:path arrowok="t"/>
              <v:stroke dashstyle="solid"/>
            </v:shape>
            <v:shape style="position:absolute;left:5766;top:3461;width:101;height:101" coordorigin="5766,3461" coordsize="101,101" path="m5816,3461l5797,3465,5781,3476,5770,3492,5766,3511,5770,3531,5781,3547,5797,3558,5816,3562,5836,3558,5852,3547,5863,3531,5867,3511,5863,3492,5852,3476,5836,3465,5816,3461xe" filled="true" fillcolor="#4f81bc" stroked="false">
              <v:path arrowok="t"/>
              <v:fill type="solid"/>
            </v:shape>
            <v:shape style="position:absolute;left:5766;top:3461;width:101;height:101" coordorigin="5766,3461" coordsize="101,101" path="m5867,3511l5863,3531,5852,3547,5836,3558,5816,3562,5797,3558,5781,3547,5770,3531,5766,3511,5770,3492,5781,3476,5797,3465,5816,3461,5836,3465,5852,3476,5863,3492,5867,3511xe" filled="false" stroked="true" strokeweight=".72pt" strokecolor="#4f81bc">
              <v:path arrowok="t"/>
              <v:stroke dashstyle="solid"/>
            </v:shape>
            <v:shape style="position:absolute;left:5759;top:4253;width:115;height:115" type="#_x0000_t75" stroked="false">
              <v:imagedata r:id="rId18" o:title=""/>
            </v:shape>
            <v:shape style="position:absolute;left:5761;top:3111;width:492;height:595" type="#_x0000_t75" stroked="false">
              <v:imagedata r:id="rId21" o:title=""/>
            </v:shape>
            <v:shape style="position:absolute;left:5936;top:2897;width:101;height:101" coordorigin="5936,2897" coordsize="101,101" path="m5987,2897l5967,2901,5951,2912,5940,2928,5936,2947,5940,2967,5951,2983,5967,2994,5987,2998,6006,2994,6022,2983,6033,2967,6037,2947,6033,2928,6022,2912,6006,2901,5987,2897xe" filled="true" fillcolor="#4f81bc" stroked="false">
              <v:path arrowok="t"/>
              <v:fill type="solid"/>
            </v:shape>
            <v:shape style="position:absolute;left:5936;top:2897;width:101;height:101" coordorigin="5936,2897" coordsize="101,101" path="m6037,2947l6033,2967,6022,2983,6006,2994,5987,2998,5967,2994,5951,2983,5940,2967,5936,2947,5940,2928,5951,2912,5967,2901,5987,2897,6006,2901,6022,2912,6033,2928,6037,2947xe" filled="false" stroked="true" strokeweight=".72pt" strokecolor="#4f81bc">
              <v:path arrowok="t"/>
              <v:stroke dashstyle="solid"/>
            </v:shape>
            <v:shape style="position:absolute;left:5984;top:2818;width:101;height:101" coordorigin="5984,2818" coordsize="101,101" path="m6035,2818l6015,2822,5999,2833,5988,2849,5984,2868,5988,2888,5999,2904,6015,2915,6035,2919,6054,2915,6070,2904,6081,2888,6085,2868,6081,2849,6070,2833,6054,2822,6035,2818xe" filled="true" fillcolor="#4f81bc" stroked="false">
              <v:path arrowok="t"/>
              <v:fill type="solid"/>
            </v:shape>
            <v:shape style="position:absolute;left:5984;top:2818;width:101;height:101" coordorigin="5984,2818" coordsize="101,101" path="m6085,2868l6081,2888,6070,2904,6054,2915,6035,2919,6015,2915,5999,2904,5988,2888,5984,2868,5988,2849,5999,2833,6015,2822,6035,2818,6054,2822,6070,2833,6081,2849,6085,2868xe" filled="false" stroked="true" strokeweight=".72pt" strokecolor="#4f81bc">
              <v:path arrowok="t"/>
              <v:stroke dashstyle="solid"/>
            </v:shape>
            <v:shape style="position:absolute;left:6145;top:2537;width:115;height:115" type="#_x0000_t75" stroked="false">
              <v:imagedata r:id="rId20" o:title=""/>
            </v:shape>
            <v:shape style="position:absolute;left:6224;top:3123;width:638;height:401" type="#_x0000_t75" stroked="false">
              <v:imagedata r:id="rId22" o:title=""/>
            </v:shape>
            <v:shape style="position:absolute;left:7194;top:3360;width:115;height:115" type="#_x0000_t75" stroked="false">
              <v:imagedata r:id="rId16" o:title=""/>
            </v:shape>
            <v:shape style="position:absolute;left:7333;top:3648;width:115;height:115" type="#_x0000_t75" stroked="false">
              <v:imagedata r:id="rId23" o:title=""/>
            </v:shape>
            <v:shape style="position:absolute;left:7388;top:3394;width:115;height:115" type="#_x0000_t75" stroked="false">
              <v:imagedata r:id="rId23" o:title=""/>
            </v:shape>
            <v:shape style="position:absolute;left:8372;top:3281;width:115;height:115" type="#_x0000_t75" stroked="false">
              <v:imagedata r:id="rId20" o:title=""/>
            </v:shape>
            <v:rect style="position:absolute;left:2610;top:907;width:7200;height:4752" filled="false" stroked="true" strokeweight=".75pt" strokecolor="#d9d9d9">
              <v:stroke dashstyle="solid"/>
            </v:rect>
            <v:shape style="position:absolute;left:5944;top:4202;width:428;height:343" type="#_x0000_t75" stroked="false">
              <v:imagedata r:id="rId24" o:title=""/>
            </v:shape>
            <v:shape style="position:absolute;left:4012;top:1106;width:4414;height:533" type="#_x0000_t202" filled="false" stroked="false">
              <v:textbox inset="0,0,0,0">
                <w:txbxContent>
                  <w:p>
                    <w:pPr>
                      <w:spacing w:line="244" w:lineRule="exact" w:before="0"/>
                      <w:ind w:left="-1" w:right="18" w:firstLine="0"/>
                      <w:jc w:val="center"/>
                      <w:rPr>
                        <w:rFonts w:ascii="Calibri"/>
                        <w:b/>
                        <w:sz w:val="24"/>
                      </w:rPr>
                    </w:pPr>
                    <w:r>
                      <w:rPr>
                        <w:rFonts w:ascii="Calibri"/>
                        <w:b/>
                        <w:color w:val="585858"/>
                        <w:sz w:val="24"/>
                      </w:rPr>
                      <w:t>Relation between Cost of Living</w:t>
                    </w:r>
                    <w:r>
                      <w:rPr>
                        <w:rFonts w:ascii="Calibri"/>
                        <w:b/>
                        <w:color w:val="585858"/>
                        <w:spacing w:val="-39"/>
                        <w:sz w:val="24"/>
                      </w:rPr>
                      <w:t> </w:t>
                    </w:r>
                    <w:r>
                      <w:rPr>
                        <w:rFonts w:ascii="Calibri"/>
                        <w:b/>
                        <w:color w:val="585858"/>
                        <w:sz w:val="24"/>
                      </w:rPr>
                      <w:t>Index (COLI)</w:t>
                    </w:r>
                  </w:p>
                  <w:p>
                    <w:pPr>
                      <w:spacing w:line="288" w:lineRule="exact" w:before="0"/>
                      <w:ind w:left="681" w:right="701" w:firstLine="0"/>
                      <w:jc w:val="center"/>
                      <w:rPr>
                        <w:rFonts w:ascii="Calibri"/>
                        <w:b/>
                        <w:sz w:val="24"/>
                      </w:rPr>
                    </w:pPr>
                    <w:r>
                      <w:rPr>
                        <w:rFonts w:ascii="Calibri"/>
                        <w:b/>
                        <w:color w:val="585858"/>
                        <w:sz w:val="24"/>
                      </w:rPr>
                      <w:t>and the MA Benchmarks 2018</w:t>
                    </w:r>
                  </w:p>
                </w:txbxContent>
              </v:textbox>
              <w10:wrap type="none"/>
            </v:shape>
            <v:shape style="position:absolute;left:3165;top:1809;width:3691;height:3294" type="#_x0000_t202" filled="false" stroked="false">
              <v:textbox inset="0,0,0,0">
                <w:txbxContent>
                  <w:p>
                    <w:pPr>
                      <w:spacing w:line="184" w:lineRule="exact" w:before="0"/>
                      <w:ind w:left="0" w:right="3186" w:firstLine="0"/>
                      <w:jc w:val="center"/>
                      <w:rPr>
                        <w:rFonts w:ascii="Calibri"/>
                        <w:sz w:val="18"/>
                      </w:rPr>
                    </w:pPr>
                    <w:r>
                      <w:rPr>
                        <w:rFonts w:ascii="Calibri"/>
                        <w:color w:val="585858"/>
                        <w:sz w:val="18"/>
                      </w:rPr>
                      <w:t>$1,300</w:t>
                    </w:r>
                  </w:p>
                  <w:p>
                    <w:pPr>
                      <w:spacing w:before="100"/>
                      <w:ind w:left="0" w:right="3187" w:firstLine="0"/>
                      <w:jc w:val="center"/>
                      <w:rPr>
                        <w:rFonts w:ascii="Calibri"/>
                        <w:sz w:val="18"/>
                      </w:rPr>
                    </w:pPr>
                    <w:r>
                      <w:rPr>
                        <w:rFonts w:ascii="Calibri"/>
                        <w:color w:val="585858"/>
                        <w:sz w:val="18"/>
                      </w:rPr>
                      <w:t>$1,200</w:t>
                    </w:r>
                  </w:p>
                  <w:p>
                    <w:pPr>
                      <w:spacing w:before="99"/>
                      <w:ind w:left="0" w:right="3187" w:firstLine="0"/>
                      <w:jc w:val="center"/>
                      <w:rPr>
                        <w:rFonts w:ascii="Calibri"/>
                        <w:sz w:val="18"/>
                      </w:rPr>
                    </w:pPr>
                    <w:r>
                      <w:rPr>
                        <w:rFonts w:ascii="Calibri"/>
                        <w:color w:val="585858"/>
                        <w:sz w:val="18"/>
                      </w:rPr>
                      <w:t>$1,100</w:t>
                    </w:r>
                  </w:p>
                  <w:p>
                    <w:pPr>
                      <w:spacing w:before="99"/>
                      <w:ind w:left="0" w:right="3187" w:firstLine="0"/>
                      <w:jc w:val="center"/>
                      <w:rPr>
                        <w:rFonts w:ascii="Calibri"/>
                        <w:sz w:val="18"/>
                      </w:rPr>
                    </w:pPr>
                    <w:r>
                      <w:rPr>
                        <w:rFonts w:ascii="Calibri"/>
                        <w:color w:val="585858"/>
                        <w:sz w:val="18"/>
                      </w:rPr>
                      <w:t>$1,000</w:t>
                    </w:r>
                  </w:p>
                  <w:p>
                    <w:pPr>
                      <w:spacing w:before="99"/>
                      <w:ind w:left="0" w:right="3051" w:firstLine="0"/>
                      <w:jc w:val="center"/>
                      <w:rPr>
                        <w:rFonts w:ascii="Calibri"/>
                        <w:sz w:val="18"/>
                      </w:rPr>
                    </w:pPr>
                    <w:r>
                      <w:rPr>
                        <w:rFonts w:ascii="Calibri"/>
                        <w:color w:val="585858"/>
                        <w:sz w:val="18"/>
                      </w:rPr>
                      <w:t>$900</w:t>
                    </w:r>
                  </w:p>
                  <w:p>
                    <w:pPr>
                      <w:spacing w:before="99"/>
                      <w:ind w:left="0" w:right="3051" w:firstLine="0"/>
                      <w:jc w:val="center"/>
                      <w:rPr>
                        <w:rFonts w:ascii="Calibri"/>
                        <w:sz w:val="18"/>
                      </w:rPr>
                    </w:pPr>
                    <w:r>
                      <w:rPr>
                        <w:rFonts w:ascii="Calibri"/>
                        <w:color w:val="585858"/>
                        <w:sz w:val="18"/>
                      </w:rPr>
                      <w:t>$800</w:t>
                    </w:r>
                  </w:p>
                  <w:p>
                    <w:pPr>
                      <w:spacing w:before="99"/>
                      <w:ind w:left="0" w:right="3051" w:firstLine="0"/>
                      <w:jc w:val="center"/>
                      <w:rPr>
                        <w:rFonts w:ascii="Calibri"/>
                        <w:sz w:val="18"/>
                      </w:rPr>
                    </w:pPr>
                    <w:r>
                      <w:rPr>
                        <w:rFonts w:ascii="Calibri"/>
                        <w:color w:val="585858"/>
                        <w:sz w:val="18"/>
                      </w:rPr>
                      <w:t>$700</w:t>
                    </w:r>
                  </w:p>
                  <w:p>
                    <w:pPr>
                      <w:spacing w:before="99"/>
                      <w:ind w:left="0" w:right="3051" w:firstLine="0"/>
                      <w:jc w:val="center"/>
                      <w:rPr>
                        <w:rFonts w:ascii="Calibri"/>
                        <w:sz w:val="18"/>
                      </w:rPr>
                    </w:pPr>
                    <w:r>
                      <w:rPr>
                        <w:rFonts w:ascii="Calibri"/>
                        <w:color w:val="585858"/>
                        <w:sz w:val="18"/>
                      </w:rPr>
                      <w:t>$600</w:t>
                    </w:r>
                  </w:p>
                  <w:p>
                    <w:pPr>
                      <w:tabs>
                        <w:tab w:pos="3316" w:val="left" w:leader="none"/>
                      </w:tabs>
                      <w:spacing w:before="21"/>
                      <w:ind w:left="136" w:right="0" w:firstLine="0"/>
                      <w:jc w:val="left"/>
                      <w:rPr>
                        <w:rFonts w:ascii="Calibri"/>
                        <w:b/>
                        <w:sz w:val="28"/>
                      </w:rPr>
                    </w:pPr>
                    <w:r>
                      <w:rPr>
                        <w:rFonts w:ascii="Calibri"/>
                        <w:color w:val="585858"/>
                        <w:position w:val="2"/>
                        <w:sz w:val="18"/>
                      </w:rPr>
                      <w:t>$500</w:t>
                      <w:tab/>
                    </w:r>
                    <w:r>
                      <w:rPr>
                        <w:rFonts w:ascii="Calibri"/>
                        <w:b/>
                        <w:color w:val="C00000"/>
                        <w:sz w:val="28"/>
                      </w:rPr>
                      <w:t>PR</w:t>
                    </w:r>
                  </w:p>
                  <w:p>
                    <w:pPr>
                      <w:spacing w:before="55"/>
                      <w:ind w:left="0" w:right="3051" w:firstLine="0"/>
                      <w:jc w:val="center"/>
                      <w:rPr>
                        <w:rFonts w:ascii="Calibri"/>
                        <w:sz w:val="18"/>
                      </w:rPr>
                    </w:pPr>
                    <w:r>
                      <w:rPr>
                        <w:rFonts w:ascii="Calibri"/>
                        <w:color w:val="585858"/>
                        <w:sz w:val="18"/>
                      </w:rPr>
                      <w:t>$400</w:t>
                    </w:r>
                  </w:p>
                  <w:p>
                    <w:pPr>
                      <w:tabs>
                        <w:tab w:pos="1467" w:val="left" w:leader="none"/>
                        <w:tab w:pos="2341" w:val="left" w:leader="none"/>
                        <w:tab w:pos="3260" w:val="left" w:leader="none"/>
                      </w:tabs>
                      <w:spacing w:line="216" w:lineRule="exact" w:before="14"/>
                      <w:ind w:left="594" w:right="0" w:firstLine="0"/>
                      <w:jc w:val="left"/>
                      <w:rPr>
                        <w:rFonts w:ascii="Calibri"/>
                        <w:sz w:val="18"/>
                      </w:rPr>
                    </w:pPr>
                    <w:r>
                      <w:rPr>
                        <w:rFonts w:ascii="Calibri"/>
                        <w:color w:val="585858"/>
                        <w:sz w:val="18"/>
                      </w:rPr>
                      <w:t>0.0</w:t>
                      <w:tab/>
                      <w:t>50.0</w:t>
                      <w:tab/>
                      <w:t>100.0</w:t>
                      <w:tab/>
                      <w:t>150.0</w:t>
                    </w:r>
                  </w:p>
                </w:txbxContent>
              </v:textbox>
              <w10:wrap type="none"/>
            </v:shape>
            <v:shape style="position:absolute;left:7344;top:4922;width:431;height:180"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200.0</w:t>
                    </w:r>
                  </w:p>
                </w:txbxContent>
              </v:textbox>
              <w10:wrap type="none"/>
            </v:shape>
            <v:shape style="position:absolute;left:8263;top:4922;width:431;height:180"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250.0</w:t>
                    </w:r>
                  </w:p>
                </w:txbxContent>
              </v:textbox>
              <w10:wrap type="none"/>
            </v:shape>
            <v:shape style="position:absolute;left:9181;top:4922;width:431;height:180"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300.0</w:t>
                    </w:r>
                  </w:p>
                </w:txbxContent>
              </v:textbox>
              <w10:wrap type="none"/>
            </v:shape>
            <v:shape style="position:absolute;left:5671;top:5220;width:1445;height:200" type="#_x0000_t202" filled="false" stroked="false">
              <v:textbox inset="0,0,0,0">
                <w:txbxContent>
                  <w:p>
                    <w:pPr>
                      <w:spacing w:line="199" w:lineRule="exact" w:before="0"/>
                      <w:ind w:left="0" w:right="0" w:firstLine="0"/>
                      <w:jc w:val="left"/>
                      <w:rPr>
                        <w:rFonts w:ascii="Calibri"/>
                        <w:b/>
                        <w:sz w:val="20"/>
                      </w:rPr>
                    </w:pPr>
                    <w:r>
                      <w:rPr>
                        <w:rFonts w:ascii="Calibri"/>
                        <w:b/>
                        <w:color w:val="585858"/>
                        <w:sz w:val="20"/>
                      </w:rPr>
                      <w:t>COLI for the Area</w:t>
                    </w:r>
                  </w:p>
                </w:txbxContent>
              </v:textbox>
              <w10:wrap type="none"/>
            </v:shape>
            <w10:wrap type="none"/>
          </v:group>
        </w:pict>
      </w:r>
      <w:r>
        <w:rPr/>
        <w:pict>
          <v:shape style="position:absolute;margin-left:140.039993pt;margin-top:136.181122pt;width:12pt;height:66.2pt;mso-position-horizontal-relative:page;mso-position-vertical-relative:paragraph;z-index:1480" type="#_x0000_t202" filled="false" stroked="false">
            <v:textbox inset="0,0,0,0" style="layout-flow:vertical;mso-layout-flow-alt:bottom-to-top">
              <w:txbxContent>
                <w:p>
                  <w:pPr>
                    <w:spacing w:line="223" w:lineRule="exact" w:before="0"/>
                    <w:ind w:left="20" w:right="-738" w:firstLine="0"/>
                    <w:jc w:val="left"/>
                    <w:rPr>
                      <w:rFonts w:ascii="Calibri"/>
                      <w:b/>
                      <w:sz w:val="20"/>
                    </w:rPr>
                  </w:pPr>
                  <w:r>
                    <w:rPr>
                      <w:rFonts w:ascii="Calibri"/>
                      <w:b/>
                      <w:color w:val="585858"/>
                      <w:spacing w:val="1"/>
                      <w:w w:val="99"/>
                      <w:sz w:val="20"/>
                    </w:rPr>
                    <w:t>M</w:t>
                  </w:r>
                  <w:r>
                    <w:rPr>
                      <w:rFonts w:ascii="Calibri"/>
                      <w:b/>
                      <w:color w:val="585858"/>
                      <w:w w:val="99"/>
                      <w:sz w:val="20"/>
                    </w:rPr>
                    <w:t>A</w:t>
                  </w:r>
                  <w:r>
                    <w:rPr>
                      <w:rFonts w:ascii="Calibri"/>
                      <w:b/>
                      <w:color w:val="585858"/>
                      <w:spacing w:val="-1"/>
                      <w:sz w:val="20"/>
                    </w:rPr>
                    <w:t> </w:t>
                  </w:r>
                  <w:r>
                    <w:rPr>
                      <w:rFonts w:ascii="Calibri"/>
                      <w:b/>
                      <w:color w:val="585858"/>
                      <w:spacing w:val="1"/>
                      <w:w w:val="99"/>
                      <w:sz w:val="20"/>
                    </w:rPr>
                    <w:t>B</w:t>
                  </w:r>
                  <w:r>
                    <w:rPr>
                      <w:rFonts w:ascii="Calibri"/>
                      <w:b/>
                      <w:color w:val="585858"/>
                      <w:w w:val="99"/>
                      <w:sz w:val="20"/>
                    </w:rPr>
                    <w:t>ench</w:t>
                  </w:r>
                  <w:r>
                    <w:rPr>
                      <w:rFonts w:ascii="Calibri"/>
                      <w:b/>
                      <w:color w:val="585858"/>
                      <w:spacing w:val="1"/>
                      <w:w w:val="99"/>
                      <w:sz w:val="20"/>
                    </w:rPr>
                    <w:t>m</w:t>
                  </w:r>
                  <w:r>
                    <w:rPr>
                      <w:rFonts w:ascii="Calibri"/>
                      <w:b/>
                      <w:color w:val="585858"/>
                      <w:w w:val="99"/>
                      <w:sz w:val="20"/>
                    </w:rPr>
                    <w:t>ark</w:t>
                  </w:r>
                </w:p>
              </w:txbxContent>
            </v:textbox>
            <w10:wrap type="none"/>
          </v:shape>
        </w:pict>
      </w:r>
      <w:r>
        <w:rPr/>
        <w:t>it is evident that Puerto Rico is an outlier too far below in terms of MA benchmark payments considering it more expensive to live there than in the average area in the US.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0"/>
        </w:rPr>
      </w:pPr>
    </w:p>
    <w:p>
      <w:pPr>
        <w:pStyle w:val="BodyText"/>
        <w:ind w:left="100" w:right="877" w:firstLine="719"/>
        <w:jc w:val="both"/>
      </w:pPr>
      <w:r>
        <w:rPr/>
        <w:t>Out of the 267 metro areas, the chart below includes all of the ones with a COLI between 100 and 106. The extraordinary gap for Puerto Rico is evident, and of the 21areas, all of them have benchmarks over $700 and 18 have benchmarks over $800.</w:t>
      </w:r>
    </w:p>
    <w:p>
      <w:pPr>
        <w:pStyle w:val="BodyText"/>
        <w:rPr>
          <w:sz w:val="20"/>
        </w:rPr>
      </w:pPr>
    </w:p>
    <w:p>
      <w:pPr>
        <w:pStyle w:val="BodyText"/>
        <w:spacing w:before="7"/>
      </w:pPr>
      <w:r>
        <w:rPr/>
        <w:pict>
          <v:group style="position:absolute;margin-left:72pt;margin-top:16.127373pt;width:478.1pt;height:268.350pt;mso-position-horizontal-relative:page;mso-position-vertical-relative:paragraph;z-index:1288;mso-wrap-distance-left:0;mso-wrap-distance-right:0" coordorigin="1440,323" coordsize="9562,5367">
            <v:shape style="position:absolute;left:1440;top:323;width:9562;height:5367" type="#_x0000_t75" stroked="false">
              <v:imagedata r:id="rId25" o:title=""/>
            </v:shape>
            <v:rect style="position:absolute;left:9040;top:1347;width:813;height:2773" filled="false" stroked="true" strokeweight=".75pt" strokecolor="#c00000">
              <v:stroke dashstyle="solid"/>
            </v:rect>
            <w10:wrap type="topAndBottom"/>
          </v:group>
        </w:pict>
      </w:r>
    </w:p>
    <w:p>
      <w:pPr>
        <w:spacing w:after="0"/>
        <w:sectPr>
          <w:pgSz w:w="12240" w:h="15840"/>
          <w:pgMar w:header="0" w:footer="1092" w:top="1360" w:bottom="1340" w:left="1340" w:right="380"/>
        </w:sectPr>
      </w:pPr>
    </w:p>
    <w:p>
      <w:pPr>
        <w:pStyle w:val="Heading2"/>
        <w:numPr>
          <w:ilvl w:val="1"/>
          <w:numId w:val="1"/>
        </w:numPr>
        <w:tabs>
          <w:tab w:pos="1561" w:val="left" w:leader="none"/>
        </w:tabs>
        <w:spacing w:line="240" w:lineRule="auto" w:before="79" w:after="0"/>
        <w:ind w:left="1560" w:right="0" w:hanging="360"/>
        <w:jc w:val="left"/>
        <w:rPr>
          <w:i/>
        </w:rPr>
      </w:pPr>
      <w:r>
        <w:rPr>
          <w:i/>
        </w:rPr>
        <w:t>USVI factors could also Provide an Analogous Cost</w:t>
      </w:r>
      <w:r>
        <w:rPr>
          <w:i/>
          <w:spacing w:val="-10"/>
        </w:rPr>
        <w:t> </w:t>
      </w:r>
      <w:r>
        <w:rPr>
          <w:i/>
        </w:rPr>
        <w:t>Estimate</w:t>
      </w:r>
    </w:p>
    <w:p>
      <w:pPr>
        <w:pStyle w:val="BodyText"/>
        <w:spacing w:before="11"/>
        <w:rPr>
          <w:b/>
          <w:i/>
          <w:sz w:val="23"/>
        </w:rPr>
      </w:pPr>
    </w:p>
    <w:p>
      <w:pPr>
        <w:pStyle w:val="BodyText"/>
        <w:ind w:left="120" w:right="113" w:firstLine="719"/>
        <w:jc w:val="both"/>
      </w:pPr>
      <w:r>
        <w:rPr/>
        <w:t>The factors used by CMS for the USVI are a second alternative that CMS may use to</w:t>
      </w:r>
      <w:r>
        <w:rPr>
          <w:spacing w:val="-27"/>
        </w:rPr>
        <w:t> </w:t>
      </w:r>
      <w:r>
        <w:rPr/>
        <w:t>define a reasonable estimate of what would be the costs of a real Medicare FFS program in Puerto Rico. The territorial condition, a history of unique statutory distinctions in the Medicare program, and geographic proximity are just some of the reasons why the use of the USVI makes sense. </w:t>
      </w:r>
      <w:r>
        <w:rPr>
          <w:spacing w:val="-3"/>
        </w:rPr>
        <w:t>In </w:t>
      </w:r>
      <w:r>
        <w:rPr/>
        <w:t>2018, the</w:t>
      </w:r>
      <w:r>
        <w:rPr>
          <w:spacing w:val="-9"/>
        </w:rPr>
        <w:t> </w:t>
      </w:r>
      <w:r>
        <w:rPr/>
        <w:t>simple</w:t>
      </w:r>
      <w:r>
        <w:rPr>
          <w:spacing w:val="-9"/>
        </w:rPr>
        <w:t> </w:t>
      </w:r>
      <w:r>
        <w:rPr/>
        <w:t>average</w:t>
      </w:r>
      <w:r>
        <w:rPr>
          <w:spacing w:val="-10"/>
        </w:rPr>
        <w:t> </w:t>
      </w:r>
      <w:r>
        <w:rPr/>
        <w:t>of</w:t>
      </w:r>
      <w:r>
        <w:rPr>
          <w:spacing w:val="-9"/>
        </w:rPr>
        <w:t> </w:t>
      </w:r>
      <w:r>
        <w:rPr/>
        <w:t>benchmarks</w:t>
      </w:r>
      <w:r>
        <w:rPr>
          <w:spacing w:val="-8"/>
        </w:rPr>
        <w:t> </w:t>
      </w:r>
      <w:r>
        <w:rPr/>
        <w:t>in</w:t>
      </w:r>
      <w:r>
        <w:rPr>
          <w:spacing w:val="-8"/>
        </w:rPr>
        <w:t> </w:t>
      </w:r>
      <w:r>
        <w:rPr/>
        <w:t>the</w:t>
      </w:r>
      <w:r>
        <w:rPr>
          <w:spacing w:val="-9"/>
        </w:rPr>
        <w:t> </w:t>
      </w:r>
      <w:r>
        <w:rPr/>
        <w:t>USVI</w:t>
      </w:r>
      <w:r>
        <w:rPr>
          <w:spacing w:val="-14"/>
        </w:rPr>
        <w:t> </w:t>
      </w:r>
      <w:r>
        <w:rPr/>
        <w:t>is</w:t>
      </w:r>
      <w:r>
        <w:rPr>
          <w:spacing w:val="-8"/>
        </w:rPr>
        <w:t> </w:t>
      </w:r>
      <w:r>
        <w:rPr/>
        <w:t>$653,</w:t>
      </w:r>
      <w:r>
        <w:rPr>
          <w:spacing w:val="-9"/>
        </w:rPr>
        <w:t> </w:t>
      </w:r>
      <w:r>
        <w:rPr/>
        <w:t>compared</w:t>
      </w:r>
      <w:r>
        <w:rPr>
          <w:spacing w:val="-9"/>
        </w:rPr>
        <w:t> </w:t>
      </w:r>
      <w:r>
        <w:rPr/>
        <w:t>to</w:t>
      </w:r>
      <w:r>
        <w:rPr>
          <w:spacing w:val="-8"/>
        </w:rPr>
        <w:t> </w:t>
      </w:r>
      <w:r>
        <w:rPr/>
        <w:t>$483</w:t>
      </w:r>
      <w:r>
        <w:rPr>
          <w:spacing w:val="-9"/>
        </w:rPr>
        <w:t> </w:t>
      </w:r>
      <w:r>
        <w:rPr/>
        <w:t>in</w:t>
      </w:r>
      <w:r>
        <w:rPr>
          <w:spacing w:val="-11"/>
        </w:rPr>
        <w:t> </w:t>
      </w:r>
      <w:r>
        <w:rPr/>
        <w:t>Puerto</w:t>
      </w:r>
      <w:r>
        <w:rPr>
          <w:spacing w:val="-9"/>
        </w:rPr>
        <w:t> </w:t>
      </w:r>
      <w:r>
        <w:rPr/>
        <w:t>Rico.</w:t>
      </w:r>
      <w:r>
        <w:rPr>
          <w:spacing w:val="40"/>
        </w:rPr>
        <w:t> </w:t>
      </w:r>
      <w:r>
        <w:rPr/>
        <w:t>This</w:t>
      </w:r>
      <w:r>
        <w:rPr>
          <w:spacing w:val="-11"/>
        </w:rPr>
        <w:t> </w:t>
      </w:r>
      <w:r>
        <w:rPr/>
        <w:t>level is the next lowest payment level in the entire nation, and is still 17% below the average of the state with the lowest MA benchmarks</w:t>
      </w:r>
      <w:r>
        <w:rPr>
          <w:spacing w:val="-9"/>
        </w:rPr>
        <w:t> </w:t>
      </w:r>
      <w:r>
        <w:rPr/>
        <w:t>(Hawaii).</w:t>
      </w:r>
    </w:p>
    <w:p>
      <w:pPr>
        <w:pStyle w:val="BodyText"/>
      </w:pPr>
    </w:p>
    <w:p>
      <w:pPr>
        <w:pStyle w:val="Heading2"/>
        <w:numPr>
          <w:ilvl w:val="1"/>
          <w:numId w:val="1"/>
        </w:numPr>
        <w:tabs>
          <w:tab w:pos="1561" w:val="left" w:leader="none"/>
        </w:tabs>
        <w:spacing w:line="240" w:lineRule="auto" w:before="0" w:after="0"/>
        <w:ind w:left="1560" w:right="119" w:hanging="360"/>
        <w:jc w:val="left"/>
      </w:pPr>
      <w:r>
        <w:rPr>
          <w:i/>
        </w:rPr>
        <w:t>Precedent</w:t>
      </w:r>
      <w:r>
        <w:rPr>
          <w:i/>
          <w:spacing w:val="-8"/>
        </w:rPr>
        <w:t> </w:t>
      </w:r>
      <w:r>
        <w:rPr>
          <w:i/>
        </w:rPr>
        <w:t>for</w:t>
      </w:r>
      <w:r>
        <w:rPr>
          <w:i/>
          <w:spacing w:val="-8"/>
        </w:rPr>
        <w:t> </w:t>
      </w:r>
      <w:r>
        <w:rPr>
          <w:i/>
        </w:rPr>
        <w:t>Use</w:t>
      </w:r>
      <w:r>
        <w:rPr>
          <w:i/>
          <w:spacing w:val="-10"/>
        </w:rPr>
        <w:t> </w:t>
      </w:r>
      <w:r>
        <w:rPr>
          <w:i/>
        </w:rPr>
        <w:t>of</w:t>
      </w:r>
      <w:r>
        <w:rPr>
          <w:i/>
          <w:spacing w:val="-9"/>
        </w:rPr>
        <w:t> </w:t>
      </w:r>
      <w:r>
        <w:rPr>
          <w:i/>
        </w:rPr>
        <w:t>USVI</w:t>
      </w:r>
      <w:r>
        <w:rPr>
          <w:i/>
          <w:spacing w:val="-8"/>
        </w:rPr>
        <w:t> </w:t>
      </w:r>
      <w:r>
        <w:rPr>
          <w:i/>
        </w:rPr>
        <w:t>factors</w:t>
      </w:r>
      <w:r>
        <w:rPr>
          <w:i/>
          <w:spacing w:val="-8"/>
        </w:rPr>
        <w:t> </w:t>
      </w:r>
      <w:r>
        <w:rPr>
          <w:i/>
        </w:rPr>
        <w:t>as</w:t>
      </w:r>
      <w:r>
        <w:rPr>
          <w:i/>
          <w:spacing w:val="-8"/>
        </w:rPr>
        <w:t> </w:t>
      </w:r>
      <w:r>
        <w:rPr>
          <w:i/>
        </w:rPr>
        <w:t>a</w:t>
      </w:r>
      <w:r>
        <w:rPr>
          <w:i/>
          <w:spacing w:val="-8"/>
        </w:rPr>
        <w:t> </w:t>
      </w:r>
      <w:r>
        <w:rPr>
          <w:i/>
        </w:rPr>
        <w:t>Proxy</w:t>
      </w:r>
      <w:r>
        <w:rPr>
          <w:i/>
          <w:spacing w:val="-7"/>
        </w:rPr>
        <w:t> </w:t>
      </w:r>
      <w:r>
        <w:rPr>
          <w:i/>
        </w:rPr>
        <w:t>for</w:t>
      </w:r>
      <w:r>
        <w:rPr>
          <w:i/>
          <w:spacing w:val="-7"/>
        </w:rPr>
        <w:t> </w:t>
      </w:r>
      <w:r>
        <w:rPr>
          <w:i/>
        </w:rPr>
        <w:t>Puerto</w:t>
      </w:r>
      <w:r>
        <w:rPr>
          <w:i/>
          <w:spacing w:val="-8"/>
        </w:rPr>
        <w:t> </w:t>
      </w:r>
      <w:r>
        <w:rPr>
          <w:i/>
        </w:rPr>
        <w:t>Rico</w:t>
      </w:r>
      <w:r>
        <w:rPr>
          <w:i/>
          <w:spacing w:val="-9"/>
        </w:rPr>
        <w:t> </w:t>
      </w:r>
      <w:r>
        <w:rPr>
          <w:i/>
        </w:rPr>
        <w:t>under</w:t>
      </w:r>
      <w:r>
        <w:rPr>
          <w:i/>
          <w:spacing w:val="-8"/>
        </w:rPr>
        <w:t> </w:t>
      </w:r>
      <w:r>
        <w:rPr>
          <w:i/>
        </w:rPr>
        <w:t>Physician</w:t>
      </w:r>
      <w:r>
        <w:rPr>
          <w:i/>
          <w:spacing w:val="-8"/>
        </w:rPr>
        <w:t> </w:t>
      </w:r>
      <w:r>
        <w:rPr>
          <w:i/>
        </w:rPr>
        <w:t>Fee </w:t>
      </w:r>
      <w:r>
        <w:rPr/>
        <w:t>Schedule</w:t>
      </w:r>
    </w:p>
    <w:p>
      <w:pPr>
        <w:pStyle w:val="BodyText"/>
        <w:spacing w:before="3"/>
        <w:rPr>
          <w:b/>
          <w:i/>
        </w:rPr>
      </w:pPr>
    </w:p>
    <w:p>
      <w:pPr>
        <w:pStyle w:val="BodyText"/>
        <w:spacing w:line="276" w:lineRule="exact" w:before="1"/>
        <w:ind w:left="120" w:right="112" w:firstLine="719"/>
        <w:jc w:val="both"/>
      </w:pPr>
      <w:r>
        <w:rPr/>
        <w:t>Such a use of a proxy would be consistent with similar actions taken by CMS for the Medicare FFS program. Under the Physician Fee Schedule, CMS earlier used the national average Geographic Practice Cost Index (GPCI) as a proxy to be used in calculating rates for the USVI and other Territories because insufficient data in those Territories to establish a specific GPCI. Later, CMS determined to extend that national average GPCI proxy to Puerto Rico as well in the interest of consistency across Territories.</w:t>
      </w:r>
      <w:r>
        <w:rPr>
          <w:position w:val="9"/>
          <w:sz w:val="16"/>
        </w:rPr>
        <w:t>18 </w:t>
      </w:r>
      <w:r>
        <w:rPr/>
        <w:t>In the present case, Puerto Rico similarly lacks sufficient or reliable data to effectively calculate MA benchmarks, which calls for the use of a proxy. Similarly, CMS can promote consistency among Territories, especially those within miles of each other, by using the USVI MA AGA factor in the calculation of Puerto Rico rates.</w:t>
      </w:r>
    </w:p>
    <w:p>
      <w:pPr>
        <w:pStyle w:val="BodyText"/>
        <w:spacing w:before="8"/>
        <w:rPr>
          <w:sz w:val="23"/>
        </w:rPr>
      </w:pPr>
    </w:p>
    <w:p>
      <w:pPr>
        <w:pStyle w:val="Heading1"/>
        <w:numPr>
          <w:ilvl w:val="0"/>
          <w:numId w:val="1"/>
        </w:numPr>
        <w:tabs>
          <w:tab w:pos="1200" w:val="left" w:leader="none"/>
          <w:tab w:pos="1201" w:val="left" w:leader="none"/>
        </w:tabs>
        <w:spacing w:line="240" w:lineRule="auto" w:before="0" w:after="0"/>
        <w:ind w:left="1200" w:right="122" w:hanging="720"/>
        <w:jc w:val="left"/>
      </w:pPr>
      <w:r>
        <w:rPr>
          <w:u w:val="thick"/>
        </w:rPr>
        <w:t>The MA benchmark proxy is the most cost-effective solution for the Federal Government</w:t>
      </w:r>
    </w:p>
    <w:p>
      <w:pPr>
        <w:pStyle w:val="BodyText"/>
        <w:spacing w:before="2"/>
        <w:rPr>
          <w:b/>
          <w:sz w:val="16"/>
        </w:rPr>
      </w:pPr>
    </w:p>
    <w:p>
      <w:pPr>
        <w:pStyle w:val="Heading2"/>
        <w:numPr>
          <w:ilvl w:val="1"/>
          <w:numId w:val="1"/>
        </w:numPr>
        <w:tabs>
          <w:tab w:pos="1561" w:val="left" w:leader="none"/>
        </w:tabs>
        <w:spacing w:line="240" w:lineRule="auto" w:before="90" w:after="0"/>
        <w:ind w:left="1560" w:right="0" w:hanging="360"/>
        <w:jc w:val="left"/>
        <w:rPr>
          <w:i/>
        </w:rPr>
      </w:pPr>
      <w:r>
        <w:rPr>
          <w:i/>
        </w:rPr>
        <w:t>Cost Benefit of Using USVI Proxy to Reduce Outmigration of MA</w:t>
      </w:r>
      <w:r>
        <w:rPr>
          <w:i/>
          <w:spacing w:val="-19"/>
        </w:rPr>
        <w:t> </w:t>
      </w:r>
      <w:r>
        <w:rPr>
          <w:i/>
        </w:rPr>
        <w:t>Enrollees</w:t>
      </w:r>
    </w:p>
    <w:p>
      <w:pPr>
        <w:pStyle w:val="BodyText"/>
        <w:spacing w:before="1"/>
        <w:rPr>
          <w:b/>
          <w:i/>
          <w:sz w:val="21"/>
        </w:rPr>
      </w:pPr>
    </w:p>
    <w:p>
      <w:pPr>
        <w:pStyle w:val="BodyText"/>
        <w:spacing w:line="276" w:lineRule="exact"/>
        <w:ind w:left="120" w:right="115" w:firstLine="719"/>
        <w:jc w:val="both"/>
      </w:pPr>
      <w:r>
        <w:rPr/>
        <w:t>Addressing</w:t>
      </w:r>
      <w:r>
        <w:rPr>
          <w:spacing w:val="-17"/>
        </w:rPr>
        <w:t> </w:t>
      </w:r>
      <w:r>
        <w:rPr/>
        <w:t>the</w:t>
      </w:r>
      <w:r>
        <w:rPr>
          <w:spacing w:val="-13"/>
        </w:rPr>
        <w:t> </w:t>
      </w:r>
      <w:r>
        <w:rPr/>
        <w:t>anomalies</w:t>
      </w:r>
      <w:r>
        <w:rPr>
          <w:spacing w:val="-13"/>
        </w:rPr>
        <w:t> </w:t>
      </w:r>
      <w:r>
        <w:rPr/>
        <w:t>in</w:t>
      </w:r>
      <w:r>
        <w:rPr>
          <w:spacing w:val="-14"/>
        </w:rPr>
        <w:t> </w:t>
      </w:r>
      <w:r>
        <w:rPr/>
        <w:t>MA</w:t>
      </w:r>
      <w:r>
        <w:rPr>
          <w:spacing w:val="-15"/>
        </w:rPr>
        <w:t> </w:t>
      </w:r>
      <w:r>
        <w:rPr/>
        <w:t>rate</w:t>
      </w:r>
      <w:r>
        <w:rPr>
          <w:spacing w:val="-15"/>
        </w:rPr>
        <w:t> </w:t>
      </w:r>
      <w:r>
        <w:rPr/>
        <w:t>setting</w:t>
      </w:r>
      <w:r>
        <w:rPr>
          <w:spacing w:val="-17"/>
        </w:rPr>
        <w:t> </w:t>
      </w:r>
      <w:r>
        <w:rPr/>
        <w:t>for</w:t>
      </w:r>
      <w:r>
        <w:rPr>
          <w:spacing w:val="-16"/>
        </w:rPr>
        <w:t> </w:t>
      </w:r>
      <w:r>
        <w:rPr/>
        <w:t>Puerto</w:t>
      </w:r>
      <w:r>
        <w:rPr>
          <w:spacing w:val="-15"/>
        </w:rPr>
        <w:t> </w:t>
      </w:r>
      <w:r>
        <w:rPr/>
        <w:t>Rico</w:t>
      </w:r>
      <w:r>
        <w:rPr>
          <w:spacing w:val="-15"/>
        </w:rPr>
        <w:t> </w:t>
      </w:r>
      <w:r>
        <w:rPr/>
        <w:t>by</w:t>
      </w:r>
      <w:r>
        <w:rPr>
          <w:spacing w:val="-17"/>
        </w:rPr>
        <w:t> </w:t>
      </w:r>
      <w:r>
        <w:rPr/>
        <w:t>establishing</w:t>
      </w:r>
      <w:r>
        <w:rPr>
          <w:spacing w:val="-14"/>
        </w:rPr>
        <w:t> </w:t>
      </w:r>
      <w:r>
        <w:rPr/>
        <w:t>a</w:t>
      </w:r>
      <w:r>
        <w:rPr>
          <w:spacing w:val="-16"/>
        </w:rPr>
        <w:t> </w:t>
      </w:r>
      <w:r>
        <w:rPr/>
        <w:t>payment</w:t>
      </w:r>
      <w:r>
        <w:rPr>
          <w:spacing w:val="-15"/>
        </w:rPr>
        <w:t> </w:t>
      </w:r>
      <w:r>
        <w:rPr/>
        <w:t>proxy will result in savings to the Federal government. Migration to the states has accelerated since Hurricanes Irma and Maria, with estimates of over 100,000 people leaving in just 2 months. This is similar to the volume leaving in one year, based on recent trends. MA transactions have also evidenced that beneficiaries are enrolling in mainland MA plans rapidly. We estimate that over 5,000 have already enrolled as of November 1</w:t>
      </w:r>
      <w:r>
        <w:rPr>
          <w:position w:val="9"/>
          <w:sz w:val="16"/>
        </w:rPr>
        <w:t>st</w:t>
      </w:r>
      <w:r>
        <w:rPr/>
        <w:t>, since the day of Hurricane Maria. Fixing MA in Puerto Rico is crucial to keep more beneficiaries residing on the</w:t>
      </w:r>
      <w:r>
        <w:rPr>
          <w:spacing w:val="-12"/>
        </w:rPr>
        <w:t> </w:t>
      </w:r>
      <w:r>
        <w:rPr/>
        <w:t>island.</w:t>
      </w:r>
    </w:p>
    <w:p>
      <w:pPr>
        <w:pStyle w:val="BodyText"/>
        <w:spacing w:before="6"/>
        <w:rPr>
          <w:sz w:val="20"/>
        </w:rPr>
      </w:pPr>
    </w:p>
    <w:p>
      <w:pPr>
        <w:pStyle w:val="BodyText"/>
        <w:ind w:left="120" w:right="124" w:firstLine="719"/>
        <w:jc w:val="both"/>
      </w:pPr>
      <w:r>
        <w:rPr/>
        <w:t>As US citizens, when Puerto Rican beneficiaries go to states they automatically increase expenses for the Federal government, for example:</w:t>
      </w:r>
    </w:p>
    <w:p>
      <w:pPr>
        <w:pStyle w:val="BodyText"/>
        <w:spacing w:before="10"/>
        <w:rPr>
          <w:sz w:val="20"/>
        </w:rPr>
      </w:pPr>
    </w:p>
    <w:p>
      <w:pPr>
        <w:pStyle w:val="ListParagraph"/>
        <w:numPr>
          <w:ilvl w:val="0"/>
          <w:numId w:val="2"/>
        </w:numPr>
        <w:tabs>
          <w:tab w:pos="481" w:val="left" w:leader="none"/>
        </w:tabs>
        <w:spacing w:line="240" w:lineRule="auto" w:before="0" w:after="0"/>
        <w:ind w:left="480" w:right="120" w:hanging="360"/>
        <w:jc w:val="both"/>
        <w:rPr>
          <w:sz w:val="24"/>
        </w:rPr>
      </w:pPr>
      <w:r>
        <w:rPr>
          <w:sz w:val="24"/>
        </w:rPr>
        <w:t>MA benchmarks are much higher anywhere in the US, especially in Florida and New York, where Puerto Ricans are mostly moving</w:t>
      </w:r>
      <w:r>
        <w:rPr>
          <w:spacing w:val="-11"/>
          <w:sz w:val="24"/>
        </w:rPr>
        <w:t> </w:t>
      </w:r>
      <w:r>
        <w:rPr>
          <w:sz w:val="24"/>
        </w:rPr>
        <w:t>to.</w:t>
      </w:r>
    </w:p>
    <w:p>
      <w:pPr>
        <w:pStyle w:val="ListParagraph"/>
        <w:numPr>
          <w:ilvl w:val="0"/>
          <w:numId w:val="2"/>
        </w:numPr>
        <w:tabs>
          <w:tab w:pos="481" w:val="left" w:leader="none"/>
        </w:tabs>
        <w:spacing w:line="240" w:lineRule="auto" w:before="0" w:after="0"/>
        <w:ind w:left="480" w:right="116" w:hanging="360"/>
        <w:jc w:val="both"/>
        <w:rPr>
          <w:sz w:val="24"/>
        </w:rPr>
      </w:pPr>
      <w:r>
        <w:rPr>
          <w:sz w:val="24"/>
        </w:rPr>
        <w:t>There are additional health care expenses for programs and benefits not applicable in Puerto Rico, to which beneficiaries would be entitled automatically like the Part D LIS and Medicaid institutional long-term</w:t>
      </w:r>
      <w:r>
        <w:rPr>
          <w:spacing w:val="-6"/>
          <w:sz w:val="24"/>
        </w:rPr>
        <w:t> </w:t>
      </w:r>
      <w:r>
        <w:rPr>
          <w:sz w:val="24"/>
        </w:rPr>
        <w:t>care.</w:t>
      </w:r>
    </w:p>
    <w:p>
      <w:pPr>
        <w:pStyle w:val="BodyText"/>
        <w:rPr>
          <w:sz w:val="20"/>
        </w:rPr>
      </w:pPr>
    </w:p>
    <w:p>
      <w:pPr>
        <w:pStyle w:val="BodyText"/>
        <w:spacing w:before="8"/>
        <w:rPr>
          <w:sz w:val="10"/>
        </w:rPr>
      </w:pPr>
      <w:r>
        <w:rPr/>
        <w:pict>
          <v:line style="position:absolute;mso-position-horizontal-relative:page;mso-position-vertical-relative:paragraph;z-index:1504;mso-wrap-distance-left:0;mso-wrap-distance-right:0" from="72.024002pt,8.432104pt" to="216.044002pt,8.432104pt" stroked="true" strokeweight=".60004pt" strokecolor="#000000">
            <v:stroke dashstyle="solid"/>
            <w10:wrap type="topAndBottom"/>
          </v:line>
        </w:pict>
      </w:r>
    </w:p>
    <w:p>
      <w:pPr>
        <w:pStyle w:val="BodyText"/>
        <w:spacing w:before="9"/>
        <w:rPr>
          <w:sz w:val="18"/>
        </w:rPr>
      </w:pPr>
    </w:p>
    <w:p>
      <w:pPr>
        <w:spacing w:before="94"/>
        <w:ind w:left="120" w:right="0" w:firstLine="0"/>
        <w:jc w:val="left"/>
        <w:rPr>
          <w:sz w:val="20"/>
        </w:rPr>
      </w:pPr>
      <w:r>
        <w:rPr>
          <w:position w:val="7"/>
          <w:sz w:val="13"/>
        </w:rPr>
        <w:t>18 </w:t>
      </w:r>
      <w:r>
        <w:rPr>
          <w:sz w:val="20"/>
        </w:rPr>
        <w:t>See 81 Fed. Reg. 80,269 (Nov. 15, 2016).</w:t>
      </w:r>
    </w:p>
    <w:p>
      <w:pPr>
        <w:spacing w:after="0"/>
        <w:jc w:val="left"/>
        <w:rPr>
          <w:sz w:val="20"/>
        </w:rPr>
        <w:sectPr>
          <w:pgSz w:w="12240" w:h="15840"/>
          <w:pgMar w:header="0" w:footer="1092" w:top="1360" w:bottom="1280" w:left="1320" w:right="1140"/>
        </w:sectPr>
      </w:pPr>
    </w:p>
    <w:p>
      <w:pPr>
        <w:pStyle w:val="ListParagraph"/>
        <w:numPr>
          <w:ilvl w:val="0"/>
          <w:numId w:val="2"/>
        </w:numPr>
        <w:tabs>
          <w:tab w:pos="480" w:val="left" w:leader="none"/>
          <w:tab w:pos="481" w:val="left" w:leader="none"/>
        </w:tabs>
        <w:spacing w:line="240" w:lineRule="auto" w:before="79" w:after="0"/>
        <w:ind w:left="480" w:right="101" w:hanging="360"/>
        <w:jc w:val="left"/>
        <w:rPr>
          <w:sz w:val="24"/>
        </w:rPr>
      </w:pPr>
      <w:r>
        <w:rPr>
          <w:sz w:val="24"/>
        </w:rPr>
        <w:t>All</w:t>
      </w:r>
      <w:r>
        <w:rPr>
          <w:spacing w:val="-8"/>
          <w:sz w:val="24"/>
        </w:rPr>
        <w:t> </w:t>
      </w:r>
      <w:r>
        <w:rPr>
          <w:sz w:val="24"/>
        </w:rPr>
        <w:t>the</w:t>
      </w:r>
      <w:r>
        <w:rPr>
          <w:spacing w:val="-9"/>
          <w:sz w:val="24"/>
        </w:rPr>
        <w:t> </w:t>
      </w:r>
      <w:r>
        <w:rPr>
          <w:sz w:val="24"/>
        </w:rPr>
        <w:t>dual</w:t>
      </w:r>
      <w:r>
        <w:rPr>
          <w:spacing w:val="-8"/>
          <w:sz w:val="24"/>
        </w:rPr>
        <w:t> </w:t>
      </w:r>
      <w:r>
        <w:rPr>
          <w:sz w:val="24"/>
        </w:rPr>
        <w:t>eligible</w:t>
      </w:r>
      <w:r>
        <w:rPr>
          <w:spacing w:val="-10"/>
          <w:sz w:val="24"/>
        </w:rPr>
        <w:t> </w:t>
      </w:r>
      <w:r>
        <w:rPr>
          <w:sz w:val="24"/>
        </w:rPr>
        <w:t>leaving</w:t>
      </w:r>
      <w:r>
        <w:rPr>
          <w:spacing w:val="-11"/>
          <w:sz w:val="24"/>
        </w:rPr>
        <w:t> </w:t>
      </w:r>
      <w:r>
        <w:rPr>
          <w:sz w:val="24"/>
        </w:rPr>
        <w:t>from</w:t>
      </w:r>
      <w:r>
        <w:rPr>
          <w:spacing w:val="-9"/>
          <w:sz w:val="24"/>
        </w:rPr>
        <w:t> </w:t>
      </w:r>
      <w:r>
        <w:rPr>
          <w:sz w:val="24"/>
        </w:rPr>
        <w:t>Puerto</w:t>
      </w:r>
      <w:r>
        <w:rPr>
          <w:spacing w:val="-9"/>
          <w:sz w:val="24"/>
        </w:rPr>
        <w:t> </w:t>
      </w:r>
      <w:r>
        <w:rPr>
          <w:sz w:val="24"/>
        </w:rPr>
        <w:t>Rico</w:t>
      </w:r>
      <w:r>
        <w:rPr>
          <w:spacing w:val="-9"/>
          <w:sz w:val="24"/>
        </w:rPr>
        <w:t> </w:t>
      </w:r>
      <w:r>
        <w:rPr>
          <w:sz w:val="24"/>
        </w:rPr>
        <w:t>are</w:t>
      </w:r>
      <w:r>
        <w:rPr>
          <w:spacing w:val="-8"/>
          <w:sz w:val="24"/>
        </w:rPr>
        <w:t> </w:t>
      </w:r>
      <w:r>
        <w:rPr>
          <w:sz w:val="24"/>
        </w:rPr>
        <w:t>87%</w:t>
      </w:r>
      <w:r>
        <w:rPr>
          <w:spacing w:val="-9"/>
          <w:sz w:val="24"/>
        </w:rPr>
        <w:t> </w:t>
      </w:r>
      <w:r>
        <w:rPr>
          <w:sz w:val="24"/>
        </w:rPr>
        <w:t>FPL</w:t>
      </w:r>
      <w:r>
        <w:rPr>
          <w:spacing w:val="-11"/>
          <w:sz w:val="24"/>
        </w:rPr>
        <w:t> </w:t>
      </w:r>
      <w:r>
        <w:rPr>
          <w:sz w:val="24"/>
        </w:rPr>
        <w:t>or</w:t>
      </w:r>
      <w:r>
        <w:rPr>
          <w:spacing w:val="-9"/>
          <w:sz w:val="24"/>
        </w:rPr>
        <w:t> </w:t>
      </w:r>
      <w:r>
        <w:rPr>
          <w:sz w:val="24"/>
        </w:rPr>
        <w:t>lower,</w:t>
      </w:r>
      <w:r>
        <w:rPr>
          <w:spacing w:val="-7"/>
          <w:sz w:val="24"/>
        </w:rPr>
        <w:t> </w:t>
      </w:r>
      <w:r>
        <w:rPr>
          <w:sz w:val="24"/>
        </w:rPr>
        <w:t>which</w:t>
      </w:r>
      <w:r>
        <w:rPr>
          <w:spacing w:val="-9"/>
          <w:sz w:val="24"/>
        </w:rPr>
        <w:t> </w:t>
      </w:r>
      <w:r>
        <w:rPr>
          <w:sz w:val="24"/>
        </w:rPr>
        <w:t>makes</w:t>
      </w:r>
      <w:r>
        <w:rPr>
          <w:spacing w:val="-8"/>
          <w:sz w:val="24"/>
        </w:rPr>
        <w:t> </w:t>
      </w:r>
      <w:r>
        <w:rPr>
          <w:sz w:val="24"/>
        </w:rPr>
        <w:t>them</w:t>
      </w:r>
      <w:r>
        <w:rPr>
          <w:spacing w:val="-9"/>
          <w:sz w:val="24"/>
        </w:rPr>
        <w:t> </w:t>
      </w:r>
      <w:r>
        <w:rPr>
          <w:sz w:val="24"/>
        </w:rPr>
        <w:t>eligible for the Supplemental Security Income (SSI) not applicable if you reside in Puerto</w:t>
      </w:r>
      <w:r>
        <w:rPr>
          <w:spacing w:val="-15"/>
          <w:sz w:val="24"/>
        </w:rPr>
        <w:t> </w:t>
      </w:r>
      <w:r>
        <w:rPr>
          <w:sz w:val="24"/>
        </w:rPr>
        <w:t>Rico.</w:t>
      </w:r>
    </w:p>
    <w:p>
      <w:pPr>
        <w:pStyle w:val="BodyText"/>
        <w:rPr>
          <w:sz w:val="20"/>
        </w:rPr>
      </w:pPr>
    </w:p>
    <w:p>
      <w:pPr>
        <w:pStyle w:val="BodyText"/>
        <w:spacing w:before="1"/>
        <w:rPr>
          <w:sz w:val="17"/>
        </w:rPr>
      </w:pPr>
      <w:r>
        <w:rPr/>
        <w:drawing>
          <wp:anchor distT="0" distB="0" distL="0" distR="0" allowOverlap="1" layoutInCell="1" locked="0" behindDoc="0" simplePos="0" relativeHeight="1528">
            <wp:simplePos x="0" y="0"/>
            <wp:positionH relativeFrom="page">
              <wp:posOffset>1684020</wp:posOffset>
            </wp:positionH>
            <wp:positionV relativeFrom="paragraph">
              <wp:posOffset>149602</wp:posOffset>
            </wp:positionV>
            <wp:extent cx="4276653" cy="2552319"/>
            <wp:effectExtent l="0" t="0" r="0" b="0"/>
            <wp:wrapTopAndBottom/>
            <wp:docPr id="3" name="image14.png" descr=""/>
            <wp:cNvGraphicFramePr>
              <a:graphicFrameLocks noChangeAspect="1"/>
            </wp:cNvGraphicFramePr>
            <a:graphic>
              <a:graphicData uri="http://schemas.openxmlformats.org/drawingml/2006/picture">
                <pic:pic>
                  <pic:nvPicPr>
                    <pic:cNvPr id="4" name="image14.png"/>
                    <pic:cNvPicPr/>
                  </pic:nvPicPr>
                  <pic:blipFill>
                    <a:blip r:embed="rId26" cstate="print"/>
                    <a:stretch>
                      <a:fillRect/>
                    </a:stretch>
                  </pic:blipFill>
                  <pic:spPr>
                    <a:xfrm>
                      <a:off x="0" y="0"/>
                      <a:ext cx="4276653" cy="2552319"/>
                    </a:xfrm>
                    <a:prstGeom prst="rect">
                      <a:avLst/>
                    </a:prstGeom>
                  </pic:spPr>
                </pic:pic>
              </a:graphicData>
            </a:graphic>
          </wp:anchor>
        </w:drawing>
      </w:r>
    </w:p>
    <w:p>
      <w:pPr>
        <w:pStyle w:val="BodyText"/>
        <w:rPr>
          <w:sz w:val="26"/>
        </w:rPr>
      </w:pPr>
    </w:p>
    <w:p>
      <w:pPr>
        <w:pStyle w:val="BodyText"/>
        <w:spacing w:before="201"/>
        <w:ind w:left="120" w:right="98" w:firstLine="360"/>
        <w:jc w:val="both"/>
      </w:pPr>
      <w:r>
        <w:rPr/>
        <w:t>We examined the potential costs of using the MA benchmarks of the USVI in Puerto Rico, combined with the savings of the avoidance of migration resulting from the program enhancements on the island. Given recent trends, and the accelerated migration due to the hurricanes, we</w:t>
      </w:r>
      <w:r>
        <w:rPr>
          <w:spacing w:val="-21"/>
        </w:rPr>
        <w:t> </w:t>
      </w:r>
      <w:r>
        <w:rPr/>
        <w:t>prepared a scenario assuming there would be 100,000 more beneficiaries from Puerto Rico in the states without meaningful change like the MA proxy. To estimate the cost of beneficiaries in Florida and New York, we divided the populations between dual and non-dual to apply dual specific cost data obtained from CMS and MedPac (</w:t>
      </w:r>
      <w:r>
        <w:rPr>
          <w:b/>
          <w:i/>
        </w:rPr>
        <w:t>See Appendix</w:t>
      </w:r>
      <w:r>
        <w:rPr>
          <w:b/>
          <w:i/>
          <w:spacing w:val="-10"/>
        </w:rPr>
        <w:t> </w:t>
      </w:r>
      <w:r>
        <w:rPr>
          <w:b/>
          <w:i/>
        </w:rPr>
        <w:t>3</w:t>
      </w:r>
      <w:r>
        <w:rPr/>
        <w:t>).</w:t>
      </w:r>
    </w:p>
    <w:p>
      <w:pPr>
        <w:pStyle w:val="BodyText"/>
        <w:spacing w:before="9"/>
        <w:rPr>
          <w:sz w:val="20"/>
        </w:rPr>
      </w:pPr>
    </w:p>
    <w:p>
      <w:pPr>
        <w:pStyle w:val="Heading1"/>
        <w:spacing w:before="1"/>
        <w:ind w:left="120" w:firstLine="0"/>
      </w:pPr>
      <w:r>
        <w:rPr>
          <w:u w:val="thick"/>
        </w:rPr>
        <w:t>Estimated Cost-Savings if 100,000 Medicare beneficiaries are impacted</w:t>
      </w:r>
    </w:p>
    <w:p>
      <w:pPr>
        <w:pStyle w:val="BodyText"/>
        <w:spacing w:before="8"/>
        <w:rPr>
          <w:b/>
          <w:sz w:val="16"/>
        </w:rPr>
      </w:pPr>
    </w:p>
    <w:p>
      <w:pPr>
        <w:spacing w:line="268" w:lineRule="auto" w:before="69"/>
        <w:ind w:left="158" w:right="7303" w:firstLine="0"/>
        <w:jc w:val="left"/>
        <w:rPr>
          <w:rFonts w:ascii="Calibri"/>
          <w:b/>
          <w:sz w:val="17"/>
        </w:rPr>
      </w:pPr>
      <w:r>
        <w:rPr>
          <w:rFonts w:ascii="Calibri"/>
          <w:b/>
          <w:w w:val="105"/>
          <w:sz w:val="17"/>
        </w:rPr>
        <w:t>Puerto Rico MA Benchmark Use of USVI as Proxy</w:t>
      </w:r>
    </w:p>
    <w:p>
      <w:pPr>
        <w:spacing w:before="0"/>
        <w:ind w:left="158" w:right="0" w:firstLine="0"/>
        <w:jc w:val="left"/>
        <w:rPr>
          <w:rFonts w:ascii="Calibri"/>
          <w:b/>
          <w:sz w:val="17"/>
        </w:rPr>
      </w:pPr>
      <w:r>
        <w:rPr>
          <w:rFonts w:ascii="Calibri"/>
          <w:b/>
          <w:sz w:val="17"/>
        </w:rPr>
        <w:t>2018 Benchmark  Valuation</w:t>
      </w:r>
    </w:p>
    <w:p>
      <w:pPr>
        <w:pStyle w:val="BodyText"/>
        <w:spacing w:before="2"/>
        <w:rPr>
          <w:rFonts w:ascii="Calibri"/>
          <w:b/>
          <w:sz w:val="19"/>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4"/>
        <w:gridCol w:w="847"/>
        <w:gridCol w:w="975"/>
        <w:gridCol w:w="912"/>
        <w:gridCol w:w="1483"/>
        <w:gridCol w:w="1710"/>
        <w:gridCol w:w="1848"/>
      </w:tblGrid>
      <w:tr>
        <w:trPr>
          <w:trHeight w:val="232" w:hRule="exact"/>
        </w:trPr>
        <w:tc>
          <w:tcPr>
            <w:tcW w:w="1761" w:type="dxa"/>
            <w:gridSpan w:val="2"/>
            <w:vMerge w:val="restart"/>
          </w:tcPr>
          <w:p>
            <w:pPr>
              <w:pStyle w:val="TableParagraph"/>
              <w:spacing w:before="0"/>
              <w:rPr>
                <w:rFonts w:ascii="Calibri"/>
                <w:b/>
                <w:sz w:val="20"/>
              </w:rPr>
            </w:pPr>
          </w:p>
          <w:p>
            <w:pPr>
              <w:pStyle w:val="TableParagraph"/>
              <w:spacing w:before="0"/>
              <w:ind w:left="802"/>
              <w:rPr>
                <w:rFonts w:ascii="Calibri"/>
                <w:b/>
                <w:sz w:val="17"/>
              </w:rPr>
            </w:pPr>
            <w:r>
              <w:rPr>
                <w:rFonts w:ascii="Calibri"/>
                <w:b/>
                <w:sz w:val="17"/>
              </w:rPr>
              <w:t>Beneficiaries</w:t>
            </w:r>
          </w:p>
        </w:tc>
        <w:tc>
          <w:tcPr>
            <w:tcW w:w="1886" w:type="dxa"/>
            <w:gridSpan w:val="2"/>
          </w:tcPr>
          <w:p>
            <w:pPr>
              <w:pStyle w:val="TableParagraph"/>
              <w:spacing w:before="12"/>
              <w:ind w:left="541"/>
              <w:rPr>
                <w:rFonts w:ascii="Calibri"/>
                <w:b/>
                <w:sz w:val="17"/>
              </w:rPr>
            </w:pPr>
            <w:r>
              <w:rPr>
                <w:rFonts w:ascii="Calibri"/>
                <w:b/>
                <w:w w:val="105"/>
                <w:sz w:val="17"/>
              </w:rPr>
              <w:t>MA PMPM</w:t>
            </w:r>
          </w:p>
        </w:tc>
        <w:tc>
          <w:tcPr>
            <w:tcW w:w="3192" w:type="dxa"/>
            <w:gridSpan w:val="2"/>
          </w:tcPr>
          <w:p>
            <w:pPr>
              <w:pStyle w:val="TableParagraph"/>
              <w:spacing w:before="12"/>
              <w:ind w:left="793"/>
              <w:rPr>
                <w:rFonts w:ascii="Calibri"/>
                <w:b/>
                <w:sz w:val="17"/>
              </w:rPr>
            </w:pPr>
            <w:r>
              <w:rPr>
                <w:rFonts w:ascii="Calibri"/>
                <w:b/>
                <w:w w:val="105"/>
                <w:sz w:val="17"/>
              </w:rPr>
              <w:t>Gross Annual Expense</w:t>
            </w:r>
          </w:p>
        </w:tc>
        <w:tc>
          <w:tcPr>
            <w:tcW w:w="1848" w:type="dxa"/>
            <w:vMerge w:val="restart"/>
          </w:tcPr>
          <w:p>
            <w:pPr>
              <w:pStyle w:val="TableParagraph"/>
              <w:spacing w:before="0"/>
              <w:rPr>
                <w:rFonts w:ascii="Calibri"/>
                <w:b/>
                <w:sz w:val="20"/>
              </w:rPr>
            </w:pPr>
          </w:p>
          <w:p>
            <w:pPr>
              <w:pStyle w:val="TableParagraph"/>
              <w:spacing w:before="0"/>
              <w:ind w:left="396"/>
              <w:rPr>
                <w:rFonts w:ascii="Calibri"/>
                <w:b/>
                <w:sz w:val="17"/>
              </w:rPr>
            </w:pPr>
            <w:r>
              <w:rPr>
                <w:rFonts w:ascii="Calibri"/>
                <w:b/>
                <w:sz w:val="17"/>
              </w:rPr>
              <w:t>Net Difference</w:t>
            </w:r>
          </w:p>
        </w:tc>
      </w:tr>
      <w:tr>
        <w:trPr>
          <w:trHeight w:val="232" w:hRule="exact"/>
        </w:trPr>
        <w:tc>
          <w:tcPr>
            <w:tcW w:w="1761" w:type="dxa"/>
            <w:gridSpan w:val="2"/>
            <w:vMerge/>
          </w:tcPr>
          <w:p>
            <w:pPr/>
          </w:p>
        </w:tc>
        <w:tc>
          <w:tcPr>
            <w:tcW w:w="975" w:type="dxa"/>
            <w:tcBorders>
              <w:right w:val="nil"/>
            </w:tcBorders>
          </w:tcPr>
          <w:p>
            <w:pPr>
              <w:pStyle w:val="TableParagraph"/>
              <w:spacing w:before="12"/>
              <w:ind w:right="63"/>
              <w:jc w:val="right"/>
              <w:rPr>
                <w:rFonts w:ascii="Calibri"/>
                <w:b/>
                <w:sz w:val="17"/>
              </w:rPr>
            </w:pPr>
            <w:r>
              <w:rPr>
                <w:rFonts w:ascii="Calibri"/>
                <w:b/>
                <w:w w:val="105"/>
                <w:sz w:val="17"/>
              </w:rPr>
              <w:t>Puerto Rico</w:t>
            </w:r>
          </w:p>
        </w:tc>
        <w:tc>
          <w:tcPr>
            <w:tcW w:w="912" w:type="dxa"/>
            <w:tcBorders>
              <w:left w:val="nil"/>
            </w:tcBorders>
          </w:tcPr>
          <w:p>
            <w:pPr>
              <w:pStyle w:val="TableParagraph"/>
              <w:spacing w:before="12"/>
              <w:ind w:right="33"/>
              <w:jc w:val="right"/>
              <w:rPr>
                <w:rFonts w:ascii="Calibri"/>
                <w:b/>
                <w:sz w:val="17"/>
              </w:rPr>
            </w:pPr>
            <w:r>
              <w:rPr>
                <w:rFonts w:ascii="Calibri"/>
                <w:b/>
                <w:w w:val="105"/>
                <w:sz w:val="17"/>
              </w:rPr>
              <w:t>USVI Proxy</w:t>
            </w:r>
          </w:p>
        </w:tc>
        <w:tc>
          <w:tcPr>
            <w:tcW w:w="1483" w:type="dxa"/>
            <w:tcBorders>
              <w:right w:val="nil"/>
            </w:tcBorders>
          </w:tcPr>
          <w:p>
            <w:pPr>
              <w:pStyle w:val="TableParagraph"/>
              <w:spacing w:before="12"/>
              <w:ind w:right="58"/>
              <w:jc w:val="right"/>
              <w:rPr>
                <w:rFonts w:ascii="Calibri"/>
                <w:b/>
                <w:sz w:val="17"/>
              </w:rPr>
            </w:pPr>
            <w:r>
              <w:rPr>
                <w:rFonts w:ascii="Calibri"/>
                <w:b/>
                <w:w w:val="105"/>
                <w:sz w:val="17"/>
              </w:rPr>
              <w:t>Puerto Rico</w:t>
            </w:r>
          </w:p>
        </w:tc>
        <w:tc>
          <w:tcPr>
            <w:tcW w:w="1710" w:type="dxa"/>
            <w:tcBorders>
              <w:left w:val="nil"/>
            </w:tcBorders>
          </w:tcPr>
          <w:p>
            <w:pPr>
              <w:pStyle w:val="TableParagraph"/>
              <w:spacing w:before="12"/>
              <w:ind w:left="863"/>
              <w:rPr>
                <w:rFonts w:ascii="Calibri"/>
                <w:b/>
                <w:sz w:val="17"/>
              </w:rPr>
            </w:pPr>
            <w:r>
              <w:rPr>
                <w:rFonts w:ascii="Calibri"/>
                <w:b/>
                <w:w w:val="105"/>
                <w:sz w:val="17"/>
              </w:rPr>
              <w:t>USVI Proxy</w:t>
            </w:r>
          </w:p>
        </w:tc>
        <w:tc>
          <w:tcPr>
            <w:tcW w:w="1848" w:type="dxa"/>
            <w:vMerge/>
          </w:tcPr>
          <w:p>
            <w:pPr/>
          </w:p>
        </w:tc>
      </w:tr>
      <w:tr>
        <w:trPr>
          <w:trHeight w:val="251" w:hRule="exact"/>
        </w:trPr>
        <w:tc>
          <w:tcPr>
            <w:tcW w:w="914" w:type="dxa"/>
            <w:tcBorders>
              <w:bottom w:val="nil"/>
              <w:right w:val="nil"/>
            </w:tcBorders>
          </w:tcPr>
          <w:p>
            <w:pPr>
              <w:pStyle w:val="TableParagraph"/>
              <w:spacing w:before="12"/>
              <w:ind w:left="28"/>
              <w:rPr>
                <w:rFonts w:ascii="Calibri"/>
                <w:sz w:val="17"/>
              </w:rPr>
            </w:pPr>
            <w:r>
              <w:rPr>
                <w:rFonts w:ascii="Calibri"/>
                <w:w w:val="105"/>
                <w:sz w:val="17"/>
              </w:rPr>
              <w:t>FFS</w:t>
            </w:r>
          </w:p>
        </w:tc>
        <w:tc>
          <w:tcPr>
            <w:tcW w:w="847" w:type="dxa"/>
            <w:tcBorders>
              <w:left w:val="nil"/>
              <w:bottom w:val="nil"/>
            </w:tcBorders>
          </w:tcPr>
          <w:p>
            <w:pPr>
              <w:pStyle w:val="TableParagraph"/>
              <w:spacing w:before="12"/>
              <w:ind w:right="74"/>
              <w:jc w:val="right"/>
              <w:rPr>
                <w:rFonts w:ascii="Calibri"/>
                <w:sz w:val="17"/>
              </w:rPr>
            </w:pPr>
            <w:r>
              <w:rPr>
                <w:rFonts w:ascii="Calibri"/>
                <w:sz w:val="17"/>
              </w:rPr>
              <w:t>63,000</w:t>
            </w:r>
          </w:p>
        </w:tc>
        <w:tc>
          <w:tcPr>
            <w:tcW w:w="975" w:type="dxa"/>
            <w:tcBorders>
              <w:bottom w:val="nil"/>
              <w:right w:val="nil"/>
            </w:tcBorders>
          </w:tcPr>
          <w:p>
            <w:pPr>
              <w:pStyle w:val="TableParagraph"/>
              <w:spacing w:before="12"/>
              <w:ind w:right="107"/>
              <w:jc w:val="right"/>
              <w:rPr>
                <w:rFonts w:ascii="Calibri"/>
                <w:sz w:val="17"/>
              </w:rPr>
            </w:pPr>
            <w:r>
              <w:rPr>
                <w:rFonts w:ascii="Calibri"/>
                <w:sz w:val="17"/>
              </w:rPr>
              <w:t>$433</w:t>
            </w:r>
          </w:p>
        </w:tc>
        <w:tc>
          <w:tcPr>
            <w:tcW w:w="912" w:type="dxa"/>
            <w:tcBorders>
              <w:left w:val="nil"/>
              <w:bottom w:val="nil"/>
            </w:tcBorders>
          </w:tcPr>
          <w:p>
            <w:pPr>
              <w:pStyle w:val="TableParagraph"/>
              <w:spacing w:before="12"/>
              <w:ind w:right="75"/>
              <w:jc w:val="right"/>
              <w:rPr>
                <w:rFonts w:ascii="Calibri"/>
                <w:sz w:val="17"/>
              </w:rPr>
            </w:pPr>
            <w:r>
              <w:rPr>
                <w:rFonts w:ascii="Calibri"/>
                <w:sz w:val="17"/>
              </w:rPr>
              <w:t>$433</w:t>
            </w:r>
          </w:p>
        </w:tc>
        <w:tc>
          <w:tcPr>
            <w:tcW w:w="1483" w:type="dxa"/>
            <w:tcBorders>
              <w:bottom w:val="nil"/>
              <w:right w:val="nil"/>
            </w:tcBorders>
          </w:tcPr>
          <w:p>
            <w:pPr>
              <w:pStyle w:val="TableParagraph"/>
              <w:tabs>
                <w:tab w:pos="435" w:val="left" w:leader="none"/>
              </w:tabs>
              <w:spacing w:before="12"/>
              <w:ind w:right="101"/>
              <w:jc w:val="right"/>
              <w:rPr>
                <w:rFonts w:ascii="Calibri"/>
                <w:sz w:val="17"/>
              </w:rPr>
            </w:pPr>
            <w:r>
              <w:rPr>
                <w:rFonts w:ascii="Calibri"/>
                <w:w w:val="105"/>
                <w:sz w:val="17"/>
              </w:rPr>
              <w:t>$</w:t>
              <w:tab/>
            </w:r>
            <w:r>
              <w:rPr>
                <w:rFonts w:ascii="Calibri"/>
                <w:spacing w:val="-3"/>
                <w:sz w:val="17"/>
              </w:rPr>
              <w:t>327,668,335</w:t>
            </w:r>
          </w:p>
        </w:tc>
        <w:tc>
          <w:tcPr>
            <w:tcW w:w="1710" w:type="dxa"/>
            <w:tcBorders>
              <w:left w:val="nil"/>
              <w:bottom w:val="nil"/>
            </w:tcBorders>
          </w:tcPr>
          <w:p>
            <w:pPr>
              <w:pStyle w:val="TableParagraph"/>
              <w:tabs>
                <w:tab w:pos="766" w:val="left" w:leader="none"/>
              </w:tabs>
              <w:spacing w:before="12"/>
              <w:ind w:left="60"/>
              <w:rPr>
                <w:rFonts w:ascii="Calibri"/>
                <w:sz w:val="17"/>
              </w:rPr>
            </w:pPr>
            <w:r>
              <w:rPr>
                <w:rFonts w:ascii="Calibri"/>
                <w:w w:val="105"/>
                <w:sz w:val="17"/>
              </w:rPr>
              <w:t>$</w:t>
              <w:tab/>
            </w:r>
            <w:r>
              <w:rPr>
                <w:rFonts w:ascii="Calibri"/>
                <w:spacing w:val="-3"/>
                <w:w w:val="105"/>
                <w:sz w:val="17"/>
              </w:rPr>
              <w:t>327,668,335</w:t>
            </w:r>
          </w:p>
        </w:tc>
        <w:tc>
          <w:tcPr>
            <w:tcW w:w="1848" w:type="dxa"/>
            <w:tcBorders>
              <w:bottom w:val="nil"/>
            </w:tcBorders>
          </w:tcPr>
          <w:p>
            <w:pPr>
              <w:pStyle w:val="TableParagraph"/>
              <w:tabs>
                <w:tab w:pos="1528" w:val="left" w:leader="none"/>
              </w:tabs>
              <w:spacing w:before="12"/>
              <w:ind w:left="77"/>
              <w:rPr>
                <w:rFonts w:ascii="Calibri"/>
                <w:sz w:val="17"/>
              </w:rPr>
            </w:pPr>
            <w:r>
              <w:rPr>
                <w:rFonts w:ascii="Calibri"/>
                <w:w w:val="105"/>
                <w:sz w:val="17"/>
              </w:rPr>
              <w:t>$</w:t>
              <w:tab/>
              <w:t>-</w:t>
            </w:r>
          </w:p>
        </w:tc>
      </w:tr>
      <w:tr>
        <w:trPr>
          <w:trHeight w:val="232" w:hRule="exact"/>
        </w:trPr>
        <w:tc>
          <w:tcPr>
            <w:tcW w:w="914" w:type="dxa"/>
            <w:tcBorders>
              <w:top w:val="nil"/>
              <w:bottom w:val="nil"/>
              <w:right w:val="nil"/>
            </w:tcBorders>
          </w:tcPr>
          <w:p>
            <w:pPr>
              <w:pStyle w:val="TableParagraph"/>
              <w:spacing w:line="205" w:lineRule="exact" w:before="0"/>
              <w:ind w:left="28"/>
              <w:rPr>
                <w:rFonts w:ascii="Calibri"/>
                <w:sz w:val="17"/>
              </w:rPr>
            </w:pPr>
            <w:r>
              <w:rPr>
                <w:rFonts w:ascii="Calibri"/>
                <w:w w:val="105"/>
                <w:sz w:val="17"/>
              </w:rPr>
              <w:t>Non-Dual</w:t>
            </w:r>
          </w:p>
        </w:tc>
        <w:tc>
          <w:tcPr>
            <w:tcW w:w="847" w:type="dxa"/>
            <w:tcBorders>
              <w:top w:val="nil"/>
              <w:left w:val="nil"/>
              <w:bottom w:val="nil"/>
            </w:tcBorders>
          </w:tcPr>
          <w:p>
            <w:pPr>
              <w:pStyle w:val="TableParagraph"/>
              <w:spacing w:line="205" w:lineRule="exact" w:before="0"/>
              <w:ind w:right="74"/>
              <w:jc w:val="right"/>
              <w:rPr>
                <w:rFonts w:ascii="Calibri"/>
                <w:sz w:val="17"/>
              </w:rPr>
            </w:pPr>
            <w:r>
              <w:rPr>
                <w:rFonts w:ascii="Calibri"/>
                <w:sz w:val="17"/>
              </w:rPr>
              <w:t>277,200</w:t>
            </w:r>
          </w:p>
        </w:tc>
        <w:tc>
          <w:tcPr>
            <w:tcW w:w="975" w:type="dxa"/>
            <w:tcBorders>
              <w:top w:val="nil"/>
              <w:bottom w:val="nil"/>
              <w:right w:val="nil"/>
            </w:tcBorders>
          </w:tcPr>
          <w:p>
            <w:pPr>
              <w:pStyle w:val="TableParagraph"/>
              <w:spacing w:line="205" w:lineRule="exact" w:before="0"/>
              <w:ind w:right="107"/>
              <w:jc w:val="right"/>
              <w:rPr>
                <w:rFonts w:ascii="Calibri"/>
                <w:sz w:val="17"/>
              </w:rPr>
            </w:pPr>
            <w:r>
              <w:rPr>
                <w:rFonts w:ascii="Calibri"/>
                <w:sz w:val="17"/>
              </w:rPr>
              <w:t>$598</w:t>
            </w:r>
          </w:p>
        </w:tc>
        <w:tc>
          <w:tcPr>
            <w:tcW w:w="912" w:type="dxa"/>
            <w:tcBorders>
              <w:top w:val="nil"/>
              <w:left w:val="nil"/>
              <w:bottom w:val="nil"/>
            </w:tcBorders>
          </w:tcPr>
          <w:p>
            <w:pPr>
              <w:pStyle w:val="TableParagraph"/>
              <w:spacing w:line="205" w:lineRule="exact" w:before="0"/>
              <w:ind w:right="75"/>
              <w:jc w:val="right"/>
              <w:rPr>
                <w:rFonts w:ascii="Calibri"/>
                <w:sz w:val="17"/>
              </w:rPr>
            </w:pPr>
            <w:r>
              <w:rPr>
                <w:rFonts w:ascii="Calibri"/>
                <w:sz w:val="17"/>
              </w:rPr>
              <w:t>$787</w:t>
            </w:r>
          </w:p>
        </w:tc>
        <w:tc>
          <w:tcPr>
            <w:tcW w:w="1483" w:type="dxa"/>
            <w:tcBorders>
              <w:top w:val="nil"/>
              <w:bottom w:val="nil"/>
              <w:right w:val="nil"/>
            </w:tcBorders>
          </w:tcPr>
          <w:p>
            <w:pPr>
              <w:pStyle w:val="TableParagraph"/>
              <w:tabs>
                <w:tab w:pos="309" w:val="left" w:leader="none"/>
              </w:tabs>
              <w:spacing w:line="205" w:lineRule="exact" w:before="0"/>
              <w:ind w:right="101"/>
              <w:jc w:val="right"/>
              <w:rPr>
                <w:rFonts w:ascii="Calibri"/>
                <w:sz w:val="17"/>
              </w:rPr>
            </w:pPr>
            <w:r>
              <w:rPr>
                <w:rFonts w:ascii="Calibri"/>
                <w:w w:val="105"/>
                <w:sz w:val="17"/>
              </w:rPr>
              <w:t>$</w:t>
              <w:tab/>
            </w:r>
            <w:r>
              <w:rPr>
                <w:rFonts w:ascii="Calibri"/>
                <w:spacing w:val="-3"/>
                <w:sz w:val="17"/>
              </w:rPr>
              <w:t>1,989,601,966</w:t>
            </w:r>
          </w:p>
        </w:tc>
        <w:tc>
          <w:tcPr>
            <w:tcW w:w="1710" w:type="dxa"/>
            <w:tcBorders>
              <w:top w:val="nil"/>
              <w:left w:val="nil"/>
              <w:bottom w:val="nil"/>
            </w:tcBorders>
          </w:tcPr>
          <w:p>
            <w:pPr>
              <w:pStyle w:val="TableParagraph"/>
              <w:tabs>
                <w:tab w:pos="640" w:val="left" w:leader="none"/>
              </w:tabs>
              <w:spacing w:line="205" w:lineRule="exact" w:before="0"/>
              <w:ind w:left="60"/>
              <w:rPr>
                <w:rFonts w:ascii="Calibri"/>
                <w:sz w:val="17"/>
              </w:rPr>
            </w:pPr>
            <w:r>
              <w:rPr>
                <w:rFonts w:ascii="Calibri"/>
                <w:w w:val="105"/>
                <w:sz w:val="17"/>
              </w:rPr>
              <w:t>$</w:t>
              <w:tab/>
            </w:r>
            <w:r>
              <w:rPr>
                <w:rFonts w:ascii="Calibri"/>
                <w:spacing w:val="-3"/>
                <w:w w:val="105"/>
                <w:sz w:val="17"/>
              </w:rPr>
              <w:t>2,619,118,656</w:t>
            </w:r>
          </w:p>
        </w:tc>
        <w:tc>
          <w:tcPr>
            <w:tcW w:w="1848" w:type="dxa"/>
            <w:tcBorders>
              <w:top w:val="nil"/>
              <w:bottom w:val="nil"/>
            </w:tcBorders>
          </w:tcPr>
          <w:p>
            <w:pPr>
              <w:pStyle w:val="TableParagraph"/>
              <w:tabs>
                <w:tab w:pos="899" w:val="left" w:leader="none"/>
              </w:tabs>
              <w:spacing w:line="205" w:lineRule="exact" w:before="0"/>
              <w:ind w:left="77"/>
              <w:rPr>
                <w:rFonts w:ascii="Calibri"/>
                <w:sz w:val="17"/>
              </w:rPr>
            </w:pPr>
            <w:r>
              <w:rPr>
                <w:rFonts w:ascii="Calibri"/>
                <w:w w:val="105"/>
                <w:sz w:val="17"/>
              </w:rPr>
              <w:t>$</w:t>
              <w:tab/>
            </w:r>
            <w:r>
              <w:rPr>
                <w:rFonts w:ascii="Calibri"/>
                <w:spacing w:val="-3"/>
                <w:w w:val="105"/>
                <w:sz w:val="17"/>
              </w:rPr>
              <w:t>629,516,690</w:t>
            </w:r>
          </w:p>
        </w:tc>
      </w:tr>
      <w:tr>
        <w:trPr>
          <w:trHeight w:val="213" w:hRule="exact"/>
        </w:trPr>
        <w:tc>
          <w:tcPr>
            <w:tcW w:w="914" w:type="dxa"/>
            <w:tcBorders>
              <w:top w:val="nil"/>
              <w:right w:val="nil"/>
            </w:tcBorders>
          </w:tcPr>
          <w:p>
            <w:pPr>
              <w:pStyle w:val="TableParagraph"/>
              <w:spacing w:line="205" w:lineRule="exact" w:before="0"/>
              <w:ind w:left="28"/>
              <w:rPr>
                <w:rFonts w:ascii="Calibri"/>
                <w:sz w:val="17"/>
              </w:rPr>
            </w:pPr>
            <w:r>
              <w:rPr>
                <w:rFonts w:ascii="Calibri"/>
                <w:w w:val="105"/>
                <w:sz w:val="17"/>
              </w:rPr>
              <w:t>Dual</w:t>
            </w:r>
          </w:p>
        </w:tc>
        <w:tc>
          <w:tcPr>
            <w:tcW w:w="847" w:type="dxa"/>
            <w:tcBorders>
              <w:top w:val="nil"/>
              <w:left w:val="nil"/>
            </w:tcBorders>
          </w:tcPr>
          <w:p>
            <w:pPr>
              <w:pStyle w:val="TableParagraph"/>
              <w:spacing w:line="205" w:lineRule="exact" w:before="0"/>
              <w:ind w:right="74"/>
              <w:jc w:val="right"/>
              <w:rPr>
                <w:rFonts w:ascii="Calibri"/>
                <w:sz w:val="17"/>
              </w:rPr>
            </w:pPr>
            <w:r>
              <w:rPr>
                <w:rFonts w:ascii="Calibri"/>
                <w:sz w:val="17"/>
              </w:rPr>
              <w:t>289,800</w:t>
            </w:r>
          </w:p>
        </w:tc>
        <w:tc>
          <w:tcPr>
            <w:tcW w:w="975" w:type="dxa"/>
            <w:tcBorders>
              <w:top w:val="nil"/>
              <w:right w:val="nil"/>
            </w:tcBorders>
          </w:tcPr>
          <w:p>
            <w:pPr>
              <w:pStyle w:val="TableParagraph"/>
              <w:spacing w:line="205" w:lineRule="exact" w:before="0"/>
              <w:ind w:right="107"/>
              <w:jc w:val="right"/>
              <w:rPr>
                <w:rFonts w:ascii="Calibri"/>
                <w:sz w:val="17"/>
              </w:rPr>
            </w:pPr>
            <w:r>
              <w:rPr>
                <w:rFonts w:ascii="Calibri"/>
                <w:sz w:val="17"/>
              </w:rPr>
              <w:t>$950</w:t>
            </w:r>
          </w:p>
        </w:tc>
        <w:tc>
          <w:tcPr>
            <w:tcW w:w="912" w:type="dxa"/>
            <w:tcBorders>
              <w:top w:val="nil"/>
              <w:left w:val="nil"/>
            </w:tcBorders>
          </w:tcPr>
          <w:p>
            <w:pPr>
              <w:pStyle w:val="TableParagraph"/>
              <w:spacing w:line="205" w:lineRule="exact" w:before="0"/>
              <w:ind w:right="74"/>
              <w:jc w:val="right"/>
              <w:rPr>
                <w:rFonts w:ascii="Calibri"/>
                <w:sz w:val="17"/>
              </w:rPr>
            </w:pPr>
            <w:r>
              <w:rPr>
                <w:rFonts w:ascii="Calibri"/>
                <w:sz w:val="17"/>
              </w:rPr>
              <w:t>$1,251</w:t>
            </w:r>
          </w:p>
        </w:tc>
        <w:tc>
          <w:tcPr>
            <w:tcW w:w="1483" w:type="dxa"/>
            <w:tcBorders>
              <w:top w:val="nil"/>
              <w:right w:val="nil"/>
            </w:tcBorders>
          </w:tcPr>
          <w:p>
            <w:pPr>
              <w:pStyle w:val="TableParagraph"/>
              <w:tabs>
                <w:tab w:pos="309" w:val="left" w:leader="none"/>
              </w:tabs>
              <w:spacing w:line="205" w:lineRule="exact" w:before="0"/>
              <w:ind w:right="101"/>
              <w:jc w:val="right"/>
              <w:rPr>
                <w:rFonts w:ascii="Calibri"/>
                <w:sz w:val="17"/>
              </w:rPr>
            </w:pPr>
            <w:r>
              <w:rPr>
                <w:rFonts w:ascii="Calibri"/>
                <w:w w:val="105"/>
                <w:sz w:val="17"/>
              </w:rPr>
              <w:t>$</w:t>
              <w:tab/>
            </w:r>
            <w:r>
              <w:rPr>
                <w:rFonts w:ascii="Calibri"/>
                <w:spacing w:val="-3"/>
                <w:sz w:val="17"/>
              </w:rPr>
              <w:t>3,303,720,000</w:t>
            </w:r>
          </w:p>
        </w:tc>
        <w:tc>
          <w:tcPr>
            <w:tcW w:w="1710" w:type="dxa"/>
            <w:tcBorders>
              <w:top w:val="nil"/>
              <w:left w:val="nil"/>
            </w:tcBorders>
          </w:tcPr>
          <w:p>
            <w:pPr>
              <w:pStyle w:val="TableParagraph"/>
              <w:tabs>
                <w:tab w:pos="640" w:val="left" w:leader="none"/>
              </w:tabs>
              <w:spacing w:line="205" w:lineRule="exact" w:before="0"/>
              <w:ind w:left="60"/>
              <w:rPr>
                <w:rFonts w:ascii="Calibri"/>
                <w:sz w:val="17"/>
              </w:rPr>
            </w:pPr>
            <w:r>
              <w:rPr>
                <w:rFonts w:ascii="Calibri"/>
                <w:w w:val="105"/>
                <w:sz w:val="17"/>
              </w:rPr>
              <w:t>$</w:t>
              <w:tab/>
            </w:r>
            <w:r>
              <w:rPr>
                <w:rFonts w:ascii="Calibri"/>
                <w:spacing w:val="-3"/>
                <w:w w:val="105"/>
                <w:sz w:val="17"/>
              </w:rPr>
              <w:t>4,349,028,013</w:t>
            </w:r>
          </w:p>
        </w:tc>
        <w:tc>
          <w:tcPr>
            <w:tcW w:w="1848" w:type="dxa"/>
            <w:tcBorders>
              <w:top w:val="nil"/>
            </w:tcBorders>
          </w:tcPr>
          <w:p>
            <w:pPr>
              <w:pStyle w:val="TableParagraph"/>
              <w:tabs>
                <w:tab w:pos="773" w:val="left" w:leader="none"/>
              </w:tabs>
              <w:spacing w:line="205" w:lineRule="exact" w:before="0"/>
              <w:ind w:left="77"/>
              <w:rPr>
                <w:rFonts w:ascii="Calibri"/>
                <w:sz w:val="17"/>
              </w:rPr>
            </w:pPr>
            <w:r>
              <w:rPr>
                <w:rFonts w:ascii="Calibri"/>
                <w:w w:val="105"/>
                <w:sz w:val="17"/>
              </w:rPr>
              <w:t>$</w:t>
              <w:tab/>
            </w:r>
            <w:r>
              <w:rPr>
                <w:rFonts w:ascii="Calibri"/>
                <w:spacing w:val="-3"/>
                <w:w w:val="105"/>
                <w:sz w:val="17"/>
              </w:rPr>
              <w:t>1,045,308,013</w:t>
            </w:r>
          </w:p>
        </w:tc>
      </w:tr>
      <w:tr>
        <w:trPr>
          <w:trHeight w:val="465" w:hRule="exact"/>
        </w:trPr>
        <w:tc>
          <w:tcPr>
            <w:tcW w:w="914" w:type="dxa"/>
            <w:tcBorders>
              <w:right w:val="nil"/>
            </w:tcBorders>
          </w:tcPr>
          <w:p>
            <w:pPr>
              <w:pStyle w:val="TableParagraph"/>
              <w:spacing w:before="0"/>
              <w:rPr>
                <w:rFonts w:ascii="Calibri"/>
                <w:b/>
                <w:sz w:val="20"/>
              </w:rPr>
            </w:pPr>
          </w:p>
          <w:p>
            <w:pPr>
              <w:pStyle w:val="TableParagraph"/>
              <w:spacing w:before="0"/>
              <w:ind w:left="28"/>
              <w:rPr>
                <w:rFonts w:ascii="Calibri"/>
                <w:sz w:val="17"/>
              </w:rPr>
            </w:pPr>
            <w:r>
              <w:rPr>
                <w:rFonts w:ascii="Calibri"/>
                <w:w w:val="105"/>
                <w:sz w:val="17"/>
              </w:rPr>
              <w:t>Totals</w:t>
            </w:r>
          </w:p>
        </w:tc>
        <w:tc>
          <w:tcPr>
            <w:tcW w:w="847" w:type="dxa"/>
            <w:tcBorders>
              <w:left w:val="nil"/>
            </w:tcBorders>
          </w:tcPr>
          <w:p>
            <w:pPr>
              <w:pStyle w:val="TableParagraph"/>
              <w:spacing w:before="0"/>
              <w:rPr>
                <w:rFonts w:ascii="Calibri"/>
                <w:b/>
                <w:sz w:val="20"/>
              </w:rPr>
            </w:pPr>
          </w:p>
          <w:p>
            <w:pPr>
              <w:pStyle w:val="TableParagraph"/>
              <w:spacing w:before="0"/>
              <w:ind w:right="74"/>
              <w:jc w:val="right"/>
              <w:rPr>
                <w:rFonts w:ascii="Calibri"/>
                <w:sz w:val="17"/>
              </w:rPr>
            </w:pPr>
            <w:r>
              <w:rPr>
                <w:rFonts w:ascii="Calibri"/>
                <w:sz w:val="17"/>
              </w:rPr>
              <w:t>630,000</w:t>
            </w:r>
          </w:p>
        </w:tc>
        <w:tc>
          <w:tcPr>
            <w:tcW w:w="975" w:type="dxa"/>
            <w:tcBorders>
              <w:right w:val="nil"/>
            </w:tcBorders>
          </w:tcPr>
          <w:p>
            <w:pPr>
              <w:pStyle w:val="TableParagraph"/>
              <w:spacing w:before="0"/>
              <w:rPr>
                <w:rFonts w:ascii="Calibri"/>
                <w:b/>
                <w:sz w:val="20"/>
              </w:rPr>
            </w:pPr>
          </w:p>
          <w:p>
            <w:pPr>
              <w:pStyle w:val="TableParagraph"/>
              <w:spacing w:before="0"/>
              <w:ind w:right="107"/>
              <w:jc w:val="right"/>
              <w:rPr>
                <w:rFonts w:ascii="Calibri"/>
                <w:sz w:val="17"/>
              </w:rPr>
            </w:pPr>
            <w:r>
              <w:rPr>
                <w:rFonts w:ascii="Calibri"/>
                <w:sz w:val="17"/>
              </w:rPr>
              <w:t>$778</w:t>
            </w:r>
          </w:p>
        </w:tc>
        <w:tc>
          <w:tcPr>
            <w:tcW w:w="912" w:type="dxa"/>
            <w:tcBorders>
              <w:left w:val="nil"/>
            </w:tcBorders>
          </w:tcPr>
          <w:p>
            <w:pPr>
              <w:pStyle w:val="TableParagraph"/>
              <w:spacing w:before="0"/>
              <w:rPr>
                <w:rFonts w:ascii="Calibri"/>
                <w:b/>
                <w:sz w:val="20"/>
              </w:rPr>
            </w:pPr>
          </w:p>
          <w:p>
            <w:pPr>
              <w:pStyle w:val="TableParagraph"/>
              <w:spacing w:before="0"/>
              <w:ind w:right="74"/>
              <w:jc w:val="right"/>
              <w:rPr>
                <w:rFonts w:ascii="Calibri"/>
                <w:sz w:val="17"/>
              </w:rPr>
            </w:pPr>
            <w:r>
              <w:rPr>
                <w:rFonts w:ascii="Calibri"/>
                <w:sz w:val="17"/>
              </w:rPr>
              <w:t>$1,024</w:t>
            </w:r>
          </w:p>
        </w:tc>
        <w:tc>
          <w:tcPr>
            <w:tcW w:w="1483" w:type="dxa"/>
            <w:tcBorders>
              <w:right w:val="nil"/>
            </w:tcBorders>
          </w:tcPr>
          <w:p>
            <w:pPr>
              <w:pStyle w:val="TableParagraph"/>
              <w:spacing w:before="0"/>
              <w:rPr>
                <w:rFonts w:ascii="Calibri"/>
                <w:b/>
                <w:sz w:val="20"/>
              </w:rPr>
            </w:pPr>
          </w:p>
          <w:p>
            <w:pPr>
              <w:pStyle w:val="TableParagraph"/>
              <w:tabs>
                <w:tab w:pos="309" w:val="left" w:leader="none"/>
              </w:tabs>
              <w:spacing w:before="0"/>
              <w:ind w:right="101"/>
              <w:jc w:val="right"/>
              <w:rPr>
                <w:rFonts w:ascii="Calibri"/>
                <w:sz w:val="17"/>
              </w:rPr>
            </w:pPr>
            <w:r>
              <w:rPr>
                <w:rFonts w:ascii="Calibri"/>
                <w:w w:val="105"/>
                <w:sz w:val="17"/>
              </w:rPr>
              <w:t>$</w:t>
              <w:tab/>
            </w:r>
            <w:r>
              <w:rPr>
                <w:rFonts w:ascii="Calibri"/>
                <w:spacing w:val="-3"/>
                <w:sz w:val="17"/>
              </w:rPr>
              <w:t>5,620,990,302</w:t>
            </w:r>
          </w:p>
        </w:tc>
        <w:tc>
          <w:tcPr>
            <w:tcW w:w="1710" w:type="dxa"/>
            <w:tcBorders>
              <w:left w:val="nil"/>
            </w:tcBorders>
          </w:tcPr>
          <w:p>
            <w:pPr>
              <w:pStyle w:val="TableParagraph"/>
              <w:spacing w:before="0"/>
              <w:rPr>
                <w:rFonts w:ascii="Calibri"/>
                <w:b/>
                <w:sz w:val="20"/>
              </w:rPr>
            </w:pPr>
          </w:p>
          <w:p>
            <w:pPr>
              <w:pStyle w:val="TableParagraph"/>
              <w:tabs>
                <w:tab w:pos="602" w:val="left" w:leader="none"/>
              </w:tabs>
              <w:spacing w:before="0"/>
              <w:ind w:left="69"/>
              <w:rPr>
                <w:rFonts w:ascii="Calibri"/>
                <w:b/>
                <w:sz w:val="17"/>
              </w:rPr>
            </w:pPr>
            <w:r>
              <w:rPr>
                <w:rFonts w:ascii="Calibri"/>
                <w:b/>
                <w:w w:val="105"/>
                <w:sz w:val="17"/>
              </w:rPr>
              <w:t>$</w:t>
              <w:tab/>
              <w:t>7,295,815,004</w:t>
            </w:r>
          </w:p>
        </w:tc>
        <w:tc>
          <w:tcPr>
            <w:tcW w:w="1848" w:type="dxa"/>
          </w:tcPr>
          <w:p>
            <w:pPr>
              <w:pStyle w:val="TableParagraph"/>
              <w:spacing w:before="0"/>
              <w:rPr>
                <w:rFonts w:ascii="Calibri"/>
                <w:b/>
                <w:sz w:val="20"/>
              </w:rPr>
            </w:pPr>
          </w:p>
          <w:p>
            <w:pPr>
              <w:pStyle w:val="TableParagraph"/>
              <w:tabs>
                <w:tab w:pos="735" w:val="left" w:leader="none"/>
              </w:tabs>
              <w:spacing w:before="0"/>
              <w:ind w:left="86"/>
              <w:rPr>
                <w:rFonts w:ascii="Calibri"/>
                <w:b/>
                <w:sz w:val="17"/>
              </w:rPr>
            </w:pPr>
            <w:r>
              <w:rPr>
                <w:rFonts w:ascii="Calibri"/>
                <w:b/>
                <w:w w:val="105"/>
                <w:sz w:val="17"/>
              </w:rPr>
              <w:t>$</w:t>
              <w:tab/>
              <w:t>1,674,824,703</w:t>
            </w:r>
          </w:p>
        </w:tc>
      </w:tr>
      <w:tr>
        <w:trPr>
          <w:trHeight w:val="464" w:hRule="exact"/>
        </w:trPr>
        <w:tc>
          <w:tcPr>
            <w:tcW w:w="6839" w:type="dxa"/>
            <w:gridSpan w:val="6"/>
          </w:tcPr>
          <w:p>
            <w:pPr>
              <w:pStyle w:val="TableParagraph"/>
              <w:spacing w:before="0"/>
              <w:rPr>
                <w:rFonts w:ascii="Calibri"/>
                <w:b/>
                <w:sz w:val="20"/>
              </w:rPr>
            </w:pPr>
          </w:p>
          <w:p>
            <w:pPr>
              <w:pStyle w:val="TableParagraph"/>
              <w:spacing w:before="0"/>
              <w:ind w:left="28"/>
              <w:rPr>
                <w:rFonts w:ascii="Calibri"/>
                <w:sz w:val="17"/>
              </w:rPr>
            </w:pPr>
            <w:r>
              <w:rPr>
                <w:rFonts w:ascii="Calibri"/>
                <w:w w:val="105"/>
                <w:sz w:val="17"/>
              </w:rPr>
              <w:t>Annual Savings Assuming Avoidance of Migration of 100,000 lives to FLA/NY (50/50)</w:t>
            </w:r>
          </w:p>
        </w:tc>
        <w:tc>
          <w:tcPr>
            <w:tcW w:w="1848" w:type="dxa"/>
          </w:tcPr>
          <w:p>
            <w:pPr>
              <w:pStyle w:val="TableParagraph"/>
              <w:spacing w:before="0"/>
              <w:rPr>
                <w:rFonts w:ascii="Calibri"/>
                <w:b/>
                <w:sz w:val="20"/>
              </w:rPr>
            </w:pPr>
          </w:p>
          <w:p>
            <w:pPr>
              <w:pStyle w:val="TableParagraph"/>
              <w:tabs>
                <w:tab w:pos="676" w:val="left" w:leader="none"/>
              </w:tabs>
              <w:spacing w:before="0"/>
              <w:ind w:left="86"/>
              <w:rPr>
                <w:rFonts w:ascii="Calibri"/>
                <w:b/>
                <w:sz w:val="17"/>
              </w:rPr>
            </w:pPr>
            <w:r>
              <w:rPr>
                <w:rFonts w:ascii="Calibri"/>
                <w:b/>
                <w:w w:val="105"/>
                <w:sz w:val="17"/>
              </w:rPr>
              <w:t>$</w:t>
              <w:tab/>
            </w:r>
            <w:r>
              <w:rPr>
                <w:rFonts w:ascii="Calibri"/>
                <w:b/>
                <w:sz w:val="17"/>
              </w:rPr>
              <w:t>(2,803,885,968)</w:t>
            </w:r>
          </w:p>
        </w:tc>
      </w:tr>
      <w:tr>
        <w:trPr>
          <w:trHeight w:val="465" w:hRule="exact"/>
        </w:trPr>
        <w:tc>
          <w:tcPr>
            <w:tcW w:w="6839" w:type="dxa"/>
            <w:gridSpan w:val="6"/>
            <w:shd w:val="clear" w:color="auto" w:fill="EDEBE0"/>
          </w:tcPr>
          <w:p>
            <w:pPr>
              <w:pStyle w:val="TableParagraph"/>
              <w:spacing w:before="0"/>
              <w:rPr>
                <w:rFonts w:ascii="Calibri"/>
                <w:b/>
                <w:sz w:val="20"/>
              </w:rPr>
            </w:pPr>
          </w:p>
          <w:p>
            <w:pPr>
              <w:pStyle w:val="TableParagraph"/>
              <w:spacing w:before="0"/>
              <w:ind w:left="28"/>
              <w:rPr>
                <w:rFonts w:ascii="Calibri"/>
                <w:b/>
                <w:sz w:val="17"/>
              </w:rPr>
            </w:pPr>
            <w:r>
              <w:rPr>
                <w:rFonts w:ascii="Calibri"/>
                <w:b/>
                <w:w w:val="105"/>
                <w:sz w:val="17"/>
              </w:rPr>
              <w:t>Net Annualized Savings</w:t>
            </w:r>
          </w:p>
        </w:tc>
        <w:tc>
          <w:tcPr>
            <w:tcW w:w="1848" w:type="dxa"/>
            <w:shd w:val="clear" w:color="auto" w:fill="EDEBE0"/>
          </w:tcPr>
          <w:p>
            <w:pPr>
              <w:pStyle w:val="TableParagraph"/>
              <w:spacing w:before="0"/>
              <w:rPr>
                <w:rFonts w:ascii="Calibri"/>
                <w:b/>
                <w:sz w:val="20"/>
              </w:rPr>
            </w:pPr>
          </w:p>
          <w:p>
            <w:pPr>
              <w:pStyle w:val="TableParagraph"/>
              <w:tabs>
                <w:tab w:pos="676" w:val="left" w:leader="none"/>
              </w:tabs>
              <w:spacing w:before="0"/>
              <w:ind w:left="86"/>
              <w:rPr>
                <w:rFonts w:ascii="Calibri"/>
                <w:b/>
                <w:sz w:val="17"/>
              </w:rPr>
            </w:pPr>
            <w:r>
              <w:rPr>
                <w:rFonts w:ascii="Calibri"/>
                <w:b/>
                <w:w w:val="105"/>
                <w:sz w:val="17"/>
              </w:rPr>
              <w:t>$</w:t>
              <w:tab/>
            </w:r>
            <w:r>
              <w:rPr>
                <w:rFonts w:ascii="Calibri"/>
                <w:b/>
                <w:sz w:val="17"/>
              </w:rPr>
              <w:t>(1,129,061,265)</w:t>
            </w:r>
          </w:p>
        </w:tc>
      </w:tr>
    </w:tbl>
    <w:p>
      <w:pPr>
        <w:pStyle w:val="BodyText"/>
        <w:rPr>
          <w:rFonts w:ascii="Calibri"/>
          <w:b/>
          <w:sz w:val="16"/>
        </w:rPr>
      </w:pPr>
    </w:p>
    <w:p>
      <w:pPr>
        <w:pStyle w:val="BodyText"/>
        <w:rPr>
          <w:rFonts w:ascii="Calibri"/>
          <w:b/>
          <w:sz w:val="23"/>
        </w:rPr>
      </w:pPr>
    </w:p>
    <w:p>
      <w:pPr>
        <w:spacing w:line="268" w:lineRule="auto" w:before="0"/>
        <w:ind w:left="158" w:right="4272" w:firstLine="0"/>
        <w:jc w:val="left"/>
        <w:rPr>
          <w:rFonts w:ascii="Calibri"/>
          <w:sz w:val="17"/>
        </w:rPr>
      </w:pPr>
      <w:r>
        <w:rPr>
          <w:rFonts w:ascii="Calibri"/>
          <w:w w:val="105"/>
          <w:sz w:val="17"/>
        </w:rPr>
        <w:t>See</w:t>
      </w:r>
      <w:r>
        <w:rPr>
          <w:rFonts w:ascii="Calibri"/>
          <w:spacing w:val="-18"/>
          <w:w w:val="105"/>
          <w:sz w:val="17"/>
        </w:rPr>
        <w:t> </w:t>
      </w:r>
      <w:r>
        <w:rPr>
          <w:rFonts w:ascii="Calibri"/>
          <w:w w:val="105"/>
          <w:sz w:val="17"/>
        </w:rPr>
        <w:t>prior</w:t>
      </w:r>
      <w:r>
        <w:rPr>
          <w:rFonts w:ascii="Calibri"/>
          <w:spacing w:val="-19"/>
          <w:w w:val="105"/>
          <w:sz w:val="17"/>
        </w:rPr>
        <w:t> </w:t>
      </w:r>
      <w:r>
        <w:rPr>
          <w:rFonts w:ascii="Calibri"/>
          <w:w w:val="105"/>
          <w:sz w:val="17"/>
        </w:rPr>
        <w:t>table</w:t>
      </w:r>
      <w:r>
        <w:rPr>
          <w:rFonts w:ascii="Calibri"/>
          <w:spacing w:val="-18"/>
          <w:w w:val="105"/>
          <w:sz w:val="17"/>
        </w:rPr>
        <w:t> </w:t>
      </w:r>
      <w:r>
        <w:rPr>
          <w:rFonts w:ascii="Calibri"/>
          <w:spacing w:val="2"/>
          <w:w w:val="105"/>
          <w:sz w:val="17"/>
        </w:rPr>
        <w:t>for</w:t>
      </w:r>
      <w:r>
        <w:rPr>
          <w:rFonts w:ascii="Calibri"/>
          <w:spacing w:val="-19"/>
          <w:w w:val="105"/>
          <w:sz w:val="17"/>
        </w:rPr>
        <w:t> </w:t>
      </w:r>
      <w:r>
        <w:rPr>
          <w:rFonts w:ascii="Calibri"/>
          <w:w w:val="105"/>
          <w:sz w:val="17"/>
        </w:rPr>
        <w:t>annualized</w:t>
      </w:r>
      <w:r>
        <w:rPr>
          <w:rFonts w:ascii="Calibri"/>
          <w:spacing w:val="-21"/>
          <w:w w:val="105"/>
          <w:sz w:val="17"/>
        </w:rPr>
        <w:t> </w:t>
      </w:r>
      <w:r>
        <w:rPr>
          <w:rFonts w:ascii="Calibri"/>
          <w:w w:val="105"/>
          <w:sz w:val="17"/>
        </w:rPr>
        <w:t>migration</w:t>
      </w:r>
      <w:r>
        <w:rPr>
          <w:rFonts w:ascii="Calibri"/>
          <w:spacing w:val="-21"/>
          <w:w w:val="105"/>
          <w:sz w:val="17"/>
        </w:rPr>
        <w:t> </w:t>
      </w:r>
      <w:r>
        <w:rPr>
          <w:rFonts w:ascii="Calibri"/>
          <w:w w:val="105"/>
          <w:sz w:val="17"/>
        </w:rPr>
        <w:t>savings</w:t>
      </w:r>
      <w:r>
        <w:rPr>
          <w:rFonts w:ascii="Calibri"/>
          <w:spacing w:val="-18"/>
          <w:w w:val="105"/>
          <w:sz w:val="17"/>
        </w:rPr>
        <w:t> </w:t>
      </w:r>
      <w:r>
        <w:rPr>
          <w:rFonts w:ascii="Calibri"/>
          <w:w w:val="105"/>
          <w:sz w:val="17"/>
        </w:rPr>
        <w:t>and</w:t>
      </w:r>
      <w:r>
        <w:rPr>
          <w:rFonts w:ascii="Calibri"/>
          <w:spacing w:val="-21"/>
          <w:w w:val="105"/>
          <w:sz w:val="17"/>
        </w:rPr>
        <w:t> </w:t>
      </w:r>
      <w:r>
        <w:rPr>
          <w:rFonts w:ascii="Calibri"/>
          <w:w w:val="105"/>
          <w:sz w:val="17"/>
        </w:rPr>
        <w:t>source</w:t>
      </w:r>
      <w:r>
        <w:rPr>
          <w:rFonts w:ascii="Calibri"/>
          <w:spacing w:val="-18"/>
          <w:w w:val="105"/>
          <w:sz w:val="17"/>
        </w:rPr>
        <w:t> </w:t>
      </w:r>
      <w:r>
        <w:rPr>
          <w:rFonts w:ascii="Calibri"/>
          <w:w w:val="105"/>
          <w:sz w:val="17"/>
        </w:rPr>
        <w:t>of</w:t>
      </w:r>
      <w:r>
        <w:rPr>
          <w:rFonts w:ascii="Calibri"/>
          <w:spacing w:val="-15"/>
          <w:w w:val="105"/>
          <w:sz w:val="17"/>
        </w:rPr>
        <w:t> </w:t>
      </w:r>
      <w:r>
        <w:rPr>
          <w:rFonts w:ascii="Calibri"/>
          <w:spacing w:val="-4"/>
          <w:w w:val="105"/>
          <w:sz w:val="17"/>
        </w:rPr>
        <w:t>PMPMs PMPM</w:t>
      </w:r>
      <w:r>
        <w:rPr>
          <w:rFonts w:ascii="Calibri"/>
          <w:spacing w:val="-15"/>
          <w:w w:val="105"/>
          <w:sz w:val="17"/>
        </w:rPr>
        <w:t> </w:t>
      </w:r>
      <w:r>
        <w:rPr>
          <w:rFonts w:ascii="Calibri"/>
          <w:w w:val="105"/>
          <w:sz w:val="17"/>
        </w:rPr>
        <w:t>Totals</w:t>
      </w:r>
      <w:r>
        <w:rPr>
          <w:rFonts w:ascii="Calibri"/>
          <w:spacing w:val="-13"/>
          <w:w w:val="105"/>
          <w:sz w:val="17"/>
        </w:rPr>
        <w:t> </w:t>
      </w:r>
      <w:r>
        <w:rPr>
          <w:rFonts w:ascii="Calibri"/>
          <w:spacing w:val="2"/>
          <w:w w:val="105"/>
          <w:sz w:val="17"/>
        </w:rPr>
        <w:t>for</w:t>
      </w:r>
      <w:r>
        <w:rPr>
          <w:rFonts w:ascii="Calibri"/>
          <w:spacing w:val="-15"/>
          <w:w w:val="105"/>
          <w:sz w:val="17"/>
        </w:rPr>
        <w:t> </w:t>
      </w:r>
      <w:r>
        <w:rPr>
          <w:rFonts w:ascii="Calibri"/>
          <w:spacing w:val="-3"/>
          <w:w w:val="105"/>
          <w:sz w:val="17"/>
        </w:rPr>
        <w:t>MA</w:t>
      </w:r>
      <w:r>
        <w:rPr>
          <w:rFonts w:ascii="Calibri"/>
          <w:spacing w:val="-16"/>
          <w:w w:val="105"/>
          <w:sz w:val="17"/>
        </w:rPr>
        <w:t> </w:t>
      </w:r>
      <w:r>
        <w:rPr>
          <w:rFonts w:ascii="Calibri"/>
          <w:w w:val="105"/>
          <w:sz w:val="17"/>
        </w:rPr>
        <w:t>only</w:t>
      </w:r>
      <w:r>
        <w:rPr>
          <w:rFonts w:ascii="Calibri"/>
          <w:spacing w:val="-14"/>
          <w:w w:val="105"/>
          <w:sz w:val="17"/>
        </w:rPr>
        <w:t> </w:t>
      </w:r>
      <w:r>
        <w:rPr>
          <w:rFonts w:ascii="Calibri"/>
          <w:w w:val="105"/>
          <w:sz w:val="17"/>
        </w:rPr>
        <w:t>(i.e.</w:t>
      </w:r>
      <w:r>
        <w:rPr>
          <w:rFonts w:ascii="Calibri"/>
          <w:spacing w:val="-10"/>
          <w:w w:val="105"/>
          <w:sz w:val="17"/>
        </w:rPr>
        <w:t> </w:t>
      </w:r>
      <w:r>
        <w:rPr>
          <w:rFonts w:ascii="Calibri"/>
          <w:w w:val="105"/>
          <w:sz w:val="17"/>
        </w:rPr>
        <w:t>excludes</w:t>
      </w:r>
      <w:r>
        <w:rPr>
          <w:rFonts w:ascii="Calibri"/>
          <w:spacing w:val="-13"/>
          <w:w w:val="105"/>
          <w:sz w:val="17"/>
        </w:rPr>
        <w:t> </w:t>
      </w:r>
      <w:r>
        <w:rPr>
          <w:rFonts w:ascii="Calibri"/>
          <w:spacing w:val="-3"/>
          <w:w w:val="105"/>
          <w:sz w:val="17"/>
        </w:rPr>
        <w:t>FFS)</w:t>
      </w:r>
    </w:p>
    <w:p>
      <w:pPr>
        <w:spacing w:after="0" w:line="268" w:lineRule="auto"/>
        <w:jc w:val="left"/>
        <w:rPr>
          <w:rFonts w:ascii="Calibri"/>
          <w:sz w:val="17"/>
        </w:rPr>
        <w:sectPr>
          <w:pgSz w:w="12240" w:h="15840"/>
          <w:pgMar w:header="0" w:footer="1092" w:top="1360" w:bottom="1340" w:left="1320" w:right="1160"/>
        </w:sectPr>
      </w:pPr>
    </w:p>
    <w:p>
      <w:pPr>
        <w:pStyle w:val="Heading1"/>
        <w:numPr>
          <w:ilvl w:val="0"/>
          <w:numId w:val="1"/>
        </w:numPr>
        <w:tabs>
          <w:tab w:pos="840" w:val="left" w:leader="none"/>
          <w:tab w:pos="841" w:val="left" w:leader="none"/>
        </w:tabs>
        <w:spacing w:line="240" w:lineRule="auto" w:before="79" w:after="0"/>
        <w:ind w:left="840" w:right="0" w:hanging="720"/>
        <w:jc w:val="left"/>
      </w:pPr>
      <w:r>
        <w:rPr>
          <w:u w:val="thick"/>
        </w:rPr>
        <w:t>Potential Smaller Technical</w:t>
      </w:r>
      <w:r>
        <w:rPr>
          <w:spacing w:val="-10"/>
          <w:u w:val="thick"/>
        </w:rPr>
        <w:t> </w:t>
      </w:r>
      <w:r>
        <w:rPr>
          <w:u w:val="thick"/>
        </w:rPr>
        <w:t>Fixes</w:t>
      </w:r>
    </w:p>
    <w:p>
      <w:pPr>
        <w:pStyle w:val="BodyText"/>
        <w:spacing w:before="9"/>
        <w:rPr>
          <w:b/>
          <w:sz w:val="20"/>
        </w:rPr>
      </w:pPr>
    </w:p>
    <w:p>
      <w:pPr>
        <w:pStyle w:val="Heading2"/>
        <w:spacing w:before="0"/>
        <w:ind w:left="840" w:right="152"/>
      </w:pPr>
      <w:r>
        <w:rPr>
          <w:i/>
        </w:rPr>
        <w:t>Although insufficient to break the spiral to the bottom, important technical fixes remain </w:t>
      </w:r>
      <w:r>
        <w:rPr/>
        <w:t>on the table to address specific anomalies.</w:t>
      </w:r>
    </w:p>
    <w:p>
      <w:pPr>
        <w:pStyle w:val="BodyText"/>
        <w:spacing w:before="9"/>
        <w:rPr>
          <w:b/>
          <w:i/>
          <w:sz w:val="20"/>
        </w:rPr>
      </w:pPr>
    </w:p>
    <w:p>
      <w:pPr>
        <w:pStyle w:val="ListParagraph"/>
        <w:numPr>
          <w:ilvl w:val="1"/>
          <w:numId w:val="1"/>
        </w:numPr>
        <w:tabs>
          <w:tab w:pos="1561" w:val="left" w:leader="none"/>
        </w:tabs>
        <w:spacing w:line="240" w:lineRule="auto" w:before="0" w:after="0"/>
        <w:ind w:left="1560" w:right="118" w:hanging="360"/>
        <w:jc w:val="left"/>
        <w:rPr>
          <w:b/>
          <w:sz w:val="24"/>
        </w:rPr>
      </w:pPr>
      <w:r>
        <w:rPr>
          <w:b/>
          <w:sz w:val="24"/>
        </w:rPr>
        <w:t>Establish a Puerto Rico-Specific Minimum ESRD Medicare Advantage Minimum Benchmark to Break Self-Perpetuating Cycle of</w:t>
      </w:r>
      <w:r>
        <w:rPr>
          <w:b/>
          <w:spacing w:val="-16"/>
          <w:sz w:val="24"/>
        </w:rPr>
        <w:t> </w:t>
      </w:r>
      <w:r>
        <w:rPr>
          <w:b/>
          <w:sz w:val="24"/>
        </w:rPr>
        <w:t>Reductions</w:t>
      </w:r>
    </w:p>
    <w:p>
      <w:pPr>
        <w:pStyle w:val="BodyText"/>
        <w:spacing w:before="11"/>
        <w:rPr>
          <w:b/>
          <w:sz w:val="23"/>
        </w:rPr>
      </w:pPr>
    </w:p>
    <w:p>
      <w:pPr>
        <w:pStyle w:val="BodyText"/>
        <w:ind w:left="120" w:right="115" w:firstLine="719"/>
        <w:jc w:val="both"/>
      </w:pPr>
      <w:r>
        <w:rPr/>
        <w:t>The situation of poor reimbursement for dialysis patients and access to care continues to deteriorate in Puerto Rico. The ESRD MA benchmark for Puerto Rico has fallen by</w:t>
      </w:r>
      <w:r>
        <w:rPr>
          <w:spacing w:val="-43"/>
        </w:rPr>
        <w:t> </w:t>
      </w:r>
      <w:r>
        <w:rPr/>
        <w:t>more than 40% since</w:t>
      </w:r>
      <w:r>
        <w:rPr>
          <w:spacing w:val="-11"/>
        </w:rPr>
        <w:t> </w:t>
      </w:r>
      <w:r>
        <w:rPr/>
        <w:t>2012.</w:t>
      </w:r>
      <w:r>
        <w:rPr>
          <w:spacing w:val="-10"/>
        </w:rPr>
        <w:t> </w:t>
      </w:r>
      <w:r>
        <w:rPr/>
        <w:t>The</w:t>
      </w:r>
      <w:r>
        <w:rPr>
          <w:spacing w:val="-9"/>
        </w:rPr>
        <w:t> </w:t>
      </w:r>
      <w:r>
        <w:rPr/>
        <w:t>Puerto</w:t>
      </w:r>
      <w:r>
        <w:rPr>
          <w:spacing w:val="-10"/>
        </w:rPr>
        <w:t> </w:t>
      </w:r>
      <w:r>
        <w:rPr/>
        <w:t>Rico</w:t>
      </w:r>
      <w:r>
        <w:rPr>
          <w:spacing w:val="-11"/>
        </w:rPr>
        <w:t> </w:t>
      </w:r>
      <w:r>
        <w:rPr/>
        <w:t>MA</w:t>
      </w:r>
      <w:r>
        <w:rPr>
          <w:spacing w:val="-10"/>
        </w:rPr>
        <w:t> </w:t>
      </w:r>
      <w:r>
        <w:rPr/>
        <w:t>benchmark</w:t>
      </w:r>
      <w:r>
        <w:rPr>
          <w:spacing w:val="-8"/>
        </w:rPr>
        <w:t> </w:t>
      </w:r>
      <w:r>
        <w:rPr/>
        <w:t>for</w:t>
      </w:r>
      <w:r>
        <w:rPr>
          <w:spacing w:val="-12"/>
        </w:rPr>
        <w:t> </w:t>
      </w:r>
      <w:r>
        <w:rPr/>
        <w:t>ESRD</w:t>
      </w:r>
      <w:r>
        <w:rPr>
          <w:spacing w:val="-11"/>
        </w:rPr>
        <w:t> </w:t>
      </w:r>
      <w:r>
        <w:rPr/>
        <w:t>is</w:t>
      </w:r>
      <w:r>
        <w:rPr>
          <w:spacing w:val="-7"/>
        </w:rPr>
        <w:t> </w:t>
      </w:r>
      <w:r>
        <w:rPr/>
        <w:t>$4,352</w:t>
      </w:r>
      <w:r>
        <w:rPr>
          <w:spacing w:val="-10"/>
        </w:rPr>
        <w:t> </w:t>
      </w:r>
      <w:r>
        <w:rPr/>
        <w:t>in</w:t>
      </w:r>
      <w:r>
        <w:rPr>
          <w:spacing w:val="-10"/>
        </w:rPr>
        <w:t> </w:t>
      </w:r>
      <w:r>
        <w:rPr/>
        <w:t>2018,</w:t>
      </w:r>
      <w:r>
        <w:rPr>
          <w:spacing w:val="-10"/>
        </w:rPr>
        <w:t> </w:t>
      </w:r>
      <w:r>
        <w:rPr/>
        <w:t>while</w:t>
      </w:r>
      <w:r>
        <w:rPr>
          <w:spacing w:val="-10"/>
        </w:rPr>
        <w:t> </w:t>
      </w:r>
      <w:r>
        <w:rPr/>
        <w:t>the</w:t>
      </w:r>
      <w:r>
        <w:rPr>
          <w:spacing w:val="-11"/>
        </w:rPr>
        <w:t> </w:t>
      </w:r>
      <w:r>
        <w:rPr/>
        <w:t>national</w:t>
      </w:r>
      <w:r>
        <w:rPr>
          <w:spacing w:val="-10"/>
        </w:rPr>
        <w:t> </w:t>
      </w:r>
      <w:r>
        <w:rPr/>
        <w:t>average is $6,702, and benchmark in the next closest jurisdiction, USVI is $6,038. The Puerto Rico ESRD benchmark</w:t>
      </w:r>
      <w:r>
        <w:rPr>
          <w:spacing w:val="-2"/>
        </w:rPr>
        <w:t> </w:t>
      </w:r>
      <w:r>
        <w:rPr/>
        <w:t>is</w:t>
      </w:r>
      <w:r>
        <w:rPr>
          <w:spacing w:val="-3"/>
        </w:rPr>
        <w:t> </w:t>
      </w:r>
      <w:r>
        <w:rPr/>
        <w:t>28%</w:t>
      </w:r>
      <w:r>
        <w:rPr>
          <w:spacing w:val="-5"/>
        </w:rPr>
        <w:t> </w:t>
      </w:r>
      <w:r>
        <w:rPr/>
        <w:t>below</w:t>
      </w:r>
      <w:r>
        <w:rPr>
          <w:spacing w:val="-2"/>
        </w:rPr>
        <w:t> </w:t>
      </w:r>
      <w:r>
        <w:rPr/>
        <w:t>the</w:t>
      </w:r>
      <w:r>
        <w:rPr>
          <w:spacing w:val="-4"/>
        </w:rPr>
        <w:t> </w:t>
      </w:r>
      <w:r>
        <w:rPr/>
        <w:t>USVI</w:t>
      </w:r>
      <w:r>
        <w:rPr>
          <w:spacing w:val="-5"/>
        </w:rPr>
        <w:t> </w:t>
      </w:r>
      <w:r>
        <w:rPr/>
        <w:t>and</w:t>
      </w:r>
      <w:r>
        <w:rPr>
          <w:spacing w:val="-4"/>
        </w:rPr>
        <w:t> </w:t>
      </w:r>
      <w:r>
        <w:rPr/>
        <w:t>this</w:t>
      </w:r>
      <w:r>
        <w:rPr>
          <w:spacing w:val="-1"/>
        </w:rPr>
        <w:t> </w:t>
      </w:r>
      <w:r>
        <w:rPr/>
        <w:t>creates</w:t>
      </w:r>
      <w:r>
        <w:rPr>
          <w:spacing w:val="-4"/>
        </w:rPr>
        <w:t> </w:t>
      </w:r>
      <w:r>
        <w:rPr/>
        <w:t>a</w:t>
      </w:r>
      <w:r>
        <w:rPr>
          <w:spacing w:val="-5"/>
        </w:rPr>
        <w:t> </w:t>
      </w:r>
      <w:r>
        <w:rPr/>
        <w:t>fundamental</w:t>
      </w:r>
      <w:r>
        <w:rPr>
          <w:spacing w:val="-3"/>
        </w:rPr>
        <w:t> </w:t>
      </w:r>
      <w:r>
        <w:rPr/>
        <w:t>issue</w:t>
      </w:r>
      <w:r>
        <w:rPr>
          <w:spacing w:val="-3"/>
        </w:rPr>
        <w:t> </w:t>
      </w:r>
      <w:r>
        <w:rPr/>
        <w:t>of</w:t>
      </w:r>
      <w:r>
        <w:rPr>
          <w:spacing w:val="-1"/>
        </w:rPr>
        <w:t> </w:t>
      </w:r>
      <w:r>
        <w:rPr/>
        <w:t>providing</w:t>
      </w:r>
      <w:r>
        <w:rPr>
          <w:spacing w:val="-4"/>
        </w:rPr>
        <w:t> </w:t>
      </w:r>
      <w:r>
        <w:rPr/>
        <w:t>even</w:t>
      </w:r>
      <w:r>
        <w:rPr>
          <w:spacing w:val="-4"/>
        </w:rPr>
        <w:t> </w:t>
      </w:r>
      <w:r>
        <w:rPr/>
        <w:t>the</w:t>
      </w:r>
      <w:r>
        <w:rPr>
          <w:spacing w:val="-5"/>
        </w:rPr>
        <w:t> </w:t>
      </w:r>
      <w:r>
        <w:rPr/>
        <w:t>core, basic health care services such as dialysis required for these</w:t>
      </w:r>
      <w:r>
        <w:rPr>
          <w:spacing w:val="-16"/>
        </w:rPr>
        <w:t> </w:t>
      </w:r>
      <w:r>
        <w:rPr/>
        <w:t>patients.</w:t>
      </w:r>
    </w:p>
    <w:p>
      <w:pPr>
        <w:pStyle w:val="BodyText"/>
        <w:spacing w:before="3"/>
      </w:pPr>
    </w:p>
    <w:p>
      <w:pPr>
        <w:pStyle w:val="BodyText"/>
        <w:spacing w:line="276" w:lineRule="exact"/>
        <w:ind w:left="120" w:right="114" w:firstLine="719"/>
        <w:jc w:val="both"/>
        <w:rPr>
          <w:sz w:val="16"/>
        </w:rPr>
      </w:pPr>
      <w:r>
        <w:rPr/>
        <w:t>This is largely a result of a unique self-generating cost-payment cycle in which ever diminishing FFS ESRD payments perpetuates an unrealistic compensation level in traditional Medicare, causing undue reductions in the resources for 3,500 ESRD patients in MA. CMS has recognized critical disadvantages of the FFS payments for dialysis in Puerto Rico and their impact on MA.</w:t>
      </w:r>
      <w:r>
        <w:rPr>
          <w:position w:val="9"/>
          <w:sz w:val="16"/>
        </w:rPr>
        <w:t>19</w:t>
      </w:r>
    </w:p>
    <w:p>
      <w:pPr>
        <w:pStyle w:val="BodyText"/>
        <w:spacing w:before="7"/>
        <w:rPr>
          <w:sz w:val="23"/>
        </w:rPr>
      </w:pPr>
    </w:p>
    <w:p>
      <w:pPr>
        <w:pStyle w:val="BodyText"/>
        <w:spacing w:before="1"/>
        <w:ind w:left="120" w:right="115" w:firstLine="719"/>
        <w:jc w:val="both"/>
      </w:pPr>
      <w:r>
        <w:rPr/>
        <w:t>The Medicare FFS ESRD costs and payments for Puerto Rico are impacted by significant changes in FFS pricing for Part A, Part B and dialysis payment anomalies identified in recent years by CMS, and documented in FFS regulation. However, the 2018 MA did not reflect any updates in methodology or policy to address these core factors within ESRD rates. Specifically, the data CMS is using for the ESRD MA Benchmark is missing input based on claims paid by the local Medicaid plans. This is caused by the fact that Puerto Rico has different administration of a 90 day coordination with Medicaid as compared to the 30 month period CMS typically uses. This causes data that is paid on the Medicaid program that would typically flow through the CMS Fee to be missing from the rate making process.</w:t>
      </w:r>
    </w:p>
    <w:p>
      <w:pPr>
        <w:pStyle w:val="BodyText"/>
      </w:pPr>
    </w:p>
    <w:p>
      <w:pPr>
        <w:pStyle w:val="BodyText"/>
        <w:ind w:left="120" w:right="118" w:firstLine="719"/>
        <w:jc w:val="both"/>
      </w:pPr>
      <w:r>
        <w:rPr/>
        <w:t>Furthermore, as validated by CMS staff, CMS does not apply current Medicare FFS fee schedules</w:t>
      </w:r>
      <w:r>
        <w:rPr>
          <w:spacing w:val="-11"/>
        </w:rPr>
        <w:t> </w:t>
      </w:r>
      <w:r>
        <w:rPr/>
        <w:t>to</w:t>
      </w:r>
      <w:r>
        <w:rPr>
          <w:spacing w:val="-11"/>
        </w:rPr>
        <w:t> </w:t>
      </w:r>
      <w:r>
        <w:rPr/>
        <w:t>the</w:t>
      </w:r>
      <w:r>
        <w:rPr>
          <w:spacing w:val="-9"/>
        </w:rPr>
        <w:t> </w:t>
      </w:r>
      <w:r>
        <w:rPr/>
        <w:t>ESRD</w:t>
      </w:r>
      <w:r>
        <w:rPr>
          <w:spacing w:val="-12"/>
        </w:rPr>
        <w:t> </w:t>
      </w:r>
      <w:r>
        <w:rPr/>
        <w:t>MA</w:t>
      </w:r>
      <w:r>
        <w:rPr>
          <w:spacing w:val="-12"/>
        </w:rPr>
        <w:t> </w:t>
      </w:r>
      <w:r>
        <w:rPr/>
        <w:t>benchmark</w:t>
      </w:r>
      <w:r>
        <w:rPr>
          <w:spacing w:val="-9"/>
        </w:rPr>
        <w:t> </w:t>
      </w:r>
      <w:r>
        <w:rPr/>
        <w:t>experience</w:t>
      </w:r>
      <w:r>
        <w:rPr>
          <w:spacing w:val="-7"/>
        </w:rPr>
        <w:t> </w:t>
      </w:r>
      <w:r>
        <w:rPr/>
        <w:t>data.</w:t>
      </w:r>
      <w:r>
        <w:rPr>
          <w:spacing w:val="-12"/>
        </w:rPr>
        <w:t> </w:t>
      </w:r>
      <w:r>
        <w:rPr/>
        <w:t>Therefore,</w:t>
      </w:r>
      <w:r>
        <w:rPr>
          <w:spacing w:val="-11"/>
        </w:rPr>
        <w:t> </w:t>
      </w:r>
      <w:r>
        <w:rPr/>
        <w:t>the</w:t>
      </w:r>
      <w:r>
        <w:rPr>
          <w:spacing w:val="-12"/>
        </w:rPr>
        <w:t> </w:t>
      </w:r>
      <w:r>
        <w:rPr/>
        <w:t>GPCI</w:t>
      </w:r>
      <w:r>
        <w:rPr>
          <w:spacing w:val="-12"/>
        </w:rPr>
        <w:t> </w:t>
      </w:r>
      <w:r>
        <w:rPr/>
        <w:t>update</w:t>
      </w:r>
      <w:r>
        <w:rPr>
          <w:spacing w:val="-9"/>
        </w:rPr>
        <w:t> </w:t>
      </w:r>
      <w:r>
        <w:rPr/>
        <w:t>for</w:t>
      </w:r>
      <w:r>
        <w:rPr>
          <w:spacing w:val="-13"/>
        </w:rPr>
        <w:t> </w:t>
      </w:r>
      <w:r>
        <w:rPr/>
        <w:t>Puerto</w:t>
      </w:r>
      <w:r>
        <w:rPr>
          <w:spacing w:val="-11"/>
        </w:rPr>
        <w:t> </w:t>
      </w:r>
      <w:r>
        <w:rPr/>
        <w:t>Rico that the 2018 Rates implemented will be factored into the pricing on the general Puerto Rico MA benchmark will not be included for the ESRD benchmark. Accordingly, the significant changes in Part A pricing due to the new uncompensated care formula is also not being reflected in the ESRD MA benchmark calculation. These two pricing adjustments are critical in the case of Puerto Rico, and not doing them is contrary to CMS policy in terms of reflecting the latest pricing information known.</w:t>
      </w:r>
    </w:p>
    <w:p>
      <w:pPr>
        <w:pStyle w:val="BodyText"/>
        <w:spacing w:before="11"/>
        <w:rPr>
          <w:sz w:val="23"/>
        </w:rPr>
      </w:pPr>
    </w:p>
    <w:p>
      <w:pPr>
        <w:pStyle w:val="BodyText"/>
        <w:ind w:left="120" w:right="115" w:firstLine="719"/>
        <w:jc w:val="both"/>
      </w:pPr>
      <w:r>
        <w:rPr/>
        <w:t>These multiple deficiencies contribute to diminishing ESRD MA benchmarks which do not reflect the cost of providing care.     The simplest means for CMS to resolve the Puerto Rico ESRD</w:t>
      </w:r>
    </w:p>
    <w:p>
      <w:pPr>
        <w:pStyle w:val="BodyText"/>
        <w:spacing w:before="5"/>
        <w:rPr>
          <w:sz w:val="17"/>
        </w:rPr>
      </w:pPr>
      <w:r>
        <w:rPr/>
        <w:pict>
          <v:line style="position:absolute;mso-position-horizontal-relative:page;mso-position-vertical-relative:paragraph;z-index:1552;mso-wrap-distance-left:0;mso-wrap-distance-right:0" from="72.024002pt,12.321386pt" to="216.044002pt,12.321386pt" stroked="true" strokeweight=".599980pt" strokecolor="#000000">
            <v:stroke dashstyle="solid"/>
            <w10:wrap type="topAndBottom"/>
          </v:line>
        </w:pict>
      </w:r>
    </w:p>
    <w:p>
      <w:pPr>
        <w:pStyle w:val="BodyText"/>
        <w:spacing w:before="9"/>
        <w:rPr>
          <w:sz w:val="18"/>
        </w:rPr>
      </w:pPr>
    </w:p>
    <w:p>
      <w:pPr>
        <w:spacing w:before="94"/>
        <w:ind w:left="120" w:right="153" w:firstLine="0"/>
        <w:jc w:val="left"/>
        <w:rPr>
          <w:sz w:val="20"/>
        </w:rPr>
      </w:pPr>
      <w:r>
        <w:rPr>
          <w:position w:val="7"/>
          <w:sz w:val="13"/>
        </w:rPr>
        <w:t>19 </w:t>
      </w:r>
      <w:r>
        <w:rPr>
          <w:sz w:val="20"/>
        </w:rPr>
        <w:t>See 81 Fed. Reg. 42,817 (June 30, 2017), “We believe that this information provides evidence that in furnishing renal dialysis services, Puerto Rico could potentially have an economic disadvantage that the rest of the country may not be experiencing.”</w:t>
      </w:r>
    </w:p>
    <w:p>
      <w:pPr>
        <w:spacing w:after="0"/>
        <w:jc w:val="left"/>
        <w:rPr>
          <w:sz w:val="20"/>
        </w:rPr>
        <w:sectPr>
          <w:pgSz w:w="12240" w:h="15840"/>
          <w:pgMar w:header="0" w:footer="1092" w:top="1360" w:bottom="1340" w:left="1320" w:right="1140"/>
        </w:sectPr>
      </w:pPr>
    </w:p>
    <w:p>
      <w:pPr>
        <w:pStyle w:val="BodyText"/>
        <w:spacing w:before="79"/>
        <w:ind w:left="100"/>
      </w:pPr>
      <w:r>
        <w:rPr/>
        <w:t>MA benchmark would be to use the USVI ESRD MA benchmark until such time as actuarial methodologies can be revised to account for the missing data.</w:t>
      </w:r>
    </w:p>
    <w:p>
      <w:pPr>
        <w:pStyle w:val="BodyText"/>
        <w:spacing w:before="11"/>
        <w:rPr>
          <w:sz w:val="23"/>
        </w:rPr>
      </w:pPr>
    </w:p>
    <w:p>
      <w:pPr>
        <w:pStyle w:val="Heading1"/>
        <w:numPr>
          <w:ilvl w:val="1"/>
          <w:numId w:val="1"/>
        </w:numPr>
        <w:tabs>
          <w:tab w:pos="1541" w:val="left" w:leader="none"/>
        </w:tabs>
        <w:spacing w:line="240" w:lineRule="auto" w:before="0" w:after="0"/>
        <w:ind w:left="1540" w:right="122" w:hanging="360"/>
        <w:jc w:val="left"/>
      </w:pPr>
      <w:r>
        <w:rPr/>
        <w:t>Transitional Relief through Other Administrative Adjustments that Impact Medicare</w:t>
      </w:r>
      <w:r>
        <w:rPr>
          <w:spacing w:val="-3"/>
        </w:rPr>
        <w:t> </w:t>
      </w:r>
      <w:r>
        <w:rPr/>
        <w:t>Advantage</w:t>
      </w:r>
    </w:p>
    <w:p>
      <w:pPr>
        <w:pStyle w:val="BodyText"/>
        <w:rPr>
          <w:b/>
        </w:rPr>
      </w:pPr>
    </w:p>
    <w:p>
      <w:pPr>
        <w:pStyle w:val="ListParagraph"/>
        <w:numPr>
          <w:ilvl w:val="2"/>
          <w:numId w:val="1"/>
        </w:numPr>
        <w:tabs>
          <w:tab w:pos="2261" w:val="left" w:leader="none"/>
        </w:tabs>
        <w:spacing w:line="240" w:lineRule="auto" w:before="0" w:after="0"/>
        <w:ind w:left="2260" w:right="0" w:hanging="307"/>
        <w:jc w:val="left"/>
        <w:rPr>
          <w:sz w:val="24"/>
        </w:rPr>
      </w:pPr>
      <w:r>
        <w:rPr>
          <w:sz w:val="24"/>
          <w:u w:val="single"/>
        </w:rPr>
        <w:t>Part B Premium Support as Core Benefit for</w:t>
      </w:r>
      <w:r>
        <w:rPr>
          <w:spacing w:val="-12"/>
          <w:sz w:val="24"/>
          <w:u w:val="single"/>
        </w:rPr>
        <w:t> </w:t>
      </w:r>
      <w:r>
        <w:rPr>
          <w:sz w:val="24"/>
          <w:u w:val="single"/>
        </w:rPr>
        <w:t>Duals</w:t>
      </w:r>
    </w:p>
    <w:p>
      <w:pPr>
        <w:pStyle w:val="BodyText"/>
        <w:spacing w:before="2"/>
        <w:rPr>
          <w:sz w:val="16"/>
        </w:rPr>
      </w:pPr>
    </w:p>
    <w:p>
      <w:pPr>
        <w:pStyle w:val="BodyText"/>
        <w:spacing w:before="90"/>
        <w:ind w:left="100" w:right="118" w:firstLine="719"/>
        <w:jc w:val="both"/>
      </w:pPr>
      <w:r>
        <w:rPr/>
        <w:t>In</w:t>
      </w:r>
      <w:r>
        <w:rPr>
          <w:spacing w:val="-4"/>
        </w:rPr>
        <w:t> </w:t>
      </w:r>
      <w:r>
        <w:rPr/>
        <w:t>line</w:t>
      </w:r>
      <w:r>
        <w:rPr>
          <w:spacing w:val="-7"/>
        </w:rPr>
        <w:t> </w:t>
      </w:r>
      <w:r>
        <w:rPr/>
        <w:t>with</w:t>
      </w:r>
      <w:r>
        <w:rPr>
          <w:spacing w:val="-6"/>
        </w:rPr>
        <w:t> </w:t>
      </w:r>
      <w:r>
        <w:rPr/>
        <w:t>the</w:t>
      </w:r>
      <w:r>
        <w:rPr>
          <w:spacing w:val="-5"/>
        </w:rPr>
        <w:t> </w:t>
      </w:r>
      <w:r>
        <w:rPr/>
        <w:t>policy</w:t>
      </w:r>
      <w:r>
        <w:rPr>
          <w:spacing w:val="-11"/>
        </w:rPr>
        <w:t> </w:t>
      </w:r>
      <w:r>
        <w:rPr/>
        <w:t>to</w:t>
      </w:r>
      <w:r>
        <w:rPr>
          <w:spacing w:val="-3"/>
        </w:rPr>
        <w:t> </w:t>
      </w:r>
      <w:r>
        <w:rPr/>
        <w:t>define</w:t>
      </w:r>
      <w:r>
        <w:rPr>
          <w:spacing w:val="-7"/>
        </w:rPr>
        <w:t> </w:t>
      </w:r>
      <w:r>
        <w:rPr/>
        <w:t>Part</w:t>
      </w:r>
      <w:r>
        <w:rPr>
          <w:spacing w:val="-6"/>
        </w:rPr>
        <w:t> </w:t>
      </w:r>
      <w:r>
        <w:rPr/>
        <w:t>A</w:t>
      </w:r>
      <w:r>
        <w:rPr>
          <w:spacing w:val="-4"/>
        </w:rPr>
        <w:t> </w:t>
      </w:r>
      <w:r>
        <w:rPr/>
        <w:t>and</w:t>
      </w:r>
      <w:r>
        <w:rPr>
          <w:spacing w:val="-4"/>
        </w:rPr>
        <w:t> </w:t>
      </w:r>
      <w:r>
        <w:rPr/>
        <w:t>B</w:t>
      </w:r>
      <w:r>
        <w:rPr>
          <w:spacing w:val="-8"/>
        </w:rPr>
        <w:t> </w:t>
      </w:r>
      <w:r>
        <w:rPr/>
        <w:t>deductibles</w:t>
      </w:r>
      <w:r>
        <w:rPr>
          <w:spacing w:val="-6"/>
        </w:rPr>
        <w:t> </w:t>
      </w:r>
      <w:r>
        <w:rPr/>
        <w:t>and</w:t>
      </w:r>
      <w:r>
        <w:rPr>
          <w:spacing w:val="-4"/>
        </w:rPr>
        <w:t> </w:t>
      </w:r>
      <w:r>
        <w:rPr/>
        <w:t>cost-sharing</w:t>
      </w:r>
      <w:r>
        <w:rPr>
          <w:spacing w:val="-6"/>
        </w:rPr>
        <w:t> </w:t>
      </w:r>
      <w:r>
        <w:rPr/>
        <w:t>as</w:t>
      </w:r>
      <w:r>
        <w:rPr>
          <w:spacing w:val="-6"/>
        </w:rPr>
        <w:t> </w:t>
      </w:r>
      <w:r>
        <w:rPr/>
        <w:t>part</w:t>
      </w:r>
      <w:r>
        <w:rPr>
          <w:spacing w:val="-6"/>
        </w:rPr>
        <w:t> </w:t>
      </w:r>
      <w:r>
        <w:rPr/>
        <w:t>of</w:t>
      </w:r>
      <w:r>
        <w:rPr>
          <w:spacing w:val="-5"/>
        </w:rPr>
        <w:t> </w:t>
      </w:r>
      <w:r>
        <w:rPr/>
        <w:t>the</w:t>
      </w:r>
      <w:r>
        <w:rPr>
          <w:spacing w:val="-4"/>
        </w:rPr>
        <w:t> </w:t>
      </w:r>
      <w:r>
        <w:rPr/>
        <w:t>A/B Bid, CMS should consider Part B member premium reductions for full benefit duals as part of the core A/B benefit in Puerto Rico. Medicare Savings Programs (MSPs) and Part B Buy-in programs are not available given the history of the statutorily fragmented and capped Medicaid program funding in Puerto Rico. Similarly situated beneficiaries residing in states get the Part B premium paid under Part B Buy-in programs and this helps to alleviate the benefit</w:t>
      </w:r>
      <w:r>
        <w:rPr>
          <w:spacing w:val="-16"/>
        </w:rPr>
        <w:t> </w:t>
      </w:r>
      <w:r>
        <w:rPr/>
        <w:t>differential.</w:t>
      </w:r>
    </w:p>
    <w:p>
      <w:pPr>
        <w:pStyle w:val="BodyText"/>
      </w:pPr>
    </w:p>
    <w:p>
      <w:pPr>
        <w:pStyle w:val="ListParagraph"/>
        <w:numPr>
          <w:ilvl w:val="2"/>
          <w:numId w:val="1"/>
        </w:numPr>
        <w:tabs>
          <w:tab w:pos="2261" w:val="left" w:leader="none"/>
        </w:tabs>
        <w:spacing w:line="240" w:lineRule="auto" w:before="0" w:after="0"/>
        <w:ind w:left="2260" w:right="0" w:hanging="374"/>
        <w:jc w:val="left"/>
        <w:rPr>
          <w:sz w:val="24"/>
        </w:rPr>
      </w:pPr>
      <w:r>
        <w:rPr>
          <w:sz w:val="24"/>
          <w:u w:val="single"/>
        </w:rPr>
        <w:t>Star Rating Program</w:t>
      </w:r>
      <w:r>
        <w:rPr>
          <w:spacing w:val="-11"/>
          <w:sz w:val="24"/>
          <w:u w:val="single"/>
        </w:rPr>
        <w:t> </w:t>
      </w:r>
      <w:r>
        <w:rPr>
          <w:sz w:val="24"/>
          <w:u w:val="single"/>
        </w:rPr>
        <w:t>Methodologies</w:t>
      </w:r>
    </w:p>
    <w:p>
      <w:pPr>
        <w:pStyle w:val="BodyText"/>
        <w:spacing w:before="2"/>
        <w:rPr>
          <w:sz w:val="16"/>
        </w:rPr>
      </w:pPr>
    </w:p>
    <w:p>
      <w:pPr>
        <w:pStyle w:val="BodyText"/>
        <w:spacing w:before="90"/>
        <w:ind w:left="100" w:right="112" w:firstLine="719"/>
        <w:jc w:val="both"/>
      </w:pPr>
      <w:r>
        <w:rPr/>
        <w:t>As</w:t>
      </w:r>
      <w:r>
        <w:rPr>
          <w:spacing w:val="-5"/>
        </w:rPr>
        <w:t> </w:t>
      </w:r>
      <w:r>
        <w:rPr/>
        <w:t>acknowledged</w:t>
      </w:r>
      <w:r>
        <w:rPr>
          <w:spacing w:val="-5"/>
        </w:rPr>
        <w:t> </w:t>
      </w:r>
      <w:r>
        <w:rPr/>
        <w:t>in</w:t>
      </w:r>
      <w:r>
        <w:rPr>
          <w:spacing w:val="-4"/>
        </w:rPr>
        <w:t> </w:t>
      </w:r>
      <w:r>
        <w:rPr/>
        <w:t>the</w:t>
      </w:r>
      <w:r>
        <w:rPr>
          <w:spacing w:val="-5"/>
        </w:rPr>
        <w:t> </w:t>
      </w:r>
      <w:r>
        <w:rPr/>
        <w:t>2018</w:t>
      </w:r>
      <w:r>
        <w:rPr>
          <w:spacing w:val="-5"/>
        </w:rPr>
        <w:t> </w:t>
      </w:r>
      <w:r>
        <w:rPr/>
        <w:t>Rate</w:t>
      </w:r>
      <w:r>
        <w:rPr>
          <w:spacing w:val="-5"/>
        </w:rPr>
        <w:t> </w:t>
      </w:r>
      <w:r>
        <w:rPr/>
        <w:t>Announcement,</w:t>
      </w:r>
      <w:r>
        <w:rPr>
          <w:spacing w:val="-4"/>
        </w:rPr>
        <w:t> </w:t>
      </w:r>
      <w:r>
        <w:rPr/>
        <w:t>all</w:t>
      </w:r>
      <w:r>
        <w:rPr>
          <w:spacing w:val="-4"/>
        </w:rPr>
        <w:t> </w:t>
      </w:r>
      <w:r>
        <w:rPr/>
        <w:t>future</w:t>
      </w:r>
      <w:r>
        <w:rPr>
          <w:spacing w:val="-6"/>
        </w:rPr>
        <w:t> </w:t>
      </w:r>
      <w:r>
        <w:rPr/>
        <w:t>MA</w:t>
      </w:r>
      <w:r>
        <w:rPr>
          <w:spacing w:val="-5"/>
        </w:rPr>
        <w:t> </w:t>
      </w:r>
      <w:r>
        <w:rPr/>
        <w:t>Rates</w:t>
      </w:r>
      <w:r>
        <w:rPr>
          <w:spacing w:val="-5"/>
        </w:rPr>
        <w:t> </w:t>
      </w:r>
      <w:r>
        <w:rPr/>
        <w:t>should</w:t>
      </w:r>
      <w:r>
        <w:rPr>
          <w:spacing w:val="-2"/>
        </w:rPr>
        <w:t> </w:t>
      </w:r>
      <w:r>
        <w:rPr/>
        <w:t>maintain</w:t>
      </w:r>
      <w:r>
        <w:rPr>
          <w:spacing w:val="-5"/>
        </w:rPr>
        <w:t> </w:t>
      </w:r>
      <w:r>
        <w:rPr/>
        <w:t>the current Stars methodology adjustments for Puerto Rico considering the statutory exclusion of Part D</w:t>
      </w:r>
      <w:r>
        <w:rPr>
          <w:spacing w:val="-7"/>
        </w:rPr>
        <w:t> </w:t>
      </w:r>
      <w:r>
        <w:rPr/>
        <w:t>LIS</w:t>
      </w:r>
      <w:r>
        <w:rPr>
          <w:spacing w:val="-8"/>
        </w:rPr>
        <w:t> </w:t>
      </w:r>
      <w:r>
        <w:rPr/>
        <w:t>benefits</w:t>
      </w:r>
      <w:r>
        <w:rPr>
          <w:spacing w:val="-8"/>
        </w:rPr>
        <w:t> </w:t>
      </w:r>
      <w:r>
        <w:rPr/>
        <w:t>(as</w:t>
      </w:r>
      <w:r>
        <w:rPr>
          <w:spacing w:val="-6"/>
        </w:rPr>
        <w:t> </w:t>
      </w:r>
      <w:r>
        <w:rPr/>
        <w:t>long</w:t>
      </w:r>
      <w:r>
        <w:rPr>
          <w:spacing w:val="-8"/>
        </w:rPr>
        <w:t> </w:t>
      </w:r>
      <w:r>
        <w:rPr/>
        <w:t>as</w:t>
      </w:r>
      <w:r>
        <w:rPr>
          <w:spacing w:val="-8"/>
        </w:rPr>
        <w:t> </w:t>
      </w:r>
      <w:r>
        <w:rPr/>
        <w:t>this</w:t>
      </w:r>
      <w:r>
        <w:rPr>
          <w:spacing w:val="-8"/>
        </w:rPr>
        <w:t> </w:t>
      </w:r>
      <w:r>
        <w:rPr/>
        <w:t>exclusion</w:t>
      </w:r>
      <w:r>
        <w:rPr>
          <w:spacing w:val="-9"/>
        </w:rPr>
        <w:t> </w:t>
      </w:r>
      <w:r>
        <w:rPr/>
        <w:t>exists).</w:t>
      </w:r>
      <w:r>
        <w:rPr>
          <w:spacing w:val="-9"/>
        </w:rPr>
        <w:t> </w:t>
      </w:r>
      <w:r>
        <w:rPr/>
        <w:t>Even</w:t>
      </w:r>
      <w:r>
        <w:rPr>
          <w:spacing w:val="-9"/>
        </w:rPr>
        <w:t> </w:t>
      </w:r>
      <w:r>
        <w:rPr/>
        <w:t>though</w:t>
      </w:r>
      <w:r>
        <w:rPr>
          <w:spacing w:val="-7"/>
        </w:rPr>
        <w:t> </w:t>
      </w:r>
      <w:r>
        <w:rPr/>
        <w:t>MA</w:t>
      </w:r>
      <w:r>
        <w:rPr>
          <w:spacing w:val="-9"/>
        </w:rPr>
        <w:t> </w:t>
      </w:r>
      <w:r>
        <w:rPr/>
        <w:t>plans</w:t>
      </w:r>
      <w:r>
        <w:rPr>
          <w:spacing w:val="-7"/>
        </w:rPr>
        <w:t> </w:t>
      </w:r>
      <w:r>
        <w:rPr/>
        <w:t>and</w:t>
      </w:r>
      <w:r>
        <w:rPr>
          <w:spacing w:val="-9"/>
        </w:rPr>
        <w:t> </w:t>
      </w:r>
      <w:r>
        <w:rPr/>
        <w:t>community</w:t>
      </w:r>
      <w:r>
        <w:rPr>
          <w:spacing w:val="-13"/>
        </w:rPr>
        <w:t> </w:t>
      </w:r>
      <w:r>
        <w:rPr/>
        <w:t>pharmacies in the island have implemented joint strategies to address issues with access to medication adherence, there are still outstanding and unresolved financial constraints that hinder the quality of care.</w:t>
      </w:r>
      <w:r>
        <w:rPr>
          <w:spacing w:val="-10"/>
        </w:rPr>
        <w:t> </w:t>
      </w:r>
      <w:r>
        <w:rPr/>
        <w:t>Therefore,</w:t>
      </w:r>
      <w:r>
        <w:rPr>
          <w:spacing w:val="-10"/>
        </w:rPr>
        <w:t> </w:t>
      </w:r>
      <w:r>
        <w:rPr/>
        <w:t>the</w:t>
      </w:r>
      <w:r>
        <w:rPr>
          <w:spacing w:val="-10"/>
        </w:rPr>
        <w:t> </w:t>
      </w:r>
      <w:r>
        <w:rPr/>
        <w:t>proposed</w:t>
      </w:r>
      <w:r>
        <w:rPr>
          <w:spacing w:val="-10"/>
        </w:rPr>
        <w:t> </w:t>
      </w:r>
      <w:r>
        <w:rPr/>
        <w:t>adjustment</w:t>
      </w:r>
      <w:r>
        <w:rPr>
          <w:spacing w:val="-10"/>
        </w:rPr>
        <w:t> </w:t>
      </w:r>
      <w:r>
        <w:rPr/>
        <w:t>is</w:t>
      </w:r>
      <w:r>
        <w:rPr>
          <w:spacing w:val="-9"/>
        </w:rPr>
        <w:t> </w:t>
      </w:r>
      <w:r>
        <w:rPr/>
        <w:t>still</w:t>
      </w:r>
      <w:r>
        <w:rPr>
          <w:spacing w:val="-9"/>
        </w:rPr>
        <w:t> </w:t>
      </w:r>
      <w:r>
        <w:rPr/>
        <w:t>needed.</w:t>
      </w:r>
      <w:r>
        <w:rPr>
          <w:spacing w:val="-7"/>
        </w:rPr>
        <w:t> </w:t>
      </w:r>
      <w:r>
        <w:rPr/>
        <w:t>In</w:t>
      </w:r>
      <w:r>
        <w:rPr>
          <w:spacing w:val="-10"/>
        </w:rPr>
        <w:t> </w:t>
      </w:r>
      <w:r>
        <w:rPr/>
        <w:t>addition,</w:t>
      </w:r>
      <w:r>
        <w:rPr>
          <w:spacing w:val="-9"/>
        </w:rPr>
        <w:t> </w:t>
      </w:r>
      <w:r>
        <w:rPr/>
        <w:t>CMS</w:t>
      </w:r>
      <w:r>
        <w:rPr>
          <w:spacing w:val="-9"/>
        </w:rPr>
        <w:t> </w:t>
      </w:r>
      <w:r>
        <w:rPr/>
        <w:t>should</w:t>
      </w:r>
      <w:r>
        <w:rPr>
          <w:spacing w:val="-9"/>
        </w:rPr>
        <w:t> </w:t>
      </w:r>
      <w:r>
        <w:rPr/>
        <w:t>propose</w:t>
      </w:r>
      <w:r>
        <w:rPr>
          <w:spacing w:val="-10"/>
        </w:rPr>
        <w:t> </w:t>
      </w:r>
      <w:r>
        <w:rPr/>
        <w:t>additional adjustments related to the uniqueness of the system (Getting Appointments Quickly), and the high proportion of dual eligible beneficiaries (Members Choosing to Leave the Plan). </w:t>
      </w:r>
      <w:r>
        <w:rPr>
          <w:spacing w:val="-3"/>
        </w:rPr>
        <w:t>In </w:t>
      </w:r>
      <w:r>
        <w:rPr/>
        <w:t>particular, we propose that the CAHPS question related to the 15-minute wait in a physician office be waived temporarily from the scoring calculations for Puerto</w:t>
      </w:r>
      <w:r>
        <w:rPr>
          <w:spacing w:val="-10"/>
        </w:rPr>
        <w:t> </w:t>
      </w:r>
      <w:r>
        <w:rPr/>
        <w:t>Rico.</w:t>
      </w:r>
    </w:p>
    <w:p>
      <w:pPr>
        <w:pStyle w:val="BodyText"/>
      </w:pPr>
    </w:p>
    <w:p>
      <w:pPr>
        <w:pStyle w:val="BodyText"/>
        <w:ind w:left="100" w:right="113" w:firstLine="719"/>
        <w:jc w:val="both"/>
      </w:pPr>
      <w:r>
        <w:rPr/>
        <w:t>Finally, the effects of Hurricanes Irma and Maria on STARs measures is multiple and complex. For said reason, we are requesting CMS to hold harmless the MA plans of Puerto Rico</w:t>
      </w:r>
      <w:r>
        <w:rPr>
          <w:spacing w:val="-37"/>
        </w:rPr>
        <w:t> </w:t>
      </w:r>
      <w:r>
        <w:rPr/>
        <w:t>by using the 2018 STARs rating for any plan which scores fall below their current rating in the 2019 calculation because of the effects of the emergency in</w:t>
      </w:r>
      <w:r>
        <w:rPr>
          <w:spacing w:val="-10"/>
        </w:rPr>
        <w:t> </w:t>
      </w:r>
      <w:r>
        <w:rPr/>
        <w:t>2017.</w:t>
      </w:r>
    </w:p>
    <w:p>
      <w:pPr>
        <w:pStyle w:val="BodyText"/>
        <w:spacing w:before="11"/>
        <w:rPr>
          <w:sz w:val="23"/>
        </w:rPr>
      </w:pPr>
    </w:p>
    <w:p>
      <w:pPr>
        <w:pStyle w:val="Heading1"/>
        <w:numPr>
          <w:ilvl w:val="0"/>
          <w:numId w:val="1"/>
        </w:numPr>
        <w:tabs>
          <w:tab w:pos="1180" w:val="left" w:leader="none"/>
          <w:tab w:pos="1181" w:val="left" w:leader="none"/>
        </w:tabs>
        <w:spacing w:line="240" w:lineRule="auto" w:before="0" w:after="0"/>
        <w:ind w:left="1180" w:right="0" w:hanging="720"/>
        <w:jc w:val="left"/>
      </w:pPr>
      <w:r>
        <w:rPr>
          <w:u w:val="thick"/>
        </w:rPr>
        <w:t>Conclusion</w:t>
      </w:r>
    </w:p>
    <w:p>
      <w:pPr>
        <w:pStyle w:val="BodyText"/>
        <w:spacing w:before="9"/>
        <w:rPr>
          <w:b/>
          <w:sz w:val="20"/>
        </w:rPr>
      </w:pPr>
    </w:p>
    <w:p>
      <w:pPr>
        <w:pStyle w:val="BodyText"/>
        <w:ind w:left="100" w:right="113" w:firstLine="360"/>
        <w:jc w:val="both"/>
      </w:pPr>
      <w:r>
        <w:rPr/>
        <w:t>The MA benchmarks for Puerto Rico are wrong. The current MA benchmark process cannot reliably predict what would be the costs of a Medicare FFS program in Puerto Rico. Based on unreliable</w:t>
      </w:r>
      <w:r>
        <w:rPr>
          <w:spacing w:val="-3"/>
        </w:rPr>
        <w:t> </w:t>
      </w:r>
      <w:r>
        <w:rPr/>
        <w:t>data</w:t>
      </w:r>
      <w:r>
        <w:rPr>
          <w:spacing w:val="-3"/>
        </w:rPr>
        <w:t> </w:t>
      </w:r>
      <w:r>
        <w:rPr/>
        <w:t>currently</w:t>
      </w:r>
      <w:r>
        <w:rPr>
          <w:spacing w:val="-5"/>
        </w:rPr>
        <w:t> </w:t>
      </w:r>
      <w:r>
        <w:rPr/>
        <w:t>used</w:t>
      </w:r>
      <w:r>
        <w:rPr>
          <w:spacing w:val="-3"/>
        </w:rPr>
        <w:t> </w:t>
      </w:r>
      <w:r>
        <w:rPr/>
        <w:t>to</w:t>
      </w:r>
      <w:r>
        <w:rPr>
          <w:spacing w:val="-2"/>
        </w:rPr>
        <w:t> </w:t>
      </w:r>
      <w:r>
        <w:rPr/>
        <w:t>compute</w:t>
      </w:r>
      <w:r>
        <w:rPr>
          <w:spacing w:val="-4"/>
        </w:rPr>
        <w:t> </w:t>
      </w:r>
      <w:r>
        <w:rPr/>
        <w:t>the</w:t>
      </w:r>
      <w:r>
        <w:rPr>
          <w:spacing w:val="-1"/>
        </w:rPr>
        <w:t> </w:t>
      </w:r>
      <w:r>
        <w:rPr/>
        <w:t>MA benchmark,</w:t>
      </w:r>
      <w:r>
        <w:rPr>
          <w:spacing w:val="-1"/>
        </w:rPr>
        <w:t> </w:t>
      </w:r>
      <w:r>
        <w:rPr/>
        <w:t>a</w:t>
      </w:r>
      <w:r>
        <w:rPr>
          <w:spacing w:val="-4"/>
        </w:rPr>
        <w:t> </w:t>
      </w:r>
      <w:r>
        <w:rPr/>
        <w:t>proxy</w:t>
      </w:r>
      <w:r>
        <w:rPr>
          <w:spacing w:val="-8"/>
        </w:rPr>
        <w:t> </w:t>
      </w:r>
      <w:r>
        <w:rPr/>
        <w:t>methodology</w:t>
      </w:r>
      <w:r>
        <w:rPr>
          <w:spacing w:val="-8"/>
        </w:rPr>
        <w:t> </w:t>
      </w:r>
      <w:r>
        <w:rPr/>
        <w:t>should</w:t>
      </w:r>
      <w:r>
        <w:rPr>
          <w:spacing w:val="-3"/>
        </w:rPr>
        <w:t> </w:t>
      </w:r>
      <w:r>
        <w:rPr/>
        <w:t>be</w:t>
      </w:r>
      <w:r>
        <w:rPr>
          <w:spacing w:val="-2"/>
        </w:rPr>
        <w:t> </w:t>
      </w:r>
      <w:r>
        <w:rPr/>
        <w:t>used for</w:t>
      </w:r>
      <w:r>
        <w:rPr>
          <w:spacing w:val="-9"/>
        </w:rPr>
        <w:t> </w:t>
      </w:r>
      <w:r>
        <w:rPr/>
        <w:t>Puerto</w:t>
      </w:r>
      <w:r>
        <w:rPr>
          <w:spacing w:val="-8"/>
        </w:rPr>
        <w:t> </w:t>
      </w:r>
      <w:r>
        <w:rPr/>
        <w:t>Rico’s</w:t>
      </w:r>
      <w:r>
        <w:rPr>
          <w:spacing w:val="-5"/>
        </w:rPr>
        <w:t> </w:t>
      </w:r>
      <w:r>
        <w:rPr/>
        <w:t>ratemaking</w:t>
      </w:r>
      <w:r>
        <w:rPr>
          <w:spacing w:val="-10"/>
        </w:rPr>
        <w:t> </w:t>
      </w:r>
      <w:r>
        <w:rPr/>
        <w:t>computation.</w:t>
      </w:r>
      <w:r>
        <w:rPr>
          <w:spacing w:val="48"/>
        </w:rPr>
        <w:t> </w:t>
      </w:r>
      <w:r>
        <w:rPr/>
        <w:t>Moreover,</w:t>
      </w:r>
      <w:r>
        <w:rPr>
          <w:spacing w:val="-8"/>
        </w:rPr>
        <w:t> </w:t>
      </w:r>
      <w:r>
        <w:rPr/>
        <w:t>within</w:t>
      </w:r>
      <w:r>
        <w:rPr>
          <w:spacing w:val="-8"/>
        </w:rPr>
        <w:t> </w:t>
      </w:r>
      <w:r>
        <w:rPr/>
        <w:t>the</w:t>
      </w:r>
      <w:r>
        <w:rPr>
          <w:spacing w:val="-6"/>
        </w:rPr>
        <w:t> </w:t>
      </w:r>
      <w:r>
        <w:rPr/>
        <w:t>existing</w:t>
      </w:r>
      <w:r>
        <w:rPr>
          <w:spacing w:val="-10"/>
        </w:rPr>
        <w:t> </w:t>
      </w:r>
      <w:r>
        <w:rPr/>
        <w:t>context,</w:t>
      </w:r>
      <w:r>
        <w:rPr>
          <w:spacing w:val="-7"/>
        </w:rPr>
        <w:t> </w:t>
      </w:r>
      <w:r>
        <w:rPr/>
        <w:t>the</w:t>
      </w:r>
      <w:r>
        <w:rPr>
          <w:spacing w:val="-8"/>
        </w:rPr>
        <w:t> </w:t>
      </w:r>
      <w:r>
        <w:rPr/>
        <w:t>use</w:t>
      </w:r>
      <w:r>
        <w:rPr>
          <w:spacing w:val="-8"/>
        </w:rPr>
        <w:t> </w:t>
      </w:r>
      <w:r>
        <w:rPr/>
        <w:t>of</w:t>
      </w:r>
      <w:r>
        <w:rPr>
          <w:spacing w:val="-6"/>
        </w:rPr>
        <w:t> </w:t>
      </w:r>
      <w:r>
        <w:rPr/>
        <w:t>an</w:t>
      </w:r>
      <w:r>
        <w:rPr>
          <w:spacing w:val="-8"/>
        </w:rPr>
        <w:t> </w:t>
      </w:r>
      <w:r>
        <w:rPr/>
        <w:t>MA benchmark proxy will improve the health care system immediately thought a proven programmatic structure based on private sector productivity and</w:t>
      </w:r>
      <w:r>
        <w:rPr>
          <w:spacing w:val="-7"/>
        </w:rPr>
        <w:t> </w:t>
      </w:r>
      <w:r>
        <w:rPr/>
        <w:t>competition.</w:t>
      </w:r>
    </w:p>
    <w:p>
      <w:pPr>
        <w:pStyle w:val="BodyText"/>
        <w:spacing w:before="11"/>
        <w:rPr>
          <w:sz w:val="23"/>
        </w:rPr>
      </w:pPr>
    </w:p>
    <w:p>
      <w:pPr>
        <w:pStyle w:val="BodyText"/>
        <w:ind w:left="100" w:right="115" w:firstLine="360"/>
        <w:jc w:val="both"/>
        <w:rPr>
          <w:b/>
        </w:rPr>
      </w:pPr>
      <w:r>
        <w:rPr/>
        <w:t>The benchmark reform proposals herein are all vital for a real and meaningful impact for the 580,000 MA beneficiaries living in Puerto Rico in 2019 and beyond. We are committed to the continued improvement in the quality of the Medicare programs in Puerto Rico, demonstrated by the progress made through critical times in recent years. With these adjustments, we are confident we can break the downward spiral of the MA program in Puerto Rico.       </w:t>
      </w:r>
      <w:r>
        <w:rPr>
          <w:b/>
        </w:rPr>
        <w:t>Furthermore, expected</w:t>
      </w:r>
    </w:p>
    <w:p>
      <w:pPr>
        <w:spacing w:after="0"/>
        <w:jc w:val="both"/>
        <w:sectPr>
          <w:pgSz w:w="12240" w:h="15840"/>
          <w:pgMar w:header="0" w:footer="1092" w:top="1360" w:bottom="1340" w:left="1340" w:right="1140"/>
        </w:sectPr>
      </w:pPr>
    </w:p>
    <w:p>
      <w:pPr>
        <w:spacing w:before="79"/>
        <w:ind w:left="0" w:right="112" w:firstLine="0"/>
        <w:jc w:val="right"/>
        <w:rPr>
          <w:sz w:val="24"/>
        </w:rPr>
      </w:pPr>
      <w:r>
        <w:rPr>
          <w:b/>
          <w:sz w:val="24"/>
        </w:rPr>
        <w:t>impact</w:t>
      </w:r>
      <w:r>
        <w:rPr>
          <w:b/>
          <w:spacing w:val="22"/>
          <w:sz w:val="24"/>
        </w:rPr>
        <w:t> </w:t>
      </w:r>
      <w:r>
        <w:rPr>
          <w:b/>
          <w:sz w:val="24"/>
        </w:rPr>
        <w:t>to</w:t>
      </w:r>
      <w:r>
        <w:rPr>
          <w:b/>
          <w:spacing w:val="19"/>
          <w:sz w:val="24"/>
        </w:rPr>
        <w:t> </w:t>
      </w:r>
      <w:r>
        <w:rPr>
          <w:b/>
          <w:sz w:val="24"/>
        </w:rPr>
        <w:t>projected</w:t>
      </w:r>
      <w:r>
        <w:rPr>
          <w:b/>
          <w:spacing w:val="21"/>
          <w:sz w:val="24"/>
        </w:rPr>
        <w:t> </w:t>
      </w:r>
      <w:r>
        <w:rPr>
          <w:b/>
          <w:sz w:val="24"/>
        </w:rPr>
        <w:t>migration</w:t>
      </w:r>
      <w:r>
        <w:rPr>
          <w:b/>
          <w:spacing w:val="20"/>
          <w:sz w:val="24"/>
        </w:rPr>
        <w:t> </w:t>
      </w:r>
      <w:r>
        <w:rPr>
          <w:b/>
          <w:sz w:val="24"/>
        </w:rPr>
        <w:t>reveals</w:t>
      </w:r>
      <w:r>
        <w:rPr>
          <w:b/>
          <w:spacing w:val="21"/>
          <w:sz w:val="24"/>
        </w:rPr>
        <w:t> </w:t>
      </w:r>
      <w:r>
        <w:rPr>
          <w:b/>
          <w:sz w:val="24"/>
        </w:rPr>
        <w:t>that</w:t>
      </w:r>
      <w:r>
        <w:rPr>
          <w:b/>
          <w:spacing w:val="22"/>
          <w:sz w:val="24"/>
        </w:rPr>
        <w:t> </w:t>
      </w:r>
      <w:r>
        <w:rPr>
          <w:b/>
          <w:sz w:val="24"/>
        </w:rPr>
        <w:t>this</w:t>
      </w:r>
      <w:r>
        <w:rPr>
          <w:b/>
          <w:spacing w:val="21"/>
          <w:sz w:val="24"/>
        </w:rPr>
        <w:t> </w:t>
      </w:r>
      <w:r>
        <w:rPr>
          <w:b/>
          <w:sz w:val="24"/>
        </w:rPr>
        <w:t>will</w:t>
      </w:r>
      <w:r>
        <w:rPr>
          <w:b/>
          <w:spacing w:val="18"/>
          <w:sz w:val="24"/>
        </w:rPr>
        <w:t> </w:t>
      </w:r>
      <w:r>
        <w:rPr>
          <w:b/>
          <w:sz w:val="24"/>
        </w:rPr>
        <w:t>be</w:t>
      </w:r>
      <w:r>
        <w:rPr>
          <w:b/>
          <w:spacing w:val="19"/>
          <w:sz w:val="24"/>
        </w:rPr>
        <w:t> </w:t>
      </w:r>
      <w:r>
        <w:rPr>
          <w:b/>
          <w:sz w:val="24"/>
        </w:rPr>
        <w:t>the</w:t>
      </w:r>
      <w:r>
        <w:rPr>
          <w:b/>
          <w:spacing w:val="19"/>
          <w:sz w:val="24"/>
        </w:rPr>
        <w:t> </w:t>
      </w:r>
      <w:r>
        <w:rPr>
          <w:b/>
          <w:sz w:val="24"/>
        </w:rPr>
        <w:t>most</w:t>
      </w:r>
      <w:r>
        <w:rPr>
          <w:b/>
          <w:spacing w:val="22"/>
          <w:sz w:val="24"/>
        </w:rPr>
        <w:t> </w:t>
      </w:r>
      <w:r>
        <w:rPr>
          <w:b/>
          <w:sz w:val="24"/>
        </w:rPr>
        <w:t>cost-effective</w:t>
      </w:r>
      <w:r>
        <w:rPr>
          <w:b/>
          <w:spacing w:val="19"/>
          <w:sz w:val="24"/>
        </w:rPr>
        <w:t> </w:t>
      </w:r>
      <w:r>
        <w:rPr>
          <w:b/>
          <w:sz w:val="24"/>
        </w:rPr>
        <w:t>policy</w:t>
      </w:r>
      <w:r>
        <w:rPr>
          <w:b/>
          <w:spacing w:val="20"/>
          <w:sz w:val="24"/>
        </w:rPr>
        <w:t> </w:t>
      </w:r>
      <w:r>
        <w:rPr>
          <w:b/>
          <w:sz w:val="24"/>
        </w:rPr>
        <w:t>for</w:t>
      </w:r>
      <w:r>
        <w:rPr>
          <w:b/>
          <w:spacing w:val="19"/>
          <w:sz w:val="24"/>
        </w:rPr>
        <w:t> </w:t>
      </w:r>
      <w:r>
        <w:rPr>
          <w:b/>
          <w:sz w:val="24"/>
        </w:rPr>
        <w:t>the</w:t>
      </w:r>
      <w:r>
        <w:rPr>
          <w:b/>
          <w:w w:val="99"/>
          <w:sz w:val="24"/>
        </w:rPr>
        <w:t> </w:t>
      </w:r>
      <w:r>
        <w:rPr>
          <w:b/>
          <w:sz w:val="24"/>
        </w:rPr>
        <w:t>Federal government regarding the overall effects to Medicare and Medicaid expenses</w:t>
      </w:r>
      <w:r>
        <w:rPr>
          <w:b/>
          <w:spacing w:val="57"/>
          <w:sz w:val="24"/>
        </w:rPr>
        <w:t> </w:t>
      </w:r>
      <w:r>
        <w:rPr>
          <w:b/>
          <w:sz w:val="24"/>
        </w:rPr>
        <w:t>for</w:t>
      </w:r>
      <w:r>
        <w:rPr>
          <w:b/>
          <w:spacing w:val="4"/>
          <w:sz w:val="24"/>
        </w:rPr>
        <w:t> </w:t>
      </w:r>
      <w:r>
        <w:rPr>
          <w:b/>
          <w:sz w:val="24"/>
        </w:rPr>
        <w:t>the Medicare</w:t>
      </w:r>
      <w:r>
        <w:rPr>
          <w:b/>
          <w:spacing w:val="-12"/>
          <w:sz w:val="24"/>
        </w:rPr>
        <w:t> </w:t>
      </w:r>
      <w:r>
        <w:rPr>
          <w:b/>
          <w:sz w:val="24"/>
        </w:rPr>
        <w:t>beneficiary</w:t>
      </w:r>
      <w:r>
        <w:rPr>
          <w:b/>
          <w:spacing w:val="-13"/>
          <w:sz w:val="24"/>
        </w:rPr>
        <w:t> </w:t>
      </w:r>
      <w:r>
        <w:rPr>
          <w:b/>
          <w:sz w:val="24"/>
        </w:rPr>
        <w:t>population.</w:t>
      </w:r>
      <w:r>
        <w:rPr>
          <w:b/>
          <w:spacing w:val="-13"/>
          <w:sz w:val="24"/>
        </w:rPr>
        <w:t> </w:t>
      </w:r>
      <w:r>
        <w:rPr>
          <w:sz w:val="24"/>
        </w:rPr>
        <w:t>We</w:t>
      </w:r>
      <w:r>
        <w:rPr>
          <w:spacing w:val="-14"/>
          <w:sz w:val="24"/>
        </w:rPr>
        <w:t> </w:t>
      </w:r>
      <w:r>
        <w:rPr>
          <w:sz w:val="24"/>
        </w:rPr>
        <w:t>look</w:t>
      </w:r>
      <w:r>
        <w:rPr>
          <w:spacing w:val="-13"/>
          <w:sz w:val="24"/>
        </w:rPr>
        <w:t> </w:t>
      </w:r>
      <w:r>
        <w:rPr>
          <w:sz w:val="24"/>
        </w:rPr>
        <w:t>forward</w:t>
      </w:r>
      <w:r>
        <w:rPr>
          <w:spacing w:val="-14"/>
          <w:sz w:val="24"/>
        </w:rPr>
        <w:t> </w:t>
      </w:r>
      <w:r>
        <w:rPr>
          <w:sz w:val="24"/>
        </w:rPr>
        <w:t>to</w:t>
      </w:r>
      <w:r>
        <w:rPr>
          <w:spacing w:val="-11"/>
          <w:sz w:val="24"/>
        </w:rPr>
        <w:t> </w:t>
      </w:r>
      <w:r>
        <w:rPr>
          <w:sz w:val="24"/>
        </w:rPr>
        <w:t>continuing</w:t>
      </w:r>
      <w:r>
        <w:rPr>
          <w:spacing w:val="-13"/>
          <w:sz w:val="24"/>
        </w:rPr>
        <w:t> </w:t>
      </w:r>
      <w:r>
        <w:rPr>
          <w:sz w:val="24"/>
        </w:rPr>
        <w:t>the</w:t>
      </w:r>
      <w:r>
        <w:rPr>
          <w:spacing w:val="-14"/>
          <w:sz w:val="24"/>
        </w:rPr>
        <w:t> </w:t>
      </w:r>
      <w:r>
        <w:rPr>
          <w:sz w:val="24"/>
        </w:rPr>
        <w:t>analysis</w:t>
      </w:r>
      <w:r>
        <w:rPr>
          <w:spacing w:val="-13"/>
          <w:sz w:val="24"/>
        </w:rPr>
        <w:t> </w:t>
      </w:r>
      <w:r>
        <w:rPr>
          <w:sz w:val="24"/>
        </w:rPr>
        <w:t>and</w:t>
      </w:r>
      <w:r>
        <w:rPr>
          <w:spacing w:val="-11"/>
          <w:sz w:val="24"/>
        </w:rPr>
        <w:t> </w:t>
      </w:r>
      <w:r>
        <w:rPr>
          <w:sz w:val="24"/>
        </w:rPr>
        <w:t>discussions</w:t>
      </w:r>
      <w:r>
        <w:rPr>
          <w:spacing w:val="-13"/>
          <w:sz w:val="24"/>
        </w:rPr>
        <w:t> </w:t>
      </w:r>
      <w:r>
        <w:rPr>
          <w:sz w:val="24"/>
        </w:rPr>
        <w:t>with the</w:t>
      </w:r>
      <w:r>
        <w:rPr>
          <w:spacing w:val="-16"/>
          <w:sz w:val="24"/>
        </w:rPr>
        <w:t> </w:t>
      </w:r>
      <w:r>
        <w:rPr>
          <w:sz w:val="24"/>
        </w:rPr>
        <w:t>HHS</w:t>
      </w:r>
      <w:r>
        <w:rPr>
          <w:spacing w:val="-15"/>
          <w:sz w:val="24"/>
        </w:rPr>
        <w:t> </w:t>
      </w:r>
      <w:r>
        <w:rPr>
          <w:sz w:val="24"/>
        </w:rPr>
        <w:t>and</w:t>
      </w:r>
      <w:r>
        <w:rPr>
          <w:spacing w:val="-16"/>
          <w:sz w:val="24"/>
        </w:rPr>
        <w:t> </w:t>
      </w:r>
      <w:r>
        <w:rPr>
          <w:sz w:val="24"/>
        </w:rPr>
        <w:t>CMS</w:t>
      </w:r>
      <w:r>
        <w:rPr>
          <w:spacing w:val="-15"/>
          <w:sz w:val="24"/>
        </w:rPr>
        <w:t> </w:t>
      </w:r>
      <w:r>
        <w:rPr>
          <w:sz w:val="24"/>
        </w:rPr>
        <w:t>leadership</w:t>
      </w:r>
      <w:r>
        <w:rPr>
          <w:spacing w:val="-15"/>
          <w:sz w:val="24"/>
        </w:rPr>
        <w:t> </w:t>
      </w:r>
      <w:r>
        <w:rPr>
          <w:sz w:val="24"/>
        </w:rPr>
        <w:t>as</w:t>
      </w:r>
      <w:r>
        <w:rPr>
          <w:spacing w:val="-16"/>
          <w:sz w:val="24"/>
        </w:rPr>
        <w:t> </w:t>
      </w:r>
      <w:r>
        <w:rPr>
          <w:sz w:val="24"/>
        </w:rPr>
        <w:t>we</w:t>
      </w:r>
      <w:r>
        <w:rPr>
          <w:spacing w:val="-17"/>
          <w:sz w:val="24"/>
        </w:rPr>
        <w:t> </w:t>
      </w:r>
      <w:r>
        <w:rPr>
          <w:sz w:val="24"/>
        </w:rPr>
        <w:t>develop</w:t>
      </w:r>
      <w:r>
        <w:rPr>
          <w:spacing w:val="-15"/>
          <w:sz w:val="24"/>
        </w:rPr>
        <w:t> </w:t>
      </w:r>
      <w:r>
        <w:rPr>
          <w:sz w:val="24"/>
        </w:rPr>
        <w:t>a</w:t>
      </w:r>
      <w:r>
        <w:rPr>
          <w:spacing w:val="-17"/>
          <w:sz w:val="24"/>
        </w:rPr>
        <w:t> </w:t>
      </w:r>
      <w:r>
        <w:rPr>
          <w:sz w:val="24"/>
        </w:rPr>
        <w:t>more</w:t>
      </w:r>
      <w:r>
        <w:rPr>
          <w:spacing w:val="-17"/>
          <w:sz w:val="24"/>
        </w:rPr>
        <w:t> </w:t>
      </w:r>
      <w:r>
        <w:rPr>
          <w:sz w:val="24"/>
        </w:rPr>
        <w:t>permanent</w:t>
      </w:r>
      <w:r>
        <w:rPr>
          <w:spacing w:val="-15"/>
          <w:sz w:val="24"/>
        </w:rPr>
        <w:t> </w:t>
      </w:r>
      <w:r>
        <w:rPr>
          <w:sz w:val="24"/>
        </w:rPr>
        <w:t>solution</w:t>
      </w:r>
      <w:r>
        <w:rPr>
          <w:spacing w:val="-15"/>
          <w:sz w:val="24"/>
        </w:rPr>
        <w:t> </w:t>
      </w:r>
      <w:r>
        <w:rPr>
          <w:sz w:val="24"/>
        </w:rPr>
        <w:t>for</w:t>
      </w:r>
      <w:r>
        <w:rPr>
          <w:spacing w:val="-17"/>
          <w:sz w:val="24"/>
        </w:rPr>
        <w:t> </w:t>
      </w:r>
      <w:r>
        <w:rPr>
          <w:sz w:val="24"/>
        </w:rPr>
        <w:t>the</w:t>
      </w:r>
      <w:r>
        <w:rPr>
          <w:spacing w:val="-16"/>
          <w:sz w:val="24"/>
        </w:rPr>
        <w:t> </w:t>
      </w:r>
      <w:r>
        <w:rPr>
          <w:sz w:val="24"/>
        </w:rPr>
        <w:t>worsening</w:t>
      </w:r>
      <w:r>
        <w:rPr>
          <w:spacing w:val="-18"/>
          <w:sz w:val="24"/>
        </w:rPr>
        <w:t> </w:t>
      </w:r>
      <w:r>
        <w:rPr>
          <w:sz w:val="24"/>
        </w:rPr>
        <w:t>disparities.</w:t>
      </w:r>
    </w:p>
    <w:p>
      <w:pPr>
        <w:pStyle w:val="BodyText"/>
        <w:spacing w:before="9"/>
        <w:rPr>
          <w:sz w:val="20"/>
        </w:rPr>
      </w:pPr>
    </w:p>
    <w:p>
      <w:pPr>
        <w:pStyle w:val="BodyText"/>
        <w:ind w:left="100" w:firstLine="719"/>
      </w:pPr>
      <w:r>
        <w:rPr/>
        <w:t>In defining the policy solution to be included in the 2019 Advance Notice, CMS should consider:</w:t>
      </w:r>
    </w:p>
    <w:p>
      <w:pPr>
        <w:pStyle w:val="ListParagraph"/>
        <w:numPr>
          <w:ilvl w:val="0"/>
          <w:numId w:val="3"/>
        </w:numPr>
        <w:tabs>
          <w:tab w:pos="1541" w:val="left" w:leader="none"/>
        </w:tabs>
        <w:spacing w:line="240" w:lineRule="auto" w:before="0" w:after="0"/>
        <w:ind w:left="1540" w:right="114" w:hanging="360"/>
        <w:jc w:val="both"/>
        <w:rPr>
          <w:sz w:val="24"/>
        </w:rPr>
      </w:pPr>
      <w:r>
        <w:rPr>
          <w:sz w:val="24"/>
        </w:rPr>
        <w:t>The MA program has become the backbone of the system in Puerto Rico, supported by beneficiary choice, a functioning competitive market, and formal administrative and FWA</w:t>
      </w:r>
      <w:r>
        <w:rPr>
          <w:spacing w:val="-5"/>
          <w:sz w:val="24"/>
        </w:rPr>
        <w:t> </w:t>
      </w:r>
      <w:r>
        <w:rPr>
          <w:sz w:val="24"/>
        </w:rPr>
        <w:t>structures.</w:t>
      </w:r>
    </w:p>
    <w:p>
      <w:pPr>
        <w:pStyle w:val="BodyText"/>
      </w:pPr>
    </w:p>
    <w:p>
      <w:pPr>
        <w:pStyle w:val="ListParagraph"/>
        <w:numPr>
          <w:ilvl w:val="0"/>
          <w:numId w:val="3"/>
        </w:numPr>
        <w:tabs>
          <w:tab w:pos="1541" w:val="left" w:leader="none"/>
        </w:tabs>
        <w:spacing w:line="240" w:lineRule="auto" w:before="0" w:after="0"/>
        <w:ind w:left="1540" w:right="120" w:hanging="360"/>
        <w:jc w:val="both"/>
        <w:rPr>
          <w:sz w:val="24"/>
        </w:rPr>
      </w:pPr>
      <w:r>
        <w:rPr>
          <w:sz w:val="24"/>
        </w:rPr>
        <w:t>The MA plans in Puerto Rico have done more with less, with 97% of the members being served by 4 STARs</w:t>
      </w:r>
      <w:r>
        <w:rPr>
          <w:spacing w:val="-6"/>
          <w:sz w:val="24"/>
        </w:rPr>
        <w:t> </w:t>
      </w:r>
      <w:r>
        <w:rPr>
          <w:sz w:val="24"/>
        </w:rPr>
        <w:t>plans.</w:t>
      </w:r>
    </w:p>
    <w:p>
      <w:pPr>
        <w:pStyle w:val="BodyText"/>
      </w:pPr>
    </w:p>
    <w:p>
      <w:pPr>
        <w:pStyle w:val="ListParagraph"/>
        <w:numPr>
          <w:ilvl w:val="0"/>
          <w:numId w:val="3"/>
        </w:numPr>
        <w:tabs>
          <w:tab w:pos="1541" w:val="left" w:leader="none"/>
        </w:tabs>
        <w:spacing w:line="240" w:lineRule="auto" w:before="0" w:after="0"/>
        <w:ind w:left="1540" w:right="116" w:hanging="360"/>
        <w:jc w:val="both"/>
        <w:rPr>
          <w:sz w:val="24"/>
        </w:rPr>
      </w:pPr>
      <w:r>
        <w:rPr>
          <w:sz w:val="24"/>
        </w:rPr>
        <w:t>Time matters, this is a unique opportunity to address historic anomalies, and the devastating impacts of the ACA one-size fits all formula, exacerbated by the recent natural</w:t>
      </w:r>
      <w:r>
        <w:rPr>
          <w:spacing w:val="-6"/>
          <w:sz w:val="24"/>
        </w:rPr>
        <w:t> </w:t>
      </w:r>
      <w:r>
        <w:rPr>
          <w:sz w:val="24"/>
        </w:rPr>
        <w:t>disaster.</w:t>
      </w:r>
    </w:p>
    <w:p>
      <w:pPr>
        <w:pStyle w:val="BodyText"/>
        <w:spacing w:before="11"/>
        <w:rPr>
          <w:sz w:val="23"/>
        </w:rPr>
      </w:pPr>
    </w:p>
    <w:p>
      <w:pPr>
        <w:pStyle w:val="ListParagraph"/>
        <w:numPr>
          <w:ilvl w:val="0"/>
          <w:numId w:val="3"/>
        </w:numPr>
        <w:tabs>
          <w:tab w:pos="1541" w:val="left" w:leader="none"/>
        </w:tabs>
        <w:spacing w:line="240" w:lineRule="auto" w:before="0" w:after="0"/>
        <w:ind w:left="1540" w:right="115" w:hanging="360"/>
        <w:jc w:val="both"/>
        <w:rPr>
          <w:sz w:val="24"/>
        </w:rPr>
      </w:pPr>
      <w:r>
        <w:rPr>
          <w:sz w:val="24"/>
        </w:rPr>
        <w:t>This</w:t>
      </w:r>
      <w:r>
        <w:rPr>
          <w:spacing w:val="-6"/>
          <w:sz w:val="24"/>
        </w:rPr>
        <w:t> </w:t>
      </w:r>
      <w:r>
        <w:rPr>
          <w:sz w:val="24"/>
        </w:rPr>
        <w:t>is</w:t>
      </w:r>
      <w:r>
        <w:rPr>
          <w:spacing w:val="-6"/>
          <w:sz w:val="24"/>
        </w:rPr>
        <w:t> </w:t>
      </w:r>
      <w:r>
        <w:rPr>
          <w:sz w:val="24"/>
        </w:rPr>
        <w:t>beyond</w:t>
      </w:r>
      <w:r>
        <w:rPr>
          <w:spacing w:val="-6"/>
          <w:sz w:val="24"/>
        </w:rPr>
        <w:t> </w:t>
      </w:r>
      <w:r>
        <w:rPr>
          <w:sz w:val="24"/>
        </w:rPr>
        <w:t>policy</w:t>
      </w:r>
      <w:r>
        <w:rPr>
          <w:spacing w:val="-11"/>
          <w:sz w:val="24"/>
        </w:rPr>
        <w:t> </w:t>
      </w:r>
      <w:r>
        <w:rPr>
          <w:sz w:val="24"/>
        </w:rPr>
        <w:t>or</w:t>
      </w:r>
      <w:r>
        <w:rPr>
          <w:spacing w:val="-7"/>
          <w:sz w:val="24"/>
        </w:rPr>
        <w:t> </w:t>
      </w:r>
      <w:r>
        <w:rPr>
          <w:sz w:val="24"/>
        </w:rPr>
        <w:t>technical,</w:t>
      </w:r>
      <w:r>
        <w:rPr>
          <w:spacing w:val="-6"/>
          <w:sz w:val="24"/>
        </w:rPr>
        <w:t> </w:t>
      </w:r>
      <w:r>
        <w:rPr>
          <w:sz w:val="24"/>
        </w:rPr>
        <w:t>it</w:t>
      </w:r>
      <w:r>
        <w:rPr>
          <w:spacing w:val="-5"/>
          <w:sz w:val="24"/>
        </w:rPr>
        <w:t> </w:t>
      </w:r>
      <w:r>
        <w:rPr>
          <w:sz w:val="24"/>
        </w:rPr>
        <w:t>is</w:t>
      </w:r>
      <w:r>
        <w:rPr>
          <w:spacing w:val="-6"/>
          <w:sz w:val="24"/>
        </w:rPr>
        <w:t> </w:t>
      </w:r>
      <w:r>
        <w:rPr>
          <w:sz w:val="24"/>
        </w:rPr>
        <w:t>about</w:t>
      </w:r>
      <w:r>
        <w:rPr>
          <w:spacing w:val="-6"/>
          <w:sz w:val="24"/>
        </w:rPr>
        <w:t> </w:t>
      </w:r>
      <w:r>
        <w:rPr>
          <w:sz w:val="24"/>
        </w:rPr>
        <w:t>Medicate</w:t>
      </w:r>
      <w:r>
        <w:rPr>
          <w:spacing w:val="-7"/>
          <w:sz w:val="24"/>
        </w:rPr>
        <w:t> </w:t>
      </w:r>
      <w:r>
        <w:rPr>
          <w:sz w:val="24"/>
        </w:rPr>
        <w:t>Tax-paying</w:t>
      </w:r>
      <w:r>
        <w:rPr>
          <w:spacing w:val="-9"/>
          <w:sz w:val="24"/>
        </w:rPr>
        <w:t> </w:t>
      </w:r>
      <w:r>
        <w:rPr>
          <w:sz w:val="24"/>
        </w:rPr>
        <w:t>citizens</w:t>
      </w:r>
      <w:r>
        <w:rPr>
          <w:spacing w:val="-6"/>
          <w:sz w:val="24"/>
        </w:rPr>
        <w:t> </w:t>
      </w:r>
      <w:r>
        <w:rPr>
          <w:sz w:val="24"/>
        </w:rPr>
        <w:t>in</w:t>
      </w:r>
      <w:r>
        <w:rPr>
          <w:spacing w:val="-6"/>
          <w:sz w:val="24"/>
        </w:rPr>
        <w:t> </w:t>
      </w:r>
      <w:r>
        <w:rPr>
          <w:sz w:val="24"/>
        </w:rPr>
        <w:t>Puerto Rico that have fallen into a never-ending spiral to the bottom unintended by the</w:t>
      </w:r>
      <w:r>
        <w:rPr>
          <w:spacing w:val="-12"/>
          <w:sz w:val="24"/>
        </w:rPr>
        <w:t> </w:t>
      </w:r>
      <w:r>
        <w:rPr>
          <w:sz w:val="24"/>
        </w:rPr>
        <w:t>law.</w:t>
      </w:r>
    </w:p>
    <w:p>
      <w:pPr>
        <w:pStyle w:val="BodyText"/>
        <w:spacing w:before="11"/>
        <w:rPr>
          <w:sz w:val="23"/>
        </w:rPr>
      </w:pPr>
    </w:p>
    <w:p>
      <w:pPr>
        <w:pStyle w:val="ListParagraph"/>
        <w:numPr>
          <w:ilvl w:val="0"/>
          <w:numId w:val="3"/>
        </w:numPr>
        <w:tabs>
          <w:tab w:pos="1541" w:val="left" w:leader="none"/>
        </w:tabs>
        <w:spacing w:line="240" w:lineRule="auto" w:before="0" w:after="0"/>
        <w:ind w:left="1540" w:right="117" w:hanging="360"/>
        <w:jc w:val="both"/>
        <w:rPr>
          <w:sz w:val="24"/>
        </w:rPr>
      </w:pPr>
      <w:r>
        <w:rPr>
          <w:sz w:val="24"/>
        </w:rPr>
        <w:t>Anomalies created by higher MA penetration can be addressed in Puerto Rico, as a test of what may happen in other areas in the near</w:t>
      </w:r>
      <w:r>
        <w:rPr>
          <w:spacing w:val="-8"/>
          <w:sz w:val="24"/>
        </w:rPr>
        <w:t> </w:t>
      </w:r>
      <w:r>
        <w:rPr>
          <w:sz w:val="24"/>
        </w:rPr>
        <w:t>future.</w:t>
      </w:r>
    </w:p>
    <w:p>
      <w:pPr>
        <w:pStyle w:val="BodyText"/>
        <w:spacing w:before="11"/>
        <w:rPr>
          <w:sz w:val="23"/>
        </w:rPr>
      </w:pPr>
    </w:p>
    <w:p>
      <w:pPr>
        <w:pStyle w:val="BodyText"/>
        <w:ind w:left="100" w:right="114"/>
        <w:jc w:val="both"/>
      </w:pPr>
      <w:r>
        <w:rPr/>
        <w:t>Lastly, the Federal government will inevitably spend more if members are treated in the states compared to a fixed MA program in Puerto Rico. A very conservative estimated migration of 100,000</w:t>
      </w:r>
      <w:r>
        <w:rPr>
          <w:spacing w:val="-14"/>
        </w:rPr>
        <w:t> </w:t>
      </w:r>
      <w:r>
        <w:rPr/>
        <w:t>Medicare</w:t>
      </w:r>
      <w:r>
        <w:rPr>
          <w:spacing w:val="-13"/>
        </w:rPr>
        <w:t> </w:t>
      </w:r>
      <w:r>
        <w:rPr/>
        <w:t>beneficiaries</w:t>
      </w:r>
      <w:r>
        <w:rPr>
          <w:spacing w:val="-12"/>
        </w:rPr>
        <w:t> </w:t>
      </w:r>
      <w:r>
        <w:rPr/>
        <w:t>to</w:t>
      </w:r>
      <w:r>
        <w:rPr>
          <w:spacing w:val="-11"/>
        </w:rPr>
        <w:t> </w:t>
      </w:r>
      <w:r>
        <w:rPr/>
        <w:t>the</w:t>
      </w:r>
      <w:r>
        <w:rPr>
          <w:spacing w:val="-14"/>
        </w:rPr>
        <w:t> </w:t>
      </w:r>
      <w:r>
        <w:rPr/>
        <w:t>mainland</w:t>
      </w:r>
      <w:r>
        <w:rPr>
          <w:spacing w:val="-13"/>
        </w:rPr>
        <w:t> </w:t>
      </w:r>
      <w:r>
        <w:rPr/>
        <w:t>US</w:t>
      </w:r>
      <w:r>
        <w:rPr>
          <w:spacing w:val="-13"/>
        </w:rPr>
        <w:t> </w:t>
      </w:r>
      <w:r>
        <w:rPr/>
        <w:t>will</w:t>
      </w:r>
      <w:r>
        <w:rPr>
          <w:spacing w:val="-13"/>
        </w:rPr>
        <w:t> </w:t>
      </w:r>
      <w:r>
        <w:rPr/>
        <w:t>cost</w:t>
      </w:r>
      <w:r>
        <w:rPr>
          <w:spacing w:val="-13"/>
        </w:rPr>
        <w:t> </w:t>
      </w:r>
      <w:r>
        <w:rPr/>
        <w:t>the</w:t>
      </w:r>
      <w:r>
        <w:rPr>
          <w:spacing w:val="-12"/>
        </w:rPr>
        <w:t> </w:t>
      </w:r>
      <w:r>
        <w:rPr/>
        <w:t>Federal</w:t>
      </w:r>
      <w:r>
        <w:rPr>
          <w:spacing w:val="-11"/>
        </w:rPr>
        <w:t> </w:t>
      </w:r>
      <w:r>
        <w:rPr/>
        <w:t>Government</w:t>
      </w:r>
      <w:r>
        <w:rPr>
          <w:spacing w:val="-7"/>
        </w:rPr>
        <w:t> </w:t>
      </w:r>
      <w:r>
        <w:rPr/>
        <w:t>approximately</w:t>
      </w:r>
    </w:p>
    <w:p>
      <w:pPr>
        <w:pStyle w:val="BodyText"/>
        <w:ind w:left="100" w:right="113"/>
        <w:jc w:val="both"/>
      </w:pPr>
      <w:r>
        <w:rPr>
          <w:b/>
        </w:rPr>
        <w:t>$2.8</w:t>
      </w:r>
      <w:r>
        <w:rPr>
          <w:b/>
          <w:spacing w:val="-14"/>
        </w:rPr>
        <w:t> </w:t>
      </w:r>
      <w:r>
        <w:rPr/>
        <w:t>billion</w:t>
      </w:r>
      <w:r>
        <w:rPr>
          <w:spacing w:val="-16"/>
        </w:rPr>
        <w:t> </w:t>
      </w:r>
      <w:r>
        <w:rPr/>
        <w:t>a</w:t>
      </w:r>
      <w:r>
        <w:rPr>
          <w:spacing w:val="-13"/>
        </w:rPr>
        <w:t> </w:t>
      </w:r>
      <w:r>
        <w:rPr/>
        <w:t>year</w:t>
      </w:r>
      <w:r>
        <w:rPr>
          <w:spacing w:val="-15"/>
        </w:rPr>
        <w:t> </w:t>
      </w:r>
      <w:r>
        <w:rPr/>
        <w:t>in</w:t>
      </w:r>
      <w:r>
        <w:rPr>
          <w:spacing w:val="-14"/>
        </w:rPr>
        <w:t> </w:t>
      </w:r>
      <w:r>
        <w:rPr/>
        <w:t>excess</w:t>
      </w:r>
      <w:r>
        <w:rPr>
          <w:spacing w:val="-14"/>
        </w:rPr>
        <w:t> </w:t>
      </w:r>
      <w:r>
        <w:rPr/>
        <w:t>of</w:t>
      </w:r>
      <w:r>
        <w:rPr>
          <w:spacing w:val="-15"/>
        </w:rPr>
        <w:t> </w:t>
      </w:r>
      <w:r>
        <w:rPr/>
        <w:t>current</w:t>
      </w:r>
      <w:r>
        <w:rPr>
          <w:spacing w:val="-14"/>
        </w:rPr>
        <w:t> </w:t>
      </w:r>
      <w:r>
        <w:rPr/>
        <w:t>run</w:t>
      </w:r>
      <w:r>
        <w:rPr>
          <w:spacing w:val="-15"/>
        </w:rPr>
        <w:t> </w:t>
      </w:r>
      <w:r>
        <w:rPr/>
        <w:t>rates</w:t>
      </w:r>
      <w:r>
        <w:rPr>
          <w:spacing w:val="-15"/>
        </w:rPr>
        <w:t> </w:t>
      </w:r>
      <w:r>
        <w:rPr/>
        <w:t>for</w:t>
      </w:r>
      <w:r>
        <w:rPr>
          <w:spacing w:val="-16"/>
        </w:rPr>
        <w:t> </w:t>
      </w:r>
      <w:r>
        <w:rPr/>
        <w:t>these</w:t>
      </w:r>
      <w:r>
        <w:rPr>
          <w:spacing w:val="-16"/>
        </w:rPr>
        <w:t> </w:t>
      </w:r>
      <w:r>
        <w:rPr/>
        <w:t>members</w:t>
      </w:r>
      <w:r>
        <w:rPr>
          <w:spacing w:val="-13"/>
        </w:rPr>
        <w:t> </w:t>
      </w:r>
      <w:r>
        <w:rPr/>
        <w:t>now</w:t>
      </w:r>
      <w:r>
        <w:rPr>
          <w:spacing w:val="-15"/>
        </w:rPr>
        <w:t> </w:t>
      </w:r>
      <w:r>
        <w:rPr/>
        <w:t>served</w:t>
      </w:r>
      <w:r>
        <w:rPr>
          <w:spacing w:val="-14"/>
        </w:rPr>
        <w:t> </w:t>
      </w:r>
      <w:r>
        <w:rPr/>
        <w:t>in</w:t>
      </w:r>
      <w:r>
        <w:rPr>
          <w:spacing w:val="-16"/>
        </w:rPr>
        <w:t> </w:t>
      </w:r>
      <w:r>
        <w:rPr/>
        <w:t>Puerto</w:t>
      </w:r>
      <w:r>
        <w:rPr>
          <w:spacing w:val="-15"/>
        </w:rPr>
        <w:t> </w:t>
      </w:r>
      <w:r>
        <w:rPr/>
        <w:t>Rico;</w:t>
      </w:r>
      <w:r>
        <w:rPr>
          <w:spacing w:val="-14"/>
        </w:rPr>
        <w:t> </w:t>
      </w:r>
      <w:r>
        <w:rPr/>
        <w:t>should Puerto Rico receive a proxy based on the USVI benchmark rates, this amount will still be a </w:t>
      </w:r>
      <w:r>
        <w:rPr>
          <w:b/>
        </w:rPr>
        <w:t>$1.1 </w:t>
      </w:r>
      <w:r>
        <w:rPr/>
        <w:t>billion savings to the United States. An MA proxy is the most cost-effective solution to the Puerto health care</w:t>
      </w:r>
      <w:r>
        <w:rPr>
          <w:spacing w:val="-3"/>
        </w:rPr>
        <w:t> </w:t>
      </w:r>
      <w:r>
        <w:rPr/>
        <w:t>crisis.</w:t>
      </w:r>
    </w:p>
    <w:p>
      <w:pPr>
        <w:pStyle w:val="BodyText"/>
      </w:pPr>
    </w:p>
    <w:p>
      <w:pPr>
        <w:pStyle w:val="BodyText"/>
        <w:ind w:left="100" w:right="116"/>
        <w:jc w:val="both"/>
      </w:pPr>
      <w:r>
        <w:rPr/>
        <w:t>Please save Puerto Rico in Puerto Rico with administrative solutions in the 2019 Call Letter. Through</w:t>
      </w:r>
      <w:r>
        <w:rPr>
          <w:spacing w:val="-9"/>
        </w:rPr>
        <w:t> </w:t>
      </w:r>
      <w:r>
        <w:rPr/>
        <w:t>this</w:t>
      </w:r>
      <w:r>
        <w:rPr>
          <w:spacing w:val="-11"/>
        </w:rPr>
        <w:t> </w:t>
      </w:r>
      <w:r>
        <w:rPr/>
        <w:t>relief,</w:t>
      </w:r>
      <w:r>
        <w:rPr>
          <w:spacing w:val="-12"/>
        </w:rPr>
        <w:t> </w:t>
      </w:r>
      <w:r>
        <w:rPr/>
        <w:t>Puerto</w:t>
      </w:r>
      <w:r>
        <w:rPr>
          <w:spacing w:val="-11"/>
        </w:rPr>
        <w:t> </w:t>
      </w:r>
      <w:r>
        <w:rPr/>
        <w:t>Rico</w:t>
      </w:r>
      <w:r>
        <w:rPr>
          <w:spacing w:val="-12"/>
        </w:rPr>
        <w:t> </w:t>
      </w:r>
      <w:r>
        <w:rPr/>
        <w:t>can</w:t>
      </w:r>
      <w:r>
        <w:rPr>
          <w:spacing w:val="-11"/>
        </w:rPr>
        <w:t> </w:t>
      </w:r>
      <w:r>
        <w:rPr/>
        <w:t>rebuild</w:t>
      </w:r>
      <w:r>
        <w:rPr>
          <w:spacing w:val="-11"/>
        </w:rPr>
        <w:t> </w:t>
      </w:r>
      <w:r>
        <w:rPr/>
        <w:t>its</w:t>
      </w:r>
      <w:r>
        <w:rPr>
          <w:spacing w:val="-11"/>
        </w:rPr>
        <w:t> </w:t>
      </w:r>
      <w:r>
        <w:rPr/>
        <w:t>health</w:t>
      </w:r>
      <w:r>
        <w:rPr>
          <w:spacing w:val="-11"/>
        </w:rPr>
        <w:t> </w:t>
      </w:r>
      <w:r>
        <w:rPr/>
        <w:t>care</w:t>
      </w:r>
      <w:r>
        <w:rPr>
          <w:spacing w:val="-12"/>
        </w:rPr>
        <w:t> </w:t>
      </w:r>
      <w:r>
        <w:rPr/>
        <w:t>system</w:t>
      </w:r>
      <w:r>
        <w:rPr>
          <w:spacing w:val="-11"/>
        </w:rPr>
        <w:t> </w:t>
      </w:r>
      <w:r>
        <w:rPr/>
        <w:t>better</w:t>
      </w:r>
      <w:r>
        <w:rPr>
          <w:spacing w:val="-12"/>
        </w:rPr>
        <w:t> </w:t>
      </w:r>
      <w:r>
        <w:rPr/>
        <w:t>than</w:t>
      </w:r>
      <w:r>
        <w:rPr>
          <w:spacing w:val="-11"/>
        </w:rPr>
        <w:t> </w:t>
      </w:r>
      <w:r>
        <w:rPr/>
        <w:t>it</w:t>
      </w:r>
      <w:r>
        <w:rPr>
          <w:spacing w:val="-10"/>
        </w:rPr>
        <w:t> </w:t>
      </w:r>
      <w:r>
        <w:rPr/>
        <w:t>has</w:t>
      </w:r>
      <w:r>
        <w:rPr>
          <w:spacing w:val="-8"/>
        </w:rPr>
        <w:t> </w:t>
      </w:r>
      <w:r>
        <w:rPr/>
        <w:t>ever</w:t>
      </w:r>
      <w:r>
        <w:rPr>
          <w:spacing w:val="-10"/>
        </w:rPr>
        <w:t> </w:t>
      </w:r>
      <w:r>
        <w:rPr/>
        <w:t>been</w:t>
      </w:r>
      <w:r>
        <w:rPr>
          <w:spacing w:val="-11"/>
        </w:rPr>
        <w:t> </w:t>
      </w:r>
      <w:r>
        <w:rPr/>
        <w:t>before, retain</w:t>
      </w:r>
      <w:r>
        <w:rPr>
          <w:spacing w:val="-16"/>
        </w:rPr>
        <w:t> </w:t>
      </w:r>
      <w:r>
        <w:rPr/>
        <w:t>its</w:t>
      </w:r>
      <w:r>
        <w:rPr>
          <w:spacing w:val="-16"/>
        </w:rPr>
        <w:t> </w:t>
      </w:r>
      <w:r>
        <w:rPr/>
        <w:t>doctors,</w:t>
      </w:r>
      <w:r>
        <w:rPr>
          <w:spacing w:val="-16"/>
        </w:rPr>
        <w:t> </w:t>
      </w:r>
      <w:r>
        <w:rPr/>
        <w:t>its</w:t>
      </w:r>
      <w:r>
        <w:rPr>
          <w:spacing w:val="-16"/>
        </w:rPr>
        <w:t> </w:t>
      </w:r>
      <w:r>
        <w:rPr/>
        <w:t>membership</w:t>
      </w:r>
      <w:r>
        <w:rPr>
          <w:spacing w:val="-15"/>
        </w:rPr>
        <w:t> </w:t>
      </w:r>
      <w:r>
        <w:rPr/>
        <w:t>–</w:t>
      </w:r>
      <w:r>
        <w:rPr>
          <w:spacing w:val="-16"/>
        </w:rPr>
        <w:t> </w:t>
      </w:r>
      <w:r>
        <w:rPr/>
        <w:t>their</w:t>
      </w:r>
      <w:r>
        <w:rPr>
          <w:spacing w:val="-17"/>
        </w:rPr>
        <w:t> </w:t>
      </w:r>
      <w:r>
        <w:rPr/>
        <w:t>families</w:t>
      </w:r>
      <w:r>
        <w:rPr>
          <w:spacing w:val="-16"/>
        </w:rPr>
        <w:t> </w:t>
      </w:r>
      <w:r>
        <w:rPr/>
        <w:t>and</w:t>
      </w:r>
      <w:r>
        <w:rPr>
          <w:spacing w:val="-16"/>
        </w:rPr>
        <w:t> </w:t>
      </w:r>
      <w:r>
        <w:rPr/>
        <w:t>caretakers</w:t>
      </w:r>
      <w:r>
        <w:rPr>
          <w:spacing w:val="-16"/>
        </w:rPr>
        <w:t> </w:t>
      </w:r>
      <w:r>
        <w:rPr/>
        <w:t>–</w:t>
      </w:r>
      <w:r>
        <w:rPr>
          <w:spacing w:val="-13"/>
        </w:rPr>
        <w:t> </w:t>
      </w:r>
      <w:r>
        <w:rPr/>
        <w:t>and</w:t>
      </w:r>
      <w:r>
        <w:rPr>
          <w:spacing w:val="-16"/>
        </w:rPr>
        <w:t> </w:t>
      </w:r>
      <w:r>
        <w:rPr/>
        <w:t>provide</w:t>
      </w:r>
      <w:r>
        <w:rPr>
          <w:spacing w:val="-17"/>
        </w:rPr>
        <w:t> </w:t>
      </w:r>
      <w:r>
        <w:rPr/>
        <w:t>the</w:t>
      </w:r>
      <w:r>
        <w:rPr>
          <w:spacing w:val="-16"/>
        </w:rPr>
        <w:t> </w:t>
      </w:r>
      <w:r>
        <w:rPr/>
        <w:t>solid</w:t>
      </w:r>
      <w:r>
        <w:rPr>
          <w:spacing w:val="-16"/>
        </w:rPr>
        <w:t> </w:t>
      </w:r>
      <w:r>
        <w:rPr/>
        <w:t>infrastructure necessary to support the continued economic recovery of Puerto Rico. Barring this immediate solution,</w:t>
      </w:r>
      <w:r>
        <w:rPr>
          <w:spacing w:val="-7"/>
        </w:rPr>
        <w:t> </w:t>
      </w:r>
      <w:r>
        <w:rPr/>
        <w:t>Puerto</w:t>
      </w:r>
      <w:r>
        <w:rPr>
          <w:spacing w:val="-8"/>
        </w:rPr>
        <w:t> </w:t>
      </w:r>
      <w:r>
        <w:rPr/>
        <w:t>Rico’s</w:t>
      </w:r>
      <w:r>
        <w:rPr>
          <w:spacing w:val="-7"/>
        </w:rPr>
        <w:t> </w:t>
      </w:r>
      <w:r>
        <w:rPr/>
        <w:t>health</w:t>
      </w:r>
      <w:r>
        <w:rPr>
          <w:spacing w:val="-8"/>
        </w:rPr>
        <w:t> </w:t>
      </w:r>
      <w:r>
        <w:rPr/>
        <w:t>care</w:t>
      </w:r>
      <w:r>
        <w:rPr>
          <w:spacing w:val="-9"/>
        </w:rPr>
        <w:t> </w:t>
      </w:r>
      <w:r>
        <w:rPr/>
        <w:t>delivery</w:t>
      </w:r>
      <w:r>
        <w:rPr>
          <w:spacing w:val="-12"/>
        </w:rPr>
        <w:t> </w:t>
      </w:r>
      <w:r>
        <w:rPr/>
        <w:t>system</w:t>
      </w:r>
      <w:r>
        <w:rPr>
          <w:spacing w:val="-7"/>
        </w:rPr>
        <w:t> </w:t>
      </w:r>
      <w:r>
        <w:rPr/>
        <w:t>cannot</w:t>
      </w:r>
      <w:r>
        <w:rPr>
          <w:spacing w:val="-7"/>
        </w:rPr>
        <w:t> </w:t>
      </w:r>
      <w:r>
        <w:rPr/>
        <w:t>recover</w:t>
      </w:r>
      <w:r>
        <w:rPr>
          <w:spacing w:val="-8"/>
        </w:rPr>
        <w:t> </w:t>
      </w:r>
      <w:r>
        <w:rPr/>
        <w:t>to</w:t>
      </w:r>
      <w:r>
        <w:rPr>
          <w:spacing w:val="-7"/>
        </w:rPr>
        <w:t> </w:t>
      </w:r>
      <w:r>
        <w:rPr/>
        <w:t>the</w:t>
      </w:r>
      <w:r>
        <w:rPr>
          <w:spacing w:val="-6"/>
        </w:rPr>
        <w:t> </w:t>
      </w:r>
      <w:r>
        <w:rPr/>
        <w:t>extent</w:t>
      </w:r>
      <w:r>
        <w:rPr>
          <w:spacing w:val="-8"/>
        </w:rPr>
        <w:t> </w:t>
      </w:r>
      <w:r>
        <w:rPr/>
        <w:t>necessary</w:t>
      </w:r>
      <w:r>
        <w:rPr>
          <w:spacing w:val="-12"/>
        </w:rPr>
        <w:t> </w:t>
      </w:r>
      <w:r>
        <w:rPr/>
        <w:t>to</w:t>
      </w:r>
      <w:r>
        <w:rPr>
          <w:spacing w:val="-7"/>
        </w:rPr>
        <w:t> </w:t>
      </w:r>
      <w:r>
        <w:rPr/>
        <w:t>support economic recovery and growth.  Please</w:t>
      </w:r>
      <w:r>
        <w:rPr>
          <w:spacing w:val="-11"/>
        </w:rPr>
        <w:t> </w:t>
      </w:r>
      <w:r>
        <w:rPr/>
        <w:t>help.</w:t>
      </w:r>
    </w:p>
    <w:p>
      <w:pPr>
        <w:pStyle w:val="BodyText"/>
      </w:pPr>
    </w:p>
    <w:p>
      <w:pPr>
        <w:pStyle w:val="BodyText"/>
        <w:ind w:left="100"/>
        <w:jc w:val="both"/>
      </w:pPr>
      <w:r>
        <w:rPr/>
        <w:t>We stand ready to meet on these matters at your request.  Thank you.</w:t>
      </w:r>
    </w:p>
    <w:p>
      <w:pPr>
        <w:spacing w:after="0"/>
        <w:jc w:val="both"/>
        <w:sectPr>
          <w:pgSz w:w="12240" w:h="15840"/>
          <w:pgMar w:header="0" w:footer="1092" w:top="1360" w:bottom="1340" w:left="1340" w:right="1140"/>
        </w:sectPr>
      </w:pPr>
    </w:p>
    <w:p>
      <w:pPr>
        <w:pStyle w:val="BodyText"/>
        <w:spacing w:before="79"/>
        <w:ind w:left="300"/>
      </w:pPr>
      <w:r>
        <w:rPr/>
        <w:pict>
          <v:group style="position:absolute;margin-left:72pt;margin-top:43.523132pt;width:128.35pt;height:51.75pt;mso-position-horizontal-relative:page;mso-position-vertical-relative:paragraph;z-index:-26368" coordorigin="1440,870" coordsize="2567,1035">
            <v:shape style="position:absolute;left:1440;top:1167;width:2103;height:535" type="#_x0000_t75" stroked="false">
              <v:imagedata r:id="rId27" o:title=""/>
            </v:shape>
            <v:shape style="position:absolute;left:1440;top:870;width:2567;height:1035" type="#_x0000_t75" stroked="false">
              <v:imagedata r:id="rId28" o:title=""/>
            </v:shape>
            <w10:wrap type="none"/>
          </v:group>
        </w:pict>
      </w:r>
      <w:r>
        <w:rPr/>
        <w:drawing>
          <wp:anchor distT="0" distB="0" distL="0" distR="0" allowOverlap="1" layoutInCell="1" locked="0" behindDoc="1" simplePos="0" relativeHeight="268409111">
            <wp:simplePos x="0" y="0"/>
            <wp:positionH relativeFrom="page">
              <wp:posOffset>1104899</wp:posOffset>
            </wp:positionH>
            <wp:positionV relativeFrom="paragraph">
              <wp:posOffset>2075980</wp:posOffset>
            </wp:positionV>
            <wp:extent cx="1212662" cy="800100"/>
            <wp:effectExtent l="0" t="0" r="0" b="0"/>
            <wp:wrapNone/>
            <wp:docPr id="5" name="image17.png" descr=""/>
            <wp:cNvGraphicFramePr>
              <a:graphicFrameLocks noChangeAspect="1"/>
            </wp:cNvGraphicFramePr>
            <a:graphic>
              <a:graphicData uri="http://schemas.openxmlformats.org/drawingml/2006/picture">
                <pic:pic>
                  <pic:nvPicPr>
                    <pic:cNvPr id="6" name="image17.png"/>
                    <pic:cNvPicPr/>
                  </pic:nvPicPr>
                  <pic:blipFill>
                    <a:blip r:embed="rId29" cstate="print"/>
                    <a:stretch>
                      <a:fillRect/>
                    </a:stretch>
                  </pic:blipFill>
                  <pic:spPr>
                    <a:xfrm>
                      <a:off x="0" y="0"/>
                      <a:ext cx="1212662" cy="800100"/>
                    </a:xfrm>
                    <a:prstGeom prst="rect">
                      <a:avLst/>
                    </a:prstGeom>
                  </pic:spPr>
                </pic:pic>
              </a:graphicData>
            </a:graphic>
          </wp:anchor>
        </w:drawing>
      </w:r>
      <w:r>
        <w:rPr/>
        <w:t>Sincerely,</w:t>
      </w:r>
    </w:p>
    <w:p>
      <w:pPr>
        <w:pStyle w:val="BodyText"/>
        <w:rPr>
          <w:sz w:val="20"/>
        </w:rPr>
      </w:pPr>
    </w:p>
    <w:p>
      <w:pPr>
        <w:pStyle w:val="BodyText"/>
        <w:rPr>
          <w:sz w:val="20"/>
        </w:rPr>
      </w:pPr>
    </w:p>
    <w:p>
      <w:pPr>
        <w:pStyle w:val="BodyText"/>
        <w:rPr>
          <w:sz w:val="20"/>
        </w:rPr>
      </w:pPr>
    </w:p>
    <w:p>
      <w:pPr>
        <w:pStyle w:val="BodyText"/>
        <w:spacing w:before="9"/>
        <w:rPr>
          <w:sz w:val="1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69"/>
        <w:gridCol w:w="5128"/>
      </w:tblGrid>
      <w:tr>
        <w:trPr>
          <w:trHeight w:val="4260" w:hRule="exact"/>
        </w:trPr>
        <w:tc>
          <w:tcPr>
            <w:tcW w:w="4969" w:type="dxa"/>
          </w:tcPr>
          <w:p>
            <w:pPr>
              <w:pStyle w:val="TableParagraph"/>
              <w:spacing w:before="0"/>
              <w:rPr>
                <w:rFonts w:ascii="Times New Roman"/>
                <w:sz w:val="24"/>
              </w:rPr>
            </w:pPr>
          </w:p>
          <w:p>
            <w:pPr>
              <w:pStyle w:val="TableParagraph"/>
              <w:spacing w:before="0"/>
              <w:rPr>
                <w:rFonts w:ascii="Times New Roman"/>
                <w:sz w:val="24"/>
              </w:rPr>
            </w:pPr>
          </w:p>
          <w:p>
            <w:pPr>
              <w:pStyle w:val="TableParagraph"/>
              <w:spacing w:before="0"/>
              <w:rPr>
                <w:rFonts w:ascii="Times New Roman"/>
                <w:sz w:val="24"/>
              </w:rPr>
            </w:pPr>
          </w:p>
          <w:p>
            <w:pPr>
              <w:pStyle w:val="TableParagraph"/>
              <w:spacing w:line="252" w:lineRule="exact" w:before="155"/>
              <w:ind w:left="308"/>
              <w:rPr>
                <w:rFonts w:ascii="Times New Roman"/>
                <w:sz w:val="22"/>
              </w:rPr>
            </w:pPr>
            <w:r>
              <w:rPr>
                <w:rFonts w:ascii="Times New Roman"/>
                <w:sz w:val="22"/>
              </w:rPr>
              <w:t>Dr. Richard Shinto</w:t>
            </w:r>
          </w:p>
          <w:p>
            <w:pPr>
              <w:pStyle w:val="TableParagraph"/>
              <w:spacing w:before="0"/>
              <w:ind w:left="308" w:right="1116"/>
              <w:rPr>
                <w:rFonts w:ascii="Times New Roman"/>
                <w:sz w:val="22"/>
              </w:rPr>
            </w:pPr>
            <w:r>
              <w:rPr>
                <w:rFonts w:ascii="Times New Roman"/>
                <w:sz w:val="22"/>
              </w:rPr>
              <w:t>President of the Medicaid and Medicare Advantage Products Association of PR CEO, Medicare y Mucho Mas</w:t>
            </w:r>
          </w:p>
          <w:p>
            <w:pPr>
              <w:pStyle w:val="TableParagraph"/>
              <w:spacing w:before="0"/>
              <w:rPr>
                <w:rFonts w:ascii="Times New Roman"/>
                <w:sz w:val="24"/>
              </w:rPr>
            </w:pPr>
          </w:p>
          <w:p>
            <w:pPr>
              <w:pStyle w:val="TableParagraph"/>
              <w:spacing w:before="0"/>
              <w:rPr>
                <w:rFonts w:ascii="Times New Roman"/>
                <w:sz w:val="24"/>
              </w:rPr>
            </w:pPr>
          </w:p>
          <w:p>
            <w:pPr>
              <w:pStyle w:val="TableParagraph"/>
              <w:spacing w:before="0"/>
              <w:rPr>
                <w:rFonts w:ascii="Times New Roman"/>
                <w:sz w:val="24"/>
              </w:rPr>
            </w:pPr>
          </w:p>
          <w:p>
            <w:pPr>
              <w:pStyle w:val="TableParagraph"/>
              <w:spacing w:before="4"/>
              <w:rPr>
                <w:rFonts w:ascii="Times New Roman"/>
                <w:sz w:val="22"/>
              </w:rPr>
            </w:pPr>
          </w:p>
          <w:p>
            <w:pPr>
              <w:pStyle w:val="TableParagraph"/>
              <w:spacing w:before="0"/>
              <w:ind w:left="308"/>
              <w:rPr>
                <w:rFonts w:ascii="Times New Roman" w:hAnsi="Times New Roman"/>
                <w:sz w:val="22"/>
              </w:rPr>
            </w:pPr>
            <w:r>
              <w:rPr>
                <w:rFonts w:ascii="Times New Roman" w:hAnsi="Times New Roman"/>
                <w:sz w:val="22"/>
              </w:rPr>
              <w:t>Roberto García</w:t>
            </w:r>
          </w:p>
          <w:p>
            <w:pPr>
              <w:pStyle w:val="TableParagraph"/>
              <w:spacing w:before="0"/>
              <w:ind w:left="308" w:right="614"/>
              <w:rPr>
                <w:rFonts w:ascii="Times New Roman"/>
                <w:sz w:val="22"/>
              </w:rPr>
            </w:pPr>
            <w:r>
              <w:rPr>
                <w:rFonts w:ascii="Times New Roman"/>
                <w:sz w:val="22"/>
              </w:rPr>
              <w:t>MMAPA Former President &amp; Board Member CEO of Triple S Management, Corp</w:t>
            </w:r>
          </w:p>
        </w:tc>
        <w:tc>
          <w:tcPr>
            <w:tcW w:w="5128" w:type="dxa"/>
          </w:tcPr>
          <w:p>
            <w:pPr>
              <w:pStyle w:val="TableParagraph"/>
              <w:spacing w:before="0"/>
              <w:ind w:left="635"/>
              <w:rPr>
                <w:rFonts w:ascii="Times New Roman"/>
                <w:sz w:val="20"/>
              </w:rPr>
            </w:pPr>
            <w:r>
              <w:rPr>
                <w:rFonts w:ascii="Times New Roman"/>
                <w:sz w:val="20"/>
              </w:rPr>
              <w:drawing>
                <wp:inline distT="0" distB="0" distL="0" distR="0">
                  <wp:extent cx="1630847" cy="714375"/>
                  <wp:effectExtent l="0" t="0" r="0" b="0"/>
                  <wp:docPr id="7" name="image18.jpeg" descr=""/>
                  <wp:cNvGraphicFramePr>
                    <a:graphicFrameLocks noChangeAspect="1"/>
                  </wp:cNvGraphicFramePr>
                  <a:graphic>
                    <a:graphicData uri="http://schemas.openxmlformats.org/drawingml/2006/picture">
                      <pic:pic>
                        <pic:nvPicPr>
                          <pic:cNvPr id="8" name="image18.jpeg"/>
                          <pic:cNvPicPr/>
                        </pic:nvPicPr>
                        <pic:blipFill>
                          <a:blip r:embed="rId30" cstate="print"/>
                          <a:stretch>
                            <a:fillRect/>
                          </a:stretch>
                        </pic:blipFill>
                        <pic:spPr>
                          <a:xfrm>
                            <a:off x="0" y="0"/>
                            <a:ext cx="1630847" cy="714375"/>
                          </a:xfrm>
                          <a:prstGeom prst="rect">
                            <a:avLst/>
                          </a:prstGeom>
                        </pic:spPr>
                      </pic:pic>
                    </a:graphicData>
                  </a:graphic>
                </wp:inline>
              </w:drawing>
            </w:r>
            <w:r>
              <w:rPr>
                <w:rFonts w:ascii="Times New Roman"/>
                <w:sz w:val="20"/>
              </w:rPr>
            </w:r>
          </w:p>
          <w:p>
            <w:pPr>
              <w:pStyle w:val="TableParagraph"/>
              <w:spacing w:before="96"/>
              <w:ind w:left="882"/>
              <w:rPr>
                <w:rFonts w:ascii="Times New Roman" w:hAnsi="Times New Roman"/>
                <w:sz w:val="22"/>
              </w:rPr>
            </w:pPr>
            <w:r>
              <w:rPr>
                <w:rFonts w:ascii="Times New Roman" w:hAnsi="Times New Roman"/>
                <w:sz w:val="22"/>
              </w:rPr>
              <w:t>James P. O’Drobinak</w:t>
            </w:r>
          </w:p>
          <w:p>
            <w:pPr>
              <w:pStyle w:val="TableParagraph"/>
              <w:spacing w:before="1"/>
              <w:ind w:left="906"/>
              <w:rPr>
                <w:rFonts w:ascii="Times New Roman"/>
                <w:sz w:val="22"/>
              </w:rPr>
            </w:pPr>
            <w:r>
              <w:rPr>
                <w:rFonts w:ascii="Times New Roman"/>
                <w:sz w:val="22"/>
              </w:rPr>
              <w:t>MMAPA Former President &amp; Board Member CEO, MCS Advantage, Inc.</w:t>
            </w:r>
          </w:p>
          <w:p>
            <w:pPr>
              <w:pStyle w:val="TableParagraph"/>
              <w:spacing w:before="0"/>
              <w:rPr>
                <w:rFonts w:ascii="Times New Roman"/>
                <w:sz w:val="20"/>
              </w:rPr>
            </w:pPr>
          </w:p>
          <w:p>
            <w:pPr>
              <w:pStyle w:val="TableParagraph"/>
              <w:spacing w:before="0"/>
              <w:rPr>
                <w:rFonts w:ascii="Times New Roman"/>
                <w:sz w:val="20"/>
              </w:rPr>
            </w:pPr>
          </w:p>
          <w:p>
            <w:pPr>
              <w:pStyle w:val="TableParagraph"/>
              <w:spacing w:before="4"/>
              <w:rPr>
                <w:rFonts w:ascii="Times New Roman"/>
                <w:sz w:val="16"/>
              </w:rPr>
            </w:pPr>
          </w:p>
          <w:p>
            <w:pPr>
              <w:pStyle w:val="TableParagraph"/>
              <w:spacing w:before="0"/>
              <w:ind w:left="1205"/>
              <w:rPr>
                <w:rFonts w:ascii="Times New Roman"/>
                <w:sz w:val="20"/>
              </w:rPr>
            </w:pPr>
            <w:r>
              <w:rPr>
                <w:rFonts w:ascii="Times New Roman"/>
                <w:sz w:val="20"/>
              </w:rPr>
              <w:drawing>
                <wp:inline distT="0" distB="0" distL="0" distR="0">
                  <wp:extent cx="1412338" cy="372999"/>
                  <wp:effectExtent l="0" t="0" r="0" b="0"/>
                  <wp:docPr id="9" name="image19.jpeg" descr=""/>
                  <wp:cNvGraphicFramePr>
                    <a:graphicFrameLocks noChangeAspect="1"/>
                  </wp:cNvGraphicFramePr>
                  <a:graphic>
                    <a:graphicData uri="http://schemas.openxmlformats.org/drawingml/2006/picture">
                      <pic:pic>
                        <pic:nvPicPr>
                          <pic:cNvPr id="10" name="image19.jpeg"/>
                          <pic:cNvPicPr/>
                        </pic:nvPicPr>
                        <pic:blipFill>
                          <a:blip r:embed="rId31" cstate="print"/>
                          <a:stretch>
                            <a:fillRect/>
                          </a:stretch>
                        </pic:blipFill>
                        <pic:spPr>
                          <a:xfrm>
                            <a:off x="0" y="0"/>
                            <a:ext cx="1412338" cy="372999"/>
                          </a:xfrm>
                          <a:prstGeom prst="rect">
                            <a:avLst/>
                          </a:prstGeom>
                        </pic:spPr>
                      </pic:pic>
                    </a:graphicData>
                  </a:graphic>
                </wp:inline>
              </w:drawing>
            </w:r>
            <w:r>
              <w:rPr>
                <w:rFonts w:ascii="Times New Roman"/>
                <w:sz w:val="20"/>
              </w:rPr>
            </w:r>
          </w:p>
          <w:p>
            <w:pPr>
              <w:pStyle w:val="TableParagraph"/>
              <w:spacing w:line="252" w:lineRule="exact" w:before="30"/>
              <w:ind w:left="906"/>
              <w:rPr>
                <w:rFonts w:ascii="Times New Roman"/>
                <w:sz w:val="22"/>
              </w:rPr>
            </w:pPr>
            <w:r>
              <w:rPr>
                <w:rFonts w:ascii="Times New Roman"/>
                <w:sz w:val="22"/>
              </w:rPr>
              <w:t>Earl Harper</w:t>
            </w:r>
          </w:p>
          <w:p>
            <w:pPr>
              <w:pStyle w:val="TableParagraph"/>
              <w:spacing w:before="0"/>
              <w:ind w:left="906" w:right="1428"/>
              <w:rPr>
                <w:rFonts w:ascii="Times New Roman"/>
                <w:sz w:val="22"/>
              </w:rPr>
            </w:pPr>
            <w:r>
              <w:rPr>
                <w:rFonts w:ascii="Times New Roman"/>
                <w:sz w:val="22"/>
              </w:rPr>
              <w:t>MMAPA Board Member President, Humana Puerto Rico</w:t>
            </w:r>
          </w:p>
        </w:tc>
      </w:tr>
      <w:tr>
        <w:trPr>
          <w:trHeight w:val="928" w:hRule="exact"/>
        </w:trPr>
        <w:tc>
          <w:tcPr>
            <w:tcW w:w="4969" w:type="dxa"/>
          </w:tcPr>
          <w:p>
            <w:pPr>
              <w:pStyle w:val="TableParagraph"/>
              <w:spacing w:before="2"/>
              <w:rPr>
                <w:rFonts w:ascii="Times New Roman"/>
                <w:sz w:val="22"/>
              </w:rPr>
            </w:pPr>
          </w:p>
          <w:p>
            <w:pPr>
              <w:pStyle w:val="TableParagraph"/>
              <w:spacing w:before="0"/>
              <w:ind w:left="200"/>
              <w:rPr>
                <w:rFonts w:ascii="Times New Roman"/>
                <w:sz w:val="20"/>
              </w:rPr>
            </w:pPr>
            <w:r>
              <w:rPr>
                <w:rFonts w:ascii="Times New Roman"/>
                <w:sz w:val="20"/>
              </w:rPr>
              <w:drawing>
                <wp:inline distT="0" distB="0" distL="0" distR="0">
                  <wp:extent cx="1512537" cy="396049"/>
                  <wp:effectExtent l="0" t="0" r="0" b="0"/>
                  <wp:docPr id="11" name="image15.jpeg" descr=""/>
                  <wp:cNvGraphicFramePr>
                    <a:graphicFrameLocks noChangeAspect="1"/>
                  </wp:cNvGraphicFramePr>
                  <a:graphic>
                    <a:graphicData uri="http://schemas.openxmlformats.org/drawingml/2006/picture">
                      <pic:pic>
                        <pic:nvPicPr>
                          <pic:cNvPr id="12" name="image15.jpeg"/>
                          <pic:cNvPicPr/>
                        </pic:nvPicPr>
                        <pic:blipFill>
                          <a:blip r:embed="rId27" cstate="print"/>
                          <a:stretch>
                            <a:fillRect/>
                          </a:stretch>
                        </pic:blipFill>
                        <pic:spPr>
                          <a:xfrm>
                            <a:off x="0" y="0"/>
                            <a:ext cx="1512537" cy="396049"/>
                          </a:xfrm>
                          <a:prstGeom prst="rect">
                            <a:avLst/>
                          </a:prstGeom>
                        </pic:spPr>
                      </pic:pic>
                    </a:graphicData>
                  </a:graphic>
                </wp:inline>
              </w:drawing>
            </w:r>
            <w:r>
              <w:rPr>
                <w:rFonts w:ascii="Times New Roman"/>
                <w:sz w:val="20"/>
              </w:rPr>
            </w:r>
          </w:p>
        </w:tc>
        <w:tc>
          <w:tcPr>
            <w:tcW w:w="5128" w:type="dxa"/>
          </w:tcPr>
          <w:p>
            <w:pPr>
              <w:pStyle w:val="TableParagraph"/>
              <w:spacing w:before="0"/>
              <w:rPr>
                <w:rFonts w:ascii="Times New Roman"/>
                <w:sz w:val="8"/>
              </w:rPr>
            </w:pPr>
          </w:p>
          <w:p>
            <w:pPr>
              <w:pStyle w:val="TableParagraph"/>
              <w:spacing w:before="0"/>
              <w:ind w:left="762"/>
              <w:rPr>
                <w:rFonts w:ascii="Times New Roman"/>
                <w:sz w:val="20"/>
              </w:rPr>
            </w:pPr>
            <w:r>
              <w:rPr>
                <w:rFonts w:ascii="Times New Roman"/>
                <w:sz w:val="20"/>
              </w:rPr>
              <w:drawing>
                <wp:inline distT="0" distB="0" distL="0" distR="0">
                  <wp:extent cx="1618487" cy="539496"/>
                  <wp:effectExtent l="0" t="0" r="0" b="0"/>
                  <wp:docPr id="13" name="image20.jpeg" descr=""/>
                  <wp:cNvGraphicFramePr>
                    <a:graphicFrameLocks noChangeAspect="1"/>
                  </wp:cNvGraphicFramePr>
                  <a:graphic>
                    <a:graphicData uri="http://schemas.openxmlformats.org/drawingml/2006/picture">
                      <pic:pic>
                        <pic:nvPicPr>
                          <pic:cNvPr id="14" name="image20.jpeg"/>
                          <pic:cNvPicPr/>
                        </pic:nvPicPr>
                        <pic:blipFill>
                          <a:blip r:embed="rId32" cstate="print"/>
                          <a:stretch>
                            <a:fillRect/>
                          </a:stretch>
                        </pic:blipFill>
                        <pic:spPr>
                          <a:xfrm>
                            <a:off x="0" y="0"/>
                            <a:ext cx="1618487" cy="539496"/>
                          </a:xfrm>
                          <a:prstGeom prst="rect">
                            <a:avLst/>
                          </a:prstGeom>
                        </pic:spPr>
                      </pic:pic>
                    </a:graphicData>
                  </a:graphic>
                </wp:inline>
              </w:drawing>
            </w:r>
            <w:r>
              <w:rPr>
                <w:rFonts w:ascii="Times New Roman"/>
                <w:sz w:val="20"/>
              </w:rPr>
            </w:r>
          </w:p>
        </w:tc>
      </w:tr>
      <w:tr>
        <w:trPr>
          <w:trHeight w:val="1013" w:hRule="exact"/>
        </w:trPr>
        <w:tc>
          <w:tcPr>
            <w:tcW w:w="4969" w:type="dxa"/>
          </w:tcPr>
          <w:p>
            <w:pPr>
              <w:pStyle w:val="TableParagraph"/>
              <w:spacing w:before="82"/>
              <w:ind w:left="320" w:right="2505"/>
              <w:rPr>
                <w:rFonts w:ascii="Times New Roman"/>
                <w:sz w:val="21"/>
              </w:rPr>
            </w:pPr>
            <w:r>
              <w:rPr>
                <w:rFonts w:ascii="Times New Roman"/>
                <w:sz w:val="21"/>
              </w:rPr>
              <w:t>Carlos A. Carrero MMAPA Board Member Plan President</w:t>
            </w:r>
          </w:p>
          <w:p>
            <w:pPr>
              <w:pStyle w:val="TableParagraph"/>
              <w:spacing w:before="1"/>
              <w:ind w:left="320"/>
              <w:rPr>
                <w:rFonts w:ascii="Times New Roman"/>
                <w:sz w:val="21"/>
              </w:rPr>
            </w:pPr>
            <w:r>
              <w:rPr>
                <w:rFonts w:ascii="Times New Roman"/>
                <w:sz w:val="21"/>
              </w:rPr>
              <w:t>Molina Healthcare of Puerto Rico, Inc</w:t>
            </w:r>
          </w:p>
        </w:tc>
        <w:tc>
          <w:tcPr>
            <w:tcW w:w="5128" w:type="dxa"/>
          </w:tcPr>
          <w:p>
            <w:pPr>
              <w:pStyle w:val="TableParagraph"/>
              <w:spacing w:before="46"/>
              <w:ind w:left="968" w:right="2033"/>
              <w:rPr>
                <w:rFonts w:ascii="Times New Roman"/>
                <w:sz w:val="21"/>
              </w:rPr>
            </w:pPr>
            <w:r>
              <w:rPr>
                <w:rFonts w:ascii="Times New Roman"/>
                <w:sz w:val="21"/>
              </w:rPr>
              <w:t>Juan Dominguez MMAPA Board Member Vice-President</w:t>
            </w:r>
          </w:p>
          <w:p>
            <w:pPr>
              <w:pStyle w:val="TableParagraph"/>
              <w:spacing w:before="1"/>
              <w:ind w:left="968"/>
              <w:rPr>
                <w:rFonts w:ascii="Times New Roman"/>
                <w:sz w:val="21"/>
              </w:rPr>
            </w:pPr>
            <w:r>
              <w:rPr>
                <w:rFonts w:ascii="Times New Roman"/>
                <w:sz w:val="21"/>
              </w:rPr>
              <w:t>First Medical Health Plan, Inc.</w:t>
            </w:r>
          </w:p>
        </w:tc>
      </w:tr>
    </w:tbl>
    <w:p>
      <w:pPr>
        <w:pStyle w:val="BodyText"/>
        <w:rPr>
          <w:sz w:val="26"/>
        </w:rPr>
      </w:pPr>
    </w:p>
    <w:p>
      <w:pPr>
        <w:pStyle w:val="BodyText"/>
        <w:rPr>
          <w:sz w:val="26"/>
        </w:rPr>
      </w:pPr>
    </w:p>
    <w:p>
      <w:pPr>
        <w:pStyle w:val="BodyText"/>
        <w:spacing w:before="7"/>
        <w:rPr>
          <w:sz w:val="22"/>
        </w:rPr>
      </w:pPr>
    </w:p>
    <w:p>
      <w:pPr>
        <w:pStyle w:val="BodyText"/>
        <w:ind w:left="300" w:right="3261"/>
      </w:pPr>
      <w:r>
        <w:rPr/>
        <w:t>Cc: Carla DiBlasio, Senior Advisor to the Administrator for Medicare Cheri Rice, Acting Deputy Director, Center for Medicare</w:t>
      </w:r>
    </w:p>
    <w:p>
      <w:pPr>
        <w:pStyle w:val="BodyText"/>
        <w:ind w:left="300" w:right="1642"/>
      </w:pPr>
      <w:r>
        <w:rPr/>
        <w:t>Jennifer Harlow, Acting Director, Medicare Plan Payment Group, Center for Medicare Jane Norton, Director, HHS Intergovernmental and External Affairs</w:t>
      </w:r>
    </w:p>
    <w:sectPr>
      <w:pgSz w:w="12240" w:h="15840"/>
      <w:pgMar w:header="0" w:footer="1092" w:top="1360" w:bottom="1340" w:left="11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1.26001pt;margin-top:723.882629pt;width:34.2pt;height:15.3pt;mso-position-horizontal-relative:page;mso-position-vertical-relative:page;z-index:-26920" type="#_x0000_t202" filled="false" stroked="false">
          <v:textbox inset="0,0,0,0">
            <w:txbxContent>
              <w:p>
                <w:pPr>
                  <w:pStyle w:val="BodyText"/>
                  <w:spacing w:before="10"/>
                  <w:ind w:left="20"/>
                </w:pPr>
                <w:r>
                  <w:rPr/>
                  <w:t>Page 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26001pt;margin-top:723.882629pt;width:35.2pt;height:15.3pt;mso-position-horizontal-relative:page;mso-position-vertical-relative:page;z-index:-26896"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5.26001pt;margin-top:723.882629pt;width:41.2pt;height:15.3pt;mso-position-horizontal-relative:page;mso-position-vertical-relative:page;z-index:-26872"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540"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2362" w:hanging="360"/>
      </w:pPr>
      <w:rPr>
        <w:rFonts w:hint="default"/>
      </w:rPr>
    </w:lvl>
    <w:lvl w:ilvl="2">
      <w:start w:val="0"/>
      <w:numFmt w:val="bullet"/>
      <w:lvlText w:val="•"/>
      <w:lvlJc w:val="left"/>
      <w:pPr>
        <w:ind w:left="3184" w:hanging="360"/>
      </w:pPr>
      <w:rPr>
        <w:rFonts w:hint="default"/>
      </w:rPr>
    </w:lvl>
    <w:lvl w:ilvl="3">
      <w:start w:val="0"/>
      <w:numFmt w:val="bullet"/>
      <w:lvlText w:val="•"/>
      <w:lvlJc w:val="left"/>
      <w:pPr>
        <w:ind w:left="4006" w:hanging="360"/>
      </w:pPr>
      <w:rPr>
        <w:rFonts w:hint="default"/>
      </w:rPr>
    </w:lvl>
    <w:lvl w:ilvl="4">
      <w:start w:val="0"/>
      <w:numFmt w:val="bullet"/>
      <w:lvlText w:val="•"/>
      <w:lvlJc w:val="left"/>
      <w:pPr>
        <w:ind w:left="4828" w:hanging="360"/>
      </w:pPr>
      <w:rPr>
        <w:rFonts w:hint="default"/>
      </w:rPr>
    </w:lvl>
    <w:lvl w:ilvl="5">
      <w:start w:val="0"/>
      <w:numFmt w:val="bullet"/>
      <w:lvlText w:val="•"/>
      <w:lvlJc w:val="left"/>
      <w:pPr>
        <w:ind w:left="5650" w:hanging="360"/>
      </w:pPr>
      <w:rPr>
        <w:rFonts w:hint="default"/>
      </w:rPr>
    </w:lvl>
    <w:lvl w:ilvl="6">
      <w:start w:val="0"/>
      <w:numFmt w:val="bullet"/>
      <w:lvlText w:val="•"/>
      <w:lvlJc w:val="left"/>
      <w:pPr>
        <w:ind w:left="6472" w:hanging="360"/>
      </w:pPr>
      <w:rPr>
        <w:rFonts w:hint="default"/>
      </w:rPr>
    </w:lvl>
    <w:lvl w:ilvl="7">
      <w:start w:val="0"/>
      <w:numFmt w:val="bullet"/>
      <w:lvlText w:val="•"/>
      <w:lvlJc w:val="left"/>
      <w:pPr>
        <w:ind w:left="7294" w:hanging="360"/>
      </w:pPr>
      <w:rPr>
        <w:rFonts w:hint="default"/>
      </w:rPr>
    </w:lvl>
    <w:lvl w:ilvl="8">
      <w:start w:val="0"/>
      <w:numFmt w:val="bullet"/>
      <w:lvlText w:val="•"/>
      <w:lvlJc w:val="left"/>
      <w:pPr>
        <w:ind w:left="8116" w:hanging="360"/>
      </w:pPr>
      <w:rPr>
        <w:rFonts w:hint="default"/>
      </w:rPr>
    </w:lvl>
  </w:abstractNum>
  <w:abstractNum w:abstractNumId="1">
    <w:multiLevelType w:val="hybridMultilevel"/>
    <w:lvl w:ilvl="0">
      <w:start w:val="0"/>
      <w:numFmt w:val="bullet"/>
      <w:lvlText w:val=""/>
      <w:lvlJc w:val="left"/>
      <w:pPr>
        <w:ind w:left="480" w:hanging="360"/>
      </w:pPr>
      <w:rPr>
        <w:rFonts w:hint="default" w:ascii="Symbol" w:hAnsi="Symbol" w:eastAsia="Symbol" w:cs="Symbol"/>
        <w:w w:val="100"/>
        <w:sz w:val="24"/>
        <w:szCs w:val="24"/>
      </w:rPr>
    </w:lvl>
    <w:lvl w:ilvl="1">
      <w:start w:val="0"/>
      <w:numFmt w:val="bullet"/>
      <w:lvlText w:val="•"/>
      <w:lvlJc w:val="left"/>
      <w:pPr>
        <w:ind w:left="141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70" w:hanging="360"/>
      </w:pPr>
      <w:rPr>
        <w:rFonts w:hint="default"/>
      </w:rPr>
    </w:lvl>
    <w:lvl w:ilvl="4">
      <w:start w:val="0"/>
      <w:numFmt w:val="bullet"/>
      <w:lvlText w:val="•"/>
      <w:lvlJc w:val="left"/>
      <w:pPr>
        <w:ind w:left="4200"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6060" w:hanging="360"/>
      </w:pPr>
      <w:rPr>
        <w:rFonts w:hint="default"/>
      </w:rPr>
    </w:lvl>
    <w:lvl w:ilvl="7">
      <w:start w:val="0"/>
      <w:numFmt w:val="bullet"/>
      <w:lvlText w:val="•"/>
      <w:lvlJc w:val="left"/>
      <w:pPr>
        <w:ind w:left="6990" w:hanging="360"/>
      </w:pPr>
      <w:rPr>
        <w:rFonts w:hint="default"/>
      </w:rPr>
    </w:lvl>
    <w:lvl w:ilvl="8">
      <w:start w:val="0"/>
      <w:numFmt w:val="bullet"/>
      <w:lvlText w:val="•"/>
      <w:lvlJc w:val="left"/>
      <w:pPr>
        <w:ind w:left="7920" w:hanging="360"/>
      </w:pPr>
      <w:rPr>
        <w:rFonts w:hint="default"/>
      </w:rPr>
    </w:lvl>
  </w:abstractNum>
  <w:abstractNum w:abstractNumId="0">
    <w:multiLevelType w:val="hybridMultilevel"/>
    <w:lvl w:ilvl="0">
      <w:start w:val="1"/>
      <w:numFmt w:val="upperRoman"/>
      <w:lvlText w:val="%1."/>
      <w:lvlJc w:val="left"/>
      <w:pPr>
        <w:ind w:left="840" w:hanging="720"/>
        <w:jc w:val="right"/>
      </w:pPr>
      <w:rPr>
        <w:rFonts w:hint="default" w:ascii="Times New Roman" w:hAnsi="Times New Roman" w:eastAsia="Times New Roman" w:cs="Times New Roman"/>
        <w:b/>
        <w:bCs/>
        <w:w w:val="99"/>
        <w:sz w:val="24"/>
        <w:szCs w:val="24"/>
      </w:rPr>
    </w:lvl>
    <w:lvl w:ilvl="1">
      <w:start w:val="1"/>
      <w:numFmt w:val="lowerLetter"/>
      <w:lvlText w:val="%2."/>
      <w:lvlJc w:val="left"/>
      <w:pPr>
        <w:ind w:left="1560" w:hanging="360"/>
        <w:jc w:val="left"/>
      </w:pPr>
      <w:rPr>
        <w:rFonts w:hint="default"/>
        <w:b/>
        <w:bCs/>
        <w:spacing w:val="-4"/>
        <w:w w:val="99"/>
      </w:rPr>
    </w:lvl>
    <w:lvl w:ilvl="2">
      <w:start w:val="1"/>
      <w:numFmt w:val="lowerRoman"/>
      <w:lvlText w:val="%3."/>
      <w:lvlJc w:val="left"/>
      <w:pPr>
        <w:ind w:left="2260" w:hanging="360"/>
        <w:jc w:val="right"/>
      </w:pPr>
      <w:rPr>
        <w:rFonts w:hint="default" w:ascii="Times New Roman" w:hAnsi="Times New Roman" w:eastAsia="Times New Roman" w:cs="Times New Roman"/>
        <w:spacing w:val="-3"/>
        <w:w w:val="99"/>
        <w:sz w:val="24"/>
        <w:szCs w:val="24"/>
      </w:rPr>
    </w:lvl>
    <w:lvl w:ilvl="3">
      <w:start w:val="0"/>
      <w:numFmt w:val="bullet"/>
      <w:lvlText w:val="•"/>
      <w:lvlJc w:val="left"/>
      <w:pPr>
        <w:ind w:left="2260" w:hanging="360"/>
      </w:pPr>
      <w:rPr>
        <w:rFonts w:hint="default"/>
      </w:rPr>
    </w:lvl>
    <w:lvl w:ilvl="4">
      <w:start w:val="0"/>
      <w:numFmt w:val="bullet"/>
      <w:lvlText w:val="•"/>
      <w:lvlJc w:val="left"/>
      <w:pPr>
        <w:ind w:left="2280" w:hanging="360"/>
      </w:pPr>
      <w:rPr>
        <w:rFonts w:hint="default"/>
      </w:rPr>
    </w:lvl>
    <w:lvl w:ilvl="5">
      <w:start w:val="0"/>
      <w:numFmt w:val="bullet"/>
      <w:lvlText w:val="•"/>
      <w:lvlJc w:val="left"/>
      <w:pPr>
        <w:ind w:left="3526" w:hanging="360"/>
      </w:pPr>
      <w:rPr>
        <w:rFonts w:hint="default"/>
      </w:rPr>
    </w:lvl>
    <w:lvl w:ilvl="6">
      <w:start w:val="0"/>
      <w:numFmt w:val="bullet"/>
      <w:lvlText w:val="•"/>
      <w:lvlJc w:val="left"/>
      <w:pPr>
        <w:ind w:left="4773" w:hanging="360"/>
      </w:pPr>
      <w:rPr>
        <w:rFonts w:hint="default"/>
      </w:rPr>
    </w:lvl>
    <w:lvl w:ilvl="7">
      <w:start w:val="0"/>
      <w:numFmt w:val="bullet"/>
      <w:lvlText w:val="•"/>
      <w:lvlJc w:val="left"/>
      <w:pPr>
        <w:ind w:left="6020" w:hanging="360"/>
      </w:pPr>
      <w:rPr>
        <w:rFonts w:hint="default"/>
      </w:rPr>
    </w:lvl>
    <w:lvl w:ilvl="8">
      <w:start w:val="0"/>
      <w:numFmt w:val="bullet"/>
      <w:lvlText w:val="•"/>
      <w:lvlJc w:val="left"/>
      <w:pPr>
        <w:ind w:left="7266"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540" w:hanging="72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90"/>
      <w:ind w:left="156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1540" w:hanging="360"/>
    </w:pPr>
    <w:rPr>
      <w:rFonts w:ascii="Times New Roman" w:hAnsi="Times New Roman" w:eastAsia="Times New Roman" w:cs="Times New Roman"/>
    </w:rPr>
  </w:style>
  <w:style w:styleId="TableParagraph" w:type="paragraph">
    <w:name w:val="Table Paragraph"/>
    <w:basedOn w:val="Normal"/>
    <w:uiPriority w:val="1"/>
    <w:qFormat/>
    <w:pPr>
      <w:spacing w:before="9"/>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logs.wsj.com/economics/2016/01/04/how-not-to-fix-a-fiscal-crisis-puerto-ricos-population-loss-accelerates/" TargetMode="External"/><Relationship Id="rId6" Type="http://schemas.openxmlformats.org/officeDocument/2006/relationships/hyperlink" Target="http://diariodepuertorico.com/2016/01/how-not-to-fix-a-fiscal-crisis-puerto-ricos-population-loss-accelerates/" TargetMode="External"/><Relationship Id="rId7" Type="http://schemas.openxmlformats.org/officeDocument/2006/relationships/hyperlink" Target="https://juntasupervision.pr.gov/index.php/en/document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eg"/><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footer" Target="footer4.xml"/><Relationship Id="rId14" Type="http://schemas.openxmlformats.org/officeDocument/2006/relationships/hyperlink" Target="http://coli.org/"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pn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2018-06-12T23:35:56Z</dcterms:created>
  <dcterms:modified xsi:type="dcterms:W3CDTF">2018-06-12T23:35:56Z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Microsoft® Word 2016</vt:lpwstr>
  </property>
  <property fmtid="{D5CDD505-2E9C-101B-9397-08002B2CF9AE}" pid="4" name="LastSaved">
    <vt:filetime>2018-06-13T00:00:00Z</vt:filetime>
  </property>
</Properties>
</file>