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BE" w:rsidRDefault="007651BE">
      <w:pPr>
        <w:pStyle w:val="BodyText"/>
        <w:rPr>
          <w:rFonts w:ascii="Times New Roman"/>
          <w:sz w:val="20"/>
        </w:rPr>
      </w:pPr>
    </w:p>
    <w:p w:rsidR="007651BE" w:rsidRDefault="007651BE">
      <w:pPr>
        <w:pStyle w:val="BodyText"/>
        <w:rPr>
          <w:rFonts w:ascii="Times New Roman"/>
          <w:sz w:val="20"/>
        </w:rPr>
      </w:pPr>
    </w:p>
    <w:p w:rsidR="007651BE" w:rsidRDefault="007651BE">
      <w:pPr>
        <w:pStyle w:val="BodyText"/>
        <w:spacing w:before="10"/>
        <w:rPr>
          <w:rFonts w:ascii="Times New Roman"/>
          <w:sz w:val="23"/>
        </w:rPr>
      </w:pPr>
    </w:p>
    <w:p w:rsidR="007651BE" w:rsidRDefault="00026358">
      <w:pPr>
        <w:spacing w:line="168" w:lineRule="auto"/>
        <w:ind w:left="7049" w:right="2637"/>
        <w:jc w:val="right"/>
        <w:rPr>
          <w:sz w:val="18"/>
        </w:rPr>
      </w:pPr>
      <w:r>
        <w:pict>
          <v:shapetype id="_x0000_t202" coordsize="21600,21600" o:spt="202" path="m,l,21600r21600,l21600,xe">
            <v:stroke joinstyle="miter"/>
            <v:path gradientshapeok="t" o:connecttype="rect"/>
          </v:shapetype>
          <v:shape id="_x0000_s1036" type="#_x0000_t202" style="position:absolute;left:0;text-align:left;margin-left:377.95pt;margin-top:-32.85pt;width:54.8pt;height:59.6pt;z-index:-251660288;mso-position-horizontal-relative:page" filled="f" stroked="f">
            <v:textbox inset="0,0,0,0">
              <w:txbxContent>
                <w:p w:rsidR="007651BE" w:rsidRDefault="00026358">
                  <w:pPr>
                    <w:spacing w:line="1192" w:lineRule="exact"/>
                    <w:rPr>
                      <w:rFonts w:ascii="Times New Roman"/>
                      <w:sz w:val="56"/>
                    </w:rPr>
                  </w:pPr>
                  <w:r>
                    <w:rPr>
                      <w:rFonts w:ascii="Times New Roman"/>
                      <w:w w:val="86"/>
                      <w:sz w:val="87"/>
                    </w:rPr>
                    <w:t>+</w:t>
                  </w:r>
                  <w:r>
                    <w:rPr>
                      <w:rFonts w:ascii="Times New Roman"/>
                      <w:spacing w:val="-8"/>
                      <w:w w:val="86"/>
                      <w:sz w:val="87"/>
                    </w:rPr>
                    <w:t>.</w:t>
                  </w:r>
                  <w:r>
                    <w:rPr>
                      <w:rFonts w:ascii="Times New Roman"/>
                      <w:w w:val="106"/>
                      <w:sz w:val="75"/>
                    </w:rPr>
                    <w:t>f</w:t>
                  </w:r>
                  <w:r>
                    <w:rPr>
                      <w:rFonts w:ascii="Times New Roman"/>
                      <w:spacing w:val="-411"/>
                      <w:w w:val="106"/>
                      <w:sz w:val="75"/>
                    </w:rPr>
                    <w:t>l</w:t>
                  </w:r>
                  <w:r>
                    <w:rPr>
                      <w:rFonts w:ascii="Times New Roman"/>
                      <w:w w:val="91"/>
                      <w:position w:val="-29"/>
                      <w:sz w:val="56"/>
                    </w:rPr>
                    <w:t>II</w:t>
                  </w:r>
                </w:p>
              </w:txbxContent>
            </v:textbox>
            <w10:wrap anchorx="page"/>
          </v:shape>
        </w:pict>
      </w:r>
      <w:r>
        <w:rPr>
          <w:w w:val="95"/>
          <w:sz w:val="18"/>
        </w:rPr>
        <w:t>Blue Cross</w:t>
      </w:r>
      <w:r>
        <w:rPr>
          <w:w w:val="92"/>
          <w:sz w:val="18"/>
        </w:rPr>
        <w:t xml:space="preserve"> </w:t>
      </w:r>
      <w:r>
        <w:rPr>
          <w:w w:val="95"/>
          <w:sz w:val="18"/>
        </w:rPr>
        <w:t>BlueShield</w:t>
      </w:r>
    </w:p>
    <w:p w:rsidR="007651BE" w:rsidRDefault="00026358">
      <w:pPr>
        <w:spacing w:line="151" w:lineRule="exact"/>
        <w:ind w:left="7049" w:right="2120"/>
        <w:jc w:val="right"/>
        <w:rPr>
          <w:sz w:val="18"/>
        </w:rPr>
      </w:pPr>
      <w:r>
        <w:rPr>
          <w:w w:val="95"/>
          <w:sz w:val="18"/>
        </w:rPr>
        <w:t>BluecareNetwork</w:t>
      </w:r>
    </w:p>
    <w:p w:rsidR="007651BE" w:rsidRDefault="00026358">
      <w:pPr>
        <w:tabs>
          <w:tab w:val="left" w:pos="7571"/>
        </w:tabs>
        <w:spacing w:line="138" w:lineRule="exact"/>
        <w:ind w:left="7071"/>
        <w:rPr>
          <w:b/>
          <w:sz w:val="13"/>
        </w:rPr>
      </w:pPr>
      <w:r>
        <w:rPr>
          <w:b/>
          <w:w w:val="90"/>
          <w:sz w:val="11"/>
        </w:rPr>
        <w:t>It.I</w:t>
      </w:r>
      <w:r>
        <w:rPr>
          <w:b/>
          <w:w w:val="90"/>
          <w:sz w:val="11"/>
        </w:rPr>
        <w:tab/>
      </w:r>
      <w:r>
        <w:rPr>
          <w:b/>
          <w:w w:val="90"/>
          <w:sz w:val="13"/>
        </w:rPr>
        <w:t>e     or</w:t>
      </w:r>
      <w:r>
        <w:rPr>
          <w:b/>
          <w:spacing w:val="-15"/>
          <w:w w:val="90"/>
          <w:sz w:val="13"/>
        </w:rPr>
        <w:t xml:space="preserve"> </w:t>
      </w:r>
      <w:r>
        <w:rPr>
          <w:b/>
          <w:w w:val="90"/>
          <w:sz w:val="13"/>
        </w:rPr>
        <w:t>Michigan</w:t>
      </w:r>
    </w:p>
    <w:p w:rsidR="007651BE" w:rsidRDefault="007651BE">
      <w:pPr>
        <w:pStyle w:val="BodyText"/>
        <w:spacing w:before="9"/>
        <w:rPr>
          <w:b/>
          <w:sz w:val="11"/>
        </w:rPr>
      </w:pPr>
    </w:p>
    <w:p w:rsidR="007651BE" w:rsidRDefault="00026358">
      <w:pPr>
        <w:spacing w:line="172" w:lineRule="auto"/>
        <w:ind w:left="6793" w:right="1993" w:firstLine="3"/>
        <w:rPr>
          <w:rFonts w:ascii="Times New Roman"/>
          <w:b/>
          <w:sz w:val="13"/>
        </w:rPr>
      </w:pPr>
      <w:r>
        <w:rPr>
          <w:b/>
          <w:w w:val="85"/>
          <w:sz w:val="12"/>
        </w:rPr>
        <w:t xml:space="preserve">Nonprolil corporations and indepcnclcnl licensees </w:t>
      </w:r>
      <w:r>
        <w:rPr>
          <w:b/>
          <w:w w:val="90"/>
          <w:sz w:val="12"/>
        </w:rPr>
        <w:t xml:space="preserve">of tho Bluo Crossal'ld Bluo Shiold </w:t>
      </w:r>
      <w:r>
        <w:rPr>
          <w:rFonts w:ascii="Times New Roman"/>
          <w:b/>
          <w:w w:val="90"/>
          <w:sz w:val="13"/>
        </w:rPr>
        <w:t>Associalion</w:t>
      </w:r>
    </w:p>
    <w:p w:rsidR="007651BE" w:rsidRDefault="007651BE">
      <w:pPr>
        <w:pStyle w:val="BodyText"/>
        <w:spacing w:before="9"/>
        <w:rPr>
          <w:rFonts w:ascii="Times New Roman"/>
          <w:b/>
          <w:sz w:val="16"/>
        </w:rPr>
      </w:pPr>
    </w:p>
    <w:p w:rsidR="007651BE" w:rsidRDefault="00026358">
      <w:pPr>
        <w:pStyle w:val="BodyText"/>
        <w:spacing w:before="93"/>
        <w:ind w:left="842"/>
      </w:pPr>
      <w:r>
        <w:rPr>
          <w:w w:val="105"/>
        </w:rPr>
        <w:t>March 5, 2017</w:t>
      </w:r>
    </w:p>
    <w:p w:rsidR="007651BE" w:rsidRDefault="007651BE">
      <w:pPr>
        <w:pStyle w:val="BodyText"/>
        <w:rPr>
          <w:sz w:val="22"/>
        </w:rPr>
      </w:pPr>
    </w:p>
    <w:p w:rsidR="007651BE" w:rsidRDefault="007651BE">
      <w:pPr>
        <w:pStyle w:val="BodyText"/>
        <w:rPr>
          <w:sz w:val="22"/>
        </w:rPr>
      </w:pPr>
    </w:p>
    <w:p w:rsidR="007651BE" w:rsidRDefault="007651BE">
      <w:pPr>
        <w:pStyle w:val="BodyText"/>
        <w:rPr>
          <w:sz w:val="22"/>
        </w:rPr>
      </w:pPr>
    </w:p>
    <w:p w:rsidR="007651BE" w:rsidRDefault="00026358">
      <w:pPr>
        <w:pStyle w:val="BodyText"/>
        <w:ind w:left="835"/>
      </w:pPr>
      <w:r>
        <w:rPr>
          <w:w w:val="105"/>
        </w:rPr>
        <w:t>Demetrious Kouzoukas</w:t>
      </w:r>
    </w:p>
    <w:p w:rsidR="007651BE" w:rsidRDefault="00026358">
      <w:pPr>
        <w:pStyle w:val="BodyText"/>
        <w:spacing w:before="17" w:line="242" w:lineRule="auto"/>
        <w:ind w:left="833" w:right="5789" w:firstLine="1"/>
      </w:pPr>
      <w:r>
        <w:rPr>
          <w:w w:val="105"/>
        </w:rPr>
        <w:t>Principal Deputy Administrator and Director Center for Medicare</w:t>
      </w:r>
    </w:p>
    <w:p w:rsidR="007651BE" w:rsidRDefault="00026358">
      <w:pPr>
        <w:pStyle w:val="BodyText"/>
        <w:spacing w:before="14" w:line="242" w:lineRule="auto"/>
        <w:ind w:left="826" w:right="5789" w:firstLine="6"/>
      </w:pPr>
      <w:r>
        <w:rPr>
          <w:w w:val="105"/>
        </w:rPr>
        <w:t>Center for Medicare and Medicaid Services 7500 Security Boulevard</w:t>
      </w:r>
    </w:p>
    <w:p w:rsidR="007651BE" w:rsidRDefault="00026358">
      <w:pPr>
        <w:pStyle w:val="BodyText"/>
        <w:spacing w:before="14"/>
        <w:ind w:left="828"/>
      </w:pPr>
      <w:r>
        <w:rPr>
          <w:w w:val="105"/>
        </w:rPr>
        <w:t>Baltimore, MD 21244</w:t>
      </w:r>
    </w:p>
    <w:p w:rsidR="007651BE" w:rsidRDefault="007651BE">
      <w:pPr>
        <w:pStyle w:val="BodyText"/>
        <w:spacing w:before="4"/>
        <w:rPr>
          <w:sz w:val="23"/>
        </w:rPr>
      </w:pPr>
    </w:p>
    <w:p w:rsidR="007651BE" w:rsidRDefault="00026358">
      <w:pPr>
        <w:pStyle w:val="BodyText"/>
        <w:ind w:left="819"/>
      </w:pPr>
      <w:r>
        <w:rPr>
          <w:w w:val="105"/>
        </w:rPr>
        <w:t xml:space="preserve">Submitted to the Federal Regulations Web Portal: </w:t>
      </w:r>
      <w:hyperlink r:id="rId6">
        <w:r>
          <w:rPr>
            <w:w w:val="105"/>
            <w:u w:val="thick"/>
          </w:rPr>
          <w:t>http://ww</w:t>
        </w:r>
        <w:r>
          <w:rPr>
            <w:w w:val="105"/>
            <w:u w:val="thick"/>
          </w:rPr>
          <w:t>w.regulations.gov</w:t>
        </w:r>
      </w:hyperlink>
    </w:p>
    <w:p w:rsidR="007651BE" w:rsidRDefault="007651BE">
      <w:pPr>
        <w:pStyle w:val="BodyText"/>
        <w:spacing w:before="4"/>
        <w:rPr>
          <w:sz w:val="23"/>
        </w:rPr>
      </w:pPr>
    </w:p>
    <w:p w:rsidR="007651BE" w:rsidRDefault="00026358">
      <w:pPr>
        <w:pStyle w:val="Heading2"/>
        <w:spacing w:line="247" w:lineRule="auto"/>
        <w:ind w:left="814" w:right="2202" w:firstLine="6"/>
        <w:jc w:val="both"/>
      </w:pPr>
      <w:r>
        <w:rPr>
          <w:w w:val="105"/>
        </w:rPr>
        <w:t>Re:</w:t>
      </w:r>
      <w:r>
        <w:rPr>
          <w:spacing w:val="-10"/>
          <w:w w:val="105"/>
        </w:rPr>
        <w:t xml:space="preserve"> </w:t>
      </w:r>
      <w:r>
        <w:rPr>
          <w:w w:val="105"/>
        </w:rPr>
        <w:t>Advance</w:t>
      </w:r>
      <w:r>
        <w:rPr>
          <w:spacing w:val="6"/>
          <w:w w:val="105"/>
        </w:rPr>
        <w:t xml:space="preserve"> </w:t>
      </w:r>
      <w:r>
        <w:rPr>
          <w:w w:val="105"/>
        </w:rPr>
        <w:t>Notice</w:t>
      </w:r>
      <w:r>
        <w:rPr>
          <w:spacing w:val="-2"/>
          <w:w w:val="105"/>
        </w:rPr>
        <w:t xml:space="preserve"> </w:t>
      </w:r>
      <w:r>
        <w:rPr>
          <w:w w:val="105"/>
        </w:rPr>
        <w:t>of</w:t>
      </w:r>
      <w:r>
        <w:rPr>
          <w:spacing w:val="-4"/>
          <w:w w:val="105"/>
        </w:rPr>
        <w:t xml:space="preserve"> </w:t>
      </w:r>
      <w:r>
        <w:rPr>
          <w:w w:val="105"/>
        </w:rPr>
        <w:t>Methodological</w:t>
      </w:r>
      <w:r>
        <w:rPr>
          <w:spacing w:val="-18"/>
          <w:w w:val="105"/>
        </w:rPr>
        <w:t xml:space="preserve"> </w:t>
      </w:r>
      <w:r>
        <w:rPr>
          <w:w w:val="105"/>
        </w:rPr>
        <w:t>Changes</w:t>
      </w:r>
      <w:r>
        <w:rPr>
          <w:spacing w:val="-8"/>
          <w:w w:val="105"/>
        </w:rPr>
        <w:t xml:space="preserve"> </w:t>
      </w:r>
      <w:r>
        <w:rPr>
          <w:w w:val="105"/>
        </w:rPr>
        <w:t>for</w:t>
      </w:r>
      <w:r>
        <w:rPr>
          <w:spacing w:val="-15"/>
          <w:w w:val="105"/>
        </w:rPr>
        <w:t xml:space="preserve"> </w:t>
      </w:r>
      <w:r>
        <w:rPr>
          <w:w w:val="105"/>
        </w:rPr>
        <w:t>Calendar</w:t>
      </w:r>
      <w:r>
        <w:rPr>
          <w:spacing w:val="-1"/>
          <w:w w:val="105"/>
        </w:rPr>
        <w:t xml:space="preserve"> </w:t>
      </w:r>
      <w:r>
        <w:rPr>
          <w:w w:val="105"/>
        </w:rPr>
        <w:t>Year</w:t>
      </w:r>
      <w:r>
        <w:rPr>
          <w:spacing w:val="-2"/>
          <w:w w:val="105"/>
        </w:rPr>
        <w:t xml:space="preserve"> </w:t>
      </w:r>
      <w:r>
        <w:rPr>
          <w:w w:val="105"/>
        </w:rPr>
        <w:t>(CY)</w:t>
      </w:r>
      <w:r>
        <w:rPr>
          <w:spacing w:val="1"/>
          <w:w w:val="105"/>
        </w:rPr>
        <w:t xml:space="preserve"> </w:t>
      </w:r>
      <w:r>
        <w:rPr>
          <w:w w:val="105"/>
        </w:rPr>
        <w:t>2019</w:t>
      </w:r>
      <w:r>
        <w:rPr>
          <w:spacing w:val="-3"/>
          <w:w w:val="105"/>
        </w:rPr>
        <w:t xml:space="preserve"> </w:t>
      </w:r>
      <w:r>
        <w:rPr>
          <w:w w:val="105"/>
        </w:rPr>
        <w:t>for Medicare</w:t>
      </w:r>
      <w:r>
        <w:rPr>
          <w:spacing w:val="5"/>
          <w:w w:val="105"/>
        </w:rPr>
        <w:t xml:space="preserve"> </w:t>
      </w:r>
      <w:r>
        <w:rPr>
          <w:w w:val="105"/>
        </w:rPr>
        <w:t>Advantage</w:t>
      </w:r>
      <w:r>
        <w:rPr>
          <w:spacing w:val="6"/>
          <w:w w:val="105"/>
        </w:rPr>
        <w:t xml:space="preserve"> </w:t>
      </w:r>
      <w:r>
        <w:rPr>
          <w:w w:val="105"/>
        </w:rPr>
        <w:t>(MA)</w:t>
      </w:r>
      <w:r>
        <w:rPr>
          <w:spacing w:val="-6"/>
          <w:w w:val="105"/>
        </w:rPr>
        <w:t xml:space="preserve"> </w:t>
      </w:r>
      <w:r>
        <w:rPr>
          <w:w w:val="105"/>
        </w:rPr>
        <w:t>Capitation</w:t>
      </w:r>
      <w:r>
        <w:rPr>
          <w:spacing w:val="7"/>
          <w:w w:val="105"/>
        </w:rPr>
        <w:t xml:space="preserve"> </w:t>
      </w:r>
      <w:r>
        <w:rPr>
          <w:w w:val="105"/>
        </w:rPr>
        <w:t>Rates,</w:t>
      </w:r>
      <w:r>
        <w:rPr>
          <w:spacing w:val="-6"/>
          <w:w w:val="105"/>
        </w:rPr>
        <w:t xml:space="preserve"> </w:t>
      </w:r>
      <w:r>
        <w:rPr>
          <w:w w:val="105"/>
        </w:rPr>
        <w:t>Part</w:t>
      </w:r>
      <w:r>
        <w:rPr>
          <w:spacing w:val="-13"/>
          <w:w w:val="105"/>
        </w:rPr>
        <w:t xml:space="preserve"> </w:t>
      </w:r>
      <w:r>
        <w:rPr>
          <w:w w:val="105"/>
        </w:rPr>
        <w:t>C</w:t>
      </w:r>
      <w:r>
        <w:rPr>
          <w:spacing w:val="-9"/>
          <w:w w:val="105"/>
        </w:rPr>
        <w:t xml:space="preserve"> </w:t>
      </w:r>
      <w:r>
        <w:rPr>
          <w:w w:val="105"/>
        </w:rPr>
        <w:t>and</w:t>
      </w:r>
      <w:r>
        <w:rPr>
          <w:spacing w:val="-7"/>
          <w:w w:val="105"/>
        </w:rPr>
        <w:t xml:space="preserve"> </w:t>
      </w:r>
      <w:r>
        <w:rPr>
          <w:w w:val="105"/>
        </w:rPr>
        <w:t>Part</w:t>
      </w:r>
      <w:r>
        <w:rPr>
          <w:spacing w:val="-11"/>
          <w:w w:val="105"/>
        </w:rPr>
        <w:t xml:space="preserve"> </w:t>
      </w:r>
      <w:r>
        <w:rPr>
          <w:w w:val="105"/>
        </w:rPr>
        <w:t>D</w:t>
      </w:r>
      <w:r>
        <w:rPr>
          <w:spacing w:val="-10"/>
          <w:w w:val="105"/>
        </w:rPr>
        <w:t xml:space="preserve"> </w:t>
      </w:r>
      <w:r>
        <w:rPr>
          <w:w w:val="105"/>
        </w:rPr>
        <w:t>Payment</w:t>
      </w:r>
      <w:r>
        <w:rPr>
          <w:spacing w:val="-12"/>
          <w:w w:val="105"/>
        </w:rPr>
        <w:t xml:space="preserve"> </w:t>
      </w:r>
      <w:r>
        <w:rPr>
          <w:w w:val="105"/>
        </w:rPr>
        <w:t>Policies and 2019 Call</w:t>
      </w:r>
      <w:r>
        <w:rPr>
          <w:spacing w:val="-7"/>
          <w:w w:val="105"/>
        </w:rPr>
        <w:t xml:space="preserve"> </w:t>
      </w:r>
      <w:r>
        <w:rPr>
          <w:w w:val="105"/>
        </w:rPr>
        <w:t>Letter</w:t>
      </w:r>
    </w:p>
    <w:p w:rsidR="007651BE" w:rsidRDefault="007651BE">
      <w:pPr>
        <w:pStyle w:val="BodyText"/>
        <w:spacing w:before="1"/>
        <w:rPr>
          <w:b/>
          <w:sz w:val="22"/>
        </w:rPr>
      </w:pPr>
    </w:p>
    <w:p w:rsidR="007651BE" w:rsidRDefault="00026358">
      <w:pPr>
        <w:pStyle w:val="BodyText"/>
        <w:spacing w:before="1"/>
        <w:ind w:left="813"/>
      </w:pPr>
      <w:r>
        <w:rPr>
          <w:w w:val="105"/>
        </w:rPr>
        <w:t>Dear Mr. Kouzoukas:</w:t>
      </w:r>
    </w:p>
    <w:p w:rsidR="007651BE" w:rsidRDefault="007651BE">
      <w:pPr>
        <w:pStyle w:val="BodyText"/>
        <w:spacing w:before="1"/>
        <w:rPr>
          <w:sz w:val="24"/>
        </w:rPr>
      </w:pPr>
    </w:p>
    <w:p w:rsidR="007651BE" w:rsidRDefault="00026358">
      <w:pPr>
        <w:spacing w:line="254" w:lineRule="auto"/>
        <w:ind w:left="808" w:right="1845" w:firstLine="5"/>
        <w:rPr>
          <w:b/>
          <w:sz w:val="21"/>
        </w:rPr>
      </w:pPr>
      <w:r>
        <w:pict>
          <v:line id="_x0000_s1035" style="position:absolute;left:0;text-align:left;z-index:251661312;mso-position-horizontal-relative:page" from="606.4pt,438.95pt" to="606.4pt,9.85pt" strokeweight="1.08pt">
            <w10:wrap anchorx="page"/>
          </v:line>
        </w:pict>
      </w:r>
      <w:r>
        <w:rPr>
          <w:w w:val="105"/>
          <w:sz w:val="21"/>
        </w:rPr>
        <w:t xml:space="preserve">Blue Cross Blue Shield of Michigan and Blue Care Network appreciate the opportunity to review and provide comments to the Centers for Medicare &amp; Medicaid Services on the </w:t>
      </w:r>
      <w:r>
        <w:rPr>
          <w:b/>
          <w:w w:val="105"/>
          <w:sz w:val="21"/>
        </w:rPr>
        <w:t>CY 2019 Advance Notice and Draft Call Letter for Part C and Part D.</w:t>
      </w:r>
    </w:p>
    <w:p w:rsidR="007651BE" w:rsidRDefault="007651BE">
      <w:pPr>
        <w:pStyle w:val="BodyText"/>
        <w:spacing w:before="6"/>
        <w:rPr>
          <w:b/>
        </w:rPr>
      </w:pPr>
    </w:p>
    <w:p w:rsidR="007651BE" w:rsidRDefault="00026358">
      <w:pPr>
        <w:pStyle w:val="BodyText"/>
        <w:spacing w:before="1" w:line="249" w:lineRule="auto"/>
        <w:ind w:left="800" w:right="1845" w:firstLine="6"/>
      </w:pPr>
      <w:r>
        <w:rPr>
          <w:w w:val="105"/>
        </w:rPr>
        <w:t>BCSBM has more th</w:t>
      </w:r>
      <w:r>
        <w:rPr>
          <w:w w:val="105"/>
        </w:rPr>
        <w:t xml:space="preserve">an 468,000 members enrolled in our Medicare Advantage and Part </w:t>
      </w:r>
      <w:r>
        <w:rPr>
          <w:b/>
          <w:w w:val="105"/>
        </w:rPr>
        <w:t xml:space="preserve">D </w:t>
      </w:r>
      <w:r>
        <w:rPr>
          <w:w w:val="105"/>
        </w:rPr>
        <w:t>plans and has an overall rating of 4 stars. Our HMO, Blue Care Network (BCN), has approximately 88,000 members and an overall rating of 4 stars. Our combined group membership is approximately</w:t>
      </w:r>
      <w:r>
        <w:rPr>
          <w:w w:val="105"/>
        </w:rPr>
        <w:t xml:space="preserve"> 382,000 members, many of whom include retired city and state employees. With many years of combined individual and group Medicare experience, we look forward to continuing to partner with CMS to improve member satisfaction and quality outcomes in the Medi</w:t>
      </w:r>
      <w:r>
        <w:rPr>
          <w:w w:val="105"/>
        </w:rPr>
        <w:t>care program.</w:t>
      </w:r>
    </w:p>
    <w:p w:rsidR="007651BE" w:rsidRDefault="007651BE">
      <w:pPr>
        <w:pStyle w:val="BodyText"/>
        <w:spacing w:before="7"/>
        <w:rPr>
          <w:sz w:val="22"/>
        </w:rPr>
      </w:pPr>
    </w:p>
    <w:p w:rsidR="007651BE" w:rsidRDefault="00026358">
      <w:pPr>
        <w:pStyle w:val="BodyText"/>
        <w:spacing w:line="242" w:lineRule="auto"/>
        <w:ind w:left="802" w:right="2354" w:hanging="7"/>
      </w:pPr>
      <w:r>
        <w:rPr>
          <w:w w:val="105"/>
        </w:rPr>
        <w:t xml:space="preserve">This letter highlights our key concerns and recommendations </w:t>
      </w:r>
      <w:r>
        <w:rPr>
          <w:b/>
          <w:w w:val="105"/>
        </w:rPr>
        <w:t xml:space="preserve">in </w:t>
      </w:r>
      <w:r>
        <w:rPr>
          <w:w w:val="105"/>
        </w:rPr>
        <w:t>response to the CY 2019 Advance Notice and Draft Call Letter.</w:t>
      </w:r>
    </w:p>
    <w:p w:rsidR="007651BE" w:rsidRDefault="007651BE">
      <w:pPr>
        <w:pStyle w:val="BodyText"/>
        <w:spacing w:before="2"/>
        <w:rPr>
          <w:sz w:val="23"/>
        </w:rPr>
      </w:pPr>
    </w:p>
    <w:p w:rsidR="007651BE" w:rsidRDefault="00026358">
      <w:pPr>
        <w:pStyle w:val="BodyText"/>
        <w:spacing w:line="242" w:lineRule="auto"/>
        <w:ind w:left="793" w:right="2817" w:firstLine="4"/>
      </w:pPr>
      <w:r>
        <w:rPr>
          <w:w w:val="105"/>
        </w:rPr>
        <w:t>One issue that is of utmost importance to BCBSM is the payment policy for MA employer/union-only group waiver plans.</w:t>
      </w:r>
    </w:p>
    <w:p w:rsidR="007651BE" w:rsidRDefault="007651BE">
      <w:pPr>
        <w:pStyle w:val="BodyText"/>
        <w:spacing w:before="11"/>
      </w:pPr>
    </w:p>
    <w:p w:rsidR="007651BE" w:rsidRDefault="00026358">
      <w:pPr>
        <w:pStyle w:val="Heading2"/>
        <w:ind w:left="793"/>
      </w:pPr>
      <w:r>
        <w:rPr>
          <w:w w:val="105"/>
          <w:u w:val="thick"/>
        </w:rPr>
        <w:t>MA Employer Group Waiver Plans</w:t>
      </w:r>
    </w:p>
    <w:p w:rsidR="007651BE" w:rsidRDefault="00026358">
      <w:pPr>
        <w:pStyle w:val="BodyText"/>
        <w:spacing w:before="25" w:line="249" w:lineRule="auto"/>
        <w:ind w:left="792" w:right="1845" w:hanging="2"/>
      </w:pPr>
      <w:r>
        <w:rPr>
          <w:w w:val="105"/>
        </w:rPr>
        <w:t>For 2019, CMS is proposing to fully transition to using only individual market plan bids to calculate the b</w:t>
      </w:r>
      <w:r>
        <w:rPr>
          <w:w w:val="105"/>
        </w:rPr>
        <w:t>id-to-benchmark ratios to set MA EGWP payments, as initially discussed</w:t>
      </w:r>
    </w:p>
    <w:p w:rsidR="007651BE" w:rsidRDefault="00026358">
      <w:pPr>
        <w:pStyle w:val="BodyText"/>
        <w:tabs>
          <w:tab w:val="left" w:pos="484"/>
        </w:tabs>
        <w:spacing w:line="239" w:lineRule="exact"/>
        <w:ind w:left="113"/>
        <w:rPr>
          <w:sz w:val="26"/>
        </w:rPr>
      </w:pPr>
      <w:r>
        <w:pict>
          <v:line id="_x0000_s1034" style="position:absolute;left:0;text-align:left;z-index:-251661312;mso-position-horizontal-relative:page" from="298.1pt,9.35pt" to="302.05pt,9.35pt" strokeweight=".36pt">
            <w10:wrap anchorx="page"/>
          </v:line>
        </w:pict>
      </w:r>
      <w:r>
        <w:rPr>
          <w:w w:val="105"/>
        </w:rPr>
        <w:t>-</w:t>
      </w:r>
      <w:r>
        <w:rPr>
          <w:w w:val="105"/>
        </w:rPr>
        <w:tab/>
        <w:t>--   ilflne2017AavanceNotice anffRate Announcement.  CMS also intends to  con</w:t>
      </w:r>
      <w:r>
        <w:rPr>
          <w:w w:val="105"/>
          <w:u w:val="thick"/>
        </w:rPr>
        <w:t xml:space="preserve">flnue </w:t>
      </w:r>
      <w:r>
        <w:rPr>
          <w:spacing w:val="59"/>
          <w:w w:val="105"/>
          <w:u w:val="thick"/>
        </w:rPr>
        <w:t xml:space="preserve"> </w:t>
      </w:r>
      <w:r>
        <w:rPr>
          <w:w w:val="105"/>
          <w:sz w:val="26"/>
        </w:rPr>
        <w:t>fo­</w:t>
      </w:r>
    </w:p>
    <w:p w:rsidR="007651BE" w:rsidRDefault="00026358">
      <w:pPr>
        <w:pStyle w:val="BodyText"/>
        <w:ind w:left="785"/>
      </w:pPr>
      <w:r>
        <w:rPr>
          <w:w w:val="105"/>
        </w:rPr>
        <w:t>waive the Bid Pricing Tool bidding requirements for all MA EGWPs in 2019.</w:t>
      </w:r>
    </w:p>
    <w:p w:rsidR="007651BE" w:rsidRDefault="007651BE">
      <w:pPr>
        <w:pStyle w:val="BodyText"/>
        <w:spacing w:before="9"/>
        <w:rPr>
          <w:sz w:val="22"/>
        </w:rPr>
      </w:pPr>
    </w:p>
    <w:p w:rsidR="007651BE" w:rsidRDefault="00026358">
      <w:pPr>
        <w:pStyle w:val="BodyText"/>
        <w:spacing w:line="247" w:lineRule="auto"/>
        <w:ind w:left="787" w:right="1959" w:firstLine="1"/>
      </w:pPr>
      <w:r>
        <w:rPr>
          <w:w w:val="105"/>
        </w:rPr>
        <w:t>In 2017, CMS propos</w:t>
      </w:r>
      <w:r>
        <w:rPr>
          <w:w w:val="105"/>
        </w:rPr>
        <w:t xml:space="preserve">ed an alternate payment policy in exchange for waiving bidding requirements for all MA EGWPs. The EGWP payment policy was partially implemented, such that 50% EGWP funding was based on 2016 EGWP bid-to-benchmark ratios and 50% of EGWP funding was based on </w:t>
      </w:r>
      <w:r>
        <w:rPr>
          <w:w w:val="105"/>
        </w:rPr>
        <w:t>2016 individual market plan bid-to-benchmark</w:t>
      </w:r>
    </w:p>
    <w:p w:rsidR="007651BE" w:rsidRDefault="007651BE">
      <w:pPr>
        <w:spacing w:line="247" w:lineRule="auto"/>
        <w:sectPr w:rsidR="007651BE">
          <w:footerReference w:type="default" r:id="rId7"/>
          <w:type w:val="continuous"/>
          <w:pgSz w:w="12240" w:h="15840"/>
          <w:pgMar w:top="220" w:right="0" w:bottom="0" w:left="920" w:header="720" w:footer="0" w:gutter="0"/>
          <w:pgNumType w:start="1"/>
          <w:cols w:space="720"/>
        </w:sectPr>
      </w:pPr>
    </w:p>
    <w:p w:rsidR="007651BE" w:rsidRDefault="00026358">
      <w:pPr>
        <w:pStyle w:val="BodyText"/>
        <w:spacing w:before="67" w:line="242" w:lineRule="auto"/>
        <w:ind w:left="442" w:right="2363"/>
      </w:pPr>
      <w:r>
        <w:rPr>
          <w:w w:val="105"/>
        </w:rPr>
        <w:lastRenderedPageBreak/>
        <w:t>ratios. In 2018, CMS delayed full implementation of the new payment methodology, maintaining the 50/50 blend.</w:t>
      </w:r>
    </w:p>
    <w:p w:rsidR="007651BE" w:rsidRDefault="007651BE">
      <w:pPr>
        <w:pStyle w:val="BodyText"/>
        <w:spacing w:before="2"/>
        <w:rPr>
          <w:sz w:val="23"/>
        </w:rPr>
      </w:pPr>
    </w:p>
    <w:p w:rsidR="007651BE" w:rsidRDefault="00026358">
      <w:pPr>
        <w:spacing w:before="1" w:line="249" w:lineRule="auto"/>
        <w:ind w:left="435" w:right="1932" w:firstLine="1"/>
        <w:rPr>
          <w:b/>
          <w:sz w:val="21"/>
        </w:rPr>
      </w:pPr>
      <w:r>
        <w:rPr>
          <w:w w:val="105"/>
          <w:sz w:val="21"/>
        </w:rPr>
        <w:t>The alternate payment policy has reduced EGWP funding, putting pressure on benefits, out-of-pocket costs for beneficiaries and on groups' ability</w:t>
      </w:r>
      <w:r>
        <w:rPr>
          <w:w w:val="105"/>
          <w:sz w:val="21"/>
        </w:rPr>
        <w:t xml:space="preserve"> to maintain retiree coverage. The significant reduction in payment to MA group plans far outweighs the purported administrative</w:t>
      </w:r>
      <w:r>
        <w:rPr>
          <w:spacing w:val="-12"/>
          <w:w w:val="105"/>
          <w:sz w:val="21"/>
        </w:rPr>
        <w:t xml:space="preserve"> </w:t>
      </w:r>
      <w:r>
        <w:rPr>
          <w:w w:val="105"/>
          <w:sz w:val="21"/>
        </w:rPr>
        <w:t>benefits</w:t>
      </w:r>
      <w:r>
        <w:rPr>
          <w:spacing w:val="4"/>
          <w:w w:val="105"/>
          <w:sz w:val="21"/>
        </w:rPr>
        <w:t xml:space="preserve"> </w:t>
      </w:r>
      <w:r>
        <w:rPr>
          <w:w w:val="105"/>
          <w:sz w:val="21"/>
        </w:rPr>
        <w:t>of</w:t>
      </w:r>
      <w:r>
        <w:rPr>
          <w:spacing w:val="-20"/>
          <w:w w:val="105"/>
          <w:sz w:val="21"/>
        </w:rPr>
        <w:t xml:space="preserve"> </w:t>
      </w:r>
      <w:r>
        <w:rPr>
          <w:w w:val="105"/>
          <w:sz w:val="21"/>
        </w:rPr>
        <w:t>no</w:t>
      </w:r>
      <w:r>
        <w:rPr>
          <w:spacing w:val="-12"/>
          <w:w w:val="105"/>
          <w:sz w:val="21"/>
        </w:rPr>
        <w:t xml:space="preserve"> </w:t>
      </w:r>
      <w:r>
        <w:rPr>
          <w:w w:val="105"/>
          <w:sz w:val="21"/>
        </w:rPr>
        <w:t>longer</w:t>
      </w:r>
      <w:r>
        <w:rPr>
          <w:spacing w:val="-9"/>
          <w:w w:val="105"/>
          <w:sz w:val="21"/>
        </w:rPr>
        <w:t xml:space="preserve"> </w:t>
      </w:r>
      <w:r>
        <w:rPr>
          <w:w w:val="105"/>
          <w:sz w:val="21"/>
        </w:rPr>
        <w:t>submitting</w:t>
      </w:r>
      <w:r>
        <w:rPr>
          <w:spacing w:val="4"/>
          <w:w w:val="105"/>
          <w:sz w:val="21"/>
        </w:rPr>
        <w:t xml:space="preserve"> </w:t>
      </w:r>
      <w:r>
        <w:rPr>
          <w:w w:val="105"/>
          <w:sz w:val="21"/>
        </w:rPr>
        <w:t>bids.</w:t>
      </w:r>
      <w:r>
        <w:rPr>
          <w:spacing w:val="-10"/>
          <w:w w:val="105"/>
          <w:sz w:val="21"/>
        </w:rPr>
        <w:t xml:space="preserve"> </w:t>
      </w:r>
      <w:r>
        <w:rPr>
          <w:b/>
          <w:w w:val="105"/>
          <w:sz w:val="21"/>
        </w:rPr>
        <w:t>Therefore,</w:t>
      </w:r>
      <w:r>
        <w:rPr>
          <w:b/>
          <w:spacing w:val="-2"/>
          <w:w w:val="105"/>
          <w:sz w:val="21"/>
        </w:rPr>
        <w:t xml:space="preserve"> </w:t>
      </w:r>
      <w:r>
        <w:rPr>
          <w:b/>
          <w:w w:val="105"/>
          <w:sz w:val="21"/>
        </w:rPr>
        <w:t>BCBSM</w:t>
      </w:r>
      <w:r>
        <w:rPr>
          <w:b/>
          <w:spacing w:val="1"/>
          <w:w w:val="105"/>
          <w:sz w:val="21"/>
        </w:rPr>
        <w:t xml:space="preserve"> </w:t>
      </w:r>
      <w:r>
        <w:rPr>
          <w:b/>
          <w:w w:val="105"/>
          <w:sz w:val="21"/>
        </w:rPr>
        <w:t>strongly</w:t>
      </w:r>
      <w:r>
        <w:rPr>
          <w:b/>
          <w:spacing w:val="-8"/>
          <w:w w:val="105"/>
          <w:sz w:val="21"/>
        </w:rPr>
        <w:t xml:space="preserve"> </w:t>
      </w:r>
      <w:r>
        <w:rPr>
          <w:b/>
          <w:w w:val="105"/>
          <w:sz w:val="21"/>
        </w:rPr>
        <w:t>urges CMS to avoid any further negative impacts to MA groups a</w:t>
      </w:r>
      <w:r>
        <w:rPr>
          <w:b/>
          <w:w w:val="105"/>
          <w:sz w:val="21"/>
        </w:rPr>
        <w:t>nd maintain the blended</w:t>
      </w:r>
      <w:r>
        <w:rPr>
          <w:b/>
          <w:spacing w:val="-5"/>
          <w:w w:val="105"/>
          <w:sz w:val="21"/>
        </w:rPr>
        <w:t xml:space="preserve"> </w:t>
      </w:r>
      <w:r>
        <w:rPr>
          <w:b/>
          <w:w w:val="105"/>
          <w:sz w:val="21"/>
        </w:rPr>
        <w:t>approach</w:t>
      </w:r>
      <w:r>
        <w:rPr>
          <w:b/>
          <w:spacing w:val="-2"/>
          <w:w w:val="105"/>
          <w:sz w:val="21"/>
        </w:rPr>
        <w:t xml:space="preserve"> </w:t>
      </w:r>
      <w:r>
        <w:rPr>
          <w:b/>
          <w:w w:val="105"/>
          <w:sz w:val="21"/>
        </w:rPr>
        <w:t>to</w:t>
      </w:r>
      <w:r>
        <w:rPr>
          <w:b/>
          <w:spacing w:val="-9"/>
          <w:w w:val="105"/>
          <w:sz w:val="21"/>
        </w:rPr>
        <w:t xml:space="preserve"> </w:t>
      </w:r>
      <w:r>
        <w:rPr>
          <w:b/>
          <w:w w:val="105"/>
          <w:sz w:val="21"/>
        </w:rPr>
        <w:t>the</w:t>
      </w:r>
      <w:r>
        <w:rPr>
          <w:b/>
          <w:spacing w:val="-13"/>
          <w:w w:val="105"/>
          <w:sz w:val="21"/>
        </w:rPr>
        <w:t xml:space="preserve"> </w:t>
      </w:r>
      <w:r>
        <w:rPr>
          <w:b/>
          <w:w w:val="105"/>
          <w:sz w:val="21"/>
        </w:rPr>
        <w:t>EGWP</w:t>
      </w:r>
      <w:r>
        <w:rPr>
          <w:b/>
          <w:spacing w:val="1"/>
          <w:w w:val="105"/>
          <w:sz w:val="21"/>
        </w:rPr>
        <w:t xml:space="preserve"> </w:t>
      </w:r>
      <w:r>
        <w:rPr>
          <w:b/>
          <w:w w:val="105"/>
          <w:sz w:val="21"/>
        </w:rPr>
        <w:t>payment</w:t>
      </w:r>
      <w:r>
        <w:rPr>
          <w:b/>
          <w:spacing w:val="-7"/>
          <w:w w:val="105"/>
          <w:sz w:val="21"/>
        </w:rPr>
        <w:t xml:space="preserve"> </w:t>
      </w:r>
      <w:r>
        <w:rPr>
          <w:b/>
          <w:w w:val="105"/>
          <w:sz w:val="21"/>
        </w:rPr>
        <w:t>policy</w:t>
      </w:r>
      <w:r>
        <w:rPr>
          <w:b/>
          <w:spacing w:val="-6"/>
          <w:w w:val="105"/>
          <w:sz w:val="21"/>
        </w:rPr>
        <w:t xml:space="preserve"> </w:t>
      </w:r>
      <w:r>
        <w:rPr>
          <w:b/>
          <w:w w:val="105"/>
          <w:sz w:val="21"/>
        </w:rPr>
        <w:t>that</w:t>
      </w:r>
      <w:r>
        <w:rPr>
          <w:b/>
          <w:spacing w:val="-11"/>
          <w:w w:val="105"/>
          <w:sz w:val="21"/>
        </w:rPr>
        <w:t xml:space="preserve"> </w:t>
      </w:r>
      <w:r>
        <w:rPr>
          <w:b/>
          <w:w w:val="105"/>
          <w:sz w:val="21"/>
        </w:rPr>
        <w:t>applied</w:t>
      </w:r>
      <w:r>
        <w:rPr>
          <w:b/>
          <w:spacing w:val="-3"/>
          <w:w w:val="105"/>
          <w:sz w:val="21"/>
        </w:rPr>
        <w:t xml:space="preserve"> </w:t>
      </w:r>
      <w:r>
        <w:rPr>
          <w:b/>
          <w:w w:val="105"/>
          <w:sz w:val="21"/>
        </w:rPr>
        <w:t>in</w:t>
      </w:r>
      <w:r>
        <w:rPr>
          <w:b/>
          <w:spacing w:val="1"/>
          <w:w w:val="105"/>
          <w:sz w:val="21"/>
        </w:rPr>
        <w:t xml:space="preserve"> </w:t>
      </w:r>
      <w:r>
        <w:rPr>
          <w:b/>
          <w:w w:val="105"/>
          <w:sz w:val="21"/>
        </w:rPr>
        <w:t>2017</w:t>
      </w:r>
      <w:r>
        <w:rPr>
          <w:b/>
          <w:spacing w:val="-11"/>
          <w:w w:val="105"/>
          <w:sz w:val="21"/>
        </w:rPr>
        <w:t xml:space="preserve"> </w:t>
      </w:r>
      <w:r>
        <w:rPr>
          <w:b/>
          <w:w w:val="105"/>
          <w:sz w:val="21"/>
        </w:rPr>
        <w:t>and</w:t>
      </w:r>
      <w:r>
        <w:rPr>
          <w:b/>
          <w:spacing w:val="1"/>
          <w:w w:val="105"/>
          <w:sz w:val="21"/>
        </w:rPr>
        <w:t xml:space="preserve"> </w:t>
      </w:r>
      <w:r>
        <w:rPr>
          <w:b/>
          <w:w w:val="105"/>
          <w:sz w:val="21"/>
        </w:rPr>
        <w:t>2018.</w:t>
      </w:r>
    </w:p>
    <w:p w:rsidR="007651BE" w:rsidRDefault="007651BE">
      <w:pPr>
        <w:pStyle w:val="BodyText"/>
        <w:rPr>
          <w:b/>
          <w:sz w:val="22"/>
        </w:rPr>
      </w:pPr>
    </w:p>
    <w:p w:rsidR="007651BE" w:rsidRDefault="00026358">
      <w:pPr>
        <w:spacing w:line="252" w:lineRule="auto"/>
        <w:ind w:left="424" w:right="1954" w:firstLine="5"/>
        <w:rPr>
          <w:b/>
          <w:sz w:val="21"/>
        </w:rPr>
      </w:pPr>
      <w:r>
        <w:pict>
          <v:line id="_x0000_s1033" style="position:absolute;left:0;text-align:left;z-index:251662336;mso-position-horizontal-relative:page" from="606.95pt,628.35pt" to="606.95pt,124.35pt" strokeweight="1.08pt">
            <w10:wrap anchorx="page"/>
          </v:line>
        </w:pict>
      </w:r>
      <w:r>
        <w:rPr>
          <w:w w:val="105"/>
          <w:sz w:val="21"/>
        </w:rPr>
        <w:t>In addition, CMS is considering making an adjustment to the payment methodology to account for the proportion of Health Maintenance Organization and Preferred Provider Organization beneficiaries enrolled in EGWPs. Because most EGWPs are PPOs, we believe th</w:t>
      </w:r>
      <w:r>
        <w:rPr>
          <w:w w:val="105"/>
          <w:sz w:val="21"/>
        </w:rPr>
        <w:t>is additional step would provide a more precise comparison to the utilization that occurs in EGWPs. To even more accurately reflect the cost differences in PPO and HMO plans, we recommend CMS base Group PPO payments off individual PPO bid-to­ benchmark rat</w:t>
      </w:r>
      <w:r>
        <w:rPr>
          <w:w w:val="105"/>
          <w:sz w:val="21"/>
        </w:rPr>
        <w:t xml:space="preserve">ios and Group HMO payments off individual HMO bid-to-benchmark ratios. </w:t>
      </w:r>
      <w:r>
        <w:rPr>
          <w:b/>
          <w:w w:val="105"/>
          <w:sz w:val="21"/>
        </w:rPr>
        <w:t xml:space="preserve">BCBSM believes this is a critical step to accurately funding EGWPs and we strongly encourage CMS to implement the payment adjustment regardless of full or partial implementation of the </w:t>
      </w:r>
      <w:r>
        <w:rPr>
          <w:b/>
          <w:w w:val="105"/>
          <w:sz w:val="21"/>
        </w:rPr>
        <w:t>alternate payment policy mentioned above.</w:t>
      </w:r>
    </w:p>
    <w:p w:rsidR="007651BE" w:rsidRDefault="007651BE">
      <w:pPr>
        <w:pStyle w:val="BodyText"/>
        <w:spacing w:before="4"/>
        <w:rPr>
          <w:b/>
          <w:sz w:val="22"/>
        </w:rPr>
      </w:pPr>
    </w:p>
    <w:p w:rsidR="007651BE" w:rsidRDefault="00026358">
      <w:pPr>
        <w:pStyle w:val="BodyText"/>
        <w:spacing w:line="247" w:lineRule="auto"/>
        <w:ind w:left="421" w:right="1887" w:firstLine="1"/>
      </w:pPr>
      <w:r>
        <w:rPr>
          <w:w w:val="105"/>
        </w:rPr>
        <w:t xml:space="preserve">In addition to this important issue and the recommendations above, additional feedback regarding the CY 2019 Advance Notice and Draft Call Letter is outlined in Attachment </w:t>
      </w:r>
      <w:r>
        <w:rPr>
          <w:w w:val="105"/>
          <w:sz w:val="23"/>
        </w:rPr>
        <w:t xml:space="preserve">A. </w:t>
      </w:r>
      <w:r>
        <w:rPr>
          <w:w w:val="105"/>
        </w:rPr>
        <w:t>If you have any questions or would lik</w:t>
      </w:r>
      <w:r>
        <w:rPr>
          <w:w w:val="105"/>
        </w:rPr>
        <w:t xml:space="preserve">e further information about the information provided, please contact please contact Krischa Winright, Senior Vice President, at </w:t>
      </w:r>
      <w:hyperlink r:id="rId8">
        <w:r>
          <w:rPr>
            <w:w w:val="105"/>
          </w:rPr>
          <w:t>kwinright@bcbsm.com.</w:t>
        </w:r>
      </w:hyperlink>
      <w:r>
        <w:rPr>
          <w:w w:val="105"/>
        </w:rPr>
        <w:t xml:space="preserve"> BCBSM looks forward to continuing its partnership with CMS in</w:t>
      </w:r>
      <w:r>
        <w:rPr>
          <w:w w:val="105"/>
        </w:rPr>
        <w:t xml:space="preserve"> the Part C and D programs. Thank you again for the opportunity to provide feedback.</w:t>
      </w:r>
    </w:p>
    <w:p w:rsidR="007651BE" w:rsidRDefault="007651BE">
      <w:pPr>
        <w:pStyle w:val="BodyText"/>
        <w:rPr>
          <w:sz w:val="22"/>
        </w:rPr>
      </w:pPr>
    </w:p>
    <w:p w:rsidR="007651BE" w:rsidRDefault="007651BE">
      <w:pPr>
        <w:pStyle w:val="BodyText"/>
        <w:rPr>
          <w:sz w:val="22"/>
        </w:rPr>
      </w:pPr>
    </w:p>
    <w:p w:rsidR="007651BE" w:rsidRDefault="007651BE">
      <w:pPr>
        <w:pStyle w:val="BodyText"/>
        <w:spacing w:before="11"/>
      </w:pPr>
    </w:p>
    <w:p w:rsidR="007651BE" w:rsidRDefault="00026358">
      <w:pPr>
        <w:pStyle w:val="BodyText"/>
        <w:ind w:left="418"/>
      </w:pPr>
      <w:r>
        <w:rPr>
          <w:noProof/>
        </w:rPr>
        <w:drawing>
          <wp:anchor distT="0" distB="0" distL="0" distR="0" simplePos="0" relativeHeight="251654144" behindDoc="1" locked="0" layoutInCell="1" allowOverlap="1">
            <wp:simplePos x="0" y="0"/>
            <wp:positionH relativeFrom="page">
              <wp:posOffset>1810511</wp:posOffset>
            </wp:positionH>
            <wp:positionV relativeFrom="paragraph">
              <wp:posOffset>307960</wp:posOffset>
            </wp:positionV>
            <wp:extent cx="1645920" cy="603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645920" cy="603504"/>
                    </a:xfrm>
                    <a:prstGeom prst="rect">
                      <a:avLst/>
                    </a:prstGeom>
                  </pic:spPr>
                </pic:pic>
              </a:graphicData>
            </a:graphic>
          </wp:anchor>
        </w:drawing>
      </w:r>
      <w:r>
        <w:rPr>
          <w:w w:val="105"/>
        </w:rPr>
        <w:t>Sincerely,</w:t>
      </w:r>
    </w:p>
    <w:p w:rsidR="007651BE" w:rsidRDefault="007651BE">
      <w:pPr>
        <w:pStyle w:val="BodyText"/>
        <w:rPr>
          <w:sz w:val="22"/>
        </w:rPr>
      </w:pPr>
    </w:p>
    <w:p w:rsidR="007651BE" w:rsidRDefault="007651BE">
      <w:pPr>
        <w:pStyle w:val="BodyText"/>
        <w:rPr>
          <w:sz w:val="22"/>
        </w:rPr>
      </w:pPr>
    </w:p>
    <w:p w:rsidR="007651BE" w:rsidRDefault="007651BE">
      <w:pPr>
        <w:pStyle w:val="BodyText"/>
        <w:spacing w:before="1"/>
        <w:rPr>
          <w:sz w:val="30"/>
        </w:rPr>
      </w:pPr>
    </w:p>
    <w:p w:rsidR="007651BE" w:rsidRDefault="00026358">
      <w:pPr>
        <w:ind w:left="108"/>
        <w:rPr>
          <w:rFonts w:ascii="Times New Roman"/>
          <w:i/>
          <w:sz w:val="21"/>
        </w:rPr>
      </w:pPr>
      <w:r>
        <w:rPr>
          <w:w w:val="165"/>
          <w:sz w:val="21"/>
        </w:rPr>
        <w:t>;o..,ri'g "ht.::.,</w:t>
      </w:r>
      <w:r>
        <w:rPr>
          <w:rFonts w:ascii="Times New Roman"/>
          <w:i/>
          <w:w w:val="165"/>
          <w:sz w:val="21"/>
        </w:rPr>
        <w:t>'--NA./</w:t>
      </w:r>
    </w:p>
    <w:p w:rsidR="007651BE" w:rsidRDefault="00026358">
      <w:pPr>
        <w:pStyle w:val="BodyText"/>
        <w:spacing w:before="179"/>
        <w:ind w:left="425"/>
      </w:pPr>
      <w:r>
        <w:rPr>
          <w:w w:val="105"/>
        </w:rPr>
        <w:t xml:space="preserve">Senior Vice President, Business Performance </w:t>
      </w:r>
      <w:r>
        <w:rPr>
          <w:w w:val="105"/>
          <w:sz w:val="22"/>
        </w:rPr>
        <w:t xml:space="preserve">&amp; </w:t>
      </w:r>
      <w:r>
        <w:rPr>
          <w:w w:val="105"/>
        </w:rPr>
        <w:t>Development</w:t>
      </w:r>
    </w:p>
    <w:p w:rsidR="007651BE" w:rsidRDefault="007651BE">
      <w:pPr>
        <w:sectPr w:rsidR="007651BE">
          <w:pgSz w:w="12240" w:h="15840"/>
          <w:pgMar w:top="600" w:right="0" w:bottom="20" w:left="1300" w:header="0" w:footer="0" w:gutter="0"/>
          <w:cols w:space="720"/>
        </w:sectPr>
      </w:pPr>
    </w:p>
    <w:p w:rsidR="007651BE" w:rsidRDefault="00026358">
      <w:pPr>
        <w:pStyle w:val="Heading2"/>
        <w:spacing w:before="72"/>
        <w:ind w:left="491"/>
      </w:pPr>
      <w:r>
        <w:rPr>
          <w:w w:val="105"/>
        </w:rPr>
        <w:lastRenderedPageBreak/>
        <w:t>ATTACHMENT A</w:t>
      </w:r>
    </w:p>
    <w:p w:rsidR="007651BE" w:rsidRDefault="007651BE">
      <w:pPr>
        <w:pStyle w:val="BodyText"/>
        <w:spacing w:before="5"/>
        <w:rPr>
          <w:b/>
          <w:sz w:val="19"/>
        </w:rPr>
      </w:pPr>
    </w:p>
    <w:p w:rsidR="007651BE" w:rsidRDefault="00026358">
      <w:pPr>
        <w:pStyle w:val="BodyText"/>
        <w:ind w:left="491" w:right="1871" w:hanging="6"/>
      </w:pPr>
      <w:r>
        <w:rPr>
          <w:w w:val="105"/>
        </w:rPr>
        <w:t>In</w:t>
      </w:r>
      <w:r>
        <w:rPr>
          <w:spacing w:val="-7"/>
          <w:w w:val="105"/>
        </w:rPr>
        <w:t xml:space="preserve"> </w:t>
      </w:r>
      <w:r>
        <w:rPr>
          <w:w w:val="105"/>
        </w:rPr>
        <w:t>addition</w:t>
      </w:r>
      <w:r>
        <w:rPr>
          <w:spacing w:val="-13"/>
          <w:w w:val="105"/>
        </w:rPr>
        <w:t xml:space="preserve"> </w:t>
      </w:r>
      <w:r>
        <w:rPr>
          <w:w w:val="105"/>
        </w:rPr>
        <w:t>to</w:t>
      </w:r>
      <w:r>
        <w:rPr>
          <w:spacing w:val="-9"/>
          <w:w w:val="105"/>
        </w:rPr>
        <w:t xml:space="preserve"> </w:t>
      </w:r>
      <w:r>
        <w:rPr>
          <w:w w:val="105"/>
        </w:rPr>
        <w:t>our</w:t>
      </w:r>
      <w:r>
        <w:rPr>
          <w:spacing w:val="-19"/>
          <w:w w:val="105"/>
        </w:rPr>
        <w:t xml:space="preserve"> </w:t>
      </w:r>
      <w:r>
        <w:rPr>
          <w:w w:val="105"/>
        </w:rPr>
        <w:t>primary</w:t>
      </w:r>
      <w:r>
        <w:rPr>
          <w:spacing w:val="-6"/>
          <w:w w:val="105"/>
        </w:rPr>
        <w:t xml:space="preserve"> </w:t>
      </w:r>
      <w:r>
        <w:rPr>
          <w:w w:val="105"/>
        </w:rPr>
        <w:t>concerns</w:t>
      </w:r>
      <w:r>
        <w:rPr>
          <w:spacing w:val="-3"/>
          <w:w w:val="105"/>
        </w:rPr>
        <w:t xml:space="preserve"> </w:t>
      </w:r>
      <w:r>
        <w:rPr>
          <w:w w:val="105"/>
        </w:rPr>
        <w:t>outlined</w:t>
      </w:r>
      <w:r>
        <w:rPr>
          <w:spacing w:val="-16"/>
          <w:w w:val="105"/>
        </w:rPr>
        <w:t xml:space="preserve"> </w:t>
      </w:r>
      <w:r>
        <w:rPr>
          <w:w w:val="105"/>
        </w:rPr>
        <w:t>in</w:t>
      </w:r>
      <w:r>
        <w:rPr>
          <w:spacing w:val="-11"/>
          <w:w w:val="105"/>
        </w:rPr>
        <w:t xml:space="preserve"> </w:t>
      </w:r>
      <w:r>
        <w:rPr>
          <w:w w:val="105"/>
        </w:rPr>
        <w:t>the</w:t>
      </w:r>
      <w:r>
        <w:rPr>
          <w:spacing w:val="-18"/>
          <w:w w:val="105"/>
        </w:rPr>
        <w:t xml:space="preserve"> </w:t>
      </w:r>
      <w:r>
        <w:rPr>
          <w:rFonts w:ascii="Times New Roman"/>
          <w:i/>
          <w:w w:val="105"/>
          <w:sz w:val="26"/>
        </w:rPr>
        <w:t>cover</w:t>
      </w:r>
      <w:r>
        <w:rPr>
          <w:rFonts w:ascii="Times New Roman"/>
          <w:i/>
          <w:spacing w:val="-18"/>
          <w:w w:val="105"/>
          <w:sz w:val="26"/>
        </w:rPr>
        <w:t xml:space="preserve"> </w:t>
      </w:r>
      <w:r>
        <w:rPr>
          <w:w w:val="105"/>
        </w:rPr>
        <w:t>Jetter,</w:t>
      </w:r>
      <w:r>
        <w:rPr>
          <w:spacing w:val="-13"/>
          <w:w w:val="105"/>
        </w:rPr>
        <w:t xml:space="preserve"> </w:t>
      </w:r>
      <w:r>
        <w:rPr>
          <w:w w:val="105"/>
        </w:rPr>
        <w:t>BCBSM</w:t>
      </w:r>
      <w:r>
        <w:rPr>
          <w:spacing w:val="-14"/>
          <w:w w:val="105"/>
        </w:rPr>
        <w:t xml:space="preserve"> </w:t>
      </w:r>
      <w:r>
        <w:rPr>
          <w:w w:val="105"/>
        </w:rPr>
        <w:t>would</w:t>
      </w:r>
      <w:r>
        <w:rPr>
          <w:spacing w:val="-16"/>
          <w:w w:val="105"/>
        </w:rPr>
        <w:t xml:space="preserve"> </w:t>
      </w:r>
      <w:r>
        <w:rPr>
          <w:w w:val="105"/>
        </w:rPr>
        <w:t>like</w:t>
      </w:r>
      <w:r>
        <w:rPr>
          <w:spacing w:val="-23"/>
          <w:w w:val="105"/>
        </w:rPr>
        <w:t xml:space="preserve"> </w:t>
      </w:r>
      <w:r>
        <w:rPr>
          <w:w w:val="105"/>
        </w:rPr>
        <w:t>to provide feedback on the following other important</w:t>
      </w:r>
      <w:r>
        <w:rPr>
          <w:spacing w:val="-33"/>
          <w:w w:val="105"/>
        </w:rPr>
        <w:t xml:space="preserve"> </w:t>
      </w:r>
      <w:r>
        <w:rPr>
          <w:w w:val="105"/>
        </w:rPr>
        <w:t>issues.</w:t>
      </w:r>
    </w:p>
    <w:p w:rsidR="007651BE" w:rsidRDefault="007651BE">
      <w:pPr>
        <w:pStyle w:val="BodyText"/>
        <w:spacing w:before="6"/>
        <w:rPr>
          <w:sz w:val="20"/>
        </w:rPr>
      </w:pPr>
    </w:p>
    <w:p w:rsidR="007651BE" w:rsidRDefault="00026358">
      <w:pPr>
        <w:pStyle w:val="Heading2"/>
        <w:spacing w:before="1"/>
        <w:ind w:left="488"/>
        <w:rPr>
          <w:rFonts w:ascii="Times New Roman"/>
          <w:b w:val="0"/>
          <w:sz w:val="23"/>
        </w:rPr>
      </w:pPr>
      <w:r>
        <w:rPr>
          <w:u w:val="thick"/>
        </w:rPr>
        <w:t xml:space="preserve">CY  2019 Advance Notice Part  </w:t>
      </w:r>
      <w:r>
        <w:rPr>
          <w:rFonts w:ascii="Times New Roman"/>
          <w:b w:val="0"/>
          <w:sz w:val="23"/>
          <w:u w:val="thick"/>
        </w:rPr>
        <w:t>I</w:t>
      </w:r>
    </w:p>
    <w:p w:rsidR="007651BE" w:rsidRDefault="00026358">
      <w:pPr>
        <w:pStyle w:val="BodyText"/>
        <w:spacing w:before="5" w:line="249" w:lineRule="auto"/>
        <w:ind w:left="483" w:right="2645" w:firstLine="5"/>
      </w:pPr>
      <w:r>
        <w:rPr>
          <w:b/>
          <w:w w:val="105"/>
        </w:rPr>
        <w:t xml:space="preserve">CMS Proposal: </w:t>
      </w:r>
      <w:r>
        <w:rPr>
          <w:w w:val="105"/>
        </w:rPr>
        <w:t>In response to the 21st Century Cures Act requirement, CMS is proposing changes to the CMS-HCC Risk A</w:t>
      </w:r>
      <w:r>
        <w:rPr>
          <w:w w:val="105"/>
        </w:rPr>
        <w:t>djustment Model beginning in 2019.</w:t>
      </w:r>
    </w:p>
    <w:p w:rsidR="007651BE" w:rsidRDefault="007651BE">
      <w:pPr>
        <w:pStyle w:val="BodyText"/>
        <w:spacing w:before="11"/>
      </w:pPr>
    </w:p>
    <w:p w:rsidR="007651BE" w:rsidRDefault="00026358">
      <w:pPr>
        <w:pStyle w:val="Heading2"/>
        <w:spacing w:line="249" w:lineRule="auto"/>
        <w:ind w:left="474" w:right="1871" w:firstLine="8"/>
      </w:pPr>
      <w:r>
        <w:rPr>
          <w:w w:val="105"/>
        </w:rPr>
        <w:t xml:space="preserve">BCBSM Comments: We strongly recommend that CMS delay the start of implementation of a new model until 2020, and continue to engage with plans to determine the best model for 2020 and future years. By the time a decision </w:t>
      </w:r>
      <w:r>
        <w:rPr>
          <w:w w:val="105"/>
        </w:rPr>
        <w:t>is made regarding the 2019 model, nearly half of the 2018 encounter year will have concluded. Plans will need more time to adjust and implement the new model. We are</w:t>
      </w:r>
      <w:r>
        <w:rPr>
          <w:spacing w:val="-8"/>
          <w:w w:val="105"/>
        </w:rPr>
        <w:t xml:space="preserve"> </w:t>
      </w:r>
      <w:r>
        <w:rPr>
          <w:w w:val="105"/>
        </w:rPr>
        <w:t>also</w:t>
      </w:r>
      <w:r>
        <w:rPr>
          <w:spacing w:val="-6"/>
          <w:w w:val="105"/>
        </w:rPr>
        <w:t xml:space="preserve"> </w:t>
      </w:r>
      <w:r>
        <w:rPr>
          <w:w w:val="105"/>
        </w:rPr>
        <w:t>concerned</w:t>
      </w:r>
      <w:r>
        <w:rPr>
          <w:spacing w:val="5"/>
          <w:w w:val="105"/>
        </w:rPr>
        <w:t xml:space="preserve"> </w:t>
      </w:r>
      <w:r>
        <w:rPr>
          <w:w w:val="105"/>
        </w:rPr>
        <w:t>that</w:t>
      </w:r>
      <w:r>
        <w:rPr>
          <w:spacing w:val="-12"/>
          <w:w w:val="105"/>
        </w:rPr>
        <w:t xml:space="preserve"> </w:t>
      </w:r>
      <w:r>
        <w:rPr>
          <w:w w:val="105"/>
        </w:rPr>
        <w:t>significant</w:t>
      </w:r>
      <w:r>
        <w:rPr>
          <w:spacing w:val="-7"/>
          <w:w w:val="105"/>
        </w:rPr>
        <w:t xml:space="preserve"> </w:t>
      </w:r>
      <w:r>
        <w:rPr>
          <w:w w:val="105"/>
        </w:rPr>
        <w:t>model</w:t>
      </w:r>
      <w:r>
        <w:rPr>
          <w:spacing w:val="-14"/>
          <w:w w:val="105"/>
        </w:rPr>
        <w:t xml:space="preserve"> </w:t>
      </w:r>
      <w:r>
        <w:rPr>
          <w:w w:val="105"/>
        </w:rPr>
        <w:t>changes</w:t>
      </w:r>
      <w:r>
        <w:rPr>
          <w:spacing w:val="-7"/>
          <w:w w:val="105"/>
        </w:rPr>
        <w:t xml:space="preserve"> </w:t>
      </w:r>
      <w:r>
        <w:rPr>
          <w:w w:val="105"/>
        </w:rPr>
        <w:t>will</w:t>
      </w:r>
      <w:r>
        <w:rPr>
          <w:spacing w:val="-8"/>
          <w:w w:val="105"/>
        </w:rPr>
        <w:t xml:space="preserve"> </w:t>
      </w:r>
      <w:r>
        <w:rPr>
          <w:w w:val="105"/>
        </w:rPr>
        <w:t>require</w:t>
      </w:r>
      <w:r>
        <w:rPr>
          <w:spacing w:val="2"/>
          <w:w w:val="105"/>
        </w:rPr>
        <w:t xml:space="preserve"> </w:t>
      </w:r>
      <w:r>
        <w:rPr>
          <w:w w:val="105"/>
        </w:rPr>
        <w:t>provider</w:t>
      </w:r>
      <w:r>
        <w:rPr>
          <w:spacing w:val="-1"/>
          <w:w w:val="105"/>
        </w:rPr>
        <w:t xml:space="preserve"> </w:t>
      </w:r>
      <w:r>
        <w:rPr>
          <w:w w:val="105"/>
        </w:rPr>
        <w:t>education, furthering</w:t>
      </w:r>
      <w:r>
        <w:rPr>
          <w:spacing w:val="3"/>
          <w:w w:val="105"/>
        </w:rPr>
        <w:t xml:space="preserve"> </w:t>
      </w:r>
      <w:r>
        <w:rPr>
          <w:w w:val="105"/>
        </w:rPr>
        <w:t>the</w:t>
      </w:r>
      <w:r>
        <w:rPr>
          <w:spacing w:val="-4"/>
          <w:w w:val="105"/>
        </w:rPr>
        <w:t xml:space="preserve"> </w:t>
      </w:r>
      <w:r>
        <w:rPr>
          <w:w w:val="105"/>
        </w:rPr>
        <w:t>need</w:t>
      </w:r>
      <w:r>
        <w:rPr>
          <w:spacing w:val="-7"/>
          <w:w w:val="105"/>
        </w:rPr>
        <w:t xml:space="preserve"> </w:t>
      </w:r>
      <w:r>
        <w:rPr>
          <w:w w:val="105"/>
        </w:rPr>
        <w:t>for</w:t>
      </w:r>
      <w:r>
        <w:rPr>
          <w:spacing w:val="-13"/>
          <w:w w:val="105"/>
        </w:rPr>
        <w:t xml:space="preserve"> </w:t>
      </w:r>
      <w:r>
        <w:rPr>
          <w:w w:val="105"/>
        </w:rPr>
        <w:t>the</w:t>
      </w:r>
      <w:r>
        <w:rPr>
          <w:spacing w:val="-3"/>
          <w:w w:val="105"/>
        </w:rPr>
        <w:t xml:space="preserve"> </w:t>
      </w:r>
      <w:r>
        <w:rPr>
          <w:w w:val="105"/>
        </w:rPr>
        <w:t>new</w:t>
      </w:r>
      <w:r>
        <w:rPr>
          <w:spacing w:val="-8"/>
          <w:w w:val="105"/>
        </w:rPr>
        <w:t xml:space="preserve"> </w:t>
      </w:r>
      <w:r>
        <w:rPr>
          <w:w w:val="105"/>
        </w:rPr>
        <w:t>model</w:t>
      </w:r>
      <w:r>
        <w:rPr>
          <w:spacing w:val="-6"/>
          <w:w w:val="105"/>
        </w:rPr>
        <w:t xml:space="preserve"> </w:t>
      </w:r>
      <w:r>
        <w:rPr>
          <w:w w:val="105"/>
        </w:rPr>
        <w:t>implementation</w:t>
      </w:r>
      <w:r>
        <w:rPr>
          <w:spacing w:val="-22"/>
          <w:w w:val="105"/>
        </w:rPr>
        <w:t xml:space="preserve"> </w:t>
      </w:r>
      <w:r>
        <w:rPr>
          <w:w w:val="105"/>
        </w:rPr>
        <w:t>to</w:t>
      </w:r>
      <w:r>
        <w:rPr>
          <w:spacing w:val="-6"/>
          <w:w w:val="105"/>
        </w:rPr>
        <w:t xml:space="preserve"> </w:t>
      </w:r>
      <w:r>
        <w:rPr>
          <w:w w:val="105"/>
        </w:rPr>
        <w:t>begin</w:t>
      </w:r>
      <w:r>
        <w:rPr>
          <w:spacing w:val="-7"/>
          <w:w w:val="105"/>
        </w:rPr>
        <w:t xml:space="preserve"> </w:t>
      </w:r>
      <w:r>
        <w:rPr>
          <w:w w:val="105"/>
        </w:rPr>
        <w:t>in</w:t>
      </w:r>
      <w:r>
        <w:rPr>
          <w:spacing w:val="7"/>
          <w:w w:val="105"/>
        </w:rPr>
        <w:t xml:space="preserve"> </w:t>
      </w:r>
      <w:r>
        <w:rPr>
          <w:w w:val="105"/>
        </w:rPr>
        <w:t>2020,</w:t>
      </w:r>
      <w:r>
        <w:rPr>
          <w:spacing w:val="6"/>
          <w:w w:val="105"/>
        </w:rPr>
        <w:t xml:space="preserve"> </w:t>
      </w:r>
      <w:r>
        <w:rPr>
          <w:w w:val="105"/>
        </w:rPr>
        <w:t>rather</w:t>
      </w:r>
      <w:r>
        <w:rPr>
          <w:spacing w:val="2"/>
          <w:w w:val="105"/>
        </w:rPr>
        <w:t xml:space="preserve"> </w:t>
      </w:r>
      <w:r>
        <w:rPr>
          <w:w w:val="105"/>
        </w:rPr>
        <w:t>than 2019.</w:t>
      </w:r>
    </w:p>
    <w:p w:rsidR="007651BE" w:rsidRDefault="007651BE">
      <w:pPr>
        <w:pStyle w:val="BodyText"/>
        <w:spacing w:before="7"/>
        <w:rPr>
          <w:b/>
          <w:sz w:val="22"/>
        </w:rPr>
      </w:pPr>
    </w:p>
    <w:p w:rsidR="007651BE" w:rsidRDefault="00026358">
      <w:pPr>
        <w:spacing w:line="254" w:lineRule="auto"/>
        <w:ind w:left="475" w:right="2415" w:hanging="1"/>
        <w:rPr>
          <w:b/>
          <w:sz w:val="21"/>
        </w:rPr>
      </w:pPr>
      <w:r>
        <w:rPr>
          <w:b/>
          <w:w w:val="105"/>
          <w:sz w:val="21"/>
        </w:rPr>
        <w:t>Lastly, CMS quality program Display Measures communicate potential future changes to Star Measures. We recommend similar methodology be used for changes in the Risk Adjustment model.</w:t>
      </w:r>
    </w:p>
    <w:p w:rsidR="007651BE" w:rsidRDefault="007651BE">
      <w:pPr>
        <w:pStyle w:val="BodyText"/>
        <w:spacing w:before="6"/>
        <w:rPr>
          <w:b/>
        </w:rPr>
      </w:pPr>
    </w:p>
    <w:p w:rsidR="007651BE" w:rsidRDefault="00026358">
      <w:pPr>
        <w:pStyle w:val="BodyText"/>
        <w:spacing w:before="1" w:line="252" w:lineRule="auto"/>
        <w:ind w:left="469" w:right="2282" w:firstLine="4"/>
      </w:pPr>
      <w:r>
        <w:pict>
          <v:line id="_x0000_s1032" style="position:absolute;left:0;text-align:left;z-index:251663360;mso-position-horizontal-relative:page" from="607.15pt,464.2pt" to="607.15pt,55.25pt" strokeweight=".72pt">
            <w10:wrap anchorx="page"/>
          </v:line>
        </w:pict>
      </w:r>
      <w:r>
        <w:rPr>
          <w:b/>
          <w:w w:val="105"/>
        </w:rPr>
        <w:t xml:space="preserve">CMS Proposal: </w:t>
      </w:r>
      <w:r>
        <w:rPr>
          <w:w w:val="105"/>
        </w:rPr>
        <w:t>In response to the 21st Century Cures Act requirement, CM</w:t>
      </w:r>
      <w:r>
        <w:rPr>
          <w:w w:val="105"/>
        </w:rPr>
        <w:t>S is proposing updating the data years used to calibrate the risk adjustment model. In addition to updating the data CMS proposes to select 2014 diagnoses for calibration using the same approach used to filer encounter data.</w:t>
      </w:r>
    </w:p>
    <w:p w:rsidR="007651BE" w:rsidRDefault="007651BE">
      <w:pPr>
        <w:pStyle w:val="BodyText"/>
        <w:spacing w:before="5"/>
        <w:rPr>
          <w:sz w:val="22"/>
        </w:rPr>
      </w:pPr>
    </w:p>
    <w:p w:rsidR="007651BE" w:rsidRDefault="00026358">
      <w:pPr>
        <w:pStyle w:val="BodyText"/>
        <w:spacing w:line="249" w:lineRule="auto"/>
        <w:ind w:left="462" w:right="1951" w:firstLine="5"/>
      </w:pPr>
      <w:r>
        <w:rPr>
          <w:b/>
          <w:w w:val="105"/>
        </w:rPr>
        <w:t xml:space="preserve">BCBSM Comments: </w:t>
      </w:r>
      <w:r>
        <w:rPr>
          <w:w w:val="105"/>
        </w:rPr>
        <w:t>We support CMS</w:t>
      </w:r>
      <w:r>
        <w:rPr>
          <w:w w:val="105"/>
        </w:rPr>
        <w:t>'s proposal of using the encounter data filtration logic to calibrate the FFS risk score. We believe applying the same filtration logic equates to more consistency in risk score calculation. While we support the model, calibration using encounter data logi</w:t>
      </w:r>
      <w:r>
        <w:rPr>
          <w:w w:val="105"/>
        </w:rPr>
        <w:t>c, we ask CMS to consider calibrating the model using Medicare Advantage data as opposed to FFS data. We feel this change will also equate to more consistency in the model and risk scores. We ask CMS take into consideration the April 2016 MedPAC public mee</w:t>
      </w:r>
      <w:r>
        <w:rPr>
          <w:w w:val="105"/>
        </w:rPr>
        <w:t>ting discussion where MedPAC indicates support of using MA data to calibrate a risk adjustment model.</w:t>
      </w:r>
    </w:p>
    <w:p w:rsidR="007651BE" w:rsidRDefault="007651BE">
      <w:pPr>
        <w:pStyle w:val="BodyText"/>
        <w:rPr>
          <w:sz w:val="22"/>
        </w:rPr>
      </w:pPr>
    </w:p>
    <w:p w:rsidR="007651BE" w:rsidRDefault="007651BE">
      <w:pPr>
        <w:pStyle w:val="BodyText"/>
        <w:spacing w:before="5"/>
        <w:rPr>
          <w:sz w:val="20"/>
        </w:rPr>
      </w:pPr>
    </w:p>
    <w:p w:rsidR="007651BE" w:rsidRDefault="00026358">
      <w:pPr>
        <w:pStyle w:val="Heading2"/>
        <w:ind w:left="466"/>
        <w:rPr>
          <w:b w:val="0"/>
          <w:sz w:val="22"/>
        </w:rPr>
      </w:pPr>
      <w:r>
        <w:rPr>
          <w:w w:val="105"/>
          <w:u w:val="thick"/>
        </w:rPr>
        <w:t xml:space="preserve">CY 2019 Advance Notice Part </w:t>
      </w:r>
      <w:r>
        <w:rPr>
          <w:b w:val="0"/>
          <w:w w:val="105"/>
          <w:sz w:val="22"/>
          <w:u w:val="thick"/>
        </w:rPr>
        <w:t>II</w:t>
      </w:r>
    </w:p>
    <w:p w:rsidR="007651BE" w:rsidRDefault="00026358">
      <w:pPr>
        <w:pStyle w:val="BodyText"/>
        <w:spacing w:before="22" w:line="242" w:lineRule="auto"/>
        <w:ind w:left="463" w:right="2079" w:firstLine="3"/>
      </w:pPr>
      <w:r>
        <w:rPr>
          <w:b/>
          <w:w w:val="105"/>
        </w:rPr>
        <w:t xml:space="preserve">CMS Proposal: </w:t>
      </w:r>
      <w:r>
        <w:rPr>
          <w:w w:val="105"/>
        </w:rPr>
        <w:t>CMS proposes to apply two separate normalization factors calculated using a linear methodology.</w:t>
      </w:r>
    </w:p>
    <w:p w:rsidR="007651BE" w:rsidRDefault="007651BE">
      <w:pPr>
        <w:pStyle w:val="BodyText"/>
        <w:spacing w:before="6"/>
        <w:rPr>
          <w:sz w:val="22"/>
        </w:rPr>
      </w:pPr>
    </w:p>
    <w:p w:rsidR="007651BE" w:rsidRDefault="00026358">
      <w:pPr>
        <w:pStyle w:val="BodyText"/>
        <w:spacing w:before="1" w:line="249" w:lineRule="auto"/>
        <w:ind w:left="462" w:right="1871" w:firstLine="5"/>
      </w:pPr>
      <w:r>
        <w:rPr>
          <w:b/>
          <w:w w:val="105"/>
        </w:rPr>
        <w:t>BCBSM Comm</w:t>
      </w:r>
      <w:r>
        <w:rPr>
          <w:b/>
          <w:w w:val="105"/>
        </w:rPr>
        <w:t xml:space="preserve">ents: </w:t>
      </w:r>
      <w:r>
        <w:rPr>
          <w:w w:val="105"/>
        </w:rPr>
        <w:t>We recommend CMS use 2011 to 2017 data to determine the normalization</w:t>
      </w:r>
      <w:r>
        <w:rPr>
          <w:spacing w:val="-4"/>
          <w:w w:val="105"/>
        </w:rPr>
        <w:t xml:space="preserve"> </w:t>
      </w:r>
      <w:r>
        <w:rPr>
          <w:w w:val="105"/>
        </w:rPr>
        <w:t>factor</w:t>
      </w:r>
      <w:r>
        <w:rPr>
          <w:spacing w:val="-4"/>
          <w:w w:val="105"/>
        </w:rPr>
        <w:t xml:space="preserve"> </w:t>
      </w:r>
      <w:r>
        <w:rPr>
          <w:w w:val="105"/>
        </w:rPr>
        <w:t>because</w:t>
      </w:r>
      <w:r>
        <w:rPr>
          <w:spacing w:val="4"/>
          <w:w w:val="105"/>
        </w:rPr>
        <w:t xml:space="preserve"> </w:t>
      </w:r>
      <w:r>
        <w:rPr>
          <w:w w:val="105"/>
        </w:rPr>
        <w:t>2016</w:t>
      </w:r>
      <w:r>
        <w:rPr>
          <w:spacing w:val="-1"/>
          <w:w w:val="105"/>
        </w:rPr>
        <w:t xml:space="preserve"> </w:t>
      </w:r>
      <w:r>
        <w:rPr>
          <w:w w:val="105"/>
        </w:rPr>
        <w:t>and</w:t>
      </w:r>
      <w:r>
        <w:rPr>
          <w:spacing w:val="-8"/>
          <w:w w:val="105"/>
        </w:rPr>
        <w:t xml:space="preserve"> </w:t>
      </w:r>
      <w:r>
        <w:rPr>
          <w:w w:val="105"/>
        </w:rPr>
        <w:t>2017</w:t>
      </w:r>
      <w:r>
        <w:rPr>
          <w:spacing w:val="-7"/>
          <w:w w:val="105"/>
        </w:rPr>
        <w:t xml:space="preserve"> </w:t>
      </w:r>
      <w:r>
        <w:rPr>
          <w:w w:val="105"/>
        </w:rPr>
        <w:t>data</w:t>
      </w:r>
      <w:r>
        <w:rPr>
          <w:spacing w:val="-8"/>
          <w:w w:val="105"/>
        </w:rPr>
        <w:t xml:space="preserve"> </w:t>
      </w:r>
      <w:r>
        <w:rPr>
          <w:w w:val="105"/>
        </w:rPr>
        <w:t>are</w:t>
      </w:r>
      <w:r>
        <w:rPr>
          <w:spacing w:val="-8"/>
          <w:w w:val="105"/>
        </w:rPr>
        <w:t xml:space="preserve"> </w:t>
      </w:r>
      <w:r>
        <w:rPr>
          <w:w w:val="105"/>
        </w:rPr>
        <w:t>outliers,</w:t>
      </w:r>
      <w:r>
        <w:rPr>
          <w:spacing w:val="-4"/>
          <w:w w:val="105"/>
        </w:rPr>
        <w:t xml:space="preserve"> </w:t>
      </w:r>
      <w:r>
        <w:rPr>
          <w:w w:val="105"/>
        </w:rPr>
        <w:t>the</w:t>
      </w:r>
      <w:r>
        <w:rPr>
          <w:spacing w:val="-8"/>
          <w:w w:val="105"/>
        </w:rPr>
        <w:t xml:space="preserve"> </w:t>
      </w:r>
      <w:r>
        <w:rPr>
          <w:w w:val="105"/>
        </w:rPr>
        <w:t>risk</w:t>
      </w:r>
      <w:r>
        <w:rPr>
          <w:spacing w:val="-6"/>
          <w:w w:val="105"/>
        </w:rPr>
        <w:t xml:space="preserve"> </w:t>
      </w:r>
      <w:r>
        <w:rPr>
          <w:w w:val="105"/>
        </w:rPr>
        <w:t>score</w:t>
      </w:r>
      <w:r>
        <w:rPr>
          <w:spacing w:val="-12"/>
          <w:w w:val="105"/>
        </w:rPr>
        <w:t xml:space="preserve"> </w:t>
      </w:r>
      <w:r>
        <w:rPr>
          <w:w w:val="105"/>
        </w:rPr>
        <w:t>increases appear</w:t>
      </w:r>
      <w:r>
        <w:rPr>
          <w:spacing w:val="-4"/>
          <w:w w:val="105"/>
        </w:rPr>
        <w:t xml:space="preserve"> </w:t>
      </w:r>
      <w:r>
        <w:rPr>
          <w:w w:val="105"/>
        </w:rPr>
        <w:t>to</w:t>
      </w:r>
      <w:r>
        <w:rPr>
          <w:spacing w:val="-13"/>
          <w:w w:val="105"/>
        </w:rPr>
        <w:t xml:space="preserve"> </w:t>
      </w:r>
      <w:r>
        <w:rPr>
          <w:w w:val="105"/>
        </w:rPr>
        <w:t>be</w:t>
      </w:r>
      <w:r>
        <w:rPr>
          <w:spacing w:val="-8"/>
          <w:w w:val="105"/>
        </w:rPr>
        <w:t xml:space="preserve"> </w:t>
      </w:r>
      <w:r>
        <w:rPr>
          <w:w w:val="105"/>
        </w:rPr>
        <w:t>stemming from</w:t>
      </w:r>
      <w:r>
        <w:rPr>
          <w:spacing w:val="-13"/>
          <w:w w:val="105"/>
        </w:rPr>
        <w:t xml:space="preserve"> </w:t>
      </w:r>
      <w:r>
        <w:rPr>
          <w:w w:val="105"/>
        </w:rPr>
        <w:t>the</w:t>
      </w:r>
      <w:r>
        <w:rPr>
          <w:spacing w:val="-12"/>
          <w:w w:val="105"/>
        </w:rPr>
        <w:t xml:space="preserve"> </w:t>
      </w:r>
      <w:r>
        <w:rPr>
          <w:w w:val="105"/>
        </w:rPr>
        <w:t>use</w:t>
      </w:r>
      <w:r>
        <w:rPr>
          <w:spacing w:val="-4"/>
          <w:w w:val="105"/>
        </w:rPr>
        <w:t xml:space="preserve"> </w:t>
      </w:r>
      <w:r>
        <w:rPr>
          <w:w w:val="105"/>
        </w:rPr>
        <w:t>of</w:t>
      </w:r>
      <w:r>
        <w:rPr>
          <w:spacing w:val="-17"/>
          <w:w w:val="105"/>
        </w:rPr>
        <w:t xml:space="preserve"> </w:t>
      </w:r>
      <w:r>
        <w:rPr>
          <w:w w:val="105"/>
        </w:rPr>
        <w:t>ICD-1O</w:t>
      </w:r>
      <w:r>
        <w:rPr>
          <w:spacing w:val="-24"/>
          <w:w w:val="105"/>
        </w:rPr>
        <w:t xml:space="preserve"> </w:t>
      </w:r>
      <w:r>
        <w:rPr>
          <w:w w:val="105"/>
        </w:rPr>
        <w:t>codes,</w:t>
      </w:r>
      <w:r>
        <w:rPr>
          <w:spacing w:val="-5"/>
          <w:w w:val="105"/>
        </w:rPr>
        <w:t xml:space="preserve"> </w:t>
      </w:r>
      <w:r>
        <w:rPr>
          <w:w w:val="105"/>
        </w:rPr>
        <w:t>and</w:t>
      </w:r>
      <w:r>
        <w:rPr>
          <w:spacing w:val="-12"/>
          <w:w w:val="105"/>
        </w:rPr>
        <w:t xml:space="preserve"> </w:t>
      </w:r>
      <w:r>
        <w:rPr>
          <w:w w:val="105"/>
        </w:rPr>
        <w:t>as</w:t>
      </w:r>
      <w:r>
        <w:rPr>
          <w:spacing w:val="-13"/>
          <w:w w:val="105"/>
        </w:rPr>
        <w:t xml:space="preserve"> </w:t>
      </w:r>
      <w:r>
        <w:rPr>
          <w:w w:val="105"/>
        </w:rPr>
        <w:t>a</w:t>
      </w:r>
      <w:r>
        <w:rPr>
          <w:spacing w:val="-9"/>
          <w:w w:val="105"/>
        </w:rPr>
        <w:t xml:space="preserve"> </w:t>
      </w:r>
      <w:r>
        <w:rPr>
          <w:w w:val="105"/>
        </w:rPr>
        <w:t>general</w:t>
      </w:r>
      <w:r>
        <w:rPr>
          <w:spacing w:val="-9"/>
          <w:w w:val="105"/>
        </w:rPr>
        <w:t xml:space="preserve"> </w:t>
      </w:r>
      <w:r>
        <w:rPr>
          <w:w w:val="105"/>
        </w:rPr>
        <w:t>principle,</w:t>
      </w:r>
      <w:r>
        <w:rPr>
          <w:spacing w:val="-1"/>
          <w:w w:val="105"/>
        </w:rPr>
        <w:t xml:space="preserve"> </w:t>
      </w:r>
      <w:r>
        <w:rPr>
          <w:w w:val="105"/>
        </w:rPr>
        <w:t>CMS should</w:t>
      </w:r>
      <w:r>
        <w:rPr>
          <w:spacing w:val="-7"/>
          <w:w w:val="105"/>
        </w:rPr>
        <w:t xml:space="preserve"> </w:t>
      </w:r>
      <w:r>
        <w:rPr>
          <w:w w:val="105"/>
        </w:rPr>
        <w:t>use</w:t>
      </w:r>
      <w:r>
        <w:rPr>
          <w:spacing w:val="-14"/>
          <w:w w:val="105"/>
        </w:rPr>
        <w:t xml:space="preserve"> </w:t>
      </w:r>
      <w:r>
        <w:rPr>
          <w:w w:val="105"/>
        </w:rPr>
        <w:t>more</w:t>
      </w:r>
      <w:r>
        <w:rPr>
          <w:spacing w:val="-3"/>
          <w:w w:val="105"/>
        </w:rPr>
        <w:t xml:space="preserve"> </w:t>
      </w:r>
      <w:r>
        <w:rPr>
          <w:w w:val="105"/>
        </w:rPr>
        <w:t>data</w:t>
      </w:r>
      <w:r>
        <w:rPr>
          <w:spacing w:val="-5"/>
          <w:w w:val="105"/>
        </w:rPr>
        <w:t xml:space="preserve"> </w:t>
      </w:r>
      <w:r>
        <w:rPr>
          <w:w w:val="105"/>
        </w:rPr>
        <w:t>points</w:t>
      </w:r>
      <w:r>
        <w:rPr>
          <w:spacing w:val="-2"/>
          <w:w w:val="105"/>
        </w:rPr>
        <w:t xml:space="preserve"> </w:t>
      </w:r>
      <w:r>
        <w:rPr>
          <w:w w:val="105"/>
        </w:rPr>
        <w:t>in</w:t>
      </w:r>
      <w:r>
        <w:rPr>
          <w:spacing w:val="4"/>
          <w:w w:val="105"/>
        </w:rPr>
        <w:t xml:space="preserve"> </w:t>
      </w:r>
      <w:r>
        <w:rPr>
          <w:w w:val="105"/>
        </w:rPr>
        <w:t>order</w:t>
      </w:r>
      <w:r>
        <w:rPr>
          <w:spacing w:val="-11"/>
          <w:w w:val="105"/>
        </w:rPr>
        <w:t xml:space="preserve"> </w:t>
      </w:r>
      <w:r>
        <w:rPr>
          <w:w w:val="105"/>
        </w:rPr>
        <w:t>to</w:t>
      </w:r>
      <w:r>
        <w:rPr>
          <w:spacing w:val="3"/>
          <w:w w:val="105"/>
        </w:rPr>
        <w:t xml:space="preserve"> </w:t>
      </w:r>
      <w:r>
        <w:rPr>
          <w:w w:val="105"/>
        </w:rPr>
        <w:t>have</w:t>
      </w:r>
      <w:r>
        <w:rPr>
          <w:spacing w:val="-7"/>
          <w:w w:val="105"/>
        </w:rPr>
        <w:t xml:space="preserve"> </w:t>
      </w:r>
      <w:r>
        <w:rPr>
          <w:w w:val="105"/>
        </w:rPr>
        <w:t>more</w:t>
      </w:r>
      <w:r>
        <w:rPr>
          <w:spacing w:val="-5"/>
          <w:w w:val="105"/>
        </w:rPr>
        <w:t xml:space="preserve"> </w:t>
      </w:r>
      <w:r>
        <w:rPr>
          <w:w w:val="105"/>
        </w:rPr>
        <w:t>stable</w:t>
      </w:r>
      <w:r>
        <w:rPr>
          <w:spacing w:val="4"/>
          <w:w w:val="105"/>
        </w:rPr>
        <w:t xml:space="preserve"> </w:t>
      </w:r>
      <w:r>
        <w:rPr>
          <w:w w:val="105"/>
        </w:rPr>
        <w:t>estimates</w:t>
      </w:r>
      <w:r>
        <w:rPr>
          <w:spacing w:val="4"/>
          <w:w w:val="105"/>
        </w:rPr>
        <w:t xml:space="preserve"> </w:t>
      </w:r>
      <w:r>
        <w:rPr>
          <w:w w:val="105"/>
        </w:rPr>
        <w:t>of</w:t>
      </w:r>
      <w:r>
        <w:rPr>
          <w:spacing w:val="-15"/>
          <w:w w:val="105"/>
        </w:rPr>
        <w:t xml:space="preserve"> </w:t>
      </w:r>
      <w:r>
        <w:rPr>
          <w:w w:val="105"/>
        </w:rPr>
        <w:t>normal</w:t>
      </w:r>
      <w:r>
        <w:rPr>
          <w:w w:val="105"/>
          <w:u w:val="single"/>
        </w:rPr>
        <w:t>iz</w:t>
      </w:r>
      <w:r>
        <w:rPr>
          <w:w w:val="105"/>
        </w:rPr>
        <w:t>ation.</w:t>
      </w:r>
    </w:p>
    <w:p w:rsidR="007651BE" w:rsidRDefault="00026358">
      <w:pPr>
        <w:pStyle w:val="BodyText"/>
        <w:tabs>
          <w:tab w:val="left" w:pos="473"/>
          <w:tab w:val="left" w:pos="9250"/>
        </w:tabs>
        <w:spacing w:line="240" w:lineRule="exact"/>
        <w:ind w:left="106"/>
      </w:pPr>
      <w:r>
        <w:pict>
          <v:line id="_x0000_s1031" style="position:absolute;left:0;text-align:left;z-index:-251659264;mso-position-horizontal-relative:page" from="242.65pt,1.1pt" to="287.65pt,1.1pt" strokeweight=".36pt">
            <w10:wrap anchorx="page"/>
          </v:line>
        </w:pict>
      </w:r>
      <w:r>
        <w:pict>
          <v:line id="_x0000_s1030" style="position:absolute;left:0;text-align:left;z-index:-251658240;mso-position-horizontal-relative:page" from="335.9pt,1.1pt" to="390.6pt,1.1pt" strokeweight=".36pt">
            <w10:wrap anchorx="page"/>
          </v:line>
        </w:pict>
      </w:r>
      <w:r>
        <w:rPr>
          <w:w w:val="105"/>
        </w:rPr>
        <w:t>-</w:t>
      </w:r>
      <w:r>
        <w:rPr>
          <w:w w:val="105"/>
        </w:rPr>
        <w:tab/>
        <w:t>Osing</w:t>
      </w:r>
      <w:r>
        <w:rPr>
          <w:spacing w:val="-32"/>
          <w:w w:val="105"/>
        </w:rPr>
        <w:t xml:space="preserve"> </w:t>
      </w:r>
      <w:r>
        <w:rPr>
          <w:w w:val="105"/>
        </w:rPr>
        <w:t>the</w:t>
      </w:r>
      <w:r>
        <w:rPr>
          <w:spacing w:val="39"/>
          <w:w w:val="105"/>
        </w:rPr>
        <w:t xml:space="preserve"> </w:t>
      </w:r>
      <w:r>
        <w:rPr>
          <w:w w:val="105"/>
          <w:u w:val="single"/>
        </w:rPr>
        <w:t>2</w:t>
      </w:r>
      <w:r>
        <w:rPr>
          <w:w w:val="105"/>
        </w:rPr>
        <w:t>n'13-loZ-ff1Tdata</w:t>
      </w:r>
      <w:r>
        <w:rPr>
          <w:spacing w:val="-25"/>
          <w:w w:val="105"/>
        </w:rPr>
        <w:t xml:space="preserve"> </w:t>
      </w:r>
      <w:r>
        <w:rPr>
          <w:w w:val="105"/>
        </w:rPr>
        <w:t>points</w:t>
      </w:r>
      <w:r>
        <w:rPr>
          <w:spacing w:val="1"/>
          <w:w w:val="105"/>
        </w:rPr>
        <w:t xml:space="preserve"> </w:t>
      </w:r>
      <w:r>
        <w:rPr>
          <w:w w:val="105"/>
        </w:rPr>
        <w:t>runs</w:t>
      </w:r>
      <w:r>
        <w:rPr>
          <w:spacing w:val="-8"/>
          <w:w w:val="105"/>
        </w:rPr>
        <w:t xml:space="preserve"> </w:t>
      </w:r>
      <w:r>
        <w:rPr>
          <w:w w:val="105"/>
        </w:rPr>
        <w:t>the</w:t>
      </w:r>
      <w:r>
        <w:rPr>
          <w:spacing w:val="-14"/>
          <w:w w:val="105"/>
        </w:rPr>
        <w:t xml:space="preserve"> </w:t>
      </w:r>
      <w:r>
        <w:rPr>
          <w:w w:val="105"/>
        </w:rPr>
        <w:t>r</w:t>
      </w:r>
      <w:r>
        <w:rPr>
          <w:w w:val="105"/>
          <w:u w:val="single"/>
        </w:rPr>
        <w:t>is</w:t>
      </w:r>
      <w:r>
        <w:rPr>
          <w:w w:val="105"/>
        </w:rPr>
        <w:t>k</w:t>
      </w:r>
      <w:r>
        <w:rPr>
          <w:spacing w:val="-2"/>
          <w:w w:val="105"/>
        </w:rPr>
        <w:t xml:space="preserve"> </w:t>
      </w:r>
      <w:r>
        <w:rPr>
          <w:w w:val="105"/>
        </w:rPr>
        <w:t xml:space="preserve">of </w:t>
      </w:r>
      <w:r>
        <w:rPr>
          <w:rFonts w:ascii="Times New Roman"/>
          <w:i/>
          <w:w w:val="105"/>
          <w:sz w:val="26"/>
        </w:rPr>
        <w:t>over</w:t>
      </w:r>
      <w:r>
        <w:rPr>
          <w:rFonts w:ascii="Times New Roman"/>
          <w:i/>
          <w:spacing w:val="-18"/>
          <w:w w:val="105"/>
          <w:sz w:val="26"/>
        </w:rPr>
        <w:t xml:space="preserve"> </w:t>
      </w:r>
      <w:r>
        <w:rPr>
          <w:w w:val="105"/>
        </w:rPr>
        <w:t>normalizingfor2019</w:t>
      </w:r>
      <w:r>
        <w:rPr>
          <w:spacing w:val="-14"/>
          <w:w w:val="105"/>
        </w:rPr>
        <w:t xml:space="preserve"> </w:t>
      </w:r>
      <w:r>
        <w:rPr>
          <w:w w:val="105"/>
        </w:rPr>
        <w:t>by</w:t>
      </w:r>
      <w:r>
        <w:rPr>
          <w:spacing w:val="1"/>
          <w:w w:val="105"/>
        </w:rPr>
        <w:t xml:space="preserve"> </w:t>
      </w:r>
      <w:r>
        <w:rPr>
          <w:w w:val="105"/>
          <w:u w:val="thick"/>
        </w:rPr>
        <w:t>setti</w:t>
      </w:r>
      <w:r>
        <w:rPr>
          <w:w w:val="105"/>
        </w:rPr>
        <w:t>ng</w:t>
      </w:r>
      <w:r>
        <w:rPr>
          <w:spacing w:val="24"/>
          <w:w w:val="105"/>
        </w:rPr>
        <w:t xml:space="preserve"> </w:t>
      </w:r>
      <w:r>
        <w:rPr>
          <w:w w:val="105"/>
        </w:rPr>
        <w:t>-</w:t>
      </w:r>
      <w:r>
        <w:rPr>
          <w:w w:val="105"/>
        </w:rPr>
        <w:tab/>
        <w:t>-</w:t>
      </w:r>
    </w:p>
    <w:p w:rsidR="007651BE" w:rsidRDefault="00026358">
      <w:pPr>
        <w:pStyle w:val="BodyText"/>
        <w:spacing w:before="6" w:line="247" w:lineRule="auto"/>
        <w:ind w:left="469" w:right="1951" w:hanging="3"/>
      </w:pPr>
      <w:r>
        <w:rPr>
          <w:w w:val="105"/>
        </w:rPr>
        <w:t>the normalization factor too high. We are concerned that CMS is placing too much weight on the ICD-10 codes by not using the 2011 and 2012 data points to estimate the normalization trend.</w:t>
      </w:r>
    </w:p>
    <w:p w:rsidR="007651BE" w:rsidRDefault="007651BE">
      <w:pPr>
        <w:pStyle w:val="BodyText"/>
        <w:spacing w:before="6"/>
      </w:pPr>
    </w:p>
    <w:p w:rsidR="007651BE" w:rsidRDefault="00026358">
      <w:pPr>
        <w:pStyle w:val="BodyText"/>
        <w:spacing w:before="1" w:line="249" w:lineRule="auto"/>
        <w:ind w:left="469" w:right="1871" w:hanging="3"/>
      </w:pPr>
      <w:r>
        <w:rPr>
          <w:b/>
          <w:w w:val="105"/>
        </w:rPr>
        <w:t xml:space="preserve">CMS Proposal: </w:t>
      </w:r>
      <w:r>
        <w:rPr>
          <w:w w:val="105"/>
        </w:rPr>
        <w:t>CMS proposes to keep the basic structure of the ESRD model the same.</w:t>
      </w:r>
      <w:r>
        <w:rPr>
          <w:spacing w:val="-13"/>
          <w:w w:val="105"/>
        </w:rPr>
        <w:t xml:space="preserve"> </w:t>
      </w:r>
      <w:r>
        <w:rPr>
          <w:w w:val="105"/>
        </w:rPr>
        <w:t>CMS</w:t>
      </w:r>
      <w:r>
        <w:rPr>
          <w:spacing w:val="-1"/>
          <w:w w:val="105"/>
        </w:rPr>
        <w:t xml:space="preserve"> </w:t>
      </w:r>
      <w:r>
        <w:rPr>
          <w:w w:val="105"/>
        </w:rPr>
        <w:t>proposes</w:t>
      </w:r>
      <w:r>
        <w:rPr>
          <w:spacing w:val="-1"/>
          <w:w w:val="105"/>
        </w:rPr>
        <w:t xml:space="preserve"> </w:t>
      </w:r>
      <w:r>
        <w:rPr>
          <w:w w:val="105"/>
        </w:rPr>
        <w:t>to</w:t>
      </w:r>
      <w:r>
        <w:rPr>
          <w:spacing w:val="2"/>
          <w:w w:val="105"/>
        </w:rPr>
        <w:t xml:space="preserve"> </w:t>
      </w:r>
      <w:r>
        <w:rPr>
          <w:w w:val="105"/>
        </w:rPr>
        <w:t>maintain</w:t>
      </w:r>
      <w:r>
        <w:rPr>
          <w:spacing w:val="-10"/>
          <w:w w:val="105"/>
        </w:rPr>
        <w:t xml:space="preserve"> </w:t>
      </w:r>
      <w:r>
        <w:rPr>
          <w:w w:val="105"/>
        </w:rPr>
        <w:t>the</w:t>
      </w:r>
      <w:r>
        <w:rPr>
          <w:spacing w:val="-11"/>
          <w:w w:val="105"/>
        </w:rPr>
        <w:t xml:space="preserve"> </w:t>
      </w:r>
      <w:r>
        <w:rPr>
          <w:w w:val="105"/>
        </w:rPr>
        <w:t>same</w:t>
      </w:r>
      <w:r>
        <w:rPr>
          <w:spacing w:val="-7"/>
          <w:w w:val="105"/>
        </w:rPr>
        <w:t xml:space="preserve"> </w:t>
      </w:r>
      <w:r>
        <w:rPr>
          <w:w w:val="105"/>
        </w:rPr>
        <w:t>clinical</w:t>
      </w:r>
      <w:r>
        <w:rPr>
          <w:spacing w:val="-8"/>
          <w:w w:val="105"/>
        </w:rPr>
        <w:t xml:space="preserve"> </w:t>
      </w:r>
      <w:r>
        <w:rPr>
          <w:w w:val="105"/>
        </w:rPr>
        <w:t>version</w:t>
      </w:r>
      <w:r>
        <w:rPr>
          <w:spacing w:val="-3"/>
          <w:w w:val="105"/>
        </w:rPr>
        <w:t xml:space="preserve"> </w:t>
      </w:r>
      <w:r>
        <w:rPr>
          <w:w w:val="105"/>
        </w:rPr>
        <w:t>as</w:t>
      </w:r>
      <w:r>
        <w:rPr>
          <w:spacing w:val="-4"/>
          <w:w w:val="105"/>
        </w:rPr>
        <w:t xml:space="preserve"> </w:t>
      </w:r>
      <w:r>
        <w:rPr>
          <w:w w:val="105"/>
        </w:rPr>
        <w:t>well</w:t>
      </w:r>
      <w:r>
        <w:rPr>
          <w:spacing w:val="-9"/>
          <w:w w:val="105"/>
        </w:rPr>
        <w:t xml:space="preserve"> </w:t>
      </w:r>
      <w:r>
        <w:rPr>
          <w:w w:val="105"/>
        </w:rPr>
        <w:t>as</w:t>
      </w:r>
      <w:r>
        <w:rPr>
          <w:spacing w:val="-10"/>
          <w:w w:val="105"/>
        </w:rPr>
        <w:t xml:space="preserve"> </w:t>
      </w:r>
      <w:r>
        <w:rPr>
          <w:w w:val="105"/>
        </w:rPr>
        <w:t>retain</w:t>
      </w:r>
      <w:r>
        <w:rPr>
          <w:spacing w:val="-3"/>
          <w:w w:val="105"/>
        </w:rPr>
        <w:t xml:space="preserve"> </w:t>
      </w:r>
      <w:r>
        <w:rPr>
          <w:w w:val="105"/>
        </w:rPr>
        <w:t>separate</w:t>
      </w:r>
      <w:r>
        <w:rPr>
          <w:spacing w:val="4"/>
          <w:w w:val="105"/>
        </w:rPr>
        <w:t xml:space="preserve"> </w:t>
      </w:r>
      <w:r>
        <w:rPr>
          <w:w w:val="105"/>
        </w:rPr>
        <w:t>co­ efficient for dialysis, transplant, and post-graft</w:t>
      </w:r>
      <w:r>
        <w:rPr>
          <w:spacing w:val="-30"/>
          <w:w w:val="105"/>
        </w:rPr>
        <w:t xml:space="preserve"> </w:t>
      </w:r>
      <w:r>
        <w:rPr>
          <w:w w:val="105"/>
        </w:rPr>
        <w:t>beneficiaries.</w:t>
      </w:r>
    </w:p>
    <w:p w:rsidR="007651BE" w:rsidRDefault="007651BE">
      <w:pPr>
        <w:spacing w:line="249" w:lineRule="auto"/>
        <w:sectPr w:rsidR="007651BE">
          <w:pgSz w:w="12240" w:h="15840"/>
          <w:pgMar w:top="840" w:right="0" w:bottom="0" w:left="1280" w:header="0" w:footer="0" w:gutter="0"/>
          <w:cols w:space="720"/>
        </w:sectPr>
      </w:pPr>
    </w:p>
    <w:p w:rsidR="007651BE" w:rsidRDefault="00026358">
      <w:pPr>
        <w:pStyle w:val="BodyText"/>
        <w:spacing w:before="66" w:line="249" w:lineRule="auto"/>
        <w:ind w:left="135" w:right="1845" w:firstLine="12"/>
      </w:pPr>
      <w:r>
        <w:rPr>
          <w:b/>
          <w:w w:val="105"/>
        </w:rPr>
        <w:lastRenderedPageBreak/>
        <w:t xml:space="preserve">BCBSM Comments: </w:t>
      </w:r>
      <w:r>
        <w:rPr>
          <w:w w:val="105"/>
        </w:rPr>
        <w:t>We have c</w:t>
      </w:r>
      <w:r>
        <w:rPr>
          <w:w w:val="105"/>
        </w:rPr>
        <w:t>oncerns that health plans will not be properly reimbursed for members in the ESRD model. In the Michigan market, and nationwide, it is common for one or two dialysis companies to own the vast majority of dialysis centers. With little incentive to negotiate</w:t>
      </w:r>
      <w:r>
        <w:rPr>
          <w:w w:val="105"/>
        </w:rPr>
        <w:t xml:space="preserve"> with health plans, dialysis companies command much higher rates for dialysis than the FFS Medicare payments that are the basis for risk adjustment. We are concerned CMS is not taking these types of payment arrangements into consideration.</w:t>
      </w:r>
    </w:p>
    <w:p w:rsidR="007651BE" w:rsidRDefault="007651BE">
      <w:pPr>
        <w:pStyle w:val="BodyText"/>
        <w:spacing w:before="11"/>
      </w:pPr>
    </w:p>
    <w:p w:rsidR="007651BE" w:rsidRDefault="00026358">
      <w:pPr>
        <w:pStyle w:val="BodyText"/>
        <w:spacing w:line="247" w:lineRule="auto"/>
        <w:ind w:left="121" w:right="1845" w:firstLine="18"/>
      </w:pPr>
      <w:r>
        <w:rPr>
          <w:w w:val="105"/>
        </w:rPr>
        <w:t>We also recomme</w:t>
      </w:r>
      <w:r>
        <w:rPr>
          <w:w w:val="105"/>
        </w:rPr>
        <w:t xml:space="preserve">nd that CMS amend how it applies new enrollee factors. Currently, a new enrollee factor is applied if a member does not have twelve months of Part B enrollment. Individuals who are new to Medicare Advantage with ESRD, who were previously unable to enroll, </w:t>
      </w:r>
      <w:r>
        <w:rPr>
          <w:w w:val="105"/>
        </w:rPr>
        <w:t xml:space="preserve">will be able to enroll in Medicare Advantage as soon as they become Medicare eligible, beginning in </w:t>
      </w:r>
      <w:r>
        <w:rPr>
          <w:rFonts w:ascii="Times New Roman"/>
          <w:w w:val="105"/>
          <w:sz w:val="23"/>
        </w:rPr>
        <w:t xml:space="preserve">2021. </w:t>
      </w:r>
      <w:r>
        <w:rPr>
          <w:w w:val="105"/>
        </w:rPr>
        <w:t>Since this scenario is new to health plans we ask CMS to account for this situation. Our recommendation is to allow members to become full risk eligib</w:t>
      </w:r>
      <w:r>
        <w:rPr>
          <w:w w:val="105"/>
        </w:rPr>
        <w:t>le if an HCC is identified during the calendar year; if no HCCs are identified a new enrollee factor would be applied.</w:t>
      </w:r>
    </w:p>
    <w:p w:rsidR="007651BE" w:rsidRDefault="007651BE">
      <w:pPr>
        <w:pStyle w:val="BodyText"/>
        <w:spacing w:before="9"/>
        <w:rPr>
          <w:sz w:val="22"/>
        </w:rPr>
      </w:pPr>
    </w:p>
    <w:p w:rsidR="007651BE" w:rsidRDefault="00026358">
      <w:pPr>
        <w:pStyle w:val="BodyText"/>
        <w:spacing w:line="242" w:lineRule="auto"/>
        <w:ind w:left="121" w:right="1845" w:firstLine="3"/>
      </w:pPr>
      <w:r>
        <w:rPr>
          <w:b/>
          <w:w w:val="105"/>
        </w:rPr>
        <w:t xml:space="preserve">CMS Proposal: </w:t>
      </w:r>
      <w:r>
        <w:rPr>
          <w:w w:val="105"/>
        </w:rPr>
        <w:t>CMS proposes to expand the scope of the primary health related supplemental benefit standard.</w:t>
      </w:r>
    </w:p>
    <w:p w:rsidR="007651BE" w:rsidRDefault="007651BE">
      <w:pPr>
        <w:pStyle w:val="BodyText"/>
        <w:spacing w:before="9"/>
        <w:rPr>
          <w:sz w:val="23"/>
        </w:rPr>
      </w:pPr>
    </w:p>
    <w:p w:rsidR="007651BE" w:rsidRDefault="00026358">
      <w:pPr>
        <w:pStyle w:val="BodyText"/>
        <w:spacing w:before="1" w:line="242" w:lineRule="auto"/>
        <w:ind w:left="120" w:right="1845" w:hanging="1"/>
      </w:pPr>
      <w:r>
        <w:pict>
          <v:line id="_x0000_s1029" style="position:absolute;left:0;text-align:left;z-index:251652096;mso-position-horizontal-relative:page" from="606.6pt,488.7pt" to="606.6pt,4.85pt" strokeweight="1.08pt">
            <w10:wrap anchorx="page"/>
          </v:line>
        </w:pict>
      </w:r>
      <w:r>
        <w:rPr>
          <w:b/>
          <w:w w:val="105"/>
        </w:rPr>
        <w:t xml:space="preserve">BCBSM Comments: </w:t>
      </w:r>
      <w:r>
        <w:rPr>
          <w:w w:val="105"/>
        </w:rPr>
        <w:t>We supports this, but also request more details and guidance on expansion.</w:t>
      </w:r>
    </w:p>
    <w:p w:rsidR="007651BE" w:rsidRDefault="007651BE">
      <w:pPr>
        <w:pStyle w:val="BodyText"/>
        <w:rPr>
          <w:sz w:val="22"/>
        </w:rPr>
      </w:pPr>
    </w:p>
    <w:p w:rsidR="007651BE" w:rsidRDefault="007651BE">
      <w:pPr>
        <w:pStyle w:val="BodyText"/>
        <w:spacing w:before="6"/>
        <w:rPr>
          <w:sz w:val="22"/>
        </w:rPr>
      </w:pPr>
    </w:p>
    <w:p w:rsidR="007651BE" w:rsidRDefault="00026358">
      <w:pPr>
        <w:ind w:left="118"/>
        <w:rPr>
          <w:sz w:val="21"/>
        </w:rPr>
      </w:pPr>
      <w:r>
        <w:rPr>
          <w:b/>
          <w:w w:val="110"/>
          <w:sz w:val="21"/>
          <w:u w:val="thick"/>
        </w:rPr>
        <w:t xml:space="preserve">CY 2019 Draft Call </w:t>
      </w:r>
      <w:r>
        <w:rPr>
          <w:w w:val="110"/>
          <w:sz w:val="21"/>
          <w:u w:val="thick"/>
        </w:rPr>
        <w:t>Letter</w:t>
      </w:r>
    </w:p>
    <w:p w:rsidR="007651BE" w:rsidRDefault="007651BE">
      <w:pPr>
        <w:pStyle w:val="BodyText"/>
        <w:rPr>
          <w:sz w:val="24"/>
        </w:rPr>
      </w:pPr>
    </w:p>
    <w:p w:rsidR="007651BE" w:rsidRDefault="00026358">
      <w:pPr>
        <w:pStyle w:val="BodyText"/>
        <w:spacing w:line="249" w:lineRule="auto"/>
        <w:ind w:left="114" w:right="1935" w:firstLine="4"/>
      </w:pPr>
      <w:r>
        <w:rPr>
          <w:b/>
          <w:w w:val="105"/>
        </w:rPr>
        <w:t xml:space="preserve">CMS Proposal: </w:t>
      </w:r>
      <w:r>
        <w:rPr>
          <w:w w:val="105"/>
        </w:rPr>
        <w:t xml:space="preserve">CMS currently requires organizations that have more than five program audit conditions in their final audit report to hire an independent auditing firm to conduct a validation audit. CMS is seeking comments on whether this threshold should be increased or </w:t>
      </w:r>
      <w:r>
        <w:rPr>
          <w:w w:val="105"/>
        </w:rPr>
        <w:t>decreased or limited to conditions that may cause adverse impacts to beneficiaries.</w:t>
      </w:r>
    </w:p>
    <w:p w:rsidR="007651BE" w:rsidRDefault="007651BE">
      <w:pPr>
        <w:pStyle w:val="BodyText"/>
        <w:spacing w:before="6"/>
        <w:rPr>
          <w:sz w:val="22"/>
        </w:rPr>
      </w:pPr>
    </w:p>
    <w:p w:rsidR="007651BE" w:rsidRDefault="00026358">
      <w:pPr>
        <w:pStyle w:val="BodyText"/>
        <w:spacing w:before="1" w:line="249" w:lineRule="auto"/>
        <w:ind w:left="111" w:right="1944" w:firstLine="6"/>
      </w:pPr>
      <w:r>
        <w:rPr>
          <w:w w:val="105"/>
        </w:rPr>
        <w:t>CMS proposes to modify the threshold used to determine when a sponsoring organization must hire an independent auditing firm. CMS intends to exclude Compliance Program Eff</w:t>
      </w:r>
      <w:r>
        <w:rPr>
          <w:w w:val="105"/>
        </w:rPr>
        <w:t>ectiveness (CPE) conditions from the threshold calculation. Sponsoring organizations with more than five non-CPE conditions cited in their final audit report will be required to hire an independent auditing firm. CMS will conduct the validation audits of s</w:t>
      </w:r>
      <w:r>
        <w:rPr>
          <w:w w:val="105"/>
        </w:rPr>
        <w:t>ponsoring organizations that fall below this proposed threshold.</w:t>
      </w:r>
    </w:p>
    <w:p w:rsidR="007651BE" w:rsidRDefault="007651BE">
      <w:pPr>
        <w:pStyle w:val="BodyText"/>
        <w:rPr>
          <w:sz w:val="22"/>
        </w:rPr>
      </w:pPr>
    </w:p>
    <w:p w:rsidR="007651BE" w:rsidRDefault="00026358">
      <w:pPr>
        <w:pStyle w:val="BodyText"/>
        <w:spacing w:line="249" w:lineRule="auto"/>
        <w:ind w:left="107" w:right="1935" w:firstLine="5"/>
      </w:pPr>
      <w:r>
        <w:rPr>
          <w:b/>
          <w:w w:val="105"/>
        </w:rPr>
        <w:t xml:space="preserve">BCBSM Comments: </w:t>
      </w:r>
      <w:r>
        <w:rPr>
          <w:w w:val="105"/>
        </w:rPr>
        <w:t>We support the proposal to exclude CPE conditions in the threshold calculation. We feel that the inclusion of CPE conditions in the validation may be problematic in how it ca</w:t>
      </w:r>
      <w:r>
        <w:rPr>
          <w:w w:val="105"/>
        </w:rPr>
        <w:t>n be evidenced during virtual testing. We also recommend that CMS only include conditions that would have beneficiary impact in its threshold.</w:t>
      </w:r>
    </w:p>
    <w:p w:rsidR="007651BE" w:rsidRDefault="007651BE">
      <w:pPr>
        <w:pStyle w:val="BodyText"/>
        <w:spacing w:before="11"/>
      </w:pPr>
    </w:p>
    <w:p w:rsidR="007651BE" w:rsidRDefault="00026358">
      <w:pPr>
        <w:pStyle w:val="BodyText"/>
        <w:spacing w:line="247" w:lineRule="auto"/>
        <w:ind w:left="105" w:right="1845" w:firstLine="5"/>
      </w:pPr>
      <w:r>
        <w:pict>
          <v:line id="_x0000_s1028" style="position:absolute;left:0;text-align:left;z-index:-251657216;mso-position-horizontal-relative:page" from="442.45pt,10.05pt" to="446.05pt,10.05pt" strokeweight=".36pt">
            <w10:wrap anchorx="page"/>
          </v:line>
        </w:pict>
      </w:r>
      <w:r>
        <w:pict>
          <v:line id="_x0000_s1027" style="position:absolute;left:0;text-align:left;z-index:-251656192;mso-position-horizontal-relative:page" from="427.7pt,22.25pt" to="431.3pt,22.25pt" strokeweight=".36pt">
            <w10:wrap anchorx="page"/>
          </v:line>
        </w:pict>
      </w:r>
      <w:r>
        <w:rPr>
          <w:b/>
          <w:w w:val="105"/>
        </w:rPr>
        <w:t xml:space="preserve">CMS Proposal: </w:t>
      </w:r>
      <w:r>
        <w:rPr>
          <w:w w:val="105"/>
        </w:rPr>
        <w:t>Regarding, enforcement actions for provider directories, CMS reminds plans that Civil Money Pena</w:t>
      </w:r>
      <w:r>
        <w:rPr>
          <w:w w:val="105"/>
        </w:rPr>
        <w:t>lties (CMPs) and other enforcerrieritacffons may be imposed against MAOs that have received a compliance notice or notices for violations that have gone uncorrected. CMS has the discretion to take enforcement actions where egregious instance of non-complia</w:t>
      </w:r>
      <w:r>
        <w:rPr>
          <w:w w:val="105"/>
        </w:rPr>
        <w:t>nce are discovered. If CMPs are imposed for provider directory errors, penalty amounts would initially be calculated on a per determination basis.</w:t>
      </w:r>
    </w:p>
    <w:p w:rsidR="007651BE" w:rsidRDefault="007651BE">
      <w:pPr>
        <w:pStyle w:val="BodyText"/>
        <w:spacing w:before="2"/>
        <w:rPr>
          <w:sz w:val="22"/>
        </w:rPr>
      </w:pPr>
    </w:p>
    <w:p w:rsidR="007651BE" w:rsidRDefault="00026358">
      <w:pPr>
        <w:pStyle w:val="Heading2"/>
        <w:spacing w:line="242" w:lineRule="auto"/>
        <w:ind w:right="1845" w:hanging="2"/>
      </w:pPr>
      <w:r>
        <w:rPr>
          <w:w w:val="105"/>
        </w:rPr>
        <w:t>BCBSM Comments: BCBSM recommends that CMS engage with MA plans, providers and other stakeholder to develop a</w:t>
      </w:r>
      <w:r>
        <w:rPr>
          <w:w w:val="105"/>
        </w:rPr>
        <w:t xml:space="preserve"> national solution. It is in the best</w:t>
      </w:r>
    </w:p>
    <w:p w:rsidR="007651BE" w:rsidRDefault="007651BE">
      <w:pPr>
        <w:spacing w:line="242" w:lineRule="auto"/>
        <w:sectPr w:rsidR="007651BE">
          <w:footerReference w:type="default" r:id="rId10"/>
          <w:pgSz w:w="12240" w:h="15840"/>
          <w:pgMar w:top="860" w:right="0" w:bottom="0" w:left="1600" w:header="0" w:footer="0" w:gutter="0"/>
          <w:pgNumType w:start="4"/>
          <w:cols w:space="720"/>
        </w:sectPr>
      </w:pPr>
    </w:p>
    <w:p w:rsidR="007651BE" w:rsidRDefault="00026358">
      <w:pPr>
        <w:spacing w:before="65"/>
        <w:ind w:left="123" w:right="1848" w:firstLine="7"/>
      </w:pPr>
      <w:bookmarkStart w:id="0" w:name="_GoBack"/>
      <w:r>
        <w:lastRenderedPageBreak/>
        <w:pict>
          <v:line id="_x0000_s1026" style="position:absolute;left:0;text-align:left;z-index:251653120;mso-position-horizontal-relative:page;mso-position-vertical-relative:page" from="606.6pt,787.7pt" to="606.6pt,348.85pt" strokeweight="1.08pt">
            <w10:wrap anchorx="page" anchory="page"/>
          </v:line>
        </w:pict>
      </w:r>
      <w:r>
        <w:rPr>
          <w:w w:val="110"/>
        </w:rPr>
        <w:t>interests of consumers, providers and plans for provider directories to have the best possible information. The current situation, though, is challenging for both providers, who receive requests from a wide array of plans, and for plans, who receive incons</w:t>
      </w:r>
      <w:r>
        <w:rPr>
          <w:w w:val="110"/>
        </w:rPr>
        <w:t>istent information from provider offices due to the complexity. We would</w:t>
      </w:r>
      <w:r>
        <w:rPr>
          <w:spacing w:val="-18"/>
          <w:w w:val="110"/>
        </w:rPr>
        <w:t xml:space="preserve"> </w:t>
      </w:r>
      <w:r>
        <w:rPr>
          <w:w w:val="110"/>
        </w:rPr>
        <w:t>like</w:t>
      </w:r>
      <w:r>
        <w:rPr>
          <w:spacing w:val="-18"/>
          <w:w w:val="110"/>
        </w:rPr>
        <w:t xml:space="preserve"> </w:t>
      </w:r>
      <w:r>
        <w:rPr>
          <w:w w:val="110"/>
        </w:rPr>
        <w:t>to</w:t>
      </w:r>
      <w:r>
        <w:rPr>
          <w:spacing w:val="-6"/>
          <w:w w:val="110"/>
        </w:rPr>
        <w:t xml:space="preserve"> </w:t>
      </w:r>
      <w:r>
        <w:rPr>
          <w:w w:val="110"/>
        </w:rPr>
        <w:t>see</w:t>
      </w:r>
      <w:r>
        <w:rPr>
          <w:spacing w:val="-14"/>
          <w:w w:val="110"/>
        </w:rPr>
        <w:t xml:space="preserve"> </w:t>
      </w:r>
      <w:r>
        <w:rPr>
          <w:w w:val="110"/>
        </w:rPr>
        <w:t>a</w:t>
      </w:r>
      <w:r>
        <w:rPr>
          <w:spacing w:val="-18"/>
          <w:w w:val="110"/>
        </w:rPr>
        <w:t xml:space="preserve"> </w:t>
      </w:r>
      <w:r>
        <w:rPr>
          <w:w w:val="110"/>
        </w:rPr>
        <w:t>national</w:t>
      </w:r>
      <w:r>
        <w:rPr>
          <w:spacing w:val="-6"/>
          <w:w w:val="110"/>
        </w:rPr>
        <w:t xml:space="preserve"> </w:t>
      </w:r>
      <w:r>
        <w:rPr>
          <w:w w:val="110"/>
        </w:rPr>
        <w:t>solution,</w:t>
      </w:r>
      <w:r>
        <w:rPr>
          <w:spacing w:val="-4"/>
          <w:w w:val="110"/>
        </w:rPr>
        <w:t xml:space="preserve"> </w:t>
      </w:r>
      <w:r>
        <w:rPr>
          <w:w w:val="110"/>
        </w:rPr>
        <w:t>potentially</w:t>
      </w:r>
      <w:r>
        <w:rPr>
          <w:spacing w:val="-5"/>
          <w:w w:val="110"/>
        </w:rPr>
        <w:t xml:space="preserve"> </w:t>
      </w:r>
      <w:r>
        <w:rPr>
          <w:w w:val="110"/>
        </w:rPr>
        <w:t>utilizing</w:t>
      </w:r>
      <w:r>
        <w:rPr>
          <w:spacing w:val="-17"/>
          <w:w w:val="110"/>
        </w:rPr>
        <w:t xml:space="preserve"> </w:t>
      </w:r>
      <w:r>
        <w:rPr>
          <w:w w:val="110"/>
        </w:rPr>
        <w:t>standard</w:t>
      </w:r>
      <w:r>
        <w:rPr>
          <w:spacing w:val="-11"/>
          <w:w w:val="110"/>
        </w:rPr>
        <w:t xml:space="preserve"> </w:t>
      </w:r>
      <w:r>
        <w:rPr>
          <w:w w:val="110"/>
        </w:rPr>
        <w:t>transactions</w:t>
      </w:r>
      <w:r>
        <w:rPr>
          <w:spacing w:val="9"/>
          <w:w w:val="110"/>
        </w:rPr>
        <w:t xml:space="preserve"> </w:t>
      </w:r>
      <w:r>
        <w:rPr>
          <w:w w:val="110"/>
        </w:rPr>
        <w:t>for provider directory information to simplify the dynamic for providers and plans, and</w:t>
      </w:r>
      <w:r>
        <w:rPr>
          <w:spacing w:val="-23"/>
          <w:w w:val="110"/>
        </w:rPr>
        <w:t xml:space="preserve"> </w:t>
      </w:r>
      <w:r>
        <w:rPr>
          <w:w w:val="110"/>
        </w:rPr>
        <w:t>ensure</w:t>
      </w:r>
      <w:r>
        <w:rPr>
          <w:spacing w:val="-23"/>
          <w:w w:val="110"/>
        </w:rPr>
        <w:t xml:space="preserve"> </w:t>
      </w:r>
      <w:r>
        <w:rPr>
          <w:w w:val="110"/>
        </w:rPr>
        <w:t>that</w:t>
      </w:r>
      <w:r>
        <w:rPr>
          <w:spacing w:val="-24"/>
          <w:w w:val="110"/>
        </w:rPr>
        <w:t xml:space="preserve"> </w:t>
      </w:r>
      <w:r>
        <w:rPr>
          <w:w w:val="110"/>
        </w:rPr>
        <w:t>current,</w:t>
      </w:r>
      <w:r>
        <w:rPr>
          <w:spacing w:val="-18"/>
          <w:w w:val="110"/>
        </w:rPr>
        <w:t xml:space="preserve"> </w:t>
      </w:r>
      <w:r>
        <w:rPr>
          <w:w w:val="110"/>
        </w:rPr>
        <w:t>accurate</w:t>
      </w:r>
      <w:r>
        <w:rPr>
          <w:spacing w:val="-24"/>
          <w:w w:val="110"/>
        </w:rPr>
        <w:t xml:space="preserve"> </w:t>
      </w:r>
      <w:r>
        <w:rPr>
          <w:w w:val="110"/>
        </w:rPr>
        <w:t>information</w:t>
      </w:r>
      <w:r>
        <w:rPr>
          <w:spacing w:val="-18"/>
          <w:w w:val="110"/>
        </w:rPr>
        <w:t xml:space="preserve"> </w:t>
      </w:r>
      <w:r>
        <w:rPr>
          <w:w w:val="110"/>
        </w:rPr>
        <w:t>is</w:t>
      </w:r>
      <w:r>
        <w:rPr>
          <w:spacing w:val="-12"/>
          <w:w w:val="110"/>
        </w:rPr>
        <w:t xml:space="preserve"> </w:t>
      </w:r>
      <w:r>
        <w:rPr>
          <w:w w:val="110"/>
        </w:rPr>
        <w:t>available</w:t>
      </w:r>
      <w:r>
        <w:rPr>
          <w:spacing w:val="-15"/>
          <w:w w:val="110"/>
        </w:rPr>
        <w:t xml:space="preserve"> </w:t>
      </w:r>
      <w:r>
        <w:rPr>
          <w:w w:val="110"/>
        </w:rPr>
        <w:t>for</w:t>
      </w:r>
      <w:r>
        <w:rPr>
          <w:spacing w:val="-3"/>
          <w:w w:val="110"/>
        </w:rPr>
        <w:t xml:space="preserve"> </w:t>
      </w:r>
      <w:r>
        <w:rPr>
          <w:w w:val="110"/>
        </w:rPr>
        <w:t>consumers.</w:t>
      </w:r>
    </w:p>
    <w:p w:rsidR="007651BE" w:rsidRDefault="007651BE">
      <w:pPr>
        <w:pStyle w:val="BodyText"/>
        <w:rPr>
          <w:sz w:val="22"/>
        </w:rPr>
      </w:pPr>
    </w:p>
    <w:p w:rsidR="007651BE" w:rsidRDefault="00026358">
      <w:pPr>
        <w:spacing w:line="237" w:lineRule="auto"/>
        <w:ind w:left="109" w:right="1848" w:firstLine="10"/>
      </w:pPr>
      <w:r>
        <w:t>CMS Proposal: CMS is considering allowing sponsoring organizations that have undergone a program audit to treat the program audit as meeting the annual compliance program audit requirement in 42 CF</w:t>
      </w:r>
      <w:r>
        <w:t>R 422.503(b)(4)(vi)(F), 423.504(b)(4)(vi)(F) for one year from the date of the CMS program audit.</w:t>
      </w:r>
    </w:p>
    <w:p w:rsidR="007651BE" w:rsidRDefault="007651BE">
      <w:pPr>
        <w:pStyle w:val="BodyText"/>
        <w:spacing w:before="9"/>
      </w:pPr>
    </w:p>
    <w:p w:rsidR="007651BE" w:rsidRDefault="00026358">
      <w:pPr>
        <w:spacing w:line="244" w:lineRule="auto"/>
        <w:ind w:left="108" w:right="2029" w:hanging="1"/>
      </w:pPr>
      <w:r>
        <w:rPr>
          <w:b/>
          <w:sz w:val="21"/>
        </w:rPr>
        <w:t xml:space="preserve">BCBSM </w:t>
      </w:r>
      <w:r>
        <w:t>Comment: We agree that a program audit should count toward the annual audit of CPE for the calendar year in which the program audit was conducted.</w:t>
      </w:r>
    </w:p>
    <w:p w:rsidR="007651BE" w:rsidRDefault="00026358">
      <w:pPr>
        <w:ind w:left="107" w:right="1848" w:hanging="6"/>
      </w:pPr>
      <w:r>
        <w:t>Addi</w:t>
      </w:r>
      <w:r>
        <w:t>tionally, if an annual audit of CPE was conducted prior to a program audit in a calendar year, the program audit should exclude the CPE portion.</w:t>
      </w:r>
      <w:bookmarkEnd w:id="0"/>
    </w:p>
    <w:sectPr w:rsidR="007651BE">
      <w:pgSz w:w="12240" w:h="15840"/>
      <w:pgMar w:top="600" w:right="0" w:bottom="0" w:left="16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6358">
      <w:r>
        <w:separator/>
      </w:r>
    </w:p>
  </w:endnote>
  <w:endnote w:type="continuationSeparator" w:id="0">
    <w:p w:rsidR="00000000" w:rsidRDefault="0002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1BE" w:rsidRDefault="00026358">
    <w:pPr>
      <w:pStyle w:val="BodyText"/>
      <w:spacing w:line="14" w:lineRule="auto"/>
      <w:rPr>
        <w:sz w:val="2"/>
      </w:rPr>
    </w:pPr>
    <w:r>
      <w:pict>
        <v:shapetype id="_x0000_t202" coordsize="21600,21600" o:spt="202" path="m,l,21600r21600,l21600,xe">
          <v:stroke joinstyle="miter"/>
          <v:path gradientshapeok="t" o:connecttype="rect"/>
        </v:shapetype>
        <v:shape id="_x0000_s2050" type="#_x0000_t202" style="position:absolute;margin-left:507.05pt;margin-top:722.25pt;width:12.45pt;height:16.05pt;z-index:-5128;mso-position-horizontal-relative:page;mso-position-vertical-relative:page" filled="f" stroked="f">
          <v:textbox inset="0,0,0,0">
            <w:txbxContent>
              <w:p w:rsidR="007651BE" w:rsidRDefault="00026358">
                <w:pPr>
                  <w:spacing w:before="24"/>
                  <w:ind w:left="41"/>
                  <w:rPr>
                    <w:b/>
                    <w:sz w:val="24"/>
                  </w:rPr>
                </w:pPr>
                <w:r>
                  <w:fldChar w:fldCharType="begin"/>
                </w:r>
                <w:r>
                  <w:rPr>
                    <w:b/>
                    <w:w w:val="102"/>
                    <w:sz w:val="24"/>
                  </w:rPr>
                  <w:instrText xml:space="preserve"> PAGE </w:instrText>
                </w:r>
                <w:r>
                  <w:fldChar w:fldCharType="separate"/>
                </w:r>
                <w:r>
                  <w:rPr>
                    <w:b/>
                    <w:noProof/>
                    <w:w w:val="102"/>
                    <w:sz w:val="24"/>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1BE" w:rsidRDefault="00026358">
    <w:pPr>
      <w:pStyle w:val="BodyText"/>
      <w:spacing w:line="14" w:lineRule="auto"/>
      <w:rPr>
        <w:sz w:val="2"/>
      </w:rPr>
    </w:pPr>
    <w:r>
      <w:pict>
        <v:shapetype id="_x0000_t202" coordsize="21600,21600" o:spt="202" path="m,l,21600r21600,l21600,xe">
          <v:stroke joinstyle="miter"/>
          <v:path gradientshapeok="t" o:connecttype="rect"/>
        </v:shapetype>
        <v:shape id="_x0000_s2049" type="#_x0000_t202" style="position:absolute;margin-left:506.9pt;margin-top:723.25pt;width:11.1pt;height:15.45pt;z-index:-5104;mso-position-horizontal-relative:page;mso-position-vertical-relative:page" filled="f" stroked="f">
          <v:textbox inset="0,0,0,0">
            <w:txbxContent>
              <w:p w:rsidR="007651BE" w:rsidRDefault="00026358">
                <w:pPr>
                  <w:spacing w:before="12"/>
                  <w:ind w:left="40"/>
                  <w:rPr>
                    <w:sz w:val="24"/>
                  </w:rPr>
                </w:pPr>
                <w:r>
                  <w:fldChar w:fldCharType="begin"/>
                </w:r>
                <w:r>
                  <w:rPr>
                    <w:w w:val="105"/>
                    <w:sz w:val="24"/>
                  </w:rPr>
                  <w:instrText xml:space="preserve"> PAGE </w:instrText>
                </w:r>
                <w:r>
                  <w:fldChar w:fldCharType="separate"/>
                </w:r>
                <w:r>
                  <w:rPr>
                    <w:noProof/>
                    <w:w w:val="105"/>
                    <w:sz w:val="24"/>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6358">
      <w:r>
        <w:separator/>
      </w:r>
    </w:p>
  </w:footnote>
  <w:footnote w:type="continuationSeparator" w:id="0">
    <w:p w:rsidR="00000000" w:rsidRDefault="00026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651BE"/>
    <w:rsid w:val="00026358"/>
    <w:rsid w:val="0076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99031DBF-682D-4F97-8CF9-5B335C2B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7" w:right="1848" w:hanging="6"/>
      <w:outlineLvl w:val="0"/>
    </w:pPr>
  </w:style>
  <w:style w:type="paragraph" w:styleId="Heading2">
    <w:name w:val="heading 2"/>
    <w:basedOn w:val="Normal"/>
    <w:uiPriority w:val="1"/>
    <w:qFormat/>
    <w:pPr>
      <w:ind w:left="106"/>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winright@bcbsm.com"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1827</Words>
  <Characters>9897</Characters>
  <Application>Microsoft Office Word</Application>
  <DocSecurity>0</DocSecurity>
  <Lines>221</Lines>
  <Paragraphs>56</Paragraphs>
  <ScaleCrop>false</ScaleCrop>
  <Company>CMS</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2018-07-23T16:21:00Z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Hewlett-Packard MFP</vt:lpwstr>
  </property>
  <property fmtid="{D5CDD505-2E9C-101B-9397-08002B2CF9AE}" pid="4" name="LastSaved">
    <vt:filetime>2018-07-23T00:00:00Z</vt:filetime>
  </property>
</Properties>
</file>