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6E" w:rsidRDefault="002A6B35">
      <w:pPr>
        <w:pStyle w:val="BodyText"/>
        <w:ind w:left="2996"/>
        <w:rPr>
          <w:rFonts w:ascii="Times New Roman"/>
          <w:sz w:val="20"/>
        </w:rPr>
      </w:pPr>
      <w:r>
        <w:rPr>
          <w:rFonts w:ascii="Times New Roman"/>
          <w:sz w:val="20"/>
        </w:rPr>
      </w:r>
      <w:r>
        <w:rPr>
          <w:rFonts w:ascii="Times New Roman"/>
          <w:sz w:val="20"/>
        </w:rPr>
        <w:pict>
          <v:group id="_x0000_s1196" style="width:180.55pt;height:54.9pt;mso-position-horizontal-relative:char;mso-position-vertical-relative:line" coordsize="3611,1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8" type="#_x0000_t75" style="position:absolute;left:688;top:1;width:2922;height:670">
              <v:imagedata r:id="rId6" o:title=""/>
            </v:shape>
            <v:shape id="_x0000_s1217" type="#_x0000_t75" style="position:absolute;left:3059;width:265;height:247">
              <v:imagedata r:id="rId7" o:title=""/>
            </v:shape>
            <v:shape id="_x0000_s1216" style="position:absolute;top:847;width:117;height:126" coordorigin=",847" coordsize="117,126" o:spt="100" adj="0,,0" path="m12,973l,973,78,847r15,l95,859r-13,l40,929r69,l111,940r-78,l12,973xm109,929r-13,l82,859r13,l109,929xm117,973r-12,l97,940r14,l117,973xe" fillcolor="#1477c5" stroked="f">
              <v:stroke joinstyle="round"/>
              <v:formulas/>
              <v:path arrowok="t" o:connecttype="segments"/>
            </v:shape>
            <v:shape id="_x0000_s1215" style="position:absolute;left:132;top:847;width:110;height:126" coordorigin="132,847" coordsize="110,126" o:spt="100" adj="0,,0" path="m169,973r-37,l159,847r22,l205,849r18,8l169,857,147,962r61,l200,967r-31,6xm208,962r-40,l194,958r19,-13l225,925r4,-27l226,879r-9,-12l203,860r-19,-3l223,857r1,1l237,873r4,25l237,928r-14,24l208,962xe" fillcolor="#1477c5" stroked="f">
              <v:stroke joinstyle="round"/>
              <v:formulas/>
              <v:path arrowok="t" o:connecttype="segments"/>
            </v:shape>
            <v:shape id="_x0000_s1214" style="position:absolute;left:252;top:847;width:108;height:126" coordorigin="252,847" coordsize="108,126" o:spt="100" adj="0,,0" path="m286,973r-13,l252,847r13,l282,961r11,l286,973xm293,961r-11,l348,847r12,l293,961xe" fillcolor="#1477c5" stroked="f">
              <v:stroke joinstyle="round"/>
              <v:formulas/>
              <v:path arrowok="t" o:connecttype="segments"/>
            </v:shape>
            <v:shape id="_x0000_s1213" style="position:absolute;left:325;top:847;width:117;height:126" coordorigin="325,847" coordsize="117,126" o:spt="100" adj="0,,0" path="m339,973r-14,l403,847r15,l420,859r-12,l366,929r68,l436,940r-78,l339,973xm434,929r-13,l408,859r12,l434,929xm442,973r-12,l424,940r12,l442,973xe" fillcolor="#1477c5" stroked="f">
              <v:stroke joinstyle="round"/>
              <v:formulas/>
              <v:path arrowok="t" o:connecttype="segments"/>
            </v:shape>
            <v:shape id="_x0000_s1212" style="position:absolute;left:460;top:847;width:120;height:126" coordorigin="460,847" coordsize="120,126" o:spt="100" adj="0,,0" path="m472,973r-12,l487,847r15,l508,862r-13,l472,973xm556,958r-12,l568,847r12,l556,958xm553,973r-15,l496,862r12,l544,958r12,l553,973xe" fillcolor="#1477c5" stroked="f">
              <v:stroke joinstyle="round"/>
              <v:formulas/>
              <v:path arrowok="t" o:connecttype="segments"/>
            </v:shape>
            <v:shape id="_x0000_s1211" style="position:absolute;left:586;top:845;width:110;height:131" coordorigin="586,845" coordsize="110,131" o:spt="100" adj="0,,0" path="m659,976r-13,l623,972,604,961,591,943r-5,-23l592,890r15,-24l631,851r30,-6l674,845r11,2l695,851r-2,5l661,856r-26,5l615,875r-13,20l598,920r3,17l611,952r15,10l644,965r27,l670,971r-5,2l659,976xm691,862r-9,-5l671,856r22,l691,862xm671,965r-10,l664,962r7,-1l671,965xe" fillcolor="#1477c5" stroked="f">
              <v:stroke joinstyle="round"/>
              <v:formulas/>
              <v:path arrowok="t" o:connecttype="segments"/>
            </v:shape>
            <v:shape id="_x0000_s1210" style="position:absolute;left:694;top:847;width:41;height:126" coordorigin="694,847" coordsize="41,126" path="m707,973r-13,l721,847r13,l707,973xe" fillcolor="#1477c5" stroked="f">
              <v:path arrowok="t"/>
            </v:shape>
            <v:shape id="_x0000_s1209" style="position:absolute;left:736;top:847;width:120;height:126" coordorigin="736,847" coordsize="120,126" o:spt="100" adj="0,,0" path="m748,973r-12,l764,847r15,l785,862r-13,l748,973xm832,958r-11,l845,847r11,l832,958xm829,973r-15,l772,862r13,l821,958r11,l829,973xe" fillcolor="#1477c5" stroked="f">
              <v:stroke joinstyle="round"/>
              <v:formulas/>
              <v:path arrowok="t" o:connecttype="segments"/>
            </v:shape>
            <v:shape id="_x0000_s1208" style="position:absolute;left:863;top:845;width:113;height:131" coordorigin="863,845" coordsize="113,131" o:spt="100" adj="0,,0" path="m941,976r-19,l897,971,879,959,867,941r-4,-24l869,888r16,-23l908,850r29,-5l950,845r12,2l976,851r-2,5l938,856r-25,4l894,873r-13,20l877,919r3,18l889,952r14,10l920,965r37,l956,970r-4,l941,976xm973,863r-11,-6l950,856r24,l973,863xm957,965r-23,l941,961r5,-2l955,916r-32,l926,905r44,l957,965xe" fillcolor="#1477c5" stroked="f">
              <v:stroke joinstyle="round"/>
              <v:formulas/>
              <v:path arrowok="t" o:connecttype="segments"/>
            </v:shape>
            <v:shape id="_x0000_s1207" style="position:absolute;left:1040;top:847;width:89;height:126" coordorigin="1040,847" coordsize="89,126" path="m1104,973r-64,l1067,847r61,l1127,857r-51,l1067,902r48,l1112,914r-47,l1055,962r52,l1104,973xe" fillcolor="#1477c5" stroked="f">
              <v:path arrowok="t"/>
            </v:shape>
            <v:shape id="_x0000_s1206" style="position:absolute;left:1133;top:847;width:156;height:126" coordorigin="1133,847" coordsize="156,126" o:spt="100" adj="0,,0" path="m1145,973r-12,l1160,847r16,l1179,860r-12,l1145,973xm1211,958r-11,l1269,847r20,l1286,860r-12,l1211,958xm1202,973r-11,l1169,860r10,l1200,958r11,l1202,973xm1263,973r-13,l1275,860r11,l1263,973xe" fillcolor="#1477c5" stroked="f">
              <v:stroke joinstyle="round"/>
              <v:formulas/>
              <v:path arrowok="t" o:connecttype="segments"/>
            </v:shape>
            <v:shape id="_x0000_s1205" style="position:absolute;left:1295;top:847;width:89;height:126" coordorigin="1295,847" coordsize="89,126" path="m1359,973r-64,l1322,847r61,l1382,857r-51,l1322,902r48,l1367,914r-47,l1310,962r52,l1359,973xe" fillcolor="#1477c5" stroked="f">
              <v:path arrowok="t"/>
            </v:shape>
            <v:shape id="_x0000_s1204" style="position:absolute;left:1388;top:847;width:90;height:126" coordorigin="1388,847" coordsize="90,126" o:spt="100" adj="0,,0" path="m1400,973r-12,l1415,847r28,l1457,848r11,5l1472,857r-47,l1415,902r48,l1457,906r-14,2l1443,910r11,1l1454,914r-41,l1400,973xm1463,902r-35,l1441,901r12,-4l1462,890r4,-13l1466,862r-11,-5l1472,857r3,4l1478,875r-3,14l1468,900r-5,2xm1469,973r-14,l1445,926r-3,-10l1437,914r17,l1454,917r3,8l1469,973xe" fillcolor="#1477c5" stroked="f">
              <v:stroke joinstyle="round"/>
              <v:formulas/>
              <v:path arrowok="t" o:connecttype="segments"/>
            </v:shape>
            <v:shape id="_x0000_s1203" style="position:absolute;left:1493;top:845;width:113;height:131" coordorigin="1493,845" coordsize="113,131" o:spt="100" adj="0,,0" path="m1570,976r-19,l1527,971r-19,-12l1497,941r-4,-24l1498,888r16,-23l1537,850r29,-5l1579,845r12,2l1605,851r-1,5l1568,856r-26,4l1523,873r-14,20l1505,919r3,18l1517,952r15,10l1550,965r36,l1585,970r-4,l1570,976xm1602,863r-11,-6l1579,856r25,l1602,863xm1586,965r-23,l1570,961r5,-2l1582,916r-29,l1556,905r43,l1586,965xe" fillcolor="#1477c5" stroked="f">
              <v:stroke joinstyle="round"/>
              <v:formulas/>
              <v:path arrowok="t" o:connecttype="segments"/>
            </v:shape>
            <v:shape id="_x0000_s1202" style="position:absolute;left:1617;top:847;width:89;height:126" coordorigin="1617,847" coordsize="89,126" path="m1683,973r-66,l1644,847r61,l1704,857r-50,l1644,902r48,l1690,914r-48,l1632,962r52,l1683,973xe" fillcolor="#1477c5" stroked="f">
              <v:path arrowok="t"/>
            </v:shape>
            <v:shape id="_x0000_s1201" style="position:absolute;left:1708;top:847;width:120;height:126" coordorigin="1708,847" coordsize="120,126" o:spt="100" adj="0,,0" path="m1720,973r-12,l1735,847r15,l1756,862r-13,l1720,973xm1804,958r-12,l1816,847r12,l1804,958xm1801,973r-15,l1744,862r12,l1792,958r12,l1801,973xe" fillcolor="#1477c5" stroked="f">
              <v:stroke joinstyle="round"/>
              <v:formulas/>
              <v:path arrowok="t" o:connecttype="segments"/>
            </v:shape>
            <v:shape id="_x0000_s1200" style="position:absolute;left:1834;top:845;width:110;height:131" coordorigin="1834,845" coordsize="110,131" o:spt="100" adj="0,,0" path="m1908,976r-14,l1871,972r-19,-11l1839,943r-5,-23l1840,890r15,-24l1879,851r30,-6l1923,845r10,2l1944,851r-2,5l1909,856r-25,5l1864,875r-13,20l1846,920r4,17l1859,952r15,10l1893,965r26,l1918,971r-4,2l1908,976xm1939,862r-9,-5l1920,856r22,l1939,862xm1919,965r-10,l1912,962r8,-1l1919,965xe" fillcolor="#1477c5" stroked="f">
              <v:stroke joinstyle="round"/>
              <v:formulas/>
              <v:path arrowok="t" o:connecttype="segments"/>
            </v:shape>
            <v:shape id="_x0000_s1199" style="position:absolute;left:1954;top:847;width:108;height:126" coordorigin="1954,847" coordsize="108,126" o:spt="100" adj="0,,0" path="m1987,973r-12,l1986,920r-32,-73l1968,847r27,63l2007,910r-9,10l1987,973xm2007,910r-12,l2047,847r15,l2007,910xe" fillcolor="#1477c5" stroked="f">
              <v:stroke joinstyle="round"/>
              <v:formulas/>
              <v:path arrowok="t" o:connecttype="segments"/>
            </v:shape>
            <v:shape id="_x0000_s1198" type="#_x0000_t75" style="position:absolute;left:2113;top:845;width:418;height:130">
              <v:imagedata r:id="rId8" o:title=""/>
            </v:shape>
            <v:shape id="_x0000_s1197" style="position:absolute;left:2558;top:733;width:949;height:365" coordorigin="2558,733" coordsize="949,365" o:spt="100" adj="0,,0" path="m3162,1076r-11,l3160,1057r19,-41l3307,736r,-2l3310,733r5,l3316,736r,1l3318,758r-9,l3298,781r-20,43l3162,1076xm3342,1039r-2,l3337,1037r-1,-1l3336,1033r-4,-39l3323,908r-9,-93l3309,758r9,l3329,866r10,94l3345,1016r12,l3346,1036r-1,1l3342,1039xm3153,1097r-3,-1l3148,1096r-3,-2l3145,1093r-4,-18l3130,1036r-12,-41l3113,973r-555,l2558,962r561,l3120,964r,3l3144,1050r7,26l3162,1076r-8,17l3154,1096r-1,1xm3357,1016r-12,l3350,1005r5,-8l3361,985r11,-18l3372,964r135,l3507,974r-128,l3377,978r-4,7l3364,1003r-7,13xe" fillcolor="#1477c5" stroked="f">
              <v:stroke joinstyle="round"/>
              <v:formulas/>
              <v:path arrowok="t" o:connecttype="segments"/>
            </v:shape>
            <w10:wrap type="none"/>
            <w10:anchorlock/>
          </v:group>
        </w:pict>
      </w:r>
    </w:p>
    <w:p w:rsidR="00164D6E" w:rsidRDefault="00164D6E">
      <w:pPr>
        <w:pStyle w:val="BodyText"/>
        <w:rPr>
          <w:rFonts w:ascii="Times New Roman"/>
          <w:sz w:val="20"/>
        </w:rPr>
      </w:pPr>
    </w:p>
    <w:p w:rsidR="00164D6E" w:rsidRDefault="00164D6E">
      <w:pPr>
        <w:pStyle w:val="BodyText"/>
        <w:rPr>
          <w:rFonts w:ascii="Times New Roman"/>
          <w:sz w:val="20"/>
        </w:rPr>
      </w:pPr>
    </w:p>
    <w:p w:rsidR="00164D6E" w:rsidRDefault="00164D6E">
      <w:pPr>
        <w:pStyle w:val="BodyText"/>
        <w:rPr>
          <w:rFonts w:ascii="Times New Roman"/>
          <w:sz w:val="20"/>
        </w:rPr>
      </w:pPr>
    </w:p>
    <w:p w:rsidR="00164D6E" w:rsidRDefault="00164D6E">
      <w:pPr>
        <w:pStyle w:val="BodyText"/>
        <w:spacing w:before="7"/>
        <w:rPr>
          <w:rFonts w:ascii="Times New Roman"/>
          <w:sz w:val="23"/>
        </w:rPr>
      </w:pPr>
    </w:p>
    <w:p w:rsidR="00164D6E" w:rsidRDefault="002A6B35">
      <w:pPr>
        <w:pStyle w:val="BodyText"/>
        <w:ind w:left="2999"/>
        <w:jc w:val="both"/>
      </w:pPr>
      <w:r>
        <w:pict>
          <v:group id="_x0000_s1180" style="position:absolute;left:0;text-align:left;margin-left:160.85pt;margin-top:-104.25pt;width:32.15pt;height:29.2pt;z-index:-11752;mso-position-horizontal-relative:page" coordorigin="3217,-2085" coordsize="643,584">
            <v:shape id="_x0000_s1195" style="position:absolute;left:3247;top:-2055;width:510;height:225" coordorigin="3247,-2055" coordsize="510,225" o:spt="100" adj="0,,0" path="m3247,-2055r60,m3247,-1980r60,m3247,-1905r60,m3322,-2055r60,m3322,-1980r60,m3322,-1905r60,m3397,-2055r60,m3397,-1980r60,m3397,-1905r60,m3472,-2055r60,m3547,-2055r58,m3622,-2055r58,m3697,-2055r60,m3472,-1980r60,m3547,-1980r58,m3622,-1980r58,m3697,-1980r60,m3472,-1905r60,m3622,-1905r58,m3697,-1905r60,m3247,-1830r60,m3322,-1830r60,m3397,-1830r60,m3472,-1830r60,m3547,-1830r58,m3622,-1830r58,m3697,-1830r60,e" filled="f" strokecolor="#1477c5" strokeweight="1.0311mm">
              <v:stroke joinstyle="round"/>
              <v:formulas/>
              <v:path arrowok="t" o:connecttype="segments"/>
            </v:shape>
            <v:line id="_x0000_s1194" style="position:absolute" from="3772,-1531" to="3830,-1531" strokecolor="#1477c5" strokeweight="1.0575mm"/>
            <v:shape id="_x0000_s1193" style="position:absolute;left:3697;top:-1755;width:134;height:150" coordorigin="3697,-1755" coordsize="134,150" o:spt="100" adj="0,,0" path="m3772,-1605r58,m3772,-1680r58,m3697,-1755r60,m3697,-1680r60,m3697,-1605r60,e" filled="f" strokecolor="#1477c5" strokeweight="1.0311mm">
              <v:stroke joinstyle="round"/>
              <v:formulas/>
              <v:path arrowok="t" o:connecttype="segments"/>
            </v:shape>
            <v:line id="_x0000_s1192" style="position:absolute" from="3697,-1531" to="3757,-1531" strokecolor="#1477c5" strokeweight="1.0575mm"/>
            <v:shape id="_x0000_s1191" style="position:absolute;left:3247;top:-1755;width:60;height:150" coordorigin="3247,-1755" coordsize="60,150" o:spt="100" adj="0,,0" path="m3247,-1755r60,m3247,-1680r60,m3247,-1605r60,e" filled="f" strokecolor="#1477c5" strokeweight="1.0311mm">
              <v:stroke joinstyle="round"/>
              <v:formulas/>
              <v:path arrowok="t" o:connecttype="segments"/>
            </v:shape>
            <v:line id="_x0000_s1190" style="position:absolute" from="3247,-1531" to="3307,-1531" strokecolor="#1477c5" strokeweight="1.0575mm"/>
            <v:shape id="_x0000_s1189" style="position:absolute;left:3322;top:-1755;width:60;height:150" coordorigin="3322,-1755" coordsize="60,150" o:spt="100" adj="0,,0" path="m3322,-1755r60,m3322,-1680r60,m3322,-1605r60,e" filled="f" strokecolor="#1477c5" strokeweight="1.0311mm">
              <v:stroke joinstyle="round"/>
              <v:formulas/>
              <v:path arrowok="t" o:connecttype="segments"/>
            </v:shape>
            <v:line id="_x0000_s1188" style="position:absolute" from="3322,-1531" to="3382,-1531" strokecolor="#1477c5" strokeweight="1.0575mm"/>
            <v:shape id="_x0000_s1187" style="position:absolute;left:3397;top:-1755;width:60;height:150" coordorigin="3397,-1755" coordsize="60,150" o:spt="100" adj="0,,0" path="m3397,-1755r60,m3397,-1680r60,m3397,-1605r60,e" filled="f" strokecolor="#1477c5" strokeweight="1.0311mm">
              <v:stroke joinstyle="round"/>
              <v:formulas/>
              <v:path arrowok="t" o:connecttype="segments"/>
            </v:shape>
            <v:line id="_x0000_s1186" style="position:absolute" from="3397,-1531" to="3457,-1531" strokecolor="#1477c5" strokeweight="1.0575mm"/>
            <v:shape id="_x0000_s1185" style="position:absolute;left:3472;top:-1755;width:134;height:150" coordorigin="3472,-1755" coordsize="134,150" o:spt="100" adj="0,,0" path="m3472,-1755r60,m3472,-1680r60,m3547,-1755r58,m3472,-1605r60,e" filled="f" strokecolor="#1477c5" strokeweight="1.0311mm">
              <v:stroke joinstyle="round"/>
              <v:formulas/>
              <v:path arrowok="t" o:connecttype="segments"/>
            </v:shape>
            <v:line id="_x0000_s1184" style="position:absolute" from="3472,-1531" to="3532,-1531" strokecolor="#1477c5" strokeweight="1.0575mm"/>
            <v:shape id="_x0000_s1183" style="position:absolute;left:3547;top:-1680;width:59;height:75" coordorigin="3547,-1680" coordsize="59,75" o:spt="100" adj="0,,0" path="m3547,-1680r58,m3547,-1605r58,e" filled="f" strokecolor="#1477c5" strokeweight="1.0311mm">
              <v:stroke joinstyle="round"/>
              <v:formulas/>
              <v:path arrowok="t" o:connecttype="segments"/>
            </v:shape>
            <v:shape id="_x0000_s1182" style="position:absolute;left:3547;top:-1531;width:134;height:2" coordorigin="3547,-1531" coordsize="134,0" o:spt="100" adj="0,,0" path="m3547,-1531r58,m3622,-1531r58,e" filled="f" strokecolor="#1477c5" strokeweight="1.0575mm">
              <v:stroke joinstyle="round"/>
              <v:formulas/>
              <v:path arrowok="t" o:connecttype="segments"/>
            </v:shape>
            <v:shape id="_x0000_s1181" style="position:absolute;left:3622;top:-2055;width:209;height:450" coordorigin="3622,-2055" coordsize="209,450" o:spt="100" adj="0,,0" path="m3622,-1605r58,m3622,-1680r58,m3622,-1755r58,m3772,-2055r58,m3772,-1980r58,m3772,-1905r58,m3772,-1830r58,m3772,-1755r58,e" filled="f" strokecolor="#1477c5" strokeweight="1.0311mm">
              <v:stroke joinstyle="round"/>
              <v:formulas/>
              <v:path arrowok="t" o:connecttype="segments"/>
            </v:shape>
            <w10:wrap anchorx="page"/>
          </v:group>
        </w:pict>
      </w:r>
      <w:r>
        <w:t>March 5, 2018</w:t>
      </w:r>
    </w:p>
    <w:p w:rsidR="00164D6E" w:rsidRDefault="00164D6E">
      <w:pPr>
        <w:pStyle w:val="BodyText"/>
        <w:rPr>
          <w:sz w:val="26"/>
        </w:rPr>
      </w:pPr>
    </w:p>
    <w:p w:rsidR="00164D6E" w:rsidRDefault="00164D6E">
      <w:pPr>
        <w:pStyle w:val="BodyText"/>
        <w:spacing w:before="9"/>
        <w:rPr>
          <w:sz w:val="21"/>
        </w:rPr>
      </w:pPr>
    </w:p>
    <w:p w:rsidR="00164D6E" w:rsidRDefault="002A6B35">
      <w:pPr>
        <w:pStyle w:val="BodyText"/>
        <w:ind w:left="2999" w:right="6633"/>
      </w:pPr>
      <w:r>
        <w:t>Seema Verma Administrator</w:t>
      </w:r>
    </w:p>
    <w:p w:rsidR="00164D6E" w:rsidRDefault="002A6B35">
      <w:pPr>
        <w:pStyle w:val="BodyText"/>
        <w:ind w:left="2999" w:right="3886"/>
      </w:pPr>
      <w:r>
        <w:t>Centers for Medicare &amp; Medicaid Services Department of Health and Human Services PO Box 8013</w:t>
      </w:r>
    </w:p>
    <w:p w:rsidR="00164D6E" w:rsidRDefault="002A6B35">
      <w:pPr>
        <w:pStyle w:val="BodyText"/>
        <w:spacing w:before="2"/>
        <w:ind w:left="2999"/>
        <w:jc w:val="both"/>
      </w:pPr>
      <w:r>
        <w:t>Baltimore, MD 21244-8013</w:t>
      </w:r>
    </w:p>
    <w:p w:rsidR="00164D6E" w:rsidRDefault="00164D6E">
      <w:pPr>
        <w:pStyle w:val="BodyText"/>
        <w:spacing w:before="10"/>
        <w:rPr>
          <w:sz w:val="23"/>
        </w:rPr>
      </w:pPr>
    </w:p>
    <w:p w:rsidR="00164D6E" w:rsidRDefault="002A6B35">
      <w:pPr>
        <w:pStyle w:val="Heading1"/>
        <w:ind w:left="2999" w:right="165"/>
        <w:jc w:val="left"/>
      </w:pPr>
      <w:r>
        <w:t>Re: Advance Notice of Methodological Ch</w:t>
      </w:r>
      <w:r>
        <w:t>anges for Calendar Year (CY) 2019 for Medicare Advantage (MA) Capitation Rates, Part C and Part D Payment Policies and 2019 draft Call Letter</w:t>
      </w:r>
    </w:p>
    <w:p w:rsidR="00164D6E" w:rsidRDefault="00164D6E">
      <w:pPr>
        <w:pStyle w:val="BodyText"/>
        <w:spacing w:before="10"/>
        <w:rPr>
          <w:b/>
          <w:sz w:val="23"/>
        </w:rPr>
      </w:pPr>
    </w:p>
    <w:p w:rsidR="00164D6E" w:rsidRDefault="002A6B35">
      <w:pPr>
        <w:pStyle w:val="BodyText"/>
        <w:ind w:left="2999"/>
        <w:jc w:val="both"/>
      </w:pPr>
      <w:r>
        <w:t>Dear Administrator Verma:</w:t>
      </w:r>
    </w:p>
    <w:p w:rsidR="00164D6E" w:rsidRDefault="002A6B35">
      <w:pPr>
        <w:pStyle w:val="BodyText"/>
        <w:spacing w:before="120" w:after="18" w:line="264" w:lineRule="auto"/>
        <w:ind w:left="2999" w:right="109"/>
        <w:jc w:val="both"/>
      </w:pPr>
      <w:r>
        <w:pict>
          <v:group id="_x0000_s1167" style="position:absolute;left:0;text-align:left;margin-left:17.65pt;margin-top:10.9pt;width:108.35pt;height:24.55pt;z-index:1072;mso-position-horizontal-relative:page" coordorigin="353,218" coordsize="2167,491">
            <v:shape id="_x0000_s1179" style="position:absolute;left:358;top:349;width:2158;height:2" coordorigin="358,349" coordsize="2158,0" path="m358,349r,l2516,349e" filled="f" strokecolor="#1477c5" strokeweight=".15864mm">
              <v:path arrowok="t"/>
            </v:shape>
            <v:shape id="_x0000_s1178" type="#_x0000_t75" style="position:absolute;left:361;top:218;width:718;height:123">
              <v:imagedata r:id="rId9" o:title=""/>
            </v:shape>
            <v:shape id="_x0000_s1177" type="#_x0000_t75" style="position:absolute;left:1128;top:221;width:135;height:103">
              <v:imagedata r:id="rId10" o:title=""/>
            </v:shape>
            <v:shape id="_x0000_s1176" type="#_x0000_t75" style="position:absolute;left:1308;top:218;width:346;height:109">
              <v:imagedata r:id="rId11" o:title=""/>
            </v:shape>
            <v:shape id="_x0000_s1175" style="position:absolute;left:365;top:403;width:356;height:101" coordorigin="365,403" coordsize="356,101" o:spt="100" adj="0,,0" path="m419,494r-45,l376,485r6,-8l391,470r12,-9l415,450r3,-7l418,412r-3,-2l406,404r-14,l380,406r-8,6l367,422r-2,12l374,434r,-16l380,410r23,l410,418r,22l406,447r-11,8l385,464r-8,9l371,482r-4,10l365,503r54,l419,494t48,-90l460,404r,11l452,421r-16,l436,427r22,l458,503r9,l467,404t81,90l503,494r2,-9l509,477r11,-7l530,461r14,-11l547,443r,-31l544,410r-9,-6l521,404r-12,2l501,412r-5,10l494,434r8,l503,418r6,-8l530,410r8,8l538,440r-3,7l524,455r-10,9l505,473r-7,9l494,492r-1,11l548,503r,-9m595,404r-6,l589,415r-8,6l565,421r,6l587,427r,76l595,503r,-99m720,503l692,452r-5,-8l717,403r-10,l670,455r,-52l661,403r,100l670,503r,-36l679,455r3,-3l711,503r9,e" fillcolor="#5e5e5e" stroked="f">
              <v:stroke joinstyle="round"/>
              <v:formulas/>
              <v:path arrowok="t" o:connecttype="segments"/>
            </v:shape>
            <v:shape id="_x0000_s1174" type="#_x0000_t75" style="position:absolute;left:755;top:401;width:292;height:103">
              <v:imagedata r:id="rId12" o:title=""/>
            </v:shape>
            <v:shape id="_x0000_s1173" type="#_x0000_t75" style="position:absolute;left:1088;top:403;width:189;height:118">
              <v:imagedata r:id="rId13" o:title=""/>
            </v:shape>
            <v:shape id="_x0000_s1172" type="#_x0000_t75" style="position:absolute;left:1324;top:401;width:240;height:103">
              <v:imagedata r:id="rId14" o:title=""/>
            </v:shape>
            <v:shape id="_x0000_s1171" type="#_x0000_t75" style="position:absolute;left:1606;top:404;width:192;height:100">
              <v:imagedata r:id="rId15" o:title=""/>
            </v:shape>
            <v:shape id="_x0000_s1170" type="#_x0000_t75" style="position:absolute;left:361;top:582;width:602;height:126">
              <v:imagedata r:id="rId16" o:title=""/>
            </v:shape>
            <v:shape id="_x0000_s1169" type="#_x0000_t75" style="position:absolute;left:1014;top:581;width:138;height:103">
              <v:imagedata r:id="rId17" o:title=""/>
            </v:shape>
            <v:shape id="_x0000_s1168" type="#_x0000_t75" style="position:absolute;left:1193;top:584;width:632;height:100">
              <v:imagedata r:id="rId18" o:title=""/>
            </v:shape>
            <w10:wrap anchorx="page"/>
          </v:group>
        </w:pict>
      </w:r>
      <w:r>
        <w:rPr>
          <w:noProof/>
        </w:rPr>
        <w:drawing>
          <wp:anchor distT="0" distB="0" distL="0" distR="0" simplePos="0" relativeHeight="1168" behindDoc="0" locked="0" layoutInCell="1" allowOverlap="1">
            <wp:simplePos x="0" y="0"/>
            <wp:positionH relativeFrom="page">
              <wp:posOffset>231969</wp:posOffset>
            </wp:positionH>
            <wp:positionV relativeFrom="paragraph">
              <wp:posOffset>599186</wp:posOffset>
            </wp:positionV>
            <wp:extent cx="479600" cy="63768"/>
            <wp:effectExtent l="0" t="0" r="0" b="0"/>
            <wp:wrapNone/>
            <wp:docPr id="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19" cstate="print"/>
                    <a:stretch>
                      <a:fillRect/>
                    </a:stretch>
                  </pic:blipFill>
                  <pic:spPr>
                    <a:xfrm>
                      <a:off x="0" y="0"/>
                      <a:ext cx="479600" cy="63768"/>
                    </a:xfrm>
                    <a:prstGeom prst="rect">
                      <a:avLst/>
                    </a:prstGeom>
                  </pic:spPr>
                </pic:pic>
              </a:graphicData>
            </a:graphic>
          </wp:anchor>
        </w:drawing>
      </w:r>
      <w:r>
        <w:rPr>
          <w:noProof/>
        </w:rPr>
        <w:drawing>
          <wp:anchor distT="0" distB="0" distL="0" distR="0" simplePos="0" relativeHeight="1192" behindDoc="0" locked="0" layoutInCell="1" allowOverlap="1">
            <wp:simplePos x="0" y="0"/>
            <wp:positionH relativeFrom="page">
              <wp:posOffset>231017</wp:posOffset>
            </wp:positionH>
            <wp:positionV relativeFrom="paragraph">
              <wp:posOffset>713398</wp:posOffset>
            </wp:positionV>
            <wp:extent cx="490068" cy="63768"/>
            <wp:effectExtent l="0" t="0" r="0" b="0"/>
            <wp:wrapNone/>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20" cstate="print"/>
                    <a:stretch>
                      <a:fillRect/>
                    </a:stretch>
                  </pic:blipFill>
                  <pic:spPr>
                    <a:xfrm>
                      <a:off x="0" y="0"/>
                      <a:ext cx="490068" cy="63768"/>
                    </a:xfrm>
                    <a:prstGeom prst="rect">
                      <a:avLst/>
                    </a:prstGeom>
                  </pic:spPr>
                </pic:pic>
              </a:graphicData>
            </a:graphic>
          </wp:anchor>
        </w:drawing>
      </w:r>
      <w:r>
        <w:t>On behalf of more than 37,000 members, the American College of Emergency</w:t>
      </w:r>
      <w:r>
        <w:t xml:space="preserve"> Physicians (ACEP) appreciates the opportunity to comment on the CY 2019 Advanced Notice and draft Call Letter for the Medicare Advantage program and the Part D Prescription Drug Benefit Program.</w:t>
      </w:r>
    </w:p>
    <w:p w:rsidR="00164D6E" w:rsidRDefault="002A6B35">
      <w:pPr>
        <w:pStyle w:val="BodyText"/>
        <w:spacing w:line="101" w:lineRule="exact"/>
        <w:ind w:left="119"/>
        <w:rPr>
          <w:sz w:val="10"/>
        </w:rPr>
      </w:pPr>
      <w:r>
        <w:rPr>
          <w:noProof/>
          <w:position w:val="-1"/>
          <w:sz w:val="10"/>
        </w:rPr>
        <w:drawing>
          <wp:inline distT="0" distB="0" distL="0" distR="0">
            <wp:extent cx="448746" cy="64388"/>
            <wp:effectExtent l="0" t="0" r="0" b="0"/>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21" cstate="print"/>
                    <a:stretch>
                      <a:fillRect/>
                    </a:stretch>
                  </pic:blipFill>
                  <pic:spPr>
                    <a:xfrm>
                      <a:off x="0" y="0"/>
                      <a:ext cx="448746" cy="64388"/>
                    </a:xfrm>
                    <a:prstGeom prst="rect">
                      <a:avLst/>
                    </a:prstGeom>
                  </pic:spPr>
                </pic:pic>
              </a:graphicData>
            </a:graphic>
          </wp:inline>
        </w:drawing>
      </w:r>
    </w:p>
    <w:p w:rsidR="00164D6E" w:rsidRDefault="002A6B35">
      <w:pPr>
        <w:pStyle w:val="BodyText"/>
        <w:spacing w:before="176" w:line="264" w:lineRule="auto"/>
        <w:ind w:left="3000" w:right="33"/>
      </w:pPr>
      <w:r>
        <w:pict>
          <v:group id="_x0000_s1154" style="position:absolute;left:0;text-align:left;margin-left:17.65pt;margin-top:11.5pt;width:108.35pt;height:23.35pt;z-index:1096;mso-position-horizontal-relative:page" coordorigin="353,230" coordsize="2167,467">
            <v:shape id="_x0000_s1166" style="position:absolute;left:358;top:360;width:2158;height:2" coordorigin="358,360" coordsize="2158,0" path="m358,360r,l2516,360e" filled="f" strokecolor="#1477c5" strokeweight=".15864mm">
              <v:path arrowok="t"/>
            </v:shape>
            <v:shape id="_x0000_s1165" type="#_x0000_t75" style="position:absolute;left:367;top:233;width:364;height:103">
              <v:imagedata r:id="rId22" o:title=""/>
            </v:shape>
            <v:shape id="_x0000_s1164" type="#_x0000_t75" style="position:absolute;left:779;top:233;width:132;height:103">
              <v:imagedata r:id="rId23" o:title=""/>
            </v:shape>
            <v:shape id="_x0000_s1163" type="#_x0000_t75" style="position:absolute;left:956;top:230;width:601;height:109">
              <v:imagedata r:id="rId24" o:title=""/>
            </v:shape>
            <v:shape id="_x0000_s1162" type="#_x0000_t75" style="position:absolute;left:367;top:410;width:198;height:109">
              <v:imagedata r:id="rId25" o:title=""/>
            </v:shape>
            <v:shape id="_x0000_s1161" style="position:absolute;left:611;top:414;width:60;height:101" coordorigin="611,414" coordsize="60,101" o:spt="100" adj="0,,0" path="m635,515r-24,l611,414r24,l653,418r5,4l620,422r,84l660,506r-7,5l635,515xm660,506r-25,l648,504r9,-7l662,484r2,-20l662,444r-5,-13l648,424r-13,-2l658,422r6,5l670,443r1,21l670,486r-6,16l660,506xe" fillcolor="#5e5e5e" stroked="f">
              <v:stroke joinstyle="round"/>
              <v:formulas/>
              <v:path arrowok="t" o:connecttype="segments"/>
            </v:shape>
            <v:line id="_x0000_s1160" style="position:absolute" from="689,507" to="699,507" strokecolor="#5e5e5e" strokeweight=".26439mm"/>
            <v:shape id="_x0000_s1159" type="#_x0000_t75" style="position:absolute;left:749;top:410;width:309;height:122">
              <v:imagedata r:id="rId26" o:title=""/>
            </v:shape>
            <v:shape id="_x0000_s1158" type="#_x0000_t75" style="position:absolute;left:1109;top:414;width:186;height:118">
              <v:imagedata r:id="rId27" o:title=""/>
            </v:shape>
            <v:shape id="_x0000_s1157" type="#_x0000_t75" style="position:absolute;left:1345;top:414;width:259;height:118">
              <v:imagedata r:id="rId28" o:title=""/>
            </v:shape>
            <v:shape id="_x0000_s1156" type="#_x0000_t75" style="position:absolute;left:1656;top:413;width:325;height:103">
              <v:imagedata r:id="rId29" o:title=""/>
            </v:shape>
            <v:shape id="_x0000_s1155" type="#_x0000_t75" style="position:absolute;left:487;top:594;width:460;height:102">
              <v:imagedata r:id="rId30" o:title=""/>
            </v:shape>
            <w10:wrap anchorx="page"/>
          </v:group>
        </w:pict>
      </w:r>
      <w:r>
        <w:t>As CMS proposes methodological changes for these programs for CY 2019, we offer the following comments.</w:t>
      </w:r>
    </w:p>
    <w:p w:rsidR="00164D6E" w:rsidRDefault="002A6B35">
      <w:pPr>
        <w:pStyle w:val="BodyText"/>
        <w:ind w:left="120"/>
        <w:rPr>
          <w:sz w:val="20"/>
        </w:rPr>
      </w:pPr>
      <w:r>
        <w:rPr>
          <w:sz w:val="20"/>
        </w:rPr>
      </w:r>
      <w:r>
        <w:rPr>
          <w:sz w:val="20"/>
        </w:rPr>
        <w:pict>
          <v:group id="_x0000_s1145" style="width:82.6pt;height:14.2pt;mso-position-horizontal-relative:char;mso-position-vertical-relative:line" coordsize="1652,284">
            <v:shape id="_x0000_s1153" type="#_x0000_t75" style="position:absolute;top:1;width:232;height:102">
              <v:imagedata r:id="rId31" o:title=""/>
            </v:shape>
            <v:shape id="_x0000_s1152" style="position:absolute;left:274;top:1;width:47;height:102" coordorigin="274,1" coordsize="47,102" o:spt="100" adj="0,,0" path="m319,96r-12,l312,91r,-90l321,1r,92l319,96xm313,103r-30,l274,96r,-24l283,72r,16l288,96r31,l313,103xe" fillcolor="#5e5e5e" stroked="f">
              <v:stroke joinstyle="round"/>
              <v:formulas/>
              <v:path arrowok="t" o:connecttype="segments"/>
            </v:shape>
            <v:line id="_x0000_s1151" style="position:absolute" from="342,94" to="351,94" strokecolor="#5e5e5e" strokeweight=".26439mm"/>
            <v:shape id="_x0000_s1150" type="#_x0000_t75" style="position:absolute;left:402;top:1;width:363;height:126">
              <v:imagedata r:id="rId32" o:title=""/>
            </v:shape>
            <v:shape id="_x0000_s1149" type="#_x0000_t75" style="position:absolute;left:817;top:1;width:184;height:118">
              <v:imagedata r:id="rId33" o:title=""/>
            </v:shape>
            <v:shape id="_x0000_s1148" type="#_x0000_t75" style="position:absolute;left:1052;width:222;height:120">
              <v:imagedata r:id="rId34" o:title=""/>
            </v:shape>
            <v:shape id="_x0000_s1147" type="#_x0000_t75" style="position:absolute;left:1325;width:327;height:103">
              <v:imagedata r:id="rId35" o:title=""/>
            </v:shape>
            <v:shape id="_x0000_s1146" type="#_x0000_t75" style="position:absolute;left:126;top:181;width:740;height:102">
              <v:imagedata r:id="rId36" o:title=""/>
            </v:shape>
            <w10:wrap type="none"/>
            <w10:anchorlock/>
          </v:group>
        </w:pict>
      </w:r>
    </w:p>
    <w:p w:rsidR="00164D6E" w:rsidRDefault="002A6B35">
      <w:pPr>
        <w:pStyle w:val="Heading1"/>
        <w:ind w:left="3000"/>
      </w:pPr>
      <w:r>
        <w:pict>
          <v:group id="_x0000_s1136" style="position:absolute;left:0;text-align:left;margin-left:18.35pt;margin-top:4.6pt;width:70.6pt;height:14.2pt;z-index:1216;mso-position-horizontal-relative:page" coordorigin="367,92" coordsize="1412,284">
            <v:shape id="_x0000_s1144" type="#_x0000_t75" style="position:absolute;left:367;top:94;width:288;height:102">
              <v:imagedata r:id="rId37" o:title=""/>
            </v:shape>
            <v:shape id="_x0000_s1143" style="position:absolute;left:695;top:92;width:62;height:104" coordorigin="695,92" coordsize="62,104" o:spt="100" adj="0,,0" path="m737,196r-11,l713,192r-10,-9l697,166r-2,-23l697,120r6,-16l713,95r13,-3l739,94r7,6l726,100r-9,2l710,110r-4,13l704,143r2,21l710,178r7,8l726,188r20,l737,196xm755,122r-9,l746,110r-6,-10l746,100r1,l753,110r2,12xm746,188r-20,l735,186r7,-7l746,168r1,-16l747,151r-24,l723,143r33,l756,178r-7,l746,188xm756,194r-7,l749,178r7,l756,194xe" fillcolor="#5e5e5e" stroked="f">
              <v:stroke joinstyle="round"/>
              <v:formulas/>
              <v:path arrowok="t" o:connecttype="segments"/>
            </v:shape>
            <v:line id="_x0000_s1142" style="position:absolute" from="777,187" to="786,187" strokecolor="#5e5e5e" strokeweight=".26439mm"/>
            <v:shape id="_x0000_s1141" type="#_x0000_t75" style="position:absolute;left:837;top:94;width:328;height:118">
              <v:imagedata r:id="rId38" o:title=""/>
            </v:shape>
            <v:shape id="_x0000_s1140" type="#_x0000_t75" style="position:absolute;left:1218;top:94;width:184;height:118">
              <v:imagedata r:id="rId39" o:title=""/>
            </v:shape>
            <v:shape id="_x0000_s1139" type="#_x0000_t75" style="position:absolute;left:1453;top:92;width:325;height:103">
              <v:imagedata r:id="rId40" o:title=""/>
            </v:shape>
            <v:shape id="_x0000_s1138" type="#_x0000_t75" style="position:absolute;left:493;top:272;width:557;height:103">
              <v:imagedata r:id="rId41" o:title=""/>
            </v:shape>
            <v:shape id="_x0000_s1137" type="#_x0000_t75" style="position:absolute;left:1083;top:274;width:292;height:102">
              <v:imagedata r:id="rId42" o:title=""/>
            </v:shape>
            <w10:wrap anchorx="page"/>
          </v:group>
        </w:pict>
      </w:r>
      <w:r>
        <w:t>Drug Utilization Review Controls in Medicare Part D</w:t>
      </w:r>
    </w:p>
    <w:p w:rsidR="00164D6E" w:rsidRDefault="002A6B35">
      <w:pPr>
        <w:pStyle w:val="BodyText"/>
        <w:spacing w:before="27" w:line="264" w:lineRule="auto"/>
        <w:ind w:left="2999" w:right="106"/>
        <w:jc w:val="both"/>
      </w:pPr>
      <w:r>
        <w:pict>
          <v:group id="_x0000_s1127" style="position:absolute;left:0;text-align:left;margin-left:17.95pt;margin-top:9.05pt;width:75.7pt;height:14.2pt;z-index:1240;mso-position-horizontal-relative:page" coordorigin="359,181" coordsize="1514,284">
            <v:shape id="_x0000_s1135" type="#_x0000_t75" style="position:absolute;left:359;top:183;width:253;height:102">
              <v:imagedata r:id="rId43" o:title=""/>
            </v:shape>
            <v:shape id="_x0000_s1134" style="position:absolute;left:653;top:183;width:50;height:101" coordorigin="653,183" coordsize="50,101" path="m702,283r-49,l653,183r48,l701,190r-40,l661,226r38,l699,234r-38,l661,274r41,l702,283xe" fillcolor="#5e5e5e" stroked="f">
              <v:path arrowok="t"/>
            </v:shape>
            <v:line id="_x0000_s1133" style="position:absolute" from="719,276" to="729,276" strokecolor="#5e5e5e" strokeweight=".26439mm"/>
            <v:shape id="_x0000_s1132" type="#_x0000_t75" style="position:absolute;left:780;top:183;width:480;height:118">
              <v:imagedata r:id="rId44" o:title=""/>
            </v:shape>
            <v:shape id="_x0000_s1131" type="#_x0000_t75" style="position:absolute;left:1311;top:183;width:186;height:118">
              <v:imagedata r:id="rId45" o:title=""/>
            </v:shape>
            <v:shape id="_x0000_s1130" type="#_x0000_t75" style="position:absolute;left:1548;top:181;width:325;height:103">
              <v:imagedata r:id="rId46" o:title=""/>
            </v:shape>
            <v:shape id="_x0000_s1129" type="#_x0000_t75" style="position:absolute;left:500;top:363;width:187;height:102">
              <v:imagedata r:id="rId47" o:title=""/>
            </v:shape>
            <v:shape id="_x0000_s1128" type="#_x0000_t75" style="position:absolute;left:720;top:363;width:460;height:102">
              <v:imagedata r:id="rId48" o:title=""/>
            </v:shape>
            <w10:wrap anchorx="page"/>
          </v:group>
        </w:pict>
      </w:r>
      <w:r>
        <w:pict>
          <v:group id="_x0000_s1111" style="position:absolute;left:0;text-align:left;margin-left:18.1pt;margin-top:27.05pt;width:84.4pt;height:32.15pt;z-index:1264;mso-position-horizontal-relative:page" coordorigin="362,541" coordsize="1688,643">
            <v:shape id="_x0000_s1126" type="#_x0000_t75" style="position:absolute;left:362;top:541;width:399;height:126">
              <v:imagedata r:id="rId49" o:title=""/>
            </v:shape>
            <v:shape id="_x0000_s1125" style="position:absolute;left:809;top:542;width:56;height:101" coordorigin="809,542" coordsize="56,101" o:spt="100" adj="0,,0" path="m818,643r-9,l809,542r9,l818,584r46,l864,592r-46,l818,643xm864,584r-9,l855,542r9,l864,584xm864,643r-9,l855,592r9,l864,643xe" fillcolor="#5e5e5e" stroked="f">
              <v:stroke joinstyle="round"/>
              <v:formulas/>
              <v:path arrowok="t" o:connecttype="segments"/>
            </v:shape>
            <v:line id="_x0000_s1124" style="position:absolute" from="887,635" to="896,635" strokecolor="#5e5e5e" strokeweight=".26439mm"/>
            <v:shape id="_x0000_s1123" type="#_x0000_t75" style="position:absolute;left:939;top:542;width:498;height:118">
              <v:imagedata r:id="rId50" o:title=""/>
            </v:shape>
            <v:shape id="_x0000_s1122" type="#_x0000_t75" style="position:absolute;left:1488;top:542;width:186;height:118">
              <v:imagedata r:id="rId51" o:title=""/>
            </v:shape>
            <v:shape id="_x0000_s1121" type="#_x0000_t75" style="position:absolute;left:1725;top:541;width:325;height:103">
              <v:imagedata r:id="rId52" o:title=""/>
            </v:shape>
            <v:shape id="_x0000_s1120" type="#_x0000_t75" style="position:absolute;left:487;top:721;width:958;height:126">
              <v:imagedata r:id="rId53" o:title=""/>
            </v:shape>
            <v:shape id="_x0000_s1119" type="#_x0000_t75" style="position:absolute;left:367;top:902;width:420;height:102">
              <v:imagedata r:id="rId54" o:title=""/>
            </v:shape>
            <v:shape id="_x0000_s1118" style="position:absolute;left:828;top:902;width:57;height:101" coordorigin="828,902" coordsize="57,101" o:spt="100" adj="0,,0" path="m855,1003r-27,l828,902r47,l880,910r-43,l837,946r41,l867,949r12,3l880,953r-43,l837,994r42,l878,995r-10,6l855,1003xm878,946r-12,l873,940r,-26l867,910r13,l882,913r,24l878,946xm879,994r-10,l876,988r,-27l869,953r11,l885,961r,13l883,986r-4,8xe" fillcolor="#5e5e5e" stroked="f">
              <v:stroke joinstyle="round"/>
              <v:formulas/>
              <v:path arrowok="t" o:connecttype="segments"/>
            </v:shape>
            <v:line id="_x0000_s1117" style="position:absolute" from="903,995" to="912,995" strokecolor="#5e5e5e" strokeweight=".26439mm"/>
            <v:shape id="_x0000_s1116" type="#_x0000_t75" style="position:absolute;left:963;top:902;width:331;height:118">
              <v:imagedata r:id="rId55" o:title=""/>
            </v:shape>
            <v:shape id="_x0000_s1115" type="#_x0000_t75" style="position:absolute;left:1345;top:902;width:186;height:118">
              <v:imagedata r:id="rId45" o:title=""/>
            </v:shape>
            <v:shape id="_x0000_s1114" type="#_x0000_t75" style="position:absolute;left:1582;top:901;width:325;height:103">
              <v:imagedata r:id="rId56" o:title=""/>
            </v:shape>
            <v:shape id="_x0000_s1113" type="#_x0000_t75" style="position:absolute;left:496;top:1082;width:510;height:102">
              <v:imagedata r:id="rId57" o:title=""/>
            </v:shape>
            <v:shape id="_x0000_s1112" type="#_x0000_t75" style="position:absolute;left:1040;top:1082;width:701;height:102">
              <v:imagedata r:id="rId58" o:title=""/>
            </v:shape>
            <w10:wrap anchorx="page"/>
          </v:group>
        </w:pict>
      </w:r>
      <w:r>
        <w:pict>
          <v:group id="_x0000_s1060" style="position:absolute;left:0;text-align:left;margin-left:17.9pt;margin-top:63pt;width:104.45pt;height:68.95pt;z-index:1288;mso-position-horizontal-relative:page" coordorigin="358,1260" coordsize="2089,1379">
            <v:shape id="_x0000_s1110" type="#_x0000_t75" style="position:absolute;left:361;top:1262;width:322;height:102">
              <v:imagedata r:id="rId59" o:title=""/>
            </v:shape>
            <v:shape id="_x0000_s1109" style="position:absolute;left:720;top:1262;width:47;height:102" coordorigin="720,1262" coordsize="47,102" o:spt="100" adj="0,,0" path="m765,1356r-12,l758,1352r,-90l767,1262r,91l765,1356xm759,1364r-30,l720,1356r,-24l729,1332r,17l734,1356r31,l759,1364xe" fillcolor="#5e5e5e" stroked="f">
              <v:stroke joinstyle="round"/>
              <v:formulas/>
              <v:path arrowok="t" o:connecttype="segments"/>
            </v:shape>
            <v:line id="_x0000_s1108" style="position:absolute" from="788,1355" to="797,1355" strokecolor="#5e5e5e" strokeweight=".26439mm"/>
            <v:shape id="_x0000_s1107" type="#_x0000_t75" style="position:absolute;left:840;top:1262;width:516;height:126">
              <v:imagedata r:id="rId60" o:title=""/>
            </v:shape>
            <v:shape id="_x0000_s1106" type="#_x0000_t75" style="position:absolute;left:1407;top:1262;width:186;height:118">
              <v:imagedata r:id="rId61" o:title=""/>
            </v:shape>
            <v:shape id="_x0000_s1105" type="#_x0000_t75" style="position:absolute;left:1644;top:1260;width:325;height:103">
              <v:imagedata r:id="rId62" o:title=""/>
            </v:shape>
            <v:shape id="_x0000_s1104" type="#_x0000_t75" style="position:absolute;left:358;top:1438;width:294;height:108">
              <v:imagedata r:id="rId63" o:title=""/>
            </v:shape>
            <v:shape id="_x0000_s1103" style="position:absolute;left:693;top:1442;width:47;height:102" coordorigin="693,1442" coordsize="47,102" o:spt="100" adj="0,,0" path="m737,1536r-12,l731,1532r,-90l740,1442r,91l737,1536xm731,1544r-30,l693,1536r,-24l702,1512r,17l705,1536r32,l731,1544xe" fillcolor="#5e5e5e" stroked="f">
              <v:stroke joinstyle="round"/>
              <v:formulas/>
              <v:path arrowok="t" o:connecttype="segments"/>
            </v:shape>
            <v:line id="_x0000_s1102" style="position:absolute" from="759,1535" to="770,1535" strokecolor="#5e5e5e" strokeweight=".26439mm"/>
            <v:shape id="_x0000_s1101" type="#_x0000_t75" style="position:absolute;left:819;top:1442;width:453;height:118">
              <v:imagedata r:id="rId64" o:title=""/>
            </v:shape>
            <v:shape id="_x0000_s1100" type="#_x0000_t75" style="position:absolute;left:1323;top:1442;width:186;height:118">
              <v:imagedata r:id="rId51" o:title=""/>
            </v:shape>
            <v:shape id="_x0000_s1099" type="#_x0000_t75" style="position:absolute;left:1558;top:1440;width:327;height:103">
              <v:imagedata r:id="rId65" o:title=""/>
            </v:shape>
            <v:shape id="_x0000_s1098" type="#_x0000_t75" style="position:absolute;left:361;top:1622;width:171;height:102">
              <v:imagedata r:id="rId66" o:title=""/>
            </v:shape>
            <v:shape id="_x0000_s1097" type="#_x0000_t75" style="position:absolute;left:580;top:1622;width:249;height:102">
              <v:imagedata r:id="rId67" o:title=""/>
            </v:shape>
            <v:shape id="_x0000_s1096" type="#_x0000_t75" style="position:absolute;left:864;top:1622;width:393;height:118">
              <v:imagedata r:id="rId68" o:title=""/>
            </v:shape>
            <v:shape id="_x0000_s1095" type="#_x0000_t75" style="position:absolute;left:1308;top:1622;width:186;height:118">
              <v:imagedata r:id="rId69" o:title=""/>
            </v:shape>
            <v:shape id="_x0000_s1094" type="#_x0000_t75" style="position:absolute;left:1545;top:1622;width:219;height:118">
              <v:imagedata r:id="rId70" o:title=""/>
            </v:shape>
            <v:shape id="_x0000_s1093" type="#_x0000_t75" style="position:absolute;left:1814;top:1622;width:256;height:118">
              <v:imagedata r:id="rId71" o:title=""/>
            </v:shape>
            <v:shape id="_x0000_s1092" type="#_x0000_t75" style="position:absolute;left:2122;top:1620;width:325;height:103">
              <v:imagedata r:id="rId72" o:title=""/>
            </v:shape>
            <v:shape id="_x0000_s1091" type="#_x0000_t75" style="position:absolute;left:365;top:1800;width:568;height:126">
              <v:imagedata r:id="rId73" o:title=""/>
            </v:shape>
            <v:shape id="_x0000_s1090" style="position:absolute;left:968;top:1800;width:60;height:104" coordorigin="968,1800" coordsize="60,104" o:spt="100" adj="0,,0" path="m1019,1896r-9,l1019,1888r,-13l1011,1860r-16,-7l978,1845r-7,-18l971,1811r9,-11l1016,1800r7,8l986,1808r-6,7l980,1826r7,15l1004,1848r16,8l1028,1873r-2,13l1019,1896r,xm1025,1827r-9,l1016,1815r-6,-7l1023,1808r2,1l1025,1827xm998,1903r-13,-1l975,1896r-5,-10l968,1873r,-3l977,1870r,17l984,1896r35,l1010,1902r-12,1xe" fillcolor="#5e5e5e" stroked="f">
              <v:stroke joinstyle="round"/>
              <v:formulas/>
              <v:path arrowok="t" o:connecttype="segments"/>
            </v:shape>
            <v:line id="_x0000_s1089" style="position:absolute" from="1046,1894" to="1055,1894" strokecolor="#5e5e5e" strokeweight=".26439mm"/>
            <v:shape id="_x0000_s1088" type="#_x0000_t75" style="position:absolute;left:1106;top:1802;width:268;height:126">
              <v:imagedata r:id="rId74" o:title=""/>
            </v:shape>
            <v:shape id="_x0000_s1087" type="#_x0000_t75" style="position:absolute;left:1425;top:1802;width:186;height:118">
              <v:imagedata r:id="rId27" o:title=""/>
            </v:shape>
            <v:shape id="_x0000_s1086" type="#_x0000_t75" style="position:absolute;left:1660;top:1800;width:327;height:103">
              <v:imagedata r:id="rId75" o:title=""/>
            </v:shape>
            <v:shape id="_x0000_s1085" type="#_x0000_t75" style="position:absolute;left:367;top:1981;width:250;height:102">
              <v:imagedata r:id="rId76" o:title=""/>
            </v:shape>
            <v:shape id="_x0000_s1084" type="#_x0000_t75" style="position:absolute;left:665;top:1981;width:118;height:100">
              <v:imagedata r:id="rId77" o:title=""/>
            </v:shape>
            <v:shape id="_x0000_s1083" type="#_x0000_t75" style="position:absolute;left:825;top:1977;width:324;height:123">
              <v:imagedata r:id="rId78" o:title=""/>
            </v:shape>
            <v:shape id="_x0000_s1082" type="#_x0000_t75" style="position:absolute;left:1200;top:1980;width:166;height:120">
              <v:imagedata r:id="rId79" o:title=""/>
            </v:shape>
            <v:shape id="_x0000_s1081" type="#_x0000_t75" style="position:absolute;left:1417;top:1981;width:214;height:118">
              <v:imagedata r:id="rId80" o:title=""/>
            </v:shape>
            <v:shape id="_x0000_s1080" type="#_x0000_t75" style="position:absolute;left:1681;top:1980;width:327;height:103">
              <v:imagedata r:id="rId75" o:title=""/>
            </v:shape>
            <v:shape id="_x0000_s1079" type="#_x0000_t75" style="position:absolute;left:358;top:2161;width:273;height:102">
              <v:imagedata r:id="rId81" o:title=""/>
            </v:shape>
            <v:shape id="_x0000_s1078" style="position:absolute;left:665;top:2161;width:60;height:101" coordorigin="665,2161" coordsize="60,101" o:spt="100" adj="0,,0" path="m725,2169r-60,l665,2161r60,l725,2169xm699,2262r-9,l690,2169r9,l699,2262xe" fillcolor="#5e5e5e" stroked="f">
              <v:stroke joinstyle="round"/>
              <v:formulas/>
              <v:path arrowok="t" o:connecttype="segments"/>
            </v:shape>
            <v:line id="_x0000_s1077" style="position:absolute" from="731,2254" to="741,2254" strokecolor="#5e5e5e" strokeweight=".26439mm"/>
            <v:shape id="_x0000_s1076" type="#_x0000_t75" style="position:absolute;left:792;top:2160;width:444;height:127">
              <v:imagedata r:id="rId82" o:title=""/>
            </v:shape>
            <v:shape id="_x0000_s1075" type="#_x0000_t75" style="position:absolute;left:1287;top:2161;width:186;height:118">
              <v:imagedata r:id="rId83" o:title=""/>
            </v:shape>
            <v:shape id="_x0000_s1074" type="#_x0000_t75" style="position:absolute;left:1524;top:2160;width:325;height:103">
              <v:imagedata r:id="rId84" o:title=""/>
            </v:shape>
            <v:shape id="_x0000_s1073" type="#_x0000_t75" style="position:absolute;left:367;top:2341;width:249;height:102">
              <v:imagedata r:id="rId85" o:title=""/>
            </v:shape>
            <v:shape id="_x0000_s1072" style="position:absolute;left:649;top:2340;width:59;height:104" coordorigin="649,2340" coordsize="59,104" o:spt="100" adj="0,,0" path="m698,2436r-9,l698,2428r,-13l690,2399r-16,-6l658,2385r-8,-18l650,2350r11,-10l696,2340r8,7l667,2347r-8,8l659,2365r8,15l683,2387r16,8l707,2413r-2,13l699,2435r-1,1xm705,2367r-9,l696,2355r-6,-8l704,2347r1,2l705,2367xm677,2443r-12,-2l656,2435r-6,-9l649,2413r,-3l658,2410r,17l664,2436r34,l689,2441r-12,2xe" fillcolor="#5e5e5e" stroked="f">
              <v:stroke joinstyle="round"/>
              <v:formulas/>
              <v:path arrowok="t" o:connecttype="segments"/>
            </v:shape>
            <v:line id="_x0000_s1071" style="position:absolute" from="725,2434" to="735,2434" strokecolor="#5e5e5e" strokeweight=".26439mm"/>
            <v:shape id="_x0000_s1070" type="#_x0000_t75" style="position:absolute;left:785;top:2341;width:547;height:126">
              <v:imagedata r:id="rId86" o:title=""/>
            </v:shape>
            <v:shape id="_x0000_s1069" type="#_x0000_t75" style="position:absolute;left:1383;top:2340;width:166;height:120">
              <v:imagedata r:id="rId87" o:title=""/>
            </v:shape>
            <v:shape id="_x0000_s1068" type="#_x0000_t75" style="position:absolute;left:1602;top:2341;width:259;height:118">
              <v:imagedata r:id="rId88" o:title=""/>
            </v:shape>
            <v:shape id="_x0000_s1067" type="#_x0000_t75" style="position:absolute;left:1912;top:2340;width:325;height:103">
              <v:imagedata r:id="rId89" o:title=""/>
            </v:shape>
            <v:shape id="_x0000_s1066" type="#_x0000_t75" style="position:absolute;left:365;top:2516;width:285;height:109">
              <v:imagedata r:id="rId90" o:title=""/>
            </v:shape>
            <v:shape id="_x0000_s1065" style="position:absolute;left:696;top:2521;width:60;height:101" coordorigin="696,2521" coordsize="60,101" o:spt="100" adj="0,,0" path="m705,2621r-9,l696,2521r47,l750,2528r-45,l705,2567r43,l747,2569r-13,3l746,2573r1,2l705,2575r,46xm748,2567r-13,l743,2561r,-25l738,2528r12,l752,2530r,28l748,2567xm756,2621r-10,l743,2617r,-18l741,2581r-3,-6l747,2575r3,4l752,2594r,23l756,2621xe" fillcolor="#5e5e5e" stroked="f">
              <v:stroke joinstyle="round"/>
              <v:formulas/>
              <v:path arrowok="t" o:connecttype="segments"/>
            </v:shape>
            <v:line id="_x0000_s1064" style="position:absolute" from="773,2614" to="783,2614" strokecolor="#5e5e5e" strokeweight=".26439mm"/>
            <v:shape id="_x0000_s1063" type="#_x0000_t75" style="position:absolute;left:830;top:2519;width:415;height:120">
              <v:imagedata r:id="rId91" o:title=""/>
            </v:shape>
            <v:shape id="_x0000_s1062" type="#_x0000_t75" style="position:absolute;left:1296;top:2521;width:186;height:118">
              <v:imagedata r:id="rId45" o:title=""/>
            </v:shape>
            <v:shape id="_x0000_s1061" type="#_x0000_t75" style="position:absolute;left:1533;top:2519;width:325;height:103">
              <v:imagedata r:id="rId92" o:title=""/>
            </v:shape>
            <w10:wrap anchorx="page"/>
          </v:group>
        </w:pict>
      </w:r>
      <w:r>
        <w:t>ACEP</w:t>
      </w:r>
      <w:r>
        <w:rPr>
          <w:spacing w:val="-16"/>
        </w:rPr>
        <w:t xml:space="preserve"> </w:t>
      </w:r>
      <w:r>
        <w:t>appreciates</w:t>
      </w:r>
      <w:r>
        <w:rPr>
          <w:spacing w:val="-17"/>
        </w:rPr>
        <w:t xml:space="preserve"> </w:t>
      </w:r>
      <w:r>
        <w:t>the</w:t>
      </w:r>
      <w:r>
        <w:rPr>
          <w:spacing w:val="-15"/>
        </w:rPr>
        <w:t xml:space="preserve"> </w:t>
      </w:r>
      <w:r>
        <w:t>urgency</w:t>
      </w:r>
      <w:r>
        <w:rPr>
          <w:spacing w:val="-15"/>
        </w:rPr>
        <w:t xml:space="preserve"> </w:t>
      </w:r>
      <w:r>
        <w:t>of</w:t>
      </w:r>
      <w:r>
        <w:rPr>
          <w:spacing w:val="-16"/>
        </w:rPr>
        <w:t xml:space="preserve"> </w:t>
      </w:r>
      <w:r>
        <w:t>addressing</w:t>
      </w:r>
      <w:r>
        <w:rPr>
          <w:spacing w:val="-15"/>
        </w:rPr>
        <w:t xml:space="preserve"> </w:t>
      </w:r>
      <w:r>
        <w:t>our</w:t>
      </w:r>
      <w:r>
        <w:rPr>
          <w:spacing w:val="-16"/>
        </w:rPr>
        <w:t xml:space="preserve"> </w:t>
      </w:r>
      <w:r>
        <w:t>nation’s</w:t>
      </w:r>
      <w:r>
        <w:rPr>
          <w:spacing w:val="-17"/>
        </w:rPr>
        <w:t xml:space="preserve"> </w:t>
      </w:r>
      <w:r>
        <w:t>growing</w:t>
      </w:r>
      <w:r>
        <w:rPr>
          <w:spacing w:val="-15"/>
        </w:rPr>
        <w:t xml:space="preserve"> </w:t>
      </w:r>
      <w:r>
        <w:t>opioid</w:t>
      </w:r>
      <w:r>
        <w:rPr>
          <w:spacing w:val="-15"/>
        </w:rPr>
        <w:t xml:space="preserve"> </w:t>
      </w:r>
      <w:r>
        <w:t>crisis,</w:t>
      </w:r>
      <w:r>
        <w:rPr>
          <w:spacing w:val="-15"/>
        </w:rPr>
        <w:t xml:space="preserve"> </w:t>
      </w:r>
      <w:r>
        <w:t>as</w:t>
      </w:r>
      <w:r>
        <w:rPr>
          <w:spacing w:val="-17"/>
        </w:rPr>
        <w:t xml:space="preserve"> </w:t>
      </w:r>
      <w:r>
        <w:t>our members</w:t>
      </w:r>
      <w:r>
        <w:rPr>
          <w:spacing w:val="-17"/>
        </w:rPr>
        <w:t xml:space="preserve"> </w:t>
      </w:r>
      <w:r>
        <w:t>see</w:t>
      </w:r>
      <w:r>
        <w:rPr>
          <w:spacing w:val="-15"/>
        </w:rPr>
        <w:t xml:space="preserve"> </w:t>
      </w:r>
      <w:r>
        <w:t>its</w:t>
      </w:r>
      <w:r>
        <w:rPr>
          <w:spacing w:val="-17"/>
        </w:rPr>
        <w:t xml:space="preserve"> </w:t>
      </w:r>
      <w:r>
        <w:t>impact</w:t>
      </w:r>
      <w:r>
        <w:rPr>
          <w:spacing w:val="-18"/>
        </w:rPr>
        <w:t xml:space="preserve"> </w:t>
      </w:r>
      <w:r>
        <w:t>every</w:t>
      </w:r>
      <w:r>
        <w:rPr>
          <w:spacing w:val="-15"/>
        </w:rPr>
        <w:t xml:space="preserve"> </w:t>
      </w:r>
      <w:r>
        <w:t>day</w:t>
      </w:r>
      <w:r>
        <w:rPr>
          <w:spacing w:val="-17"/>
        </w:rPr>
        <w:t xml:space="preserve"> </w:t>
      </w:r>
      <w:r>
        <w:t>as</w:t>
      </w:r>
      <w:r>
        <w:rPr>
          <w:spacing w:val="-17"/>
        </w:rPr>
        <w:t xml:space="preserve"> </w:t>
      </w:r>
      <w:r>
        <w:t>they</w:t>
      </w:r>
      <w:r>
        <w:rPr>
          <w:spacing w:val="-15"/>
        </w:rPr>
        <w:t xml:space="preserve"> </w:t>
      </w:r>
      <w:r>
        <w:t>work</w:t>
      </w:r>
      <w:r>
        <w:rPr>
          <w:spacing w:val="-18"/>
        </w:rPr>
        <w:t xml:space="preserve"> </w:t>
      </w:r>
      <w:r>
        <w:t>in</w:t>
      </w:r>
      <w:r>
        <w:rPr>
          <w:spacing w:val="-16"/>
        </w:rPr>
        <w:t xml:space="preserve"> </w:t>
      </w:r>
      <w:r>
        <w:t>emergency</w:t>
      </w:r>
      <w:r>
        <w:rPr>
          <w:spacing w:val="-17"/>
        </w:rPr>
        <w:t xml:space="preserve"> </w:t>
      </w:r>
      <w:r>
        <w:t>departments</w:t>
      </w:r>
      <w:r>
        <w:rPr>
          <w:spacing w:val="-17"/>
        </w:rPr>
        <w:t xml:space="preserve"> </w:t>
      </w:r>
      <w:r>
        <w:t>on</w:t>
      </w:r>
      <w:r>
        <w:rPr>
          <w:spacing w:val="-15"/>
        </w:rPr>
        <w:t xml:space="preserve"> </w:t>
      </w:r>
      <w:r>
        <w:t>the</w:t>
      </w:r>
      <w:r>
        <w:rPr>
          <w:spacing w:val="-15"/>
        </w:rPr>
        <w:t xml:space="preserve"> </w:t>
      </w:r>
      <w:r>
        <w:t>front lines</w:t>
      </w:r>
      <w:r>
        <w:rPr>
          <w:spacing w:val="-12"/>
        </w:rPr>
        <w:t xml:space="preserve"> </w:t>
      </w:r>
      <w:r>
        <w:t>of</w:t>
      </w:r>
      <w:r>
        <w:rPr>
          <w:spacing w:val="-11"/>
        </w:rPr>
        <w:t xml:space="preserve"> </w:t>
      </w:r>
      <w:r>
        <w:t>this</w:t>
      </w:r>
      <w:r>
        <w:rPr>
          <w:spacing w:val="-12"/>
        </w:rPr>
        <w:t xml:space="preserve"> </w:t>
      </w:r>
      <w:r>
        <w:t>epidemic</w:t>
      </w:r>
      <w:r>
        <w:rPr>
          <w:spacing w:val="-11"/>
        </w:rPr>
        <w:t xml:space="preserve"> </w:t>
      </w:r>
      <w:r>
        <w:t>all</w:t>
      </w:r>
      <w:r>
        <w:rPr>
          <w:spacing w:val="-11"/>
        </w:rPr>
        <w:t xml:space="preserve"> </w:t>
      </w:r>
      <w:r>
        <w:t>ac</w:t>
      </w:r>
      <w:r>
        <w:t>ross</w:t>
      </w:r>
      <w:r>
        <w:rPr>
          <w:spacing w:val="-12"/>
        </w:rPr>
        <w:t xml:space="preserve"> </w:t>
      </w:r>
      <w:r>
        <w:t>the</w:t>
      </w:r>
      <w:r>
        <w:rPr>
          <w:spacing w:val="-11"/>
        </w:rPr>
        <w:t xml:space="preserve"> </w:t>
      </w:r>
      <w:r>
        <w:t>country.</w:t>
      </w:r>
      <w:r>
        <w:rPr>
          <w:spacing w:val="-11"/>
        </w:rPr>
        <w:t xml:space="preserve"> </w:t>
      </w:r>
      <w:r>
        <w:t>We</w:t>
      </w:r>
      <w:r>
        <w:rPr>
          <w:spacing w:val="-12"/>
        </w:rPr>
        <w:t xml:space="preserve"> </w:t>
      </w:r>
      <w:r>
        <w:t>support</w:t>
      </w:r>
      <w:r>
        <w:rPr>
          <w:spacing w:val="-11"/>
        </w:rPr>
        <w:t xml:space="preserve"> </w:t>
      </w:r>
      <w:r>
        <w:t>the</w:t>
      </w:r>
      <w:r>
        <w:rPr>
          <w:spacing w:val="-11"/>
        </w:rPr>
        <w:t xml:space="preserve"> </w:t>
      </w:r>
      <w:r>
        <w:t>effort</w:t>
      </w:r>
      <w:r>
        <w:rPr>
          <w:spacing w:val="-11"/>
        </w:rPr>
        <w:t xml:space="preserve"> </w:t>
      </w:r>
      <w:r>
        <w:t>to</w:t>
      </w:r>
      <w:r>
        <w:rPr>
          <w:spacing w:val="-11"/>
        </w:rPr>
        <w:t xml:space="preserve"> </w:t>
      </w:r>
      <w:r>
        <w:t>institute</w:t>
      </w:r>
      <w:r>
        <w:rPr>
          <w:spacing w:val="-11"/>
        </w:rPr>
        <w:t xml:space="preserve"> </w:t>
      </w:r>
      <w:r>
        <w:t>policies that align with evidence-based guidelines, which will provide flexibility to allow for appropriate clinical judgement and to account for the unique nature of care that is provided in emergency</w:t>
      </w:r>
      <w:r>
        <w:rPr>
          <w:spacing w:val="-19"/>
        </w:rPr>
        <w:t xml:space="preserve"> </w:t>
      </w:r>
      <w:r>
        <w:t>departments.</w:t>
      </w:r>
    </w:p>
    <w:p w:rsidR="00164D6E" w:rsidRDefault="00164D6E">
      <w:pPr>
        <w:pStyle w:val="BodyText"/>
        <w:spacing w:before="2"/>
        <w:rPr>
          <w:sz w:val="26"/>
        </w:rPr>
      </w:pPr>
    </w:p>
    <w:p w:rsidR="00164D6E" w:rsidRDefault="002A6B35">
      <w:pPr>
        <w:spacing w:line="264" w:lineRule="auto"/>
        <w:ind w:left="2999" w:right="91"/>
        <w:rPr>
          <w:i/>
          <w:sz w:val="24"/>
        </w:rPr>
      </w:pPr>
      <w:r>
        <w:rPr>
          <w:i/>
          <w:sz w:val="24"/>
        </w:rPr>
        <w:t>Cumulative Morphine Milligram Equivalent Daily Dose (MME) Safety Edits for High, Chronic Prescription Opioid Users</w:t>
      </w:r>
    </w:p>
    <w:p w:rsidR="00164D6E" w:rsidRDefault="002A6B35">
      <w:pPr>
        <w:pStyle w:val="BodyText"/>
        <w:spacing w:before="120" w:line="264" w:lineRule="auto"/>
        <w:ind w:left="3000" w:right="106"/>
        <w:jc w:val="both"/>
      </w:pPr>
      <w:r>
        <w:pict>
          <v:group id="_x0000_s1038" style="position:absolute;left:0;text-align:left;margin-left:17.65pt;margin-top:8.8pt;width:108.35pt;height:42.45pt;z-index:1120;mso-position-horizontal-relative:page" coordorigin="353,176" coordsize="2167,849">
            <v:shape id="_x0000_s1059" style="position:absolute;left:358;top:306;width:2158;height:2" coordorigin="358,306" coordsize="2158,0" path="m358,306r,l2516,306e" filled="f" strokecolor="#1477c5" strokeweight=".15864mm">
              <v:path arrowok="t"/>
            </v:shape>
            <v:shape id="_x0000_s1058" type="#_x0000_t75" style="position:absolute;left:365;top:176;width:472;height:109">
              <v:imagedata r:id="rId93" o:title=""/>
            </v:shape>
            <v:shape id="_x0000_s1057" type="#_x0000_t75" style="position:absolute;left:881;top:176;width:514;height:109">
              <v:imagedata r:id="rId94" o:title=""/>
            </v:shape>
            <v:shape id="_x0000_s1056" type="#_x0000_t75" style="position:absolute;left:361;top:360;width:232;height:102">
              <v:imagedata r:id="rId95" o:title=""/>
            </v:shape>
            <v:shape id="_x0000_s1055" style="position:absolute;left:640;top:358;width:62;height:104" coordorigin="640,358" coordsize="62,104" o:spt="100" adj="0,,0" path="m682,462r-11,l658,459,648,449r-6,-16l640,409r2,-23l648,370r10,-9l671,358r13,3l691,366r-20,l662,368r-7,8l650,389r-1,20l650,430r5,14l662,452r9,2l690,454r-8,8xm699,388r-9,l690,376r-5,-10l691,366r2,1l698,376r1,12xm690,454r-19,l680,452r7,-7l691,434r1,-16l692,417r-24,l668,409r33,l701,444r-8,l690,454xm701,460r-8,l693,444r8,l701,460xe" fillcolor="#5e5e5e" stroked="f">
              <v:stroke joinstyle="round"/>
              <v:formulas/>
              <v:path arrowok="t" o:connecttype="segments"/>
            </v:shape>
            <v:line id="_x0000_s1054" style="position:absolute" from="722,453" to="731,453" strokecolor="#5e5e5e" strokeweight=".26442mm"/>
            <v:shape id="_x0000_s1053" type="#_x0000_t75" style="position:absolute;left:783;top:360;width:507;height:118">
              <v:imagedata r:id="rId96" o:title=""/>
            </v:shape>
            <v:shape id="_x0000_s1052" type="#_x0000_t75" style="position:absolute;left:1335;top:360;width:109;height:118">
              <v:imagedata r:id="rId97" o:title=""/>
            </v:shape>
            <v:shape id="_x0000_s1051" type="#_x0000_t75" style="position:absolute;left:1495;top:360;width:186;height:118">
              <v:imagedata r:id="rId98" o:title=""/>
            </v:shape>
            <v:shape id="_x0000_s1050" type="#_x0000_t75" style="position:absolute;left:1732;top:360;width:261;height:118">
              <v:imagedata r:id="rId99" o:title=""/>
            </v:shape>
            <v:shape id="_x0000_s1049" type="#_x0000_t75" style="position:absolute;left:2042;top:358;width:327;height:103">
              <v:imagedata r:id="rId100" o:title=""/>
            </v:shape>
            <v:shape id="_x0000_s1048" type="#_x0000_t75" style="position:absolute;left:487;top:538;width:410;height:126">
              <v:imagedata r:id="rId101" o:title=""/>
            </v:shape>
            <v:shape id="_x0000_s1047" type="#_x0000_t75" style="position:absolute;left:365;top:718;width:225;height:126">
              <v:imagedata r:id="rId102" o:title=""/>
            </v:shape>
            <v:shape id="_x0000_s1046" style="position:absolute;left:629;top:720;width:60;height:101" coordorigin="629,720" coordsize="60,101" o:spt="100" adj="0,,0" path="m638,820r-9,l629,720r47,l683,727r-45,l638,766r43,l680,768r-13,3l680,772r1,2l638,774r,46xm681,766r-13,l676,760r,-25l671,727r12,l685,729r,28l681,766xm689,820r-10,l676,816r,-18l674,780r-3,-6l681,774r2,4l685,793r,23l689,820xe" fillcolor="#5e5e5e" stroked="f">
              <v:stroke joinstyle="round"/>
              <v:formulas/>
              <v:path arrowok="t" o:connecttype="segments"/>
            </v:shape>
            <v:line id="_x0000_s1045" style="position:absolute" from="707,813" to="716,813" strokecolor="#5e5e5e" strokeweight=".26439mm"/>
            <v:shape id="_x0000_s1044" type="#_x0000_t75" style="position:absolute;left:767;top:720;width:229;height:118">
              <v:imagedata r:id="rId103" o:title=""/>
            </v:shape>
            <v:shape id="_x0000_s1043" type="#_x0000_t75" style="position:absolute;left:1047;top:720;width:186;height:118">
              <v:imagedata r:id="rId104" o:title=""/>
            </v:shape>
            <v:shape id="_x0000_s1042" type="#_x0000_t75" style="position:absolute;left:1285;top:720;width:259;height:118">
              <v:imagedata r:id="rId105" o:title=""/>
            </v:shape>
            <v:shape id="_x0000_s1041" type="#_x0000_t75" style="position:absolute;left:1596;top:718;width:325;height:103">
              <v:imagedata r:id="rId106" o:title=""/>
            </v:shape>
            <v:shape id="_x0000_s1040" type="#_x0000_t75" style="position:absolute;left:500;top:900;width:187;height:102">
              <v:imagedata r:id="rId107" o:title=""/>
            </v:shape>
            <v:shape id="_x0000_s1039" type="#_x0000_t75" style="position:absolute;left:722;top:898;width:410;height:126">
              <v:imagedata r:id="rId108" o:title=""/>
            </v:shape>
            <w10:wrap anchorx="page"/>
          </v:group>
        </w:pict>
      </w:r>
      <w:r>
        <w:pict>
          <v:group id="_x0000_s1029" style="position:absolute;left:0;text-align:left;margin-left:17.65pt;margin-top:62.75pt;width:108.35pt;height:15.15pt;z-index:1144;mso-position-horizontal-relative:page" coordorigin="353,1255" coordsize="2167,303">
            <v:shape id="_x0000_s1037" style="position:absolute;left:358;top:1385;width:2158;height:2" coordorigin="358,1385" coordsize="2158,0" path="m358,1385r,l2516,1385e" filled="f" strokecolor="#1477c5" strokeweight=".15864mm">
              <v:path arrowok="t"/>
            </v:shape>
            <v:shape id="_x0000_s1036" type="#_x0000_t75" style="position:absolute;left:367;top:1255;width:578;height:109">
              <v:imagedata r:id="rId109" o:title=""/>
            </v:shape>
            <v:shape id="_x0000_s1035" type="#_x0000_t75" style="position:absolute;left:992;top:1255;width:530;height:109">
              <v:imagedata r:id="rId110" o:title=""/>
            </v:shape>
            <v:shape id="_x0000_s1034" type="#_x0000_t75" style="position:absolute;left:367;top:1439;width:243;height:102">
              <v:imagedata r:id="rId111" o:title=""/>
            </v:shape>
            <v:shape id="_x0000_s1033" type="#_x0000_t75" style="position:absolute;left:650;top:1435;width:508;height:123">
              <v:imagedata r:id="rId112" o:title=""/>
            </v:shape>
            <v:shape id="_x0000_s1032" type="#_x0000_t75" style="position:absolute;left:1203;top:1439;width:153;height:118">
              <v:imagedata r:id="rId113" o:title=""/>
            </v:shape>
            <v:shape id="_x0000_s1031" type="#_x0000_t75" style="position:absolute;left:1407;top:1439;width:261;height:118">
              <v:imagedata r:id="rId114" o:title=""/>
            </v:shape>
            <v:shape id="_x0000_s1030" type="#_x0000_t75" style="position:absolute;left:1717;top:1438;width:202;height:103">
              <v:imagedata r:id="rId115" o:title=""/>
            </v:shape>
            <w10:wrap anchorx="page"/>
          </v:group>
        </w:pict>
      </w:r>
      <w:r>
        <w:t>CMS is proposing to require plan sponsors to implement hard formulary-level cumulative</w:t>
      </w:r>
      <w:r>
        <w:rPr>
          <w:spacing w:val="-10"/>
        </w:rPr>
        <w:t xml:space="preserve"> </w:t>
      </w:r>
      <w:r>
        <w:t>opioid</w:t>
      </w:r>
      <w:r>
        <w:rPr>
          <w:spacing w:val="-11"/>
        </w:rPr>
        <w:t xml:space="preserve"> </w:t>
      </w:r>
      <w:r>
        <w:t>sa</w:t>
      </w:r>
      <w:r>
        <w:t>fety</w:t>
      </w:r>
      <w:r>
        <w:rPr>
          <w:spacing w:val="-10"/>
        </w:rPr>
        <w:t xml:space="preserve"> </w:t>
      </w:r>
      <w:r>
        <w:t>edits</w:t>
      </w:r>
      <w:r>
        <w:rPr>
          <w:spacing w:val="-12"/>
        </w:rPr>
        <w:t xml:space="preserve"> </w:t>
      </w:r>
      <w:r>
        <w:t>at</w:t>
      </w:r>
      <w:r>
        <w:rPr>
          <w:spacing w:val="-11"/>
        </w:rPr>
        <w:t xml:space="preserve"> </w:t>
      </w:r>
      <w:r>
        <w:t>the</w:t>
      </w:r>
      <w:r>
        <w:rPr>
          <w:spacing w:val="-10"/>
        </w:rPr>
        <w:t xml:space="preserve"> </w:t>
      </w:r>
      <w:r>
        <w:t>point-of-sale</w:t>
      </w:r>
      <w:r>
        <w:rPr>
          <w:spacing w:val="-10"/>
        </w:rPr>
        <w:t xml:space="preserve"> </w:t>
      </w:r>
      <w:r>
        <w:t>at</w:t>
      </w:r>
      <w:r>
        <w:rPr>
          <w:spacing w:val="-11"/>
        </w:rPr>
        <w:t xml:space="preserve"> </w:t>
      </w:r>
      <w:r>
        <w:t>the</w:t>
      </w:r>
      <w:r>
        <w:rPr>
          <w:spacing w:val="-10"/>
        </w:rPr>
        <w:t xml:space="preserve"> </w:t>
      </w:r>
      <w:r>
        <w:t>pharmacy</w:t>
      </w:r>
      <w:r>
        <w:rPr>
          <w:spacing w:val="-10"/>
        </w:rPr>
        <w:t xml:space="preserve"> </w:t>
      </w:r>
      <w:r>
        <w:t>(which</w:t>
      </w:r>
      <w:r>
        <w:rPr>
          <w:spacing w:val="-11"/>
        </w:rPr>
        <w:t xml:space="preserve"> </w:t>
      </w:r>
      <w:r>
        <w:t>can</w:t>
      </w:r>
      <w:r>
        <w:rPr>
          <w:spacing w:val="-13"/>
        </w:rPr>
        <w:t xml:space="preserve"> </w:t>
      </w:r>
      <w:r>
        <w:t>only</w:t>
      </w:r>
      <w:r>
        <w:rPr>
          <w:spacing w:val="-10"/>
        </w:rPr>
        <w:t xml:space="preserve"> </w:t>
      </w:r>
      <w:r>
        <w:t xml:space="preserve">be overridden by the sponsor) at a dosage level of 90 Cumulative Morphine Milligram Equivalent Daily Dose (MME) per day, with a 7-day supply allowance. CMS states that edits “are not intended </w:t>
      </w:r>
      <w:r>
        <w:t>as a means to implement a prescribing limit or apply additional clinical criteria for the use of opioids, but instead to give physicians important</w:t>
      </w:r>
      <w:r>
        <w:rPr>
          <w:spacing w:val="-11"/>
        </w:rPr>
        <w:t xml:space="preserve"> </w:t>
      </w:r>
      <w:r>
        <w:t>additional</w:t>
      </w:r>
      <w:r>
        <w:rPr>
          <w:spacing w:val="-10"/>
        </w:rPr>
        <w:t xml:space="preserve"> </w:t>
      </w:r>
      <w:r>
        <w:t>information</w:t>
      </w:r>
      <w:r>
        <w:rPr>
          <w:spacing w:val="-10"/>
        </w:rPr>
        <w:t xml:space="preserve"> </w:t>
      </w:r>
      <w:r>
        <w:t>about</w:t>
      </w:r>
      <w:r>
        <w:rPr>
          <w:spacing w:val="-11"/>
        </w:rPr>
        <w:t xml:space="preserve"> </w:t>
      </w:r>
      <w:r>
        <w:t>their</w:t>
      </w:r>
      <w:r>
        <w:rPr>
          <w:spacing w:val="-11"/>
        </w:rPr>
        <w:t xml:space="preserve"> </w:t>
      </w:r>
      <w:r>
        <w:t>patients’</w:t>
      </w:r>
      <w:r>
        <w:rPr>
          <w:spacing w:val="-10"/>
        </w:rPr>
        <w:t xml:space="preserve"> </w:t>
      </w:r>
      <w:r>
        <w:t>opioid</w:t>
      </w:r>
      <w:r>
        <w:rPr>
          <w:spacing w:val="-10"/>
        </w:rPr>
        <w:t xml:space="preserve"> </w:t>
      </w:r>
      <w:r>
        <w:t>use.”</w:t>
      </w:r>
      <w:r>
        <w:rPr>
          <w:spacing w:val="-12"/>
        </w:rPr>
        <w:t xml:space="preserve"> </w:t>
      </w:r>
      <w:r>
        <w:t>CMS</w:t>
      </w:r>
      <w:r>
        <w:rPr>
          <w:spacing w:val="-10"/>
        </w:rPr>
        <w:t xml:space="preserve"> </w:t>
      </w:r>
      <w:r>
        <w:t>also</w:t>
      </w:r>
      <w:r>
        <w:rPr>
          <w:spacing w:val="-10"/>
        </w:rPr>
        <w:t xml:space="preserve"> </w:t>
      </w:r>
      <w:r>
        <w:t>outlines</w:t>
      </w:r>
    </w:p>
    <w:p w:rsidR="00164D6E" w:rsidRDefault="00164D6E">
      <w:pPr>
        <w:spacing w:line="264" w:lineRule="auto"/>
        <w:jc w:val="both"/>
        <w:sectPr w:rsidR="00164D6E">
          <w:type w:val="continuous"/>
          <w:pgSz w:w="12240" w:h="15840"/>
          <w:pgMar w:top="720" w:right="1040" w:bottom="280" w:left="240" w:header="720" w:footer="720" w:gutter="0"/>
          <w:cols w:space="720"/>
        </w:sectPr>
      </w:pPr>
    </w:p>
    <w:p w:rsidR="00164D6E" w:rsidRDefault="002A6B35">
      <w:pPr>
        <w:pStyle w:val="BodyText"/>
        <w:spacing w:before="74" w:line="264" w:lineRule="auto"/>
        <w:ind w:left="112" w:right="194"/>
      </w:pPr>
      <w:r>
        <w:lastRenderedPageBreak/>
        <w:t>an expedited coverage</w:t>
      </w:r>
      <w:r>
        <w:t xml:space="preserve"> determination process which relies on an attestation from the prescribing physician that a higher MME is medically necessary.</w:t>
      </w:r>
    </w:p>
    <w:p w:rsidR="00164D6E" w:rsidRDefault="002A6B35">
      <w:pPr>
        <w:pStyle w:val="BodyText"/>
        <w:spacing w:before="120" w:line="264" w:lineRule="auto"/>
        <w:ind w:left="112" w:right="106"/>
        <w:jc w:val="both"/>
      </w:pPr>
      <w:r>
        <w:t>While ACEP appreciates that the edits are not intended to place a prescribing limit for physicians and that patients and prescrib</w:t>
      </w:r>
      <w:r>
        <w:t>ers have an opportunity to request an expedited coverage determination, the unique nature of care in the emergency department can make these edits a major barrier and burden for some patients to receive pain medication that is prescribed by an emergency ph</w:t>
      </w:r>
      <w:r>
        <w:t>ysician. Emergency physicians operate in shifts, and therefore it may be logistically challenging for a patient or pharmacist to immediately reach out to the physician who treated the patient. We therefore recommend that CMS consider creating a more flexib</w:t>
      </w:r>
      <w:r>
        <w:t>le policy for opioids prescribed by emergency physicians in emergency departments in order to account</w:t>
      </w:r>
      <w:r>
        <w:rPr>
          <w:spacing w:val="-11"/>
        </w:rPr>
        <w:t xml:space="preserve"> </w:t>
      </w:r>
      <w:r>
        <w:t>for</w:t>
      </w:r>
      <w:r>
        <w:rPr>
          <w:spacing w:val="-12"/>
        </w:rPr>
        <w:t xml:space="preserve"> </w:t>
      </w:r>
      <w:r>
        <w:t>situations</w:t>
      </w:r>
      <w:r>
        <w:rPr>
          <w:spacing w:val="-9"/>
        </w:rPr>
        <w:t xml:space="preserve"> </w:t>
      </w:r>
      <w:r>
        <w:t>when</w:t>
      </w:r>
      <w:r>
        <w:rPr>
          <w:spacing w:val="-11"/>
        </w:rPr>
        <w:t xml:space="preserve"> </w:t>
      </w:r>
      <w:r>
        <w:t>a</w:t>
      </w:r>
      <w:r>
        <w:rPr>
          <w:spacing w:val="-10"/>
        </w:rPr>
        <w:t xml:space="preserve"> </w:t>
      </w:r>
      <w:r>
        <w:t>pharmacy</w:t>
      </w:r>
      <w:r>
        <w:rPr>
          <w:spacing w:val="-10"/>
        </w:rPr>
        <w:t xml:space="preserve"> </w:t>
      </w:r>
      <w:r>
        <w:t>or</w:t>
      </w:r>
      <w:r>
        <w:rPr>
          <w:spacing w:val="-12"/>
        </w:rPr>
        <w:t xml:space="preserve"> </w:t>
      </w:r>
      <w:r>
        <w:t>sponsor</w:t>
      </w:r>
      <w:r>
        <w:rPr>
          <w:spacing w:val="-9"/>
        </w:rPr>
        <w:t xml:space="preserve"> </w:t>
      </w:r>
      <w:r>
        <w:t>is</w:t>
      </w:r>
      <w:r>
        <w:rPr>
          <w:spacing w:val="-12"/>
        </w:rPr>
        <w:t xml:space="preserve"> </w:t>
      </w:r>
      <w:r>
        <w:t>unable</w:t>
      </w:r>
      <w:r>
        <w:rPr>
          <w:spacing w:val="-10"/>
        </w:rPr>
        <w:t xml:space="preserve"> </w:t>
      </w:r>
      <w:r>
        <w:t>to</w:t>
      </w:r>
      <w:r>
        <w:rPr>
          <w:spacing w:val="-11"/>
        </w:rPr>
        <w:t xml:space="preserve"> </w:t>
      </w:r>
      <w:r>
        <w:t>reach</w:t>
      </w:r>
      <w:r>
        <w:rPr>
          <w:spacing w:val="-11"/>
        </w:rPr>
        <w:t xml:space="preserve"> </w:t>
      </w:r>
      <w:r>
        <w:t>the</w:t>
      </w:r>
      <w:r>
        <w:rPr>
          <w:spacing w:val="-10"/>
        </w:rPr>
        <w:t xml:space="preserve"> </w:t>
      </w:r>
      <w:r>
        <w:t>emergency</w:t>
      </w:r>
      <w:r>
        <w:rPr>
          <w:spacing w:val="-10"/>
        </w:rPr>
        <w:t xml:space="preserve"> </w:t>
      </w:r>
      <w:r>
        <w:t>physician</w:t>
      </w:r>
      <w:r>
        <w:rPr>
          <w:spacing w:val="-11"/>
        </w:rPr>
        <w:t xml:space="preserve"> </w:t>
      </w:r>
      <w:r>
        <w:t>who</w:t>
      </w:r>
      <w:r>
        <w:rPr>
          <w:spacing w:val="-11"/>
        </w:rPr>
        <w:t xml:space="preserve"> </w:t>
      </w:r>
      <w:r>
        <w:t>ordered the prescription. We understand that it might be difficult for a pharmacy to know where the prescription originated</w:t>
      </w:r>
      <w:r>
        <w:rPr>
          <w:spacing w:val="-7"/>
        </w:rPr>
        <w:t xml:space="preserve"> </w:t>
      </w:r>
      <w:r>
        <w:t>from</w:t>
      </w:r>
      <w:r>
        <w:rPr>
          <w:spacing w:val="-8"/>
        </w:rPr>
        <w:t xml:space="preserve"> </w:t>
      </w:r>
      <w:r>
        <w:t>based</w:t>
      </w:r>
      <w:r>
        <w:rPr>
          <w:spacing w:val="-7"/>
        </w:rPr>
        <w:t xml:space="preserve"> </w:t>
      </w:r>
      <w:r>
        <w:t>on</w:t>
      </w:r>
      <w:r>
        <w:rPr>
          <w:spacing w:val="-3"/>
        </w:rPr>
        <w:t xml:space="preserve"> </w:t>
      </w:r>
      <w:r>
        <w:t>the</w:t>
      </w:r>
      <w:r>
        <w:rPr>
          <w:spacing w:val="-6"/>
        </w:rPr>
        <w:t xml:space="preserve"> </w:t>
      </w:r>
      <w:r>
        <w:t>claim,</w:t>
      </w:r>
      <w:r>
        <w:rPr>
          <w:spacing w:val="-7"/>
        </w:rPr>
        <w:t xml:space="preserve"> </w:t>
      </w:r>
      <w:r>
        <w:t>and</w:t>
      </w:r>
      <w:r>
        <w:rPr>
          <w:spacing w:val="-7"/>
        </w:rPr>
        <w:t xml:space="preserve"> </w:t>
      </w:r>
      <w:r>
        <w:t>we</w:t>
      </w:r>
      <w:r>
        <w:rPr>
          <w:spacing w:val="-6"/>
        </w:rPr>
        <w:t xml:space="preserve"> </w:t>
      </w:r>
      <w:r>
        <w:t>would</w:t>
      </w:r>
      <w:r>
        <w:rPr>
          <w:spacing w:val="-7"/>
        </w:rPr>
        <w:t xml:space="preserve"> </w:t>
      </w:r>
      <w:r>
        <w:t>like</w:t>
      </w:r>
      <w:r>
        <w:rPr>
          <w:spacing w:val="-6"/>
        </w:rPr>
        <w:t xml:space="preserve"> </w:t>
      </w:r>
      <w:r>
        <w:t>to</w:t>
      </w:r>
      <w:r>
        <w:rPr>
          <w:spacing w:val="-7"/>
        </w:rPr>
        <w:t xml:space="preserve"> </w:t>
      </w:r>
      <w:r>
        <w:t>work</w:t>
      </w:r>
      <w:r>
        <w:rPr>
          <w:spacing w:val="-7"/>
        </w:rPr>
        <w:t xml:space="preserve"> </w:t>
      </w:r>
      <w:r>
        <w:t>with</w:t>
      </w:r>
      <w:r>
        <w:rPr>
          <w:spacing w:val="-7"/>
        </w:rPr>
        <w:t xml:space="preserve"> </w:t>
      </w:r>
      <w:r>
        <w:t>CMS</w:t>
      </w:r>
      <w:r>
        <w:rPr>
          <w:spacing w:val="-5"/>
        </w:rPr>
        <w:t xml:space="preserve"> </w:t>
      </w:r>
      <w:r>
        <w:t>to</w:t>
      </w:r>
      <w:r>
        <w:rPr>
          <w:spacing w:val="-7"/>
        </w:rPr>
        <w:t xml:space="preserve"> </w:t>
      </w:r>
      <w:r>
        <w:t>help</w:t>
      </w:r>
      <w:r>
        <w:rPr>
          <w:spacing w:val="-7"/>
        </w:rPr>
        <w:t xml:space="preserve"> </w:t>
      </w:r>
      <w:r>
        <w:t>operationalize</w:t>
      </w:r>
      <w:r>
        <w:rPr>
          <w:spacing w:val="-6"/>
        </w:rPr>
        <w:t xml:space="preserve"> </w:t>
      </w:r>
      <w:r>
        <w:t>this</w:t>
      </w:r>
      <w:r>
        <w:rPr>
          <w:spacing w:val="-8"/>
        </w:rPr>
        <w:t xml:space="preserve"> </w:t>
      </w:r>
      <w:r>
        <w:t>type</w:t>
      </w:r>
      <w:r>
        <w:rPr>
          <w:spacing w:val="-6"/>
        </w:rPr>
        <w:t xml:space="preserve"> </w:t>
      </w:r>
      <w:r>
        <w:t>of policy.</w:t>
      </w:r>
    </w:p>
    <w:p w:rsidR="00164D6E" w:rsidRDefault="002A6B35">
      <w:pPr>
        <w:pStyle w:val="BodyText"/>
        <w:spacing w:before="120" w:line="264" w:lineRule="auto"/>
        <w:ind w:left="112" w:right="107"/>
        <w:jc w:val="both"/>
      </w:pPr>
      <w:r>
        <w:t>ACEP</w:t>
      </w:r>
      <w:r>
        <w:rPr>
          <w:spacing w:val="-18"/>
        </w:rPr>
        <w:t xml:space="preserve"> </w:t>
      </w:r>
      <w:r>
        <w:t>also</w:t>
      </w:r>
      <w:r>
        <w:rPr>
          <w:spacing w:val="-18"/>
        </w:rPr>
        <w:t xml:space="preserve"> </w:t>
      </w:r>
      <w:r>
        <w:t>seeks</w:t>
      </w:r>
      <w:r>
        <w:rPr>
          <w:spacing w:val="-18"/>
        </w:rPr>
        <w:t xml:space="preserve"> </w:t>
      </w:r>
      <w:r>
        <w:t>clarificatio</w:t>
      </w:r>
      <w:r>
        <w:t>n</w:t>
      </w:r>
      <w:r>
        <w:rPr>
          <w:spacing w:val="-18"/>
        </w:rPr>
        <w:t xml:space="preserve"> </w:t>
      </w:r>
      <w:r>
        <w:t>on</w:t>
      </w:r>
      <w:r>
        <w:rPr>
          <w:spacing w:val="-18"/>
        </w:rPr>
        <w:t xml:space="preserve"> </w:t>
      </w:r>
      <w:r>
        <w:t>whether</w:t>
      </w:r>
      <w:r>
        <w:rPr>
          <w:spacing w:val="-18"/>
        </w:rPr>
        <w:t xml:space="preserve"> </w:t>
      </w:r>
      <w:r>
        <w:t>this</w:t>
      </w:r>
      <w:r>
        <w:rPr>
          <w:spacing w:val="-18"/>
        </w:rPr>
        <w:t xml:space="preserve"> </w:t>
      </w:r>
      <w:r>
        <w:t>hard</w:t>
      </w:r>
      <w:r>
        <w:rPr>
          <w:spacing w:val="-15"/>
        </w:rPr>
        <w:t xml:space="preserve"> </w:t>
      </w:r>
      <w:r>
        <w:t>edit</w:t>
      </w:r>
      <w:r>
        <w:rPr>
          <w:spacing w:val="-18"/>
        </w:rPr>
        <w:t xml:space="preserve"> </w:t>
      </w:r>
      <w:r>
        <w:t>applies</w:t>
      </w:r>
      <w:r>
        <w:rPr>
          <w:spacing w:val="-18"/>
        </w:rPr>
        <w:t xml:space="preserve"> </w:t>
      </w:r>
      <w:r>
        <w:t>to</w:t>
      </w:r>
      <w:r>
        <w:rPr>
          <w:spacing w:val="-18"/>
        </w:rPr>
        <w:t xml:space="preserve"> </w:t>
      </w:r>
      <w:r>
        <w:t>opioid</w:t>
      </w:r>
      <w:r>
        <w:rPr>
          <w:spacing w:val="-18"/>
        </w:rPr>
        <w:t xml:space="preserve"> </w:t>
      </w:r>
      <w:r>
        <w:t>prescriptions</w:t>
      </w:r>
      <w:r>
        <w:rPr>
          <w:spacing w:val="-18"/>
        </w:rPr>
        <w:t xml:space="preserve"> </w:t>
      </w:r>
      <w:r>
        <w:t>that</w:t>
      </w:r>
      <w:r>
        <w:rPr>
          <w:spacing w:val="-18"/>
        </w:rPr>
        <w:t xml:space="preserve"> </w:t>
      </w:r>
      <w:r>
        <w:t>treat</w:t>
      </w:r>
      <w:r>
        <w:rPr>
          <w:spacing w:val="-18"/>
        </w:rPr>
        <w:t xml:space="preserve"> </w:t>
      </w:r>
      <w:r>
        <w:t>both</w:t>
      </w:r>
      <w:r>
        <w:rPr>
          <w:spacing w:val="-18"/>
        </w:rPr>
        <w:t xml:space="preserve"> </w:t>
      </w:r>
      <w:r>
        <w:t>chronic and</w:t>
      </w:r>
      <w:r>
        <w:rPr>
          <w:spacing w:val="-12"/>
        </w:rPr>
        <w:t xml:space="preserve"> </w:t>
      </w:r>
      <w:r>
        <w:t>acute</w:t>
      </w:r>
      <w:r>
        <w:rPr>
          <w:spacing w:val="-11"/>
        </w:rPr>
        <w:t xml:space="preserve"> </w:t>
      </w:r>
      <w:r>
        <w:t>pain.</w:t>
      </w:r>
      <w:r>
        <w:rPr>
          <w:spacing w:val="-12"/>
        </w:rPr>
        <w:t xml:space="preserve"> </w:t>
      </w:r>
      <w:r>
        <w:t>CMS</w:t>
      </w:r>
      <w:r>
        <w:rPr>
          <w:spacing w:val="-12"/>
        </w:rPr>
        <w:t xml:space="preserve"> </w:t>
      </w:r>
      <w:r>
        <w:t>states</w:t>
      </w:r>
      <w:r>
        <w:rPr>
          <w:spacing w:val="-13"/>
        </w:rPr>
        <w:t xml:space="preserve"> </w:t>
      </w:r>
      <w:r>
        <w:t>that</w:t>
      </w:r>
      <w:r>
        <w:rPr>
          <w:spacing w:val="-12"/>
        </w:rPr>
        <w:t xml:space="preserve"> </w:t>
      </w:r>
      <w:r>
        <w:t>the</w:t>
      </w:r>
      <w:r>
        <w:rPr>
          <w:spacing w:val="-11"/>
        </w:rPr>
        <w:t xml:space="preserve"> </w:t>
      </w:r>
      <w:r>
        <w:t>90</w:t>
      </w:r>
      <w:r>
        <w:rPr>
          <w:spacing w:val="-10"/>
        </w:rPr>
        <w:t xml:space="preserve"> </w:t>
      </w:r>
      <w:r>
        <w:t>MME</w:t>
      </w:r>
      <w:r>
        <w:rPr>
          <w:spacing w:val="-11"/>
        </w:rPr>
        <w:t xml:space="preserve"> </w:t>
      </w:r>
      <w:r>
        <w:t>threshold</w:t>
      </w:r>
      <w:r>
        <w:rPr>
          <w:spacing w:val="-12"/>
        </w:rPr>
        <w:t xml:space="preserve"> </w:t>
      </w:r>
      <w:r>
        <w:t>“aligns</w:t>
      </w:r>
      <w:r>
        <w:rPr>
          <w:spacing w:val="-13"/>
        </w:rPr>
        <w:t xml:space="preserve"> </w:t>
      </w:r>
      <w:r>
        <w:t>with</w:t>
      </w:r>
      <w:r>
        <w:rPr>
          <w:spacing w:val="-12"/>
        </w:rPr>
        <w:t xml:space="preserve"> </w:t>
      </w:r>
      <w:r>
        <w:t>the</w:t>
      </w:r>
      <w:r>
        <w:rPr>
          <w:spacing w:val="-11"/>
        </w:rPr>
        <w:t xml:space="preserve"> </w:t>
      </w:r>
      <w:r>
        <w:t>CDC</w:t>
      </w:r>
      <w:r>
        <w:rPr>
          <w:spacing w:val="-11"/>
        </w:rPr>
        <w:t xml:space="preserve"> </w:t>
      </w:r>
      <w:r>
        <w:t>Guideline,</w:t>
      </w:r>
      <w:r>
        <w:rPr>
          <w:spacing w:val="-12"/>
        </w:rPr>
        <w:t xml:space="preserve"> </w:t>
      </w:r>
      <w:r>
        <w:t>which</w:t>
      </w:r>
      <w:r>
        <w:rPr>
          <w:spacing w:val="-12"/>
        </w:rPr>
        <w:t xml:space="preserve"> </w:t>
      </w:r>
      <w:r>
        <w:t>recommends to</w:t>
      </w:r>
      <w:r>
        <w:rPr>
          <w:spacing w:val="-8"/>
        </w:rPr>
        <w:t xml:space="preserve"> </w:t>
      </w:r>
      <w:r>
        <w:t>generally</w:t>
      </w:r>
      <w:r>
        <w:rPr>
          <w:spacing w:val="-7"/>
        </w:rPr>
        <w:t xml:space="preserve"> </w:t>
      </w:r>
      <w:r>
        <w:t>avoid</w:t>
      </w:r>
      <w:r>
        <w:rPr>
          <w:spacing w:val="-8"/>
        </w:rPr>
        <w:t xml:space="preserve"> </w:t>
      </w:r>
      <w:r>
        <w:t>increasing</w:t>
      </w:r>
      <w:r>
        <w:rPr>
          <w:spacing w:val="-8"/>
        </w:rPr>
        <w:t xml:space="preserve"> </w:t>
      </w:r>
      <w:r>
        <w:t>the</w:t>
      </w:r>
      <w:r>
        <w:rPr>
          <w:spacing w:val="-7"/>
        </w:rPr>
        <w:t xml:space="preserve"> </w:t>
      </w:r>
      <w:r>
        <w:t>daily</w:t>
      </w:r>
      <w:r>
        <w:rPr>
          <w:spacing w:val="-7"/>
        </w:rPr>
        <w:t xml:space="preserve"> </w:t>
      </w:r>
      <w:r>
        <w:t>dosage</w:t>
      </w:r>
      <w:r>
        <w:rPr>
          <w:spacing w:val="-7"/>
        </w:rPr>
        <w:t xml:space="preserve"> </w:t>
      </w:r>
      <w:r>
        <w:t>of</w:t>
      </w:r>
      <w:r>
        <w:rPr>
          <w:spacing w:val="-9"/>
        </w:rPr>
        <w:t xml:space="preserve"> </w:t>
      </w:r>
      <w:r>
        <w:t>opioids</w:t>
      </w:r>
      <w:r>
        <w:rPr>
          <w:spacing w:val="-9"/>
        </w:rPr>
        <w:t xml:space="preserve"> </w:t>
      </w:r>
      <w:r>
        <w:t>to</w:t>
      </w:r>
      <w:r>
        <w:rPr>
          <w:spacing w:val="-8"/>
        </w:rPr>
        <w:t xml:space="preserve"> </w:t>
      </w:r>
      <w:r>
        <w:t>90</w:t>
      </w:r>
      <w:r>
        <w:rPr>
          <w:spacing w:val="-6"/>
        </w:rPr>
        <w:t xml:space="preserve"> </w:t>
      </w:r>
      <w:r>
        <w:t>MME.”</w:t>
      </w:r>
      <w:r>
        <w:rPr>
          <w:spacing w:val="-8"/>
        </w:rPr>
        <w:t xml:space="preserve"> </w:t>
      </w:r>
      <w:r>
        <w:t>However,</w:t>
      </w:r>
      <w:r>
        <w:rPr>
          <w:spacing w:val="-8"/>
        </w:rPr>
        <w:t xml:space="preserve"> </w:t>
      </w:r>
      <w:r>
        <w:t>the</w:t>
      </w:r>
      <w:r>
        <w:rPr>
          <w:spacing w:val="-7"/>
        </w:rPr>
        <w:t xml:space="preserve"> </w:t>
      </w:r>
      <w:r>
        <w:t>CDC</w:t>
      </w:r>
      <w:r>
        <w:rPr>
          <w:spacing w:val="-7"/>
        </w:rPr>
        <w:t xml:space="preserve"> </w:t>
      </w:r>
      <w:r>
        <w:t>recommendation related to the 90 MME threshold in the Guideline</w:t>
      </w:r>
      <w:hyperlink w:anchor="_bookmark0" w:history="1">
        <w:r>
          <w:rPr>
            <w:position w:val="9"/>
            <w:sz w:val="14"/>
          </w:rPr>
          <w:t>1</w:t>
        </w:r>
      </w:hyperlink>
      <w:r>
        <w:rPr>
          <w:position w:val="9"/>
          <w:sz w:val="14"/>
        </w:rPr>
        <w:t xml:space="preserve"> </w:t>
      </w:r>
      <w:r>
        <w:t>is in reference to chronic pain only. The Guideline contains</w:t>
      </w:r>
      <w:r>
        <w:rPr>
          <w:spacing w:val="-6"/>
        </w:rPr>
        <w:t xml:space="preserve"> </w:t>
      </w:r>
      <w:r>
        <w:t>a</w:t>
      </w:r>
      <w:r>
        <w:rPr>
          <w:spacing w:val="-4"/>
        </w:rPr>
        <w:t xml:space="preserve"> </w:t>
      </w:r>
      <w:r>
        <w:t>separate</w:t>
      </w:r>
      <w:r>
        <w:rPr>
          <w:spacing w:val="-4"/>
        </w:rPr>
        <w:t xml:space="preserve"> </w:t>
      </w:r>
      <w:r>
        <w:t>recommendation</w:t>
      </w:r>
      <w:r>
        <w:rPr>
          <w:spacing w:val="-4"/>
        </w:rPr>
        <w:t xml:space="preserve"> </w:t>
      </w:r>
      <w:r>
        <w:t>(#6)</w:t>
      </w:r>
      <w:r>
        <w:rPr>
          <w:spacing w:val="-7"/>
        </w:rPr>
        <w:t xml:space="preserve"> </w:t>
      </w:r>
      <w:r>
        <w:t>for</w:t>
      </w:r>
      <w:r>
        <w:rPr>
          <w:spacing w:val="-5"/>
        </w:rPr>
        <w:t xml:space="preserve"> </w:t>
      </w:r>
      <w:r>
        <w:t>prescribing</w:t>
      </w:r>
      <w:r>
        <w:rPr>
          <w:spacing w:val="-4"/>
        </w:rPr>
        <w:t xml:space="preserve"> </w:t>
      </w:r>
      <w:r>
        <w:t>opioids</w:t>
      </w:r>
      <w:r>
        <w:rPr>
          <w:spacing w:val="-6"/>
        </w:rPr>
        <w:t xml:space="preserve"> </w:t>
      </w:r>
      <w:r>
        <w:t>for</w:t>
      </w:r>
      <w:r>
        <w:rPr>
          <w:spacing w:val="-5"/>
        </w:rPr>
        <w:t xml:space="preserve"> </w:t>
      </w:r>
      <w:r>
        <w:t>acute</w:t>
      </w:r>
      <w:r>
        <w:rPr>
          <w:spacing w:val="-4"/>
        </w:rPr>
        <w:t xml:space="preserve"> </w:t>
      </w:r>
      <w:r>
        <w:t>pain,</w:t>
      </w:r>
      <w:r>
        <w:rPr>
          <w:spacing w:val="-4"/>
        </w:rPr>
        <w:t xml:space="preserve"> </w:t>
      </w:r>
      <w:r>
        <w:t>which</w:t>
      </w:r>
      <w:r>
        <w:rPr>
          <w:spacing w:val="-7"/>
        </w:rPr>
        <w:t xml:space="preserve"> </w:t>
      </w:r>
      <w:r>
        <w:t>only</w:t>
      </w:r>
      <w:r>
        <w:rPr>
          <w:spacing w:val="-6"/>
        </w:rPr>
        <w:t xml:space="preserve"> </w:t>
      </w:r>
      <w:r>
        <w:t>discusses</w:t>
      </w:r>
      <w:r>
        <w:rPr>
          <w:spacing w:val="-6"/>
        </w:rPr>
        <w:t xml:space="preserve"> </w:t>
      </w:r>
      <w:r>
        <w:t>a</w:t>
      </w:r>
      <w:r>
        <w:rPr>
          <w:spacing w:val="-6"/>
        </w:rPr>
        <w:t xml:space="preserve"> </w:t>
      </w:r>
      <w:r>
        <w:t>day supply limit and does not address a particular dosage threshold. Since CMS has a separate proposal related to the treatment of acute pain (discussed below), it is unclear whether this hard edit must be used only for patients with chronic pa</w:t>
      </w:r>
      <w:r>
        <w:t>in or for patients with acute pain as</w:t>
      </w:r>
      <w:r>
        <w:rPr>
          <w:spacing w:val="-34"/>
        </w:rPr>
        <w:t xml:space="preserve"> </w:t>
      </w:r>
      <w:r>
        <w:t>well.</w:t>
      </w:r>
    </w:p>
    <w:p w:rsidR="00164D6E" w:rsidRDefault="00164D6E">
      <w:pPr>
        <w:pStyle w:val="BodyText"/>
        <w:spacing w:before="10"/>
        <w:rPr>
          <w:sz w:val="26"/>
        </w:rPr>
      </w:pPr>
    </w:p>
    <w:p w:rsidR="00164D6E" w:rsidRDefault="002A6B35">
      <w:pPr>
        <w:ind w:left="112"/>
        <w:rPr>
          <w:i/>
          <w:sz w:val="24"/>
        </w:rPr>
      </w:pPr>
      <w:r>
        <w:rPr>
          <w:i/>
          <w:sz w:val="24"/>
        </w:rPr>
        <w:t>Days Supply Limits for Opioid Naïve Patients</w:t>
      </w:r>
    </w:p>
    <w:p w:rsidR="00164D6E" w:rsidRDefault="002A6B35">
      <w:pPr>
        <w:pStyle w:val="BodyText"/>
        <w:spacing w:before="147" w:line="264" w:lineRule="auto"/>
        <w:ind w:left="112" w:right="102"/>
      </w:pPr>
      <w:r>
        <w:t>CMS expects plan sponsors to implement a hard safety edit for initial opioid prescription fills that exceed 7 days for the treatment of acute pain. CMS does not want to compromise appropriate pain management or add any burden on clinicians and their patien</w:t>
      </w:r>
      <w:r>
        <w:t>ts. CMS is seeking comment on the 7-day supply limit and whether an alternative would be more appropriate (such as 3 days or 5 days). CMS also requests comments on both inclusions and exceptions for specific clinical situations.</w:t>
      </w:r>
    </w:p>
    <w:p w:rsidR="00164D6E" w:rsidRDefault="00164D6E">
      <w:pPr>
        <w:pStyle w:val="BodyText"/>
        <w:spacing w:before="5"/>
        <w:rPr>
          <w:sz w:val="26"/>
        </w:rPr>
      </w:pPr>
    </w:p>
    <w:p w:rsidR="00164D6E" w:rsidRDefault="002A6B35">
      <w:pPr>
        <w:pStyle w:val="BodyText"/>
        <w:spacing w:line="264" w:lineRule="auto"/>
        <w:ind w:left="112" w:right="164"/>
      </w:pPr>
      <w:r>
        <w:t>As stated previously, ACEP</w:t>
      </w:r>
      <w:r>
        <w:t xml:space="preserve"> believes that hard safety edits impose a burden and potential access barrier on patients who receive prescriptions from emergency physicians in the emergency department. We would like to work with CMS on a more flexible policy that helps balance the need </w:t>
      </w:r>
      <w:r>
        <w:t>to monitor new opioid prescriptions while at the same time not compromising the ability for emergency physicians to provide appropriate pain management treatment to their patients. Evidence shows that emergency physicians are responsible for only a small p</w:t>
      </w:r>
      <w:r>
        <w:t>ortion of opioid prescriptions, and were declining even before national attention began to increase on the opioid epidemic. A recent study</w:t>
      </w:r>
      <w:hyperlink w:anchor="_bookmark1" w:history="1">
        <w:r>
          <w:rPr>
            <w:position w:val="9"/>
            <w:sz w:val="14"/>
          </w:rPr>
          <w:t>2</w:t>
        </w:r>
      </w:hyperlink>
      <w:r>
        <w:rPr>
          <w:position w:val="9"/>
          <w:sz w:val="14"/>
        </w:rPr>
        <w:t xml:space="preserve"> </w:t>
      </w:r>
      <w:r>
        <w:t xml:space="preserve">showed that between 1996 and 2012, the share of prescription opioids originating from </w:t>
      </w:r>
      <w:r>
        <w:t>emergency departments declined from 7 percent to 4</w:t>
      </w:r>
    </w:p>
    <w:p w:rsidR="00164D6E" w:rsidRDefault="00164D6E">
      <w:pPr>
        <w:pStyle w:val="BodyText"/>
        <w:rPr>
          <w:sz w:val="20"/>
        </w:rPr>
      </w:pPr>
    </w:p>
    <w:p w:rsidR="00164D6E" w:rsidRDefault="00164D6E">
      <w:pPr>
        <w:pStyle w:val="BodyText"/>
        <w:rPr>
          <w:sz w:val="20"/>
        </w:rPr>
      </w:pPr>
    </w:p>
    <w:p w:rsidR="00164D6E" w:rsidRDefault="002A6B35">
      <w:pPr>
        <w:pStyle w:val="BodyText"/>
        <w:spacing w:before="6"/>
        <w:rPr>
          <w:sz w:val="17"/>
        </w:rPr>
      </w:pPr>
      <w:r>
        <w:pict>
          <v:line id="_x0000_s1028" style="position:absolute;z-index:1336;mso-wrap-distance-left:0;mso-wrap-distance-right:0;mso-position-horizontal-relative:page" from="57.6pt,12.15pt" to="201.6pt,12.15pt" strokeweight=".6pt">
            <w10:wrap type="topAndBottom" anchorx="page"/>
          </v:line>
        </w:pict>
      </w:r>
    </w:p>
    <w:p w:rsidR="00164D6E" w:rsidRDefault="002A6B35">
      <w:pPr>
        <w:spacing w:before="70"/>
        <w:ind w:left="112" w:right="280" w:hanging="1"/>
        <w:rPr>
          <w:rFonts w:ascii="Calibri" w:hAnsi="Calibri"/>
          <w:sz w:val="20"/>
        </w:rPr>
      </w:pPr>
      <w:bookmarkStart w:id="0" w:name="_bookmark0"/>
      <w:bookmarkEnd w:id="0"/>
      <w:r>
        <w:rPr>
          <w:rFonts w:ascii="Calibri" w:hAnsi="Calibri"/>
          <w:position w:val="7"/>
          <w:sz w:val="13"/>
        </w:rPr>
        <w:t xml:space="preserve">1 </w:t>
      </w:r>
      <w:r>
        <w:rPr>
          <w:rFonts w:ascii="Calibri" w:hAnsi="Calibri"/>
          <w:sz w:val="20"/>
        </w:rPr>
        <w:t xml:space="preserve">Dowell D, Haegerich TM, Chou R. “CDC Guideline for Prescribing Opioids for Chronic Pain” United States, 2016. MMWR Recomm Rep 2016;65(No. RR-1):1–49. DOI: </w:t>
      </w:r>
      <w:hyperlink r:id="rId116">
        <w:r>
          <w:rPr>
            <w:rFonts w:ascii="Calibri" w:hAnsi="Calibri"/>
            <w:sz w:val="20"/>
          </w:rPr>
          <w:t>http://dx.doi.org/10.15585/mmwr.rr6501e1</w:t>
        </w:r>
      </w:hyperlink>
    </w:p>
    <w:p w:rsidR="00164D6E" w:rsidRDefault="002A6B35">
      <w:pPr>
        <w:spacing w:before="117"/>
        <w:ind w:left="112"/>
        <w:rPr>
          <w:rFonts w:ascii="Calibri" w:hAnsi="Calibri"/>
          <w:sz w:val="20"/>
        </w:rPr>
      </w:pPr>
      <w:bookmarkStart w:id="1" w:name="_bookmark1"/>
      <w:bookmarkEnd w:id="1"/>
      <w:r>
        <w:rPr>
          <w:rFonts w:ascii="Calibri" w:hAnsi="Calibri"/>
          <w:position w:val="7"/>
          <w:sz w:val="13"/>
        </w:rPr>
        <w:t xml:space="preserve">2 </w:t>
      </w:r>
      <w:r>
        <w:rPr>
          <w:rFonts w:ascii="Calibri" w:hAnsi="Calibri"/>
          <w:sz w:val="20"/>
        </w:rPr>
        <w:t>“Emergency Department Contribution to the Prescription Opioid Epidemic.” Axeen, Sarah et al.</w:t>
      </w:r>
    </w:p>
    <w:p w:rsidR="00164D6E" w:rsidRDefault="002A6B35">
      <w:pPr>
        <w:ind w:left="112"/>
        <w:rPr>
          <w:rFonts w:ascii="Calibri"/>
          <w:sz w:val="20"/>
        </w:rPr>
      </w:pPr>
      <w:r>
        <w:rPr>
          <w:rFonts w:ascii="Calibri"/>
          <w:i/>
          <w:sz w:val="20"/>
        </w:rPr>
        <w:t>Annals of Emergency Medicine</w:t>
      </w:r>
      <w:r>
        <w:rPr>
          <w:rFonts w:ascii="Calibri"/>
          <w:sz w:val="20"/>
        </w:rPr>
        <w:t xml:space="preserve">; Available at </w:t>
      </w:r>
      <w:hyperlink r:id="rId117">
        <w:r>
          <w:rPr>
            <w:rFonts w:ascii="Calibri"/>
            <w:sz w:val="20"/>
          </w:rPr>
          <w:t>http://www.annemergmed.com/article/S0196-0644(17)31969-8/fulltext</w:t>
        </w:r>
      </w:hyperlink>
    </w:p>
    <w:p w:rsidR="00164D6E" w:rsidRDefault="00164D6E">
      <w:pPr>
        <w:rPr>
          <w:rFonts w:ascii="Calibri"/>
          <w:sz w:val="20"/>
        </w:rPr>
        <w:sectPr w:rsidR="00164D6E">
          <w:footerReference w:type="default" r:id="rId118"/>
          <w:pgSz w:w="12240" w:h="15840"/>
          <w:pgMar w:top="1080" w:right="1040" w:bottom="700" w:left="1040" w:header="0" w:footer="513" w:gutter="0"/>
          <w:cols w:space="720"/>
        </w:sectPr>
      </w:pPr>
    </w:p>
    <w:p w:rsidR="00164D6E" w:rsidRDefault="002A6B35">
      <w:pPr>
        <w:pStyle w:val="BodyText"/>
        <w:spacing w:before="74" w:line="261" w:lineRule="auto"/>
        <w:ind w:left="112" w:right="784"/>
        <w:rPr>
          <w:sz w:val="14"/>
        </w:rPr>
      </w:pPr>
      <w:r>
        <w:lastRenderedPageBreak/>
        <w:t>percent. Similarly, another study found that between 2007 and 2012, the greatest percentage drop in opioid-prescribing rates across specialties occurred in emergency medicine (–8.9%).</w:t>
      </w:r>
      <w:hyperlink w:anchor="_bookmark2" w:history="1">
        <w:r>
          <w:rPr>
            <w:position w:val="9"/>
            <w:sz w:val="14"/>
          </w:rPr>
          <w:t>3</w:t>
        </w:r>
      </w:hyperlink>
    </w:p>
    <w:p w:rsidR="00164D6E" w:rsidRDefault="00164D6E">
      <w:pPr>
        <w:pStyle w:val="BodyText"/>
        <w:spacing w:before="5"/>
        <w:rPr>
          <w:sz w:val="26"/>
        </w:rPr>
      </w:pPr>
    </w:p>
    <w:p w:rsidR="00164D6E" w:rsidRDefault="002A6B35">
      <w:pPr>
        <w:pStyle w:val="BodyText"/>
        <w:spacing w:line="264" w:lineRule="auto"/>
        <w:ind w:left="111" w:right="143"/>
      </w:pPr>
      <w:r>
        <w:t>We also strongly believe that CMS should</w:t>
      </w:r>
      <w:r>
        <w:t xml:space="preserve"> not finalize a supply limit that is less than 7 days. There are many cases where a prescription is ordered by an emergency physician on a Friday before a holiday weekend, and the patient is unable to obtain follow-up care with an appropriate specialist un</w:t>
      </w:r>
      <w:r>
        <w:t xml:space="preserve">til the following week. For example, if a patient is seen in the Emergency Department for a limb fracture at the beginning of a holiday weekend, it could easily be up to five days until the patient is able to get in to see an orthopedist who can stabilize </w:t>
      </w:r>
      <w:r>
        <w:t>and fully set the fracture, and, if needed and appropriate, provide a prescription for additional opioids. While 7 days is generally an acceptable limit, we also note that in some extreme situations, such as natural disasters, a 7-day supply may be insuffi</w:t>
      </w:r>
      <w:r>
        <w:t>cient. ACEP recommends that CMS consider allowing a longer supply limit in certain exceptional circumstances.</w:t>
      </w:r>
    </w:p>
    <w:p w:rsidR="00164D6E" w:rsidRDefault="00164D6E">
      <w:pPr>
        <w:pStyle w:val="BodyText"/>
        <w:spacing w:before="5"/>
        <w:rPr>
          <w:sz w:val="26"/>
        </w:rPr>
      </w:pPr>
    </w:p>
    <w:p w:rsidR="00164D6E" w:rsidRDefault="002A6B35">
      <w:pPr>
        <w:pStyle w:val="Heading1"/>
      </w:pPr>
      <w:r>
        <w:t>Access to Medication-Assisted Treatment</w:t>
      </w:r>
    </w:p>
    <w:p w:rsidR="00164D6E" w:rsidRDefault="002A6B35">
      <w:pPr>
        <w:pStyle w:val="BodyText"/>
        <w:spacing w:before="147" w:line="264" w:lineRule="auto"/>
        <w:ind w:left="112" w:right="106"/>
        <w:jc w:val="both"/>
      </w:pPr>
      <w:r>
        <w:t>ACEP strongly supports CMS’ proposal to work with plan sponsors to ensure that Medicare beneficiaries hav</w:t>
      </w:r>
      <w:r>
        <w:t>e appropriate access to medication-assisted treatment (MAT). CMS should continue to encourage plans to establish benefit designs that would allow beneficiaries to have full access to these therapies.</w:t>
      </w:r>
    </w:p>
    <w:p w:rsidR="00164D6E" w:rsidRDefault="00164D6E">
      <w:pPr>
        <w:pStyle w:val="BodyText"/>
        <w:spacing w:before="5"/>
        <w:rPr>
          <w:sz w:val="26"/>
        </w:rPr>
      </w:pPr>
    </w:p>
    <w:p w:rsidR="00164D6E" w:rsidRDefault="002A6B35">
      <w:pPr>
        <w:pStyle w:val="Heading1"/>
        <w:spacing w:line="261" w:lineRule="auto"/>
        <w:ind w:left="111" w:right="194"/>
        <w:jc w:val="left"/>
      </w:pPr>
      <w:r>
        <w:t>Voluntary and Mandatory Maximum out-of-pocket (MOOP) Am</w:t>
      </w:r>
      <w:r>
        <w:t>ounts for Emergency Care/Post Stabilization Care</w:t>
      </w:r>
    </w:p>
    <w:p w:rsidR="00164D6E" w:rsidRDefault="002A6B35">
      <w:pPr>
        <w:pStyle w:val="BodyText"/>
        <w:spacing w:before="123" w:line="264" w:lineRule="auto"/>
        <w:ind w:left="111" w:right="107"/>
        <w:jc w:val="both"/>
      </w:pPr>
      <w:r>
        <w:t>CMS</w:t>
      </w:r>
      <w:r>
        <w:rPr>
          <w:spacing w:val="-5"/>
        </w:rPr>
        <w:t xml:space="preserve"> </w:t>
      </w:r>
      <w:r>
        <w:t>is</w:t>
      </w:r>
      <w:r>
        <w:rPr>
          <w:spacing w:val="-6"/>
        </w:rPr>
        <w:t xml:space="preserve"> </w:t>
      </w:r>
      <w:r>
        <w:t>proposing</w:t>
      </w:r>
      <w:r>
        <w:rPr>
          <w:spacing w:val="-4"/>
        </w:rPr>
        <w:t xml:space="preserve"> </w:t>
      </w:r>
      <w:r>
        <w:t>to</w:t>
      </w:r>
      <w:r>
        <w:rPr>
          <w:spacing w:val="-5"/>
        </w:rPr>
        <w:t xml:space="preserve"> </w:t>
      </w:r>
      <w:r>
        <w:t>increase</w:t>
      </w:r>
      <w:r>
        <w:rPr>
          <w:spacing w:val="-4"/>
        </w:rPr>
        <w:t xml:space="preserve"> </w:t>
      </w:r>
      <w:r>
        <w:t>the</w:t>
      </w:r>
      <w:r>
        <w:rPr>
          <w:spacing w:val="-4"/>
        </w:rPr>
        <w:t xml:space="preserve"> </w:t>
      </w:r>
      <w:r>
        <w:t>Emergency</w:t>
      </w:r>
      <w:r>
        <w:rPr>
          <w:spacing w:val="-4"/>
        </w:rPr>
        <w:t xml:space="preserve"> </w:t>
      </w:r>
      <w:r>
        <w:t>Care/Post</w:t>
      </w:r>
      <w:r>
        <w:rPr>
          <w:spacing w:val="-5"/>
        </w:rPr>
        <w:t xml:space="preserve"> </w:t>
      </w:r>
      <w:r>
        <w:t>Stabilization</w:t>
      </w:r>
      <w:r>
        <w:rPr>
          <w:spacing w:val="-5"/>
        </w:rPr>
        <w:t xml:space="preserve"> </w:t>
      </w:r>
      <w:r>
        <w:t>Care</w:t>
      </w:r>
      <w:r>
        <w:rPr>
          <w:spacing w:val="-4"/>
        </w:rPr>
        <w:t xml:space="preserve"> </w:t>
      </w:r>
      <w:r>
        <w:t>limit</w:t>
      </w:r>
      <w:r>
        <w:rPr>
          <w:spacing w:val="-5"/>
        </w:rPr>
        <w:t xml:space="preserve"> </w:t>
      </w:r>
      <w:r>
        <w:t>in</w:t>
      </w:r>
      <w:r>
        <w:rPr>
          <w:spacing w:val="-5"/>
        </w:rPr>
        <w:t xml:space="preserve"> </w:t>
      </w:r>
      <w:r>
        <w:t>CY</w:t>
      </w:r>
      <w:r>
        <w:rPr>
          <w:spacing w:val="-4"/>
        </w:rPr>
        <w:t xml:space="preserve"> </w:t>
      </w:r>
      <w:r>
        <w:t>2019</w:t>
      </w:r>
      <w:r>
        <w:rPr>
          <w:spacing w:val="-5"/>
        </w:rPr>
        <w:t xml:space="preserve"> </w:t>
      </w:r>
      <w:r>
        <w:t>to</w:t>
      </w:r>
      <w:r>
        <w:rPr>
          <w:spacing w:val="-5"/>
        </w:rPr>
        <w:t xml:space="preserve"> </w:t>
      </w:r>
      <w:r>
        <w:t>“better</w:t>
      </w:r>
      <w:r>
        <w:rPr>
          <w:spacing w:val="-6"/>
        </w:rPr>
        <w:t xml:space="preserve"> </w:t>
      </w:r>
      <w:r>
        <w:t>align cost sharing with actual costs and as an incentive to use primary and specialty care services for rou</w:t>
      </w:r>
      <w:r>
        <w:t>tine care and avoid using the emergency room for non-emergent routine services.” The voluntary Maximum out-of- pocket (MOOP) amount would increase from $100 to $120, while the mandatory MOOP amount would increase from $80 to $90. CMS also increased both th</w:t>
      </w:r>
      <w:r>
        <w:t>e voluntary and mandatory MOOP amounts for Emergency</w:t>
      </w:r>
      <w:r>
        <w:rPr>
          <w:spacing w:val="-5"/>
        </w:rPr>
        <w:t xml:space="preserve"> </w:t>
      </w:r>
      <w:r>
        <w:t>Care/Post</w:t>
      </w:r>
      <w:r>
        <w:rPr>
          <w:spacing w:val="-5"/>
        </w:rPr>
        <w:t xml:space="preserve"> </w:t>
      </w:r>
      <w:r>
        <w:t>Stabilization</w:t>
      </w:r>
      <w:r>
        <w:rPr>
          <w:spacing w:val="-6"/>
        </w:rPr>
        <w:t xml:space="preserve"> </w:t>
      </w:r>
      <w:r>
        <w:t>Care</w:t>
      </w:r>
      <w:r>
        <w:rPr>
          <w:spacing w:val="-5"/>
        </w:rPr>
        <w:t xml:space="preserve"> </w:t>
      </w:r>
      <w:r>
        <w:t>in</w:t>
      </w:r>
      <w:r>
        <w:rPr>
          <w:spacing w:val="-5"/>
        </w:rPr>
        <w:t xml:space="preserve"> </w:t>
      </w:r>
      <w:r>
        <w:t>2018</w:t>
      </w:r>
      <w:r>
        <w:rPr>
          <w:spacing w:val="-4"/>
        </w:rPr>
        <w:t xml:space="preserve"> </w:t>
      </w:r>
      <w:r>
        <w:t>(these</w:t>
      </w:r>
      <w:r>
        <w:rPr>
          <w:spacing w:val="-4"/>
        </w:rPr>
        <w:t xml:space="preserve"> </w:t>
      </w:r>
      <w:r>
        <w:t>amounts</w:t>
      </w:r>
      <w:r>
        <w:rPr>
          <w:spacing w:val="-5"/>
        </w:rPr>
        <w:t xml:space="preserve"> </w:t>
      </w:r>
      <w:r>
        <w:t>were</w:t>
      </w:r>
      <w:r>
        <w:rPr>
          <w:spacing w:val="-5"/>
        </w:rPr>
        <w:t xml:space="preserve"> </w:t>
      </w:r>
      <w:r>
        <w:t>both</w:t>
      </w:r>
      <w:r>
        <w:rPr>
          <w:spacing w:val="-5"/>
        </w:rPr>
        <w:t xml:space="preserve"> </w:t>
      </w:r>
      <w:r>
        <w:t>$75</w:t>
      </w:r>
      <w:r>
        <w:rPr>
          <w:spacing w:val="-4"/>
        </w:rPr>
        <w:t xml:space="preserve"> </w:t>
      </w:r>
      <w:r>
        <w:t>in</w:t>
      </w:r>
      <w:r>
        <w:rPr>
          <w:spacing w:val="-5"/>
        </w:rPr>
        <w:t xml:space="preserve"> </w:t>
      </w:r>
      <w:r>
        <w:t>2017).</w:t>
      </w:r>
      <w:r>
        <w:rPr>
          <w:spacing w:val="-4"/>
        </w:rPr>
        <w:t xml:space="preserve"> </w:t>
      </w:r>
      <w:r>
        <w:t>Thus,</w:t>
      </w:r>
      <w:r>
        <w:rPr>
          <w:spacing w:val="-4"/>
        </w:rPr>
        <w:t xml:space="preserve"> </w:t>
      </w:r>
      <w:r>
        <w:t>over</w:t>
      </w:r>
      <w:r>
        <w:rPr>
          <w:spacing w:val="-7"/>
        </w:rPr>
        <w:t xml:space="preserve"> </w:t>
      </w:r>
      <w:r>
        <w:t>a</w:t>
      </w:r>
      <w:r>
        <w:rPr>
          <w:spacing w:val="-4"/>
        </w:rPr>
        <w:t xml:space="preserve"> </w:t>
      </w:r>
      <w:r>
        <w:t>two- year period, CMS would be increasing the voluntary and mandatory MOOP amounts by 60 percent and 20 percent respectively. ACEP believes that CMS is unfairly penalizing Medicare beneficiaries who receive emergency</w:t>
      </w:r>
      <w:r>
        <w:rPr>
          <w:spacing w:val="-8"/>
        </w:rPr>
        <w:t xml:space="preserve"> </w:t>
      </w:r>
      <w:r>
        <w:t>services.</w:t>
      </w:r>
      <w:r>
        <w:rPr>
          <w:spacing w:val="-9"/>
        </w:rPr>
        <w:t xml:space="preserve"> </w:t>
      </w:r>
      <w:r>
        <w:t>Recent</w:t>
      </w:r>
      <w:r>
        <w:rPr>
          <w:spacing w:val="-10"/>
        </w:rPr>
        <w:t xml:space="preserve"> </w:t>
      </w:r>
      <w:r>
        <w:t>studies</w:t>
      </w:r>
      <w:r>
        <w:rPr>
          <w:spacing w:val="-10"/>
        </w:rPr>
        <w:t xml:space="preserve"> </w:t>
      </w:r>
      <w:r>
        <w:t>have</w:t>
      </w:r>
      <w:r>
        <w:rPr>
          <w:spacing w:val="-8"/>
        </w:rPr>
        <w:t xml:space="preserve"> </w:t>
      </w:r>
      <w:r>
        <w:t>shown</w:t>
      </w:r>
      <w:r>
        <w:rPr>
          <w:spacing w:val="-9"/>
        </w:rPr>
        <w:t xml:space="preserve"> </w:t>
      </w:r>
      <w:r>
        <w:t>tha</w:t>
      </w:r>
      <w:r>
        <w:t>t</w:t>
      </w:r>
      <w:r>
        <w:rPr>
          <w:spacing w:val="-10"/>
        </w:rPr>
        <w:t xml:space="preserve"> </w:t>
      </w:r>
      <w:r>
        <w:t>only</w:t>
      </w:r>
      <w:r>
        <w:rPr>
          <w:spacing w:val="-8"/>
        </w:rPr>
        <w:t xml:space="preserve"> </w:t>
      </w:r>
      <w:r>
        <w:t>a</w:t>
      </w:r>
      <w:r>
        <w:rPr>
          <w:spacing w:val="-8"/>
        </w:rPr>
        <w:t xml:space="preserve"> </w:t>
      </w:r>
      <w:r>
        <w:t>small</w:t>
      </w:r>
      <w:r>
        <w:rPr>
          <w:spacing w:val="-9"/>
        </w:rPr>
        <w:t xml:space="preserve"> </w:t>
      </w:r>
      <w:r>
        <w:t>percentage</w:t>
      </w:r>
      <w:r>
        <w:rPr>
          <w:spacing w:val="-8"/>
        </w:rPr>
        <w:t xml:space="preserve"> </w:t>
      </w:r>
      <w:r>
        <w:t>of</w:t>
      </w:r>
      <w:r>
        <w:rPr>
          <w:spacing w:val="-12"/>
        </w:rPr>
        <w:t xml:space="preserve"> </w:t>
      </w:r>
      <w:r>
        <w:t>emergency</w:t>
      </w:r>
      <w:r>
        <w:rPr>
          <w:spacing w:val="-8"/>
        </w:rPr>
        <w:t xml:space="preserve"> </w:t>
      </w:r>
      <w:r>
        <w:t>department</w:t>
      </w:r>
      <w:r>
        <w:rPr>
          <w:spacing w:val="-10"/>
        </w:rPr>
        <w:t xml:space="preserve"> </w:t>
      </w:r>
      <w:r>
        <w:t>visits are</w:t>
      </w:r>
      <w:r>
        <w:rPr>
          <w:spacing w:val="-10"/>
        </w:rPr>
        <w:t xml:space="preserve"> </w:t>
      </w:r>
      <w:r>
        <w:t>avoidable.</w:t>
      </w:r>
      <w:hyperlink w:anchor="_bookmark3" w:history="1">
        <w:r>
          <w:rPr>
            <w:position w:val="9"/>
            <w:sz w:val="14"/>
          </w:rPr>
          <w:t>4</w:t>
        </w:r>
      </w:hyperlink>
      <w:r>
        <w:rPr>
          <w:spacing w:val="10"/>
          <w:position w:val="9"/>
          <w:sz w:val="14"/>
        </w:rPr>
        <w:t xml:space="preserve"> </w:t>
      </w:r>
      <w:r>
        <w:t>In</w:t>
      </w:r>
      <w:r>
        <w:rPr>
          <w:spacing w:val="-11"/>
        </w:rPr>
        <w:t xml:space="preserve"> </w:t>
      </w:r>
      <w:r>
        <w:t>many</w:t>
      </w:r>
      <w:r>
        <w:rPr>
          <w:spacing w:val="-10"/>
        </w:rPr>
        <w:t xml:space="preserve"> </w:t>
      </w:r>
      <w:r>
        <w:t>cases,</w:t>
      </w:r>
      <w:r>
        <w:rPr>
          <w:spacing w:val="-10"/>
        </w:rPr>
        <w:t xml:space="preserve"> </w:t>
      </w:r>
      <w:r>
        <w:t>Medicare</w:t>
      </w:r>
      <w:r>
        <w:rPr>
          <w:spacing w:val="-10"/>
        </w:rPr>
        <w:t xml:space="preserve"> </w:t>
      </w:r>
      <w:r>
        <w:t>beneficiaries</w:t>
      </w:r>
      <w:r>
        <w:rPr>
          <w:spacing w:val="-14"/>
        </w:rPr>
        <w:t xml:space="preserve"> </w:t>
      </w:r>
      <w:r>
        <w:t>cannot</w:t>
      </w:r>
      <w:r>
        <w:rPr>
          <w:spacing w:val="-11"/>
        </w:rPr>
        <w:t xml:space="preserve"> </w:t>
      </w:r>
      <w:r>
        <w:t>tell</w:t>
      </w:r>
      <w:r>
        <w:rPr>
          <w:spacing w:val="-13"/>
        </w:rPr>
        <w:t xml:space="preserve"> </w:t>
      </w:r>
      <w:r>
        <w:t>whether</w:t>
      </w:r>
      <w:r>
        <w:rPr>
          <w:spacing w:val="-12"/>
        </w:rPr>
        <w:t xml:space="preserve"> </w:t>
      </w:r>
      <w:r>
        <w:t>their</w:t>
      </w:r>
      <w:r>
        <w:rPr>
          <w:spacing w:val="-14"/>
        </w:rPr>
        <w:t xml:space="preserve"> </w:t>
      </w:r>
      <w:r>
        <w:t>pain</w:t>
      </w:r>
      <w:r>
        <w:rPr>
          <w:spacing w:val="-11"/>
        </w:rPr>
        <w:t xml:space="preserve"> </w:t>
      </w:r>
      <w:r>
        <w:t>is</w:t>
      </w:r>
      <w:r>
        <w:rPr>
          <w:spacing w:val="-12"/>
        </w:rPr>
        <w:t xml:space="preserve"> </w:t>
      </w:r>
      <w:r>
        <w:t>life</w:t>
      </w:r>
      <w:r>
        <w:rPr>
          <w:spacing w:val="-10"/>
        </w:rPr>
        <w:t xml:space="preserve"> </w:t>
      </w:r>
      <w:r>
        <w:t>threatening</w:t>
      </w:r>
      <w:r>
        <w:rPr>
          <w:spacing w:val="-10"/>
        </w:rPr>
        <w:t xml:space="preserve"> </w:t>
      </w:r>
      <w:r>
        <w:t>or</w:t>
      </w:r>
      <w:r>
        <w:rPr>
          <w:spacing w:val="-14"/>
        </w:rPr>
        <w:t xml:space="preserve"> </w:t>
      </w:r>
      <w:r>
        <w:t xml:space="preserve">not. Regardless of the final diagnosis, if they believe that </w:t>
      </w:r>
      <w:r>
        <w:t>they are having a medical emergency, they are entitled to go to the emergency department and be treated. Continuing to increase co-payments may have the undesirable outcome of deterring some beneficiaries from going to the emergency department even when th</w:t>
      </w:r>
      <w:r>
        <w:t>ey truly need immediate care. Thus, ACEP strongly urges CMS not to finalize the increase in the MOOP amounts</w:t>
      </w:r>
      <w:r>
        <w:rPr>
          <w:spacing w:val="-6"/>
        </w:rPr>
        <w:t xml:space="preserve"> </w:t>
      </w:r>
      <w:r>
        <w:t>and</w:t>
      </w:r>
      <w:r>
        <w:rPr>
          <w:spacing w:val="-4"/>
        </w:rPr>
        <w:t xml:space="preserve"> </w:t>
      </w:r>
      <w:r>
        <w:t>to</w:t>
      </w:r>
      <w:r>
        <w:rPr>
          <w:spacing w:val="-5"/>
        </w:rPr>
        <w:t xml:space="preserve"> </w:t>
      </w:r>
      <w:r>
        <w:t>maintain</w:t>
      </w:r>
      <w:r>
        <w:rPr>
          <w:spacing w:val="-5"/>
        </w:rPr>
        <w:t xml:space="preserve"> </w:t>
      </w:r>
      <w:r>
        <w:t>the</w:t>
      </w:r>
      <w:r>
        <w:rPr>
          <w:spacing w:val="-4"/>
        </w:rPr>
        <w:t xml:space="preserve"> </w:t>
      </w:r>
      <w:r>
        <w:t>2018</w:t>
      </w:r>
      <w:r>
        <w:rPr>
          <w:spacing w:val="-4"/>
        </w:rPr>
        <w:t xml:space="preserve"> </w:t>
      </w:r>
      <w:r>
        <w:t>Emergency</w:t>
      </w:r>
      <w:r>
        <w:rPr>
          <w:spacing w:val="-6"/>
        </w:rPr>
        <w:t xml:space="preserve"> </w:t>
      </w:r>
      <w:r>
        <w:t>Care/Post</w:t>
      </w:r>
      <w:r>
        <w:rPr>
          <w:spacing w:val="-5"/>
        </w:rPr>
        <w:t xml:space="preserve"> </w:t>
      </w:r>
      <w:r>
        <w:t>Stabilization</w:t>
      </w:r>
      <w:r>
        <w:rPr>
          <w:spacing w:val="-5"/>
        </w:rPr>
        <w:t xml:space="preserve"> </w:t>
      </w:r>
      <w:r>
        <w:t>Care</w:t>
      </w:r>
      <w:r>
        <w:rPr>
          <w:spacing w:val="-4"/>
        </w:rPr>
        <w:t xml:space="preserve"> </w:t>
      </w:r>
      <w:r>
        <w:t>limits.</w:t>
      </w:r>
    </w:p>
    <w:p w:rsidR="00164D6E" w:rsidRDefault="00164D6E">
      <w:pPr>
        <w:pStyle w:val="BodyText"/>
        <w:spacing w:before="3"/>
        <w:rPr>
          <w:sz w:val="26"/>
        </w:rPr>
      </w:pPr>
    </w:p>
    <w:p w:rsidR="00164D6E" w:rsidRDefault="002A6B35">
      <w:pPr>
        <w:pStyle w:val="Heading1"/>
      </w:pPr>
      <w:r>
        <w:t>Enforcement Actions for Provider Directories</w:t>
      </w:r>
    </w:p>
    <w:p w:rsidR="00164D6E" w:rsidRDefault="002A6B35">
      <w:pPr>
        <w:pStyle w:val="BodyText"/>
        <w:spacing w:before="147" w:line="264" w:lineRule="auto"/>
        <w:ind w:left="112"/>
      </w:pPr>
      <w:r>
        <w:t>CMS is imposing civil monetary penalties and other enforcement actions on Medicare Advantage Organizations (MAOs) that do not comply with provider directory requirements. A 2017 survey from CMS</w:t>
      </w:r>
    </w:p>
    <w:p w:rsidR="00164D6E" w:rsidRDefault="002A6B35">
      <w:pPr>
        <w:pStyle w:val="BodyText"/>
        <w:spacing w:before="9"/>
        <w:rPr>
          <w:sz w:val="13"/>
        </w:rPr>
      </w:pPr>
      <w:r>
        <w:pict>
          <v:line id="_x0000_s1027" style="position:absolute;z-index:1360;mso-wrap-distance-left:0;mso-wrap-distance-right:0;mso-position-horizontal-relative:page" from="57.6pt,10.05pt" to="201.6pt,10.05pt" strokeweight=".6pt">
            <w10:wrap type="topAndBottom" anchorx="page"/>
          </v:line>
        </w:pict>
      </w:r>
    </w:p>
    <w:p w:rsidR="00164D6E" w:rsidRDefault="002A6B35">
      <w:pPr>
        <w:spacing w:before="70"/>
        <w:ind w:left="112" w:right="260" w:hanging="1"/>
        <w:rPr>
          <w:rFonts w:ascii="Calibri" w:hAnsi="Calibri"/>
          <w:sz w:val="20"/>
        </w:rPr>
      </w:pPr>
      <w:bookmarkStart w:id="2" w:name="_bookmark2"/>
      <w:bookmarkEnd w:id="2"/>
      <w:r>
        <w:rPr>
          <w:rFonts w:ascii="Calibri" w:hAnsi="Calibri"/>
          <w:position w:val="7"/>
          <w:sz w:val="13"/>
        </w:rPr>
        <w:t xml:space="preserve">3 </w:t>
      </w:r>
      <w:r>
        <w:rPr>
          <w:rFonts w:ascii="Calibri" w:hAnsi="Calibri"/>
          <w:sz w:val="20"/>
        </w:rPr>
        <w:t xml:space="preserve">“Trends in Opioid Analgesic–Prescribing Rates by Specialty, U.S., 2007–2012.” Levy, Benjamin et al. </w:t>
      </w:r>
      <w:r>
        <w:rPr>
          <w:rFonts w:ascii="Calibri" w:hAnsi="Calibri"/>
          <w:i/>
          <w:sz w:val="20"/>
        </w:rPr>
        <w:t>American Journal of Preventive Medicine</w:t>
      </w:r>
      <w:r>
        <w:rPr>
          <w:rFonts w:ascii="Calibri" w:hAnsi="Calibri"/>
          <w:sz w:val="20"/>
        </w:rPr>
        <w:t xml:space="preserve">, Volume 49 , Issue 3, 409-413; Available at </w:t>
      </w:r>
      <w:hyperlink r:id="rId119">
        <w:r>
          <w:rPr>
            <w:rFonts w:ascii="Calibri" w:hAnsi="Calibri"/>
            <w:sz w:val="20"/>
          </w:rPr>
          <w:t>http://www.a</w:t>
        </w:r>
        <w:r>
          <w:rPr>
            <w:rFonts w:ascii="Calibri" w:hAnsi="Calibri"/>
            <w:sz w:val="20"/>
          </w:rPr>
          <w:t>jpmonline.org/article/S0749-</w:t>
        </w:r>
      </w:hyperlink>
      <w:r>
        <w:rPr>
          <w:rFonts w:ascii="Calibri" w:hAnsi="Calibri"/>
          <w:sz w:val="20"/>
        </w:rPr>
        <w:t xml:space="preserve"> 3797(15)00089-6/ppt</w:t>
      </w:r>
    </w:p>
    <w:p w:rsidR="00164D6E" w:rsidRDefault="002A6B35">
      <w:pPr>
        <w:spacing w:before="55"/>
        <w:ind w:left="112" w:right="219" w:hanging="1"/>
        <w:rPr>
          <w:rFonts w:ascii="Calibri" w:hAnsi="Calibri"/>
          <w:sz w:val="20"/>
        </w:rPr>
      </w:pPr>
      <w:bookmarkStart w:id="3" w:name="_bookmark3"/>
      <w:bookmarkEnd w:id="3"/>
      <w:r>
        <w:rPr>
          <w:rFonts w:ascii="Calibri" w:hAnsi="Calibri"/>
          <w:position w:val="7"/>
          <w:sz w:val="13"/>
        </w:rPr>
        <w:t xml:space="preserve">4 </w:t>
      </w:r>
      <w:r>
        <w:rPr>
          <w:rFonts w:ascii="Calibri" w:hAnsi="Calibri"/>
          <w:sz w:val="20"/>
        </w:rPr>
        <w:t xml:space="preserve">“Avoidable Emergency Department Visits: A Starting Point.” </w:t>
      </w:r>
      <w:r>
        <w:rPr>
          <w:rFonts w:ascii="Calibri" w:hAnsi="Calibri"/>
          <w:i/>
          <w:sz w:val="20"/>
        </w:rPr>
        <w:t>International Journal for Quality in Health Care</w:t>
      </w:r>
      <w:r>
        <w:rPr>
          <w:rFonts w:ascii="Calibri" w:hAnsi="Calibri"/>
          <w:sz w:val="20"/>
        </w:rPr>
        <w:t xml:space="preserve">, Volume 29, Issue 5, 1 October 2017, Pages 642–645; Available at </w:t>
      </w:r>
      <w:hyperlink r:id="rId120">
        <w:r>
          <w:rPr>
            <w:rFonts w:ascii="Calibri" w:hAnsi="Calibri"/>
            <w:color w:val="0000FF"/>
            <w:sz w:val="20"/>
            <w:u w:val="single" w:color="0000FF"/>
          </w:rPr>
          <w:t>https://doi.org/10.1093/intqhc/mzx081</w:t>
        </w:r>
      </w:hyperlink>
    </w:p>
    <w:p w:rsidR="00164D6E" w:rsidRDefault="00164D6E">
      <w:pPr>
        <w:rPr>
          <w:rFonts w:ascii="Calibri" w:hAnsi="Calibri"/>
          <w:sz w:val="20"/>
        </w:rPr>
        <w:sectPr w:rsidR="00164D6E">
          <w:footerReference w:type="default" r:id="rId121"/>
          <w:pgSz w:w="12240" w:h="15840"/>
          <w:pgMar w:top="1080" w:right="1040" w:bottom="700" w:left="1040" w:header="0" w:footer="513" w:gutter="0"/>
          <w:pgNumType w:start="3"/>
          <w:cols w:space="720"/>
        </w:sectPr>
      </w:pPr>
    </w:p>
    <w:p w:rsidR="00164D6E" w:rsidRDefault="002A6B35">
      <w:pPr>
        <w:pStyle w:val="BodyText"/>
        <w:spacing w:before="74" w:line="264" w:lineRule="auto"/>
        <w:ind w:left="112" w:right="107"/>
        <w:jc w:val="both"/>
      </w:pPr>
      <w:bookmarkStart w:id="4" w:name="_GoBack"/>
      <w:r>
        <w:lastRenderedPageBreak/>
        <w:t>showed</w:t>
      </w:r>
      <w:r>
        <w:rPr>
          <w:spacing w:val="-18"/>
        </w:rPr>
        <w:t xml:space="preserve"> </w:t>
      </w:r>
      <w:r>
        <w:t>that</w:t>
      </w:r>
      <w:r>
        <w:rPr>
          <w:spacing w:val="-18"/>
        </w:rPr>
        <w:t xml:space="preserve"> </w:t>
      </w:r>
      <w:r>
        <w:t>over</w:t>
      </w:r>
      <w:r>
        <w:rPr>
          <w:spacing w:val="-19"/>
        </w:rPr>
        <w:t xml:space="preserve"> </w:t>
      </w:r>
      <w:r>
        <w:t>45</w:t>
      </w:r>
      <w:r>
        <w:rPr>
          <w:spacing w:val="-18"/>
        </w:rPr>
        <w:t xml:space="preserve"> </w:t>
      </w:r>
      <w:r>
        <w:t>percent</w:t>
      </w:r>
      <w:r>
        <w:rPr>
          <w:spacing w:val="-18"/>
        </w:rPr>
        <w:t xml:space="preserve"> </w:t>
      </w:r>
      <w:r>
        <w:t>of</w:t>
      </w:r>
      <w:r>
        <w:rPr>
          <w:spacing w:val="-19"/>
        </w:rPr>
        <w:t xml:space="preserve"> </w:t>
      </w:r>
      <w:r>
        <w:t>provider</w:t>
      </w:r>
      <w:r>
        <w:rPr>
          <w:spacing w:val="-19"/>
        </w:rPr>
        <w:t xml:space="preserve"> </w:t>
      </w:r>
      <w:r>
        <w:t>directory</w:t>
      </w:r>
      <w:r>
        <w:rPr>
          <w:spacing w:val="-17"/>
        </w:rPr>
        <w:t xml:space="preserve"> </w:t>
      </w:r>
      <w:r>
        <w:t>locations</w:t>
      </w:r>
      <w:r>
        <w:rPr>
          <w:spacing w:val="-19"/>
        </w:rPr>
        <w:t xml:space="preserve"> </w:t>
      </w:r>
      <w:r>
        <w:t>listed</w:t>
      </w:r>
      <w:r>
        <w:rPr>
          <w:spacing w:val="-18"/>
        </w:rPr>
        <w:t xml:space="preserve"> </w:t>
      </w:r>
      <w:r>
        <w:t>in</w:t>
      </w:r>
      <w:r>
        <w:rPr>
          <w:spacing w:val="-18"/>
        </w:rPr>
        <w:t xml:space="preserve"> </w:t>
      </w:r>
      <w:r>
        <w:t>MAO</w:t>
      </w:r>
      <w:r>
        <w:rPr>
          <w:spacing w:val="-18"/>
        </w:rPr>
        <w:t xml:space="preserve"> </w:t>
      </w:r>
      <w:r>
        <w:t>online</w:t>
      </w:r>
      <w:r>
        <w:rPr>
          <w:spacing w:val="-17"/>
        </w:rPr>
        <w:t xml:space="preserve"> </w:t>
      </w:r>
      <w:r>
        <w:t>directories</w:t>
      </w:r>
      <w:r>
        <w:rPr>
          <w:spacing w:val="-19"/>
        </w:rPr>
        <w:t xml:space="preserve"> </w:t>
      </w:r>
      <w:r>
        <w:t>were</w:t>
      </w:r>
      <w:r>
        <w:rPr>
          <w:spacing w:val="-17"/>
        </w:rPr>
        <w:t xml:space="preserve"> </w:t>
      </w:r>
      <w:r>
        <w:t>inaccurate. ACEP</w:t>
      </w:r>
      <w:r>
        <w:rPr>
          <w:spacing w:val="-18"/>
        </w:rPr>
        <w:t xml:space="preserve"> </w:t>
      </w:r>
      <w:r>
        <w:t>agrees</w:t>
      </w:r>
      <w:r>
        <w:rPr>
          <w:spacing w:val="-19"/>
        </w:rPr>
        <w:t xml:space="preserve"> </w:t>
      </w:r>
      <w:r>
        <w:t>with</w:t>
      </w:r>
      <w:r>
        <w:rPr>
          <w:spacing w:val="-16"/>
        </w:rPr>
        <w:t xml:space="preserve"> </w:t>
      </w:r>
      <w:r>
        <w:t>CMS</w:t>
      </w:r>
      <w:r>
        <w:rPr>
          <w:spacing w:val="-18"/>
        </w:rPr>
        <w:t xml:space="preserve"> </w:t>
      </w:r>
      <w:r>
        <w:t>that</w:t>
      </w:r>
      <w:r>
        <w:rPr>
          <w:spacing w:val="-16"/>
        </w:rPr>
        <w:t xml:space="preserve"> </w:t>
      </w:r>
      <w:r>
        <w:t>inaccurate</w:t>
      </w:r>
      <w:r>
        <w:rPr>
          <w:spacing w:val="-17"/>
        </w:rPr>
        <w:t xml:space="preserve"> </w:t>
      </w:r>
      <w:r>
        <w:t>provider</w:t>
      </w:r>
      <w:r>
        <w:rPr>
          <w:spacing w:val="-16"/>
        </w:rPr>
        <w:t xml:space="preserve"> </w:t>
      </w:r>
      <w:r>
        <w:t>directories</w:t>
      </w:r>
      <w:r>
        <w:rPr>
          <w:spacing w:val="-17"/>
        </w:rPr>
        <w:t xml:space="preserve"> </w:t>
      </w:r>
      <w:r>
        <w:t>can</w:t>
      </w:r>
      <w:r>
        <w:rPr>
          <w:spacing w:val="-16"/>
        </w:rPr>
        <w:t xml:space="preserve"> </w:t>
      </w:r>
      <w:r>
        <w:t>bring</w:t>
      </w:r>
      <w:r>
        <w:rPr>
          <w:spacing w:val="-17"/>
        </w:rPr>
        <w:t xml:space="preserve"> </w:t>
      </w:r>
      <w:r>
        <w:t>into</w:t>
      </w:r>
      <w:r>
        <w:rPr>
          <w:spacing w:val="-16"/>
        </w:rPr>
        <w:t xml:space="preserve"> </w:t>
      </w:r>
      <w:r>
        <w:t>question</w:t>
      </w:r>
      <w:r>
        <w:rPr>
          <w:spacing w:val="-15"/>
        </w:rPr>
        <w:t xml:space="preserve"> </w:t>
      </w:r>
      <w:r>
        <w:t>the</w:t>
      </w:r>
      <w:r>
        <w:rPr>
          <w:spacing w:val="-15"/>
        </w:rPr>
        <w:t xml:space="preserve"> </w:t>
      </w:r>
      <w:r>
        <w:t>adequacy</w:t>
      </w:r>
      <w:r>
        <w:rPr>
          <w:spacing w:val="-17"/>
        </w:rPr>
        <w:t xml:space="preserve"> </w:t>
      </w:r>
      <w:r>
        <w:t>and</w:t>
      </w:r>
      <w:r>
        <w:rPr>
          <w:spacing w:val="-15"/>
        </w:rPr>
        <w:t xml:space="preserve"> </w:t>
      </w:r>
      <w:r>
        <w:t>validity of</w:t>
      </w:r>
      <w:r>
        <w:rPr>
          <w:spacing w:val="-4"/>
        </w:rPr>
        <w:t xml:space="preserve"> </w:t>
      </w:r>
      <w:r>
        <w:t>an</w:t>
      </w:r>
      <w:r>
        <w:rPr>
          <w:spacing w:val="-4"/>
        </w:rPr>
        <w:t xml:space="preserve"> </w:t>
      </w:r>
      <w:r>
        <w:t>MAO</w:t>
      </w:r>
      <w:r>
        <w:rPr>
          <w:spacing w:val="-4"/>
        </w:rPr>
        <w:t xml:space="preserve"> </w:t>
      </w:r>
      <w:r>
        <w:t>network.</w:t>
      </w:r>
      <w:r>
        <w:rPr>
          <w:spacing w:val="-3"/>
        </w:rPr>
        <w:t xml:space="preserve"> </w:t>
      </w:r>
      <w:r>
        <w:t>When</w:t>
      </w:r>
      <w:r>
        <w:rPr>
          <w:spacing w:val="-4"/>
        </w:rPr>
        <w:t xml:space="preserve"> </w:t>
      </w:r>
      <w:r>
        <w:t>individuals</w:t>
      </w:r>
      <w:r>
        <w:rPr>
          <w:spacing w:val="-5"/>
        </w:rPr>
        <w:t xml:space="preserve"> </w:t>
      </w:r>
      <w:r>
        <w:t>enroll</w:t>
      </w:r>
      <w:r>
        <w:rPr>
          <w:spacing w:val="-6"/>
        </w:rPr>
        <w:t xml:space="preserve"> </w:t>
      </w:r>
      <w:r>
        <w:t>in</w:t>
      </w:r>
      <w:r>
        <w:rPr>
          <w:spacing w:val="-4"/>
        </w:rPr>
        <w:t xml:space="preserve"> </w:t>
      </w:r>
      <w:r>
        <w:t>Medicare</w:t>
      </w:r>
      <w:r>
        <w:rPr>
          <w:spacing w:val="-5"/>
        </w:rPr>
        <w:t xml:space="preserve"> </w:t>
      </w:r>
      <w:r>
        <w:t>Advantage</w:t>
      </w:r>
      <w:r>
        <w:rPr>
          <w:spacing w:val="-3"/>
        </w:rPr>
        <w:t xml:space="preserve"> </w:t>
      </w:r>
      <w:r>
        <w:t>plans,</w:t>
      </w:r>
      <w:r>
        <w:rPr>
          <w:spacing w:val="-3"/>
        </w:rPr>
        <w:t xml:space="preserve"> </w:t>
      </w:r>
      <w:r>
        <w:t>they</w:t>
      </w:r>
      <w:r>
        <w:rPr>
          <w:spacing w:val="-3"/>
        </w:rPr>
        <w:t xml:space="preserve"> </w:t>
      </w:r>
      <w:r>
        <w:t>have</w:t>
      </w:r>
      <w:r>
        <w:rPr>
          <w:spacing w:val="-3"/>
        </w:rPr>
        <w:t xml:space="preserve"> </w:t>
      </w:r>
      <w:r>
        <w:t>every</w:t>
      </w:r>
      <w:r>
        <w:rPr>
          <w:spacing w:val="-3"/>
        </w:rPr>
        <w:t xml:space="preserve"> </w:t>
      </w:r>
      <w:r>
        <w:t>right</w:t>
      </w:r>
      <w:r>
        <w:rPr>
          <w:spacing w:val="-4"/>
        </w:rPr>
        <w:t xml:space="preserve"> </w:t>
      </w:r>
      <w:r>
        <w:t>to</w:t>
      </w:r>
      <w:r>
        <w:rPr>
          <w:spacing w:val="-4"/>
        </w:rPr>
        <w:t xml:space="preserve"> </w:t>
      </w:r>
      <w:r>
        <w:t xml:space="preserve">expect that network adequacy criteria and standards for clinical and institutional providers will be monitored and enforced. Maintaining adequate networks is essential to ensuring that patients have access to the care they need. Therefore, we support CMS’ </w:t>
      </w:r>
      <w:r>
        <w:t>continued effort to improve the accuracy of the provider directories, as well as other initiatives that enforce strong network adequacy</w:t>
      </w:r>
      <w:r>
        <w:rPr>
          <w:spacing w:val="-39"/>
        </w:rPr>
        <w:t xml:space="preserve"> </w:t>
      </w:r>
      <w:r>
        <w:t>requirements.</w:t>
      </w:r>
    </w:p>
    <w:p w:rsidR="00164D6E" w:rsidRDefault="00164D6E">
      <w:pPr>
        <w:pStyle w:val="BodyText"/>
        <w:spacing w:before="2"/>
        <w:rPr>
          <w:sz w:val="35"/>
        </w:rPr>
      </w:pPr>
    </w:p>
    <w:p w:rsidR="00164D6E" w:rsidRDefault="002A6B35">
      <w:pPr>
        <w:pStyle w:val="Heading1"/>
        <w:spacing w:before="1"/>
      </w:pPr>
      <w:r>
        <w:t>Medicare Advantage and Part D Prescription Drug Plan Quality Rating System</w:t>
      </w:r>
    </w:p>
    <w:p w:rsidR="00164D6E" w:rsidRDefault="002A6B35">
      <w:pPr>
        <w:pStyle w:val="BodyText"/>
        <w:spacing w:before="147" w:line="264" w:lineRule="auto"/>
        <w:ind w:left="112" w:right="108"/>
        <w:jc w:val="both"/>
      </w:pPr>
      <w:r>
        <w:t>In the CY 2019 Medicare Advant</w:t>
      </w:r>
      <w:r>
        <w:t>age, Medicare Cost Plan, Medicare Fee-for-Service, the Medicare Prescription Drug Benefit Programs, and the PACE Program proposed rule, CMS sought comment on whether the agency should include survey measures of physician experiences in setting Star Ratings</w:t>
      </w:r>
      <w:r>
        <w:t>, noting that</w:t>
      </w:r>
      <w:r>
        <w:rPr>
          <w:spacing w:val="-13"/>
        </w:rPr>
        <w:t xml:space="preserve"> </w:t>
      </w:r>
      <w:r>
        <w:t>physicians</w:t>
      </w:r>
      <w:r>
        <w:rPr>
          <w:spacing w:val="-14"/>
        </w:rPr>
        <w:t xml:space="preserve"> </w:t>
      </w:r>
      <w:r>
        <w:t>also</w:t>
      </w:r>
      <w:r>
        <w:rPr>
          <w:spacing w:val="-13"/>
        </w:rPr>
        <w:t xml:space="preserve"> </w:t>
      </w:r>
      <w:r>
        <w:t>interact</w:t>
      </w:r>
      <w:r>
        <w:rPr>
          <w:spacing w:val="-13"/>
        </w:rPr>
        <w:t xml:space="preserve"> </w:t>
      </w:r>
      <w:r>
        <w:t>with</w:t>
      </w:r>
      <w:r>
        <w:rPr>
          <w:spacing w:val="-13"/>
        </w:rPr>
        <w:t xml:space="preserve"> </w:t>
      </w:r>
      <w:r>
        <w:t>health</w:t>
      </w:r>
      <w:r>
        <w:rPr>
          <w:spacing w:val="-16"/>
        </w:rPr>
        <w:t xml:space="preserve"> </w:t>
      </w:r>
      <w:r>
        <w:t>and</w:t>
      </w:r>
      <w:r>
        <w:rPr>
          <w:spacing w:val="-13"/>
        </w:rPr>
        <w:t xml:space="preserve"> </w:t>
      </w:r>
      <w:r>
        <w:t>drug</w:t>
      </w:r>
      <w:r>
        <w:rPr>
          <w:spacing w:val="-13"/>
        </w:rPr>
        <w:t xml:space="preserve"> </w:t>
      </w:r>
      <w:r>
        <w:t>plans</w:t>
      </w:r>
      <w:r>
        <w:rPr>
          <w:spacing w:val="-14"/>
        </w:rPr>
        <w:t xml:space="preserve"> </w:t>
      </w:r>
      <w:r>
        <w:t>on</w:t>
      </w:r>
      <w:r>
        <w:rPr>
          <w:spacing w:val="-13"/>
        </w:rPr>
        <w:t xml:space="preserve"> </w:t>
      </w:r>
      <w:r>
        <w:t>a</w:t>
      </w:r>
      <w:r>
        <w:rPr>
          <w:spacing w:val="-12"/>
        </w:rPr>
        <w:t xml:space="preserve"> </w:t>
      </w:r>
      <w:r>
        <w:t>daily</w:t>
      </w:r>
      <w:r>
        <w:rPr>
          <w:spacing w:val="-12"/>
        </w:rPr>
        <w:t xml:space="preserve"> </w:t>
      </w:r>
      <w:r>
        <w:t>basis</w:t>
      </w:r>
      <w:r>
        <w:rPr>
          <w:spacing w:val="-14"/>
        </w:rPr>
        <w:t xml:space="preserve"> </w:t>
      </w:r>
      <w:r>
        <w:t>on</w:t>
      </w:r>
      <w:r>
        <w:rPr>
          <w:spacing w:val="-13"/>
        </w:rPr>
        <w:t xml:space="preserve"> </w:t>
      </w:r>
      <w:r>
        <w:t>behalf</w:t>
      </w:r>
      <w:r>
        <w:rPr>
          <w:spacing w:val="-14"/>
        </w:rPr>
        <w:t xml:space="preserve"> </w:t>
      </w:r>
      <w:r>
        <w:t>of</w:t>
      </w:r>
      <w:r>
        <w:rPr>
          <w:spacing w:val="-14"/>
        </w:rPr>
        <w:t xml:space="preserve"> </w:t>
      </w:r>
      <w:r>
        <w:t>their</w:t>
      </w:r>
      <w:r>
        <w:rPr>
          <w:spacing w:val="-14"/>
        </w:rPr>
        <w:t xml:space="preserve"> </w:t>
      </w:r>
      <w:r>
        <w:t>patients.</w:t>
      </w:r>
      <w:r>
        <w:rPr>
          <w:spacing w:val="-13"/>
        </w:rPr>
        <w:t xml:space="preserve"> </w:t>
      </w:r>
      <w:r>
        <w:t>In</w:t>
      </w:r>
      <w:r>
        <w:rPr>
          <w:spacing w:val="-13"/>
        </w:rPr>
        <w:t xml:space="preserve"> </w:t>
      </w:r>
      <w:r>
        <w:t>ACEP’s formal comments on the rule</w:t>
      </w:r>
      <w:hyperlink w:anchor="_bookmark4" w:history="1">
        <w:r>
          <w:rPr>
            <w:position w:val="9"/>
            <w:sz w:val="14"/>
          </w:rPr>
          <w:t>5</w:t>
        </w:r>
      </w:hyperlink>
      <w:r>
        <w:t>, ACEP expressed support for CMS developing a survey tool for collecting sta</w:t>
      </w:r>
      <w:r>
        <w:t>ndardized</w:t>
      </w:r>
      <w:r>
        <w:rPr>
          <w:spacing w:val="-4"/>
        </w:rPr>
        <w:t xml:space="preserve"> </w:t>
      </w:r>
      <w:r>
        <w:t>information</w:t>
      </w:r>
      <w:r>
        <w:rPr>
          <w:spacing w:val="-4"/>
        </w:rPr>
        <w:t xml:space="preserve"> </w:t>
      </w:r>
      <w:r>
        <w:t>on</w:t>
      </w:r>
      <w:r>
        <w:rPr>
          <w:spacing w:val="-4"/>
        </w:rPr>
        <w:t xml:space="preserve"> </w:t>
      </w:r>
      <w:r>
        <w:t>physicians’</w:t>
      </w:r>
      <w:r>
        <w:rPr>
          <w:spacing w:val="-4"/>
        </w:rPr>
        <w:t xml:space="preserve"> </w:t>
      </w:r>
      <w:r>
        <w:t>experiences</w:t>
      </w:r>
      <w:r>
        <w:rPr>
          <w:spacing w:val="-7"/>
        </w:rPr>
        <w:t xml:space="preserve"> </w:t>
      </w:r>
      <w:r>
        <w:t>with</w:t>
      </w:r>
      <w:r>
        <w:rPr>
          <w:spacing w:val="-5"/>
        </w:rPr>
        <w:t xml:space="preserve"> </w:t>
      </w:r>
      <w:r>
        <w:t>health</w:t>
      </w:r>
      <w:r>
        <w:rPr>
          <w:spacing w:val="-6"/>
        </w:rPr>
        <w:t xml:space="preserve"> </w:t>
      </w:r>
      <w:r>
        <w:t>and</w:t>
      </w:r>
      <w:r>
        <w:rPr>
          <w:spacing w:val="-4"/>
        </w:rPr>
        <w:t xml:space="preserve"> </w:t>
      </w:r>
      <w:r>
        <w:t>drug</w:t>
      </w:r>
      <w:r>
        <w:rPr>
          <w:spacing w:val="-4"/>
        </w:rPr>
        <w:t xml:space="preserve"> </w:t>
      </w:r>
      <w:r>
        <w:t>plans</w:t>
      </w:r>
      <w:r>
        <w:rPr>
          <w:spacing w:val="-6"/>
        </w:rPr>
        <w:t xml:space="preserve"> </w:t>
      </w:r>
      <w:r>
        <w:t>and</w:t>
      </w:r>
      <w:r>
        <w:rPr>
          <w:spacing w:val="-4"/>
        </w:rPr>
        <w:t xml:space="preserve"> </w:t>
      </w:r>
      <w:r>
        <w:t>their</w:t>
      </w:r>
      <w:r>
        <w:rPr>
          <w:spacing w:val="-5"/>
        </w:rPr>
        <w:t xml:space="preserve"> </w:t>
      </w:r>
      <w:r>
        <w:t>services.</w:t>
      </w:r>
      <w:r>
        <w:rPr>
          <w:spacing w:val="-4"/>
        </w:rPr>
        <w:t xml:space="preserve"> </w:t>
      </w:r>
      <w:r>
        <w:t>We</w:t>
      </w:r>
      <w:r>
        <w:rPr>
          <w:spacing w:val="-4"/>
        </w:rPr>
        <w:t xml:space="preserve"> </w:t>
      </w:r>
      <w:r>
        <w:t>note that CMS did not propose in the draft Call Letter to potentially incorporate survey measures related to physician experience into the Star Ratings for 2</w:t>
      </w:r>
      <w:r>
        <w:t>020 or later, and encourage CMS to continue exploring the development of these</w:t>
      </w:r>
      <w:r>
        <w:rPr>
          <w:spacing w:val="-19"/>
        </w:rPr>
        <w:t xml:space="preserve"> </w:t>
      </w:r>
      <w:r>
        <w:t>measures.</w:t>
      </w:r>
    </w:p>
    <w:p w:rsidR="00164D6E" w:rsidRDefault="00164D6E">
      <w:pPr>
        <w:pStyle w:val="BodyText"/>
        <w:spacing w:before="2"/>
        <w:rPr>
          <w:sz w:val="26"/>
        </w:rPr>
      </w:pPr>
    </w:p>
    <w:p w:rsidR="00164D6E" w:rsidRDefault="002A6B35">
      <w:pPr>
        <w:pStyle w:val="BodyText"/>
        <w:spacing w:line="264" w:lineRule="auto"/>
        <w:ind w:left="111" w:right="107"/>
        <w:jc w:val="both"/>
      </w:pPr>
      <w:r>
        <w:t xml:space="preserve">We appreciate the opportunity to share our comments and look forward to continuing working with you and your staff. If you have any questions, please contact Jeffrey Davis, ACEP’s Director of Regulatory Affairs at </w:t>
      </w:r>
      <w:hyperlink r:id="rId122">
        <w:r>
          <w:rPr>
            <w:color w:val="0000FF"/>
            <w:u w:val="single" w:color="0000FF"/>
          </w:rPr>
          <w:t>jdavis@acep.org</w:t>
        </w:r>
        <w:r>
          <w:t>.</w:t>
        </w:r>
      </w:hyperlink>
    </w:p>
    <w:p w:rsidR="00164D6E" w:rsidRDefault="00164D6E">
      <w:pPr>
        <w:pStyle w:val="BodyText"/>
        <w:spacing w:before="3"/>
        <w:rPr>
          <w:sz w:val="17"/>
        </w:rPr>
      </w:pPr>
    </w:p>
    <w:p w:rsidR="00164D6E" w:rsidRDefault="002A6B35">
      <w:pPr>
        <w:pStyle w:val="BodyText"/>
        <w:spacing w:before="101"/>
        <w:ind w:left="112"/>
      </w:pPr>
      <w:r>
        <w:t>Sincerely,</w:t>
      </w:r>
    </w:p>
    <w:p w:rsidR="00164D6E" w:rsidRDefault="002A6B35">
      <w:pPr>
        <w:pStyle w:val="BodyText"/>
        <w:spacing w:before="5"/>
        <w:rPr>
          <w:sz w:val="20"/>
        </w:rPr>
      </w:pPr>
      <w:r>
        <w:rPr>
          <w:noProof/>
        </w:rPr>
        <w:drawing>
          <wp:anchor distT="0" distB="0" distL="0" distR="0" simplePos="0" relativeHeight="1384" behindDoc="0" locked="0" layoutInCell="1" allowOverlap="1">
            <wp:simplePos x="0" y="0"/>
            <wp:positionH relativeFrom="page">
              <wp:posOffset>731520</wp:posOffset>
            </wp:positionH>
            <wp:positionV relativeFrom="paragraph">
              <wp:posOffset>170937</wp:posOffset>
            </wp:positionV>
            <wp:extent cx="2058493" cy="509206"/>
            <wp:effectExtent l="0" t="0" r="0" b="0"/>
            <wp:wrapTopAndBottom/>
            <wp:docPr id="7" name="image112.png" descr="cid:50C4D833-19C6-44DD-B0EC-71AFADC4A32F@acepnat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2.png"/>
                    <pic:cNvPicPr/>
                  </pic:nvPicPr>
                  <pic:blipFill>
                    <a:blip r:embed="rId123" cstate="print"/>
                    <a:stretch>
                      <a:fillRect/>
                    </a:stretch>
                  </pic:blipFill>
                  <pic:spPr>
                    <a:xfrm>
                      <a:off x="0" y="0"/>
                      <a:ext cx="2058493" cy="509206"/>
                    </a:xfrm>
                    <a:prstGeom prst="rect">
                      <a:avLst/>
                    </a:prstGeom>
                  </pic:spPr>
                </pic:pic>
              </a:graphicData>
            </a:graphic>
          </wp:anchor>
        </w:drawing>
      </w:r>
    </w:p>
    <w:p w:rsidR="00164D6E" w:rsidRDefault="002A6B35">
      <w:pPr>
        <w:pStyle w:val="BodyText"/>
        <w:ind w:left="111" w:right="6693"/>
      </w:pPr>
      <w:r>
        <w:t>Paul D. Kivela, MD, MBA, FACEP ACEP President</w:t>
      </w: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164D6E">
      <w:pPr>
        <w:pStyle w:val="BodyText"/>
        <w:rPr>
          <w:sz w:val="20"/>
        </w:rPr>
      </w:pPr>
    </w:p>
    <w:p w:rsidR="00164D6E" w:rsidRDefault="002A6B35">
      <w:pPr>
        <w:pStyle w:val="BodyText"/>
        <w:spacing w:before="4"/>
        <w:rPr>
          <w:sz w:val="28"/>
        </w:rPr>
      </w:pPr>
      <w:r>
        <w:pict>
          <v:line id="_x0000_s1026" style="position:absolute;z-index:1408;mso-wrap-distance-left:0;mso-wrap-distance-right:0;mso-position-horizontal-relative:page" from="57.6pt,18.25pt" to="201.6pt,18.25pt" strokeweight=".21131mm">
            <w10:wrap type="topAndBottom" anchorx="page"/>
          </v:line>
        </w:pict>
      </w:r>
    </w:p>
    <w:p w:rsidR="00164D6E" w:rsidRDefault="002A6B35">
      <w:pPr>
        <w:spacing w:before="70"/>
        <w:ind w:left="112" w:right="255"/>
        <w:rPr>
          <w:rFonts w:ascii="Calibri"/>
          <w:sz w:val="20"/>
        </w:rPr>
      </w:pPr>
      <w:bookmarkStart w:id="5" w:name="_bookmark4"/>
      <w:bookmarkEnd w:id="5"/>
      <w:r>
        <w:rPr>
          <w:rFonts w:ascii="Calibri"/>
          <w:position w:val="7"/>
          <w:sz w:val="13"/>
        </w:rPr>
        <w:t xml:space="preserve">5 </w:t>
      </w:r>
      <w:r>
        <w:rPr>
          <w:rFonts w:ascii="Calibri"/>
          <w:sz w:val="20"/>
        </w:rPr>
        <w:t xml:space="preserve">ACEP Response to 2019 Medicare Advantage and Part D Proposed Rule; Available at </w:t>
      </w:r>
      <w:hyperlink r:id="rId124">
        <w:r>
          <w:rPr>
            <w:rFonts w:ascii="Calibri"/>
            <w:color w:val="0000FF"/>
            <w:sz w:val="20"/>
            <w:u w:val="single" w:color="0000FF"/>
          </w:rPr>
          <w:t>https://www.acep.org/Legislation-</w:t>
        </w:r>
      </w:hyperlink>
      <w:r>
        <w:rPr>
          <w:rFonts w:ascii="Calibri"/>
          <w:color w:val="0000FF"/>
          <w:sz w:val="20"/>
          <w:u w:val="single" w:color="0000FF"/>
        </w:rPr>
        <w:t xml:space="preserve"> </w:t>
      </w:r>
      <w:hyperlink r:id="rId125">
        <w:r>
          <w:rPr>
            <w:rFonts w:ascii="Calibri"/>
            <w:color w:val="0000FF"/>
            <w:sz w:val="20"/>
            <w:u w:val="single" w:color="0000FF"/>
          </w:rPr>
          <w:t>and-Advocacy/Regulatory/ACEP-Response-to-2019-Medicare-Advantage-and-Part-D-Proposed-Rule/</w:t>
        </w:r>
      </w:hyperlink>
      <w:bookmarkEnd w:id="4"/>
    </w:p>
    <w:sectPr w:rsidR="00164D6E">
      <w:pgSz w:w="12240" w:h="15840"/>
      <w:pgMar w:top="1080" w:right="1040" w:bottom="700" w:left="1040" w:header="0" w:footer="5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A6B35">
      <w:r>
        <w:separator/>
      </w:r>
    </w:p>
  </w:endnote>
  <w:endnote w:type="continuationSeparator" w:id="0">
    <w:p w:rsidR="00000000" w:rsidRDefault="002A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D6E" w:rsidRDefault="002A6B3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6.8pt;margin-top:755.35pt;width:8.65pt;height:16.1pt;z-index:-12040;mso-position-horizontal-relative:page;mso-position-vertical-relative:page" filled="f" stroked="f">
          <v:textbox inset="0,0,0,0">
            <w:txbxContent>
              <w:p w:rsidR="00164D6E" w:rsidRDefault="002A6B35">
                <w:pPr>
                  <w:pStyle w:val="BodyText"/>
                  <w:spacing w:before="20"/>
                  <w:ind w:left="20"/>
                  <w:rPr>
                    <w:rFonts w:ascii="Cambria"/>
                  </w:rPr>
                </w:pPr>
                <w:r>
                  <w:rPr>
                    <w:rFonts w:ascii="Cambria"/>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D6E" w:rsidRDefault="002A6B3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5.8pt;margin-top:755.35pt;width:10.65pt;height:16.1pt;z-index:-12016;mso-position-horizontal-relative:page;mso-position-vertical-relative:page" filled="f" stroked="f">
          <v:textbox inset="0,0,0,0">
            <w:txbxContent>
              <w:p w:rsidR="00164D6E" w:rsidRDefault="002A6B35">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A6B35">
      <w:r>
        <w:separator/>
      </w:r>
    </w:p>
  </w:footnote>
  <w:footnote w:type="continuationSeparator" w:id="0">
    <w:p w:rsidR="00000000" w:rsidRDefault="002A6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64D6E"/>
    <w:rsid w:val="00164D6E"/>
    <w:rsid w:val="002A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085E3EC-F127-443E-BE81-F916C1F5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12"/>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www.annemergmed.com/article/S0196-0644(17)31969-8/fulltext" TargetMode="Externa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1.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13" Type="http://schemas.openxmlformats.org/officeDocument/2006/relationships/image" Target="media/image108.png"/><Relationship Id="rId118" Type="http://schemas.openxmlformats.org/officeDocument/2006/relationships/footer" Target="footer1.xml"/><Relationship Id="rId12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image" Target="media/image103.png"/><Relationship Id="rId116" Type="http://schemas.openxmlformats.org/officeDocument/2006/relationships/hyperlink" Target="http://dx.doi.org/10.15585/mmwr.rr6501e1" TargetMode="External"/><Relationship Id="rId124" Type="http://schemas.openxmlformats.org/officeDocument/2006/relationships/hyperlink" Target="https://www.acep.org/Legislation-and-Advocacy/Regulatory/ACEP-Response-to-2019-Medicare-Advantage-and-Part-D-Proposed-Rule/"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6.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hyperlink" Target="http://www.ajpmonline.org/article/S0749-" TargetMode="External"/><Relationship Id="rId12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hyperlink" Target="mailto:jdavis@acep.org"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hyperlink" Target="https://doi.org/10.1093/intqhc/mzx081" TargetMode="External"/><Relationship Id="rId125" Type="http://schemas.openxmlformats.org/officeDocument/2006/relationships/hyperlink" Target="https://www.acep.org/Legislation-and-Advocacy/Regulatory/ACEP-Response-to-2019-Medicare-Advantage-and-Part-D-Proposed-Rule/" TargetMode="Externa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1886</Words>
  <Characters>10604</Characters>
  <Application>Microsoft Office Word</Application>
  <DocSecurity>0</DocSecurity>
  <Lines>196</Lines>
  <Paragraphs>47</Paragraphs>
  <ScaleCrop>false</ScaleCrop>
  <Company>CMS</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Casey</dc:creator>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