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sz w:val="14"/>
        </w:rPr>
      </w:pPr>
    </w:p>
    <w:p>
      <w:pPr>
        <w:spacing w:after="0"/>
        <w:rPr>
          <w:sz w:val="14"/>
        </w:rPr>
        <w:sectPr>
          <w:type w:val="continuous"/>
          <w:pgSz w:w="12240" w:h="15840"/>
          <w:pgMar w:top="440" w:bottom="280" w:left="76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pPr>
    </w:p>
    <w:p>
      <w:pPr>
        <w:spacing w:line="144" w:lineRule="exact" w:before="1"/>
        <w:ind w:left="390" w:right="0" w:firstLine="0"/>
        <w:jc w:val="left"/>
        <w:rPr>
          <w:sz w:val="16"/>
        </w:rPr>
      </w:pPr>
      <w:r>
        <w:rPr/>
        <w:drawing>
          <wp:anchor distT="0" distB="0" distL="0" distR="0" allowOverlap="1" layoutInCell="1" locked="0" behindDoc="0" simplePos="0" relativeHeight="0">
            <wp:simplePos x="0" y="0"/>
            <wp:positionH relativeFrom="page">
              <wp:posOffset>755904</wp:posOffset>
            </wp:positionH>
            <wp:positionV relativeFrom="paragraph">
              <wp:posOffset>-1329600</wp:posOffset>
            </wp:positionV>
            <wp:extent cx="1036319" cy="130454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36319" cy="1304544"/>
                    </a:xfrm>
                    <a:prstGeom prst="rect">
                      <a:avLst/>
                    </a:prstGeom>
                  </pic:spPr>
                </pic:pic>
              </a:graphicData>
            </a:graphic>
          </wp:anchor>
        </w:drawing>
      </w:r>
      <w:r>
        <w:rPr>
          <w:color w:val="423F8E"/>
          <w:w w:val="105"/>
          <w:sz w:val="16"/>
        </w:rPr>
        <w:t>CHARLES D. BAKER</w:t>
      </w:r>
    </w:p>
    <w:p>
      <w:pPr>
        <w:spacing w:line="244" w:lineRule="auto" w:before="87"/>
        <w:ind w:left="66" w:right="2810" w:hanging="9"/>
        <w:jc w:val="center"/>
        <w:rPr>
          <w:sz w:val="30"/>
        </w:rPr>
      </w:pPr>
      <w:r>
        <w:rPr/>
        <w:br w:type="column"/>
      </w:r>
      <w:r>
        <w:rPr>
          <w:color w:val="21237C"/>
          <w:w w:val="110"/>
          <w:sz w:val="30"/>
        </w:rPr>
        <w:t>The Commonwealth of Massachusetts E</w:t>
      </w:r>
      <w:r>
        <w:rPr>
          <w:color w:val="423F8E"/>
          <w:w w:val="110"/>
          <w:sz w:val="30"/>
        </w:rPr>
        <w:t>x</w:t>
      </w:r>
      <w:r>
        <w:rPr>
          <w:color w:val="21237C"/>
          <w:w w:val="110"/>
          <w:sz w:val="30"/>
        </w:rPr>
        <w:t>ecutiveOffice of Health and Human Services Office of</w:t>
      </w:r>
      <w:r>
        <w:rPr>
          <w:color w:val="21237C"/>
          <w:spacing w:val="-53"/>
          <w:w w:val="110"/>
          <w:sz w:val="30"/>
        </w:rPr>
        <w:t> </w:t>
      </w:r>
      <w:r>
        <w:rPr>
          <w:color w:val="21237C"/>
          <w:w w:val="110"/>
          <w:sz w:val="30"/>
        </w:rPr>
        <w:t>Medicaid</w:t>
      </w:r>
    </w:p>
    <w:p>
      <w:pPr>
        <w:spacing w:line="247" w:lineRule="auto" w:before="0"/>
        <w:ind w:left="1172" w:right="3929" w:firstLine="0"/>
        <w:jc w:val="center"/>
        <w:rPr>
          <w:sz w:val="28"/>
        </w:rPr>
      </w:pPr>
      <w:r>
        <w:rPr/>
        <w:drawing>
          <wp:anchor distT="0" distB="0" distL="0" distR="0" allowOverlap="1" layoutInCell="1" locked="0" behindDoc="0" simplePos="0" relativeHeight="1048">
            <wp:simplePos x="0" y="0"/>
            <wp:positionH relativeFrom="page">
              <wp:posOffset>6291071</wp:posOffset>
            </wp:positionH>
            <wp:positionV relativeFrom="paragraph">
              <wp:posOffset>-461103</wp:posOffset>
            </wp:positionV>
            <wp:extent cx="1194816" cy="621791"/>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94816" cy="621791"/>
                    </a:xfrm>
                    <a:prstGeom prst="rect">
                      <a:avLst/>
                    </a:prstGeom>
                  </pic:spPr>
                </pic:pic>
              </a:graphicData>
            </a:graphic>
          </wp:anchor>
        </w:drawing>
      </w:r>
      <w:r>
        <w:rPr/>
        <w:pict>
          <v:shape style="position:absolute;margin-left:606.851196pt;margin-top:553.78302pt;width:.75pt;height:105.9pt;mso-position-horizontal-relative:page;mso-position-vertical-relative:paragraph;z-index:1144" coordorigin="12137,11076" coordsize="15,2118" path="m12137,1022l12137,-859m12151,63l12151,-1095e" filled="false" stroked="true" strokeweight=".702103pt" strokecolor="#d4d4d4">
            <v:path arrowok="t"/>
            <v:stroke dashstyle="solid"/>
            <w10:wrap type="none"/>
          </v:shape>
        </w:pict>
      </w:r>
      <w:r>
        <w:rPr>
          <w:color w:val="21237C"/>
          <w:w w:val="110"/>
          <w:sz w:val="28"/>
        </w:rPr>
        <w:t>One Ashburton Place</w:t>
      </w:r>
      <w:r>
        <w:rPr>
          <w:color w:val="423F8E"/>
          <w:w w:val="110"/>
          <w:sz w:val="28"/>
        </w:rPr>
        <w:t>, </w:t>
      </w:r>
      <w:r>
        <w:rPr>
          <w:color w:val="21237C"/>
          <w:w w:val="110"/>
          <w:sz w:val="28"/>
        </w:rPr>
        <w:t>Room 1109 Boston </w:t>
      </w:r>
      <w:r>
        <w:rPr>
          <w:color w:val="423F8E"/>
          <w:w w:val="110"/>
          <w:sz w:val="28"/>
        </w:rPr>
        <w:t>, </w:t>
      </w:r>
      <w:r>
        <w:rPr>
          <w:color w:val="21237C"/>
          <w:w w:val="110"/>
          <w:sz w:val="28"/>
        </w:rPr>
        <w:t>Massachusetts  0</w:t>
      </w:r>
      <w:r>
        <w:rPr>
          <w:color w:val="423F8E"/>
          <w:w w:val="110"/>
          <w:sz w:val="28"/>
        </w:rPr>
        <w:t>2</w:t>
      </w:r>
      <w:r>
        <w:rPr>
          <w:color w:val="21237C"/>
          <w:w w:val="110"/>
          <w:sz w:val="28"/>
        </w:rPr>
        <w:t>108</w:t>
      </w:r>
    </w:p>
    <w:p>
      <w:pPr>
        <w:spacing w:after="0" w:line="247" w:lineRule="auto"/>
        <w:jc w:val="center"/>
        <w:rPr>
          <w:sz w:val="28"/>
        </w:rPr>
        <w:sectPr>
          <w:type w:val="continuous"/>
          <w:pgSz w:w="12240" w:h="15840"/>
          <w:pgMar w:top="440" w:bottom="280" w:left="760" w:right="0"/>
          <w:cols w:num="2" w:equalWidth="0">
            <w:col w:w="2063" w:space="40"/>
            <w:col w:w="9377"/>
          </w:cols>
        </w:sectPr>
      </w:pPr>
    </w:p>
    <w:p>
      <w:pPr>
        <w:tabs>
          <w:tab w:pos="9169" w:val="left" w:leader="none"/>
        </w:tabs>
        <w:spacing w:line="202" w:lineRule="exact" w:before="0"/>
        <w:ind w:left="807" w:right="0" w:firstLine="0"/>
        <w:jc w:val="left"/>
        <w:rPr>
          <w:sz w:val="16"/>
        </w:rPr>
      </w:pPr>
      <w:r>
        <w:rPr>
          <w:color w:val="423F8E"/>
          <w:w w:val="105"/>
          <w:position w:val="-4"/>
          <w:sz w:val="16"/>
        </w:rPr>
        <w:t>Governor</w:t>
        <w:tab/>
      </w:r>
      <w:r>
        <w:rPr>
          <w:color w:val="423F8E"/>
          <w:sz w:val="16"/>
        </w:rPr>
        <w:t>DANIEL</w:t>
      </w:r>
      <w:r>
        <w:rPr>
          <w:color w:val="423F8E"/>
          <w:spacing w:val="5"/>
          <w:sz w:val="16"/>
        </w:rPr>
        <w:t> </w:t>
      </w:r>
      <w:r>
        <w:rPr>
          <w:color w:val="423F8E"/>
          <w:sz w:val="16"/>
        </w:rPr>
        <w:t>TSAI</w:t>
      </w:r>
    </w:p>
    <w:p>
      <w:pPr>
        <w:spacing w:line="159" w:lineRule="exact" w:before="0"/>
        <w:ind w:left="0" w:right="917" w:firstLine="0"/>
        <w:jc w:val="right"/>
        <w:rPr>
          <w:sz w:val="16"/>
        </w:rPr>
      </w:pPr>
      <w:r>
        <w:rPr>
          <w:color w:val="423F8E"/>
          <w:w w:val="120"/>
          <w:sz w:val="16"/>
        </w:rPr>
        <w:t>Assistant Secr</w:t>
      </w:r>
      <w:r>
        <w:rPr>
          <w:color w:val="5D599E"/>
          <w:w w:val="120"/>
          <w:sz w:val="16"/>
        </w:rPr>
        <w:t>e</w:t>
      </w:r>
      <w:r>
        <w:rPr>
          <w:color w:val="423F8E"/>
          <w:w w:val="120"/>
          <w:sz w:val="16"/>
        </w:rPr>
        <w:t>tary for</w:t>
      </w:r>
    </w:p>
    <w:p>
      <w:pPr>
        <w:spacing w:after="0" w:line="159" w:lineRule="exact"/>
        <w:jc w:val="right"/>
        <w:rPr>
          <w:sz w:val="16"/>
        </w:rPr>
        <w:sectPr>
          <w:type w:val="continuous"/>
          <w:pgSz w:w="12240" w:h="15840"/>
          <w:pgMar w:top="440" w:bottom="280" w:left="760" w:right="0"/>
        </w:sectPr>
      </w:pPr>
    </w:p>
    <w:p>
      <w:pPr>
        <w:spacing w:before="5"/>
        <w:ind w:left="364" w:right="0" w:firstLine="0"/>
        <w:jc w:val="center"/>
        <w:rPr>
          <w:sz w:val="16"/>
        </w:rPr>
      </w:pPr>
      <w:r>
        <w:rPr>
          <w:color w:val="423F8E"/>
          <w:sz w:val="16"/>
        </w:rPr>
        <w:t>KARYN E</w:t>
      </w:r>
      <w:r>
        <w:rPr>
          <w:color w:val="21237C"/>
          <w:sz w:val="16"/>
        </w:rPr>
        <w:t>. </w:t>
      </w:r>
      <w:r>
        <w:rPr>
          <w:color w:val="423F8E"/>
          <w:sz w:val="16"/>
        </w:rPr>
        <w:t>POLITO</w:t>
      </w:r>
    </w:p>
    <w:p>
      <w:pPr>
        <w:spacing w:before="0"/>
        <w:ind w:left="337" w:right="0" w:firstLine="0"/>
        <w:jc w:val="center"/>
        <w:rPr>
          <w:sz w:val="16"/>
        </w:rPr>
      </w:pPr>
      <w:r>
        <w:rPr>
          <w:color w:val="423F8E"/>
          <w:w w:val="105"/>
          <w:sz w:val="16"/>
        </w:rPr>
        <w:t>Li</w:t>
      </w:r>
      <w:r>
        <w:rPr>
          <w:color w:val="5D599E"/>
          <w:w w:val="105"/>
          <w:sz w:val="16"/>
        </w:rPr>
        <w:t>e</w:t>
      </w:r>
      <w:r>
        <w:rPr>
          <w:color w:val="423F8E"/>
          <w:w w:val="105"/>
          <w:sz w:val="16"/>
        </w:rPr>
        <w:t>u t</w:t>
      </w:r>
      <w:r>
        <w:rPr>
          <w:color w:val="5D599E"/>
          <w:w w:val="105"/>
          <w:sz w:val="16"/>
        </w:rPr>
        <w:t>e</w:t>
      </w:r>
      <w:r>
        <w:rPr>
          <w:color w:val="423F8E"/>
          <w:w w:val="105"/>
          <w:sz w:val="16"/>
        </w:rPr>
        <w:t>n an t Governor</w:t>
      </w:r>
    </w:p>
    <w:p>
      <w:pPr>
        <w:spacing w:before="151"/>
        <w:ind w:left="337" w:right="0" w:firstLine="0"/>
        <w:jc w:val="center"/>
        <w:rPr>
          <w:sz w:val="16"/>
        </w:rPr>
      </w:pPr>
      <w:r>
        <w:rPr>
          <w:color w:val="423F8E"/>
          <w:sz w:val="16"/>
        </w:rPr>
        <w:t>MARYLOU  SUDDERS</w:t>
      </w:r>
    </w:p>
    <w:p>
      <w:pPr>
        <w:spacing w:before="9"/>
        <w:ind w:left="314" w:right="0" w:firstLine="0"/>
        <w:jc w:val="center"/>
        <w:rPr>
          <w:sz w:val="16"/>
        </w:rPr>
      </w:pPr>
      <w:r>
        <w:rPr>
          <w:color w:val="423F8E"/>
          <w:w w:val="120"/>
          <w:sz w:val="16"/>
        </w:rPr>
        <w:t>Secretary</w:t>
      </w:r>
    </w:p>
    <w:p>
      <w:pPr>
        <w:spacing w:before="10"/>
        <w:ind w:left="196" w:right="785" w:firstLine="0"/>
        <w:jc w:val="center"/>
        <w:rPr>
          <w:sz w:val="16"/>
        </w:rPr>
      </w:pPr>
      <w:r>
        <w:rPr/>
        <w:br w:type="column"/>
      </w:r>
      <w:r>
        <w:rPr>
          <w:color w:val="423F8E"/>
          <w:sz w:val="16"/>
        </w:rPr>
        <w:t>Mas s H</w:t>
      </w:r>
      <w:r>
        <w:rPr>
          <w:color w:val="5D599E"/>
          <w:sz w:val="16"/>
        </w:rPr>
        <w:t>e</w:t>
      </w:r>
      <w:r>
        <w:rPr>
          <w:color w:val="423F8E"/>
          <w:sz w:val="16"/>
        </w:rPr>
        <w:t>al th</w:t>
      </w:r>
    </w:p>
    <w:p>
      <w:pPr>
        <w:pStyle w:val="BodyText"/>
        <w:spacing w:before="4"/>
        <w:rPr>
          <w:sz w:val="21"/>
        </w:rPr>
      </w:pPr>
    </w:p>
    <w:p>
      <w:pPr>
        <w:spacing w:before="1"/>
        <w:ind w:left="278" w:right="785" w:firstLine="0"/>
        <w:jc w:val="center"/>
        <w:rPr>
          <w:sz w:val="16"/>
        </w:rPr>
      </w:pPr>
      <w:r>
        <w:rPr>
          <w:color w:val="423F8E"/>
          <w:w w:val="110"/>
          <w:sz w:val="16"/>
        </w:rPr>
        <w:t>Tel</w:t>
      </w:r>
      <w:r>
        <w:rPr>
          <w:color w:val="6B6695"/>
          <w:w w:val="110"/>
          <w:sz w:val="16"/>
        </w:rPr>
        <w:t>:  </w:t>
      </w:r>
      <w:r>
        <w:rPr>
          <w:color w:val="423F8E"/>
          <w:w w:val="110"/>
          <w:sz w:val="16"/>
        </w:rPr>
        <w:t>(617)  573 </w:t>
      </w:r>
      <w:r>
        <w:rPr>
          <w:color w:val="5B5480"/>
          <w:w w:val="110"/>
          <w:sz w:val="16"/>
        </w:rPr>
        <w:t>-</w:t>
      </w:r>
      <w:r>
        <w:rPr>
          <w:color w:val="423F8E"/>
          <w:w w:val="110"/>
          <w:sz w:val="16"/>
        </w:rPr>
        <w:t>1600</w:t>
      </w:r>
    </w:p>
    <w:p>
      <w:pPr>
        <w:spacing w:before="5"/>
        <w:ind w:left="298" w:right="769" w:firstLine="0"/>
        <w:jc w:val="center"/>
        <w:rPr>
          <w:sz w:val="16"/>
        </w:rPr>
      </w:pPr>
      <w:r>
        <w:rPr>
          <w:color w:val="423F8E"/>
          <w:w w:val="110"/>
          <w:sz w:val="16"/>
        </w:rPr>
        <w:t>Fax</w:t>
      </w:r>
      <w:r>
        <w:rPr>
          <w:color w:val="5D599E"/>
          <w:w w:val="110"/>
          <w:sz w:val="16"/>
        </w:rPr>
        <w:t>: </w:t>
      </w:r>
      <w:r>
        <w:rPr>
          <w:color w:val="423F8E"/>
          <w:w w:val="110"/>
          <w:sz w:val="16"/>
        </w:rPr>
        <w:t>(617) 57</w:t>
      </w:r>
      <w:r>
        <w:rPr>
          <w:color w:val="5D599E"/>
          <w:w w:val="110"/>
          <w:sz w:val="16"/>
        </w:rPr>
        <w:t>3</w:t>
      </w:r>
      <w:r>
        <w:rPr>
          <w:color w:val="423F8E"/>
          <w:w w:val="110"/>
          <w:sz w:val="16"/>
        </w:rPr>
        <w:t>-189 1</w:t>
      </w:r>
    </w:p>
    <w:p>
      <w:pPr>
        <w:spacing w:before="5"/>
        <w:ind w:left="298" w:right="785" w:firstLine="0"/>
        <w:jc w:val="center"/>
        <w:rPr>
          <w:sz w:val="19"/>
        </w:rPr>
      </w:pPr>
      <w:r>
        <w:rPr/>
        <w:pict>
          <v:line style="position:absolute;mso-position-horizontal-relative:page;mso-position-vertical-relative:paragraph;z-index:1120" from="603.808777pt,72.696566pt" to="603.808777pt,11.482566pt" stroked="true" strokeweight=".702103pt" strokecolor="#d8d8d8">
            <v:stroke dashstyle="solid"/>
            <w10:wrap type="none"/>
          </v:line>
        </w:pict>
      </w:r>
      <w:hyperlink r:id="rId7">
        <w:r>
          <w:rPr>
            <w:color w:val="423F8E"/>
            <w:sz w:val="19"/>
          </w:rPr>
          <w:t>WWW.</w:t>
        </w:r>
      </w:hyperlink>
      <w:r>
        <w:rPr>
          <w:color w:val="423F8E"/>
          <w:sz w:val="19"/>
        </w:rPr>
        <w:t> mas s</w:t>
      </w:r>
      <w:r>
        <w:rPr>
          <w:color w:val="5D599E"/>
          <w:sz w:val="19"/>
        </w:rPr>
        <w:t>.</w:t>
      </w:r>
      <w:r>
        <w:rPr>
          <w:color w:val="423F8E"/>
          <w:sz w:val="19"/>
        </w:rPr>
        <w:t>gov/ eohhs</w:t>
      </w:r>
    </w:p>
    <w:p>
      <w:pPr>
        <w:spacing w:after="0"/>
        <w:jc w:val="center"/>
        <w:rPr>
          <w:sz w:val="19"/>
        </w:rPr>
        <w:sectPr>
          <w:type w:val="continuous"/>
          <w:pgSz w:w="12240" w:h="15840"/>
          <w:pgMar w:top="440" w:bottom="280" w:left="760" w:right="0"/>
          <w:cols w:num="2" w:equalWidth="0">
            <w:col w:w="1963" w:space="6457"/>
            <w:col w:w="3060"/>
          </w:cols>
        </w:sectPr>
      </w:pPr>
    </w:p>
    <w:p>
      <w:pPr>
        <w:pStyle w:val="BodyText"/>
        <w:rPr>
          <w:sz w:val="20"/>
        </w:rPr>
      </w:pPr>
    </w:p>
    <w:p>
      <w:pPr>
        <w:pStyle w:val="BodyText"/>
        <w:spacing w:before="209"/>
        <w:ind w:left="1043"/>
      </w:pPr>
      <w:r>
        <w:rPr>
          <w:color w:val="232323"/>
        </w:rPr>
        <w:t>March 5, 2018</w:t>
      </w:r>
    </w:p>
    <w:p>
      <w:pPr>
        <w:pStyle w:val="BodyText"/>
        <w:spacing w:before="3"/>
        <w:rPr>
          <w:sz w:val="24"/>
        </w:rPr>
      </w:pPr>
    </w:p>
    <w:p>
      <w:pPr>
        <w:pStyle w:val="BodyText"/>
        <w:ind w:left="1047"/>
      </w:pPr>
      <w:r>
        <w:rPr>
          <w:color w:val="232323"/>
        </w:rPr>
        <w:t>Demetrios Kouzoukas</w:t>
      </w:r>
    </w:p>
    <w:p>
      <w:pPr>
        <w:pStyle w:val="BodyText"/>
        <w:spacing w:line="249" w:lineRule="auto"/>
        <w:ind w:left="1047" w:right="3644"/>
      </w:pPr>
      <w:r>
        <w:rPr>
          <w:color w:val="232323"/>
        </w:rPr>
        <w:t>Principal Deputy Administrator and Director, Center for Medicare Centers for Medicare and Medicaid</w:t>
      </w:r>
      <w:r>
        <w:rPr>
          <w:color w:val="232323"/>
          <w:spacing w:val="50"/>
        </w:rPr>
        <w:t> </w:t>
      </w:r>
      <w:r>
        <w:rPr>
          <w:color w:val="232323"/>
        </w:rPr>
        <w:t>Services</w:t>
      </w:r>
    </w:p>
    <w:p>
      <w:pPr>
        <w:pStyle w:val="BodyText"/>
        <w:spacing w:before="4"/>
      </w:pPr>
    </w:p>
    <w:p>
      <w:pPr>
        <w:pStyle w:val="BodyText"/>
        <w:spacing w:line="252" w:lineRule="auto"/>
        <w:ind w:left="1047" w:right="5606" w:hanging="1"/>
      </w:pPr>
      <w:r>
        <w:rPr/>
        <w:pict>
          <v:group style="position:absolute;margin-left:598.059021pt;margin-top:-5.821686pt;width:4.25pt;height:289.1pt;mso-position-horizontal-relative:page;mso-position-vertical-relative:paragraph;z-index:1096" coordorigin="11961,-116" coordsize="85,5782">
            <v:line style="position:absolute" from="11966,5660" to="11966,3656" stroked="true" strokeweight=".468069pt" strokecolor="#cfcfcf">
              <v:stroke dashstyle="solid"/>
            </v:line>
            <v:line style="position:absolute" from="11985,4715" to="11985,2640" stroked="true" strokeweight=".702103pt" strokecolor="#cfcfcf">
              <v:stroke dashstyle="solid"/>
            </v:line>
            <v:shape style="position:absolute;left:12006;top:-429;width:36;height:3839" coordorigin="12006,-429" coordsize="36,3839" path="m12006,3727l12006,1448m12022,2786l12022,1425m12041,1576l12041,-111e" filled="false" stroked="true" strokeweight=".468069pt" strokecolor="#cfcfcf">
              <v:path arrowok="t"/>
              <v:stroke dashstyle="solid"/>
            </v:shape>
            <w10:wrap type="none"/>
          </v:group>
        </w:pict>
      </w:r>
      <w:r>
        <w:rPr>
          <w:color w:val="232323"/>
        </w:rPr>
        <w:t>Jennifer Wuggazer Lazio, F.S.A., M.A.A.A. Director</w:t>
      </w:r>
    </w:p>
    <w:p>
      <w:pPr>
        <w:pStyle w:val="BodyText"/>
        <w:spacing w:line="249" w:lineRule="auto"/>
        <w:ind w:left="1048" w:right="7176" w:hanging="1"/>
      </w:pPr>
      <w:r>
        <w:rPr>
          <w:color w:val="232323"/>
        </w:rPr>
        <w:t>Parts C &amp; D Actuarial Group Office of the Actuary</w:t>
      </w:r>
    </w:p>
    <w:p>
      <w:pPr>
        <w:pStyle w:val="BodyText"/>
        <w:rPr>
          <w:sz w:val="24"/>
        </w:rPr>
      </w:pPr>
    </w:p>
    <w:p>
      <w:pPr>
        <w:pStyle w:val="BodyText"/>
        <w:spacing w:before="8"/>
        <w:rPr>
          <w:sz w:val="22"/>
        </w:rPr>
      </w:pPr>
    </w:p>
    <w:p>
      <w:pPr>
        <w:pStyle w:val="BodyText"/>
        <w:spacing w:line="254" w:lineRule="auto"/>
        <w:ind w:left="1046" w:right="1213"/>
      </w:pPr>
      <w:r>
        <w:rPr>
          <w:color w:val="232323"/>
        </w:rPr>
        <w:t>RE: Comments on Advance Notice of Methodological Changes for Calendar Year (CY) 2019 for Medicare Advantage (MA) Capitation Rates, Part C and Part D Payment Policies and 2019 Call Letter</w:t>
      </w:r>
    </w:p>
    <w:p>
      <w:pPr>
        <w:pStyle w:val="BodyText"/>
        <w:spacing w:before="1"/>
        <w:rPr>
          <w:sz w:val="22"/>
        </w:rPr>
      </w:pPr>
    </w:p>
    <w:p>
      <w:pPr>
        <w:pStyle w:val="BodyText"/>
        <w:ind w:left="1047"/>
      </w:pPr>
      <w:r>
        <w:rPr>
          <w:color w:val="232323"/>
        </w:rPr>
        <w:t>Dear Mr. Kouzoukas and Ms. Lazio:</w:t>
      </w:r>
    </w:p>
    <w:p>
      <w:pPr>
        <w:pStyle w:val="BodyText"/>
        <w:spacing w:before="9"/>
      </w:pPr>
    </w:p>
    <w:p>
      <w:pPr>
        <w:pStyle w:val="BodyText"/>
        <w:spacing w:line="249" w:lineRule="auto"/>
        <w:ind w:left="1051" w:right="1213" w:firstLine="1"/>
      </w:pPr>
      <w:r>
        <w:rPr>
          <w:color w:val="232323"/>
        </w:rPr>
        <w:t>On behalf of the Office of Medicaid of the Executive Office of Health and Human Services (EOHHS), we appreciate the opportunity to provide comments on the Advance Notice and 2019 Call Letter, dated February 1, 2018.</w:t>
      </w:r>
    </w:p>
    <w:p>
      <w:pPr>
        <w:pStyle w:val="BodyText"/>
        <w:spacing w:before="10"/>
        <w:rPr>
          <w:sz w:val="22"/>
        </w:rPr>
      </w:pPr>
    </w:p>
    <w:p>
      <w:pPr>
        <w:pStyle w:val="BodyText"/>
        <w:spacing w:line="247" w:lineRule="auto"/>
        <w:ind w:left="1049" w:right="1456" w:firstLine="3"/>
      </w:pPr>
      <w:r>
        <w:rPr/>
        <w:pict>
          <v:shape style="position:absolute;margin-left:595.500610pt;margin-top:-467.680756pt;width:.85pt;height:126pt;mso-position-horizontal-relative:page;mso-position-vertical-relative:paragraph;z-index:1072" coordorigin="11910,-9354" coordsize="17,2520" path="m11910,3954l11910,2115m11926,3164l11926,1434e" filled="false" stroked="true" strokeweight=".702103pt" strokecolor="#cfcfcf">
            <v:path arrowok="t"/>
            <v:stroke dashstyle="solid"/>
            <w10:wrap type="none"/>
          </v:shape>
        </w:pict>
      </w:r>
      <w:r>
        <w:rPr>
          <w:color w:val="232323"/>
        </w:rPr>
        <w:t>MassHealth is the Massachusetts Medicaid and CHIP program.  MassHealth provides coverage   to approximately 312,000 individuals who also have Medicare (dual eligible members). While many of our dual eligible members receive both their Medicare and Medicaid services via fee for service, a growing number are served through managed integrated or coordinated delivery systems, including approximately 19,000 adults with disabilities in Medicare-Medicaid Plans (MMPs) under a Financial Alignment Demonstration (One Care), approximately 4,000 older  adults in Programs of All Inclusive Care for the Elderly (PACE), and approximately 54,000older adults in a Fully Integrated Dual Eligible Special Needs Plan (FIDE-SNP) model for members ages 65 and older (Senior Care</w:t>
      </w:r>
      <w:r>
        <w:rPr>
          <w:color w:val="232323"/>
          <w:spacing w:val="38"/>
        </w:rPr>
        <w:t> </w:t>
      </w:r>
      <w:r>
        <w:rPr>
          <w:color w:val="232323"/>
        </w:rPr>
        <w:t>Options-SCO).</w:t>
      </w:r>
    </w:p>
    <w:p>
      <w:pPr>
        <w:pStyle w:val="BodyText"/>
        <w:spacing w:before="6"/>
      </w:pPr>
    </w:p>
    <w:p>
      <w:pPr>
        <w:pStyle w:val="BodyText"/>
        <w:ind w:left="1050"/>
      </w:pPr>
      <w:r>
        <w:rPr>
          <w:color w:val="232323"/>
          <w:u w:val="single" w:color="000000"/>
        </w:rPr>
        <w:t>Improving Beneficiary Communications and Reducing Burden for Integrated   D-SNPs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spacing w:before="89"/>
        <w:ind w:left="101" w:right="0" w:firstLine="0"/>
        <w:jc w:val="left"/>
        <w:rPr>
          <w:rFonts w:ascii="Arial"/>
          <w:sz w:val="34"/>
        </w:rPr>
      </w:pPr>
      <w:r>
        <w:rPr>
          <w:rFonts w:ascii="Arial"/>
          <w:color w:val="423F8E"/>
          <w:w w:val="100"/>
          <w:sz w:val="34"/>
        </w:rPr>
        <w:t>0</w:t>
      </w:r>
    </w:p>
    <w:p>
      <w:pPr>
        <w:spacing w:after="0"/>
        <w:jc w:val="left"/>
        <w:rPr>
          <w:rFonts w:ascii="Arial"/>
          <w:sz w:val="34"/>
        </w:rPr>
        <w:sectPr>
          <w:type w:val="continuous"/>
          <w:pgSz w:w="12240" w:h="15840"/>
          <w:pgMar w:top="440" w:bottom="280" w:left="760" w:right="0"/>
        </w:sectPr>
      </w:pPr>
    </w:p>
    <w:p>
      <w:pPr>
        <w:pStyle w:val="BodyText"/>
        <w:spacing w:line="249" w:lineRule="auto" w:before="61"/>
        <w:ind w:left="138" w:right="188" w:firstLine="10"/>
      </w:pPr>
      <w:r>
        <w:rPr>
          <w:w w:val="105"/>
        </w:rPr>
        <w:t>We appreciate CMS' efforts to improve communication and promote information sharing between</w:t>
      </w:r>
      <w:r>
        <w:rPr>
          <w:spacing w:val="-3"/>
          <w:w w:val="105"/>
        </w:rPr>
        <w:t> </w:t>
      </w:r>
      <w:r>
        <w:rPr>
          <w:w w:val="105"/>
        </w:rPr>
        <w:t>CMS</w:t>
      </w:r>
      <w:r>
        <w:rPr>
          <w:spacing w:val="-5"/>
          <w:w w:val="105"/>
        </w:rPr>
        <w:t> </w:t>
      </w:r>
      <w:r>
        <w:rPr>
          <w:w w:val="105"/>
        </w:rPr>
        <w:t>and</w:t>
      </w:r>
      <w:r>
        <w:rPr>
          <w:spacing w:val="-12"/>
          <w:w w:val="105"/>
        </w:rPr>
        <w:t> </w:t>
      </w:r>
      <w:r>
        <w:rPr>
          <w:w w:val="105"/>
        </w:rPr>
        <w:t>the</w:t>
      </w:r>
      <w:r>
        <w:rPr>
          <w:spacing w:val="-12"/>
          <w:w w:val="105"/>
        </w:rPr>
        <w:t> </w:t>
      </w:r>
      <w:r>
        <w:rPr>
          <w:w w:val="105"/>
        </w:rPr>
        <w:t>states,</w:t>
      </w:r>
      <w:r>
        <w:rPr>
          <w:spacing w:val="-9"/>
          <w:w w:val="105"/>
        </w:rPr>
        <w:t> </w:t>
      </w:r>
      <w:r>
        <w:rPr>
          <w:w w:val="105"/>
        </w:rPr>
        <w:t>and</w:t>
      </w:r>
      <w:r>
        <w:rPr>
          <w:spacing w:val="-12"/>
          <w:w w:val="105"/>
        </w:rPr>
        <w:t> </w:t>
      </w:r>
      <w:r>
        <w:rPr>
          <w:w w:val="105"/>
        </w:rPr>
        <w:t>we</w:t>
      </w:r>
      <w:r>
        <w:rPr>
          <w:spacing w:val="-16"/>
          <w:w w:val="105"/>
        </w:rPr>
        <w:t> </w:t>
      </w:r>
      <w:r>
        <w:rPr>
          <w:w w:val="105"/>
        </w:rPr>
        <w:t>encourage</w:t>
      </w:r>
      <w:r>
        <w:rPr>
          <w:spacing w:val="-1"/>
          <w:w w:val="105"/>
        </w:rPr>
        <w:t> </w:t>
      </w:r>
      <w:r>
        <w:rPr>
          <w:w w:val="105"/>
        </w:rPr>
        <w:t>CMS</w:t>
      </w:r>
      <w:r>
        <w:rPr>
          <w:spacing w:val="-10"/>
          <w:w w:val="105"/>
        </w:rPr>
        <w:t> </w:t>
      </w:r>
      <w:r>
        <w:rPr>
          <w:w w:val="105"/>
        </w:rPr>
        <w:t>to</w:t>
      </w:r>
      <w:r>
        <w:rPr>
          <w:spacing w:val="-18"/>
          <w:w w:val="105"/>
        </w:rPr>
        <w:t> </w:t>
      </w:r>
      <w:r>
        <w:rPr>
          <w:w w:val="105"/>
        </w:rPr>
        <w:t>continue</w:t>
      </w:r>
      <w:r>
        <w:rPr>
          <w:spacing w:val="-13"/>
          <w:w w:val="105"/>
        </w:rPr>
        <w:t> </w:t>
      </w:r>
      <w:r>
        <w:rPr>
          <w:w w:val="105"/>
        </w:rPr>
        <w:t>to</w:t>
      </w:r>
      <w:r>
        <w:rPr>
          <w:spacing w:val="-13"/>
          <w:w w:val="105"/>
        </w:rPr>
        <w:t> </w:t>
      </w:r>
      <w:r>
        <w:rPr>
          <w:w w:val="105"/>
        </w:rPr>
        <w:t>grow,</w:t>
      </w:r>
      <w:r>
        <w:rPr>
          <w:spacing w:val="-9"/>
          <w:w w:val="105"/>
        </w:rPr>
        <w:t> </w:t>
      </w:r>
      <w:r>
        <w:rPr>
          <w:w w:val="105"/>
        </w:rPr>
        <w:t>and</w:t>
      </w:r>
      <w:r>
        <w:rPr>
          <w:spacing w:val="-10"/>
          <w:w w:val="105"/>
        </w:rPr>
        <w:t> </w:t>
      </w:r>
      <w:r>
        <w:rPr>
          <w:w w:val="105"/>
        </w:rPr>
        <w:t>where</w:t>
      </w:r>
      <w:r>
        <w:rPr>
          <w:spacing w:val="-5"/>
          <w:w w:val="105"/>
        </w:rPr>
        <w:t> </w:t>
      </w:r>
      <w:r>
        <w:rPr>
          <w:w w:val="105"/>
        </w:rPr>
        <w:t>possible, formalize these</w:t>
      </w:r>
      <w:r>
        <w:rPr>
          <w:spacing w:val="-42"/>
          <w:w w:val="105"/>
        </w:rPr>
        <w:t> </w:t>
      </w:r>
      <w:r>
        <w:rPr>
          <w:w w:val="105"/>
        </w:rPr>
        <w:t>practices.</w:t>
      </w:r>
    </w:p>
    <w:p>
      <w:pPr>
        <w:pStyle w:val="BodyText"/>
        <w:spacing w:before="10"/>
      </w:pPr>
    </w:p>
    <w:p>
      <w:pPr>
        <w:pStyle w:val="BodyText"/>
        <w:spacing w:line="249" w:lineRule="auto"/>
        <w:ind w:left="136" w:right="188"/>
      </w:pPr>
      <w:r>
        <w:rPr>
          <w:w w:val="105"/>
        </w:rPr>
        <w:t>In particular, we commend CMS' efforts to promote further integration of the member-facing materials used by integrated D-SNPs. Unified communications and materials are crucial to improving members' understanding of and access to benefits and services. As noted in the Call Letter,</w:t>
      </w:r>
      <w:r>
        <w:rPr>
          <w:spacing w:val="-8"/>
          <w:w w:val="105"/>
        </w:rPr>
        <w:t> </w:t>
      </w:r>
      <w:r>
        <w:rPr>
          <w:w w:val="105"/>
        </w:rPr>
        <w:t>Massachusetts</w:t>
      </w:r>
      <w:r>
        <w:rPr>
          <w:spacing w:val="5"/>
          <w:w w:val="105"/>
        </w:rPr>
        <w:t> </w:t>
      </w:r>
      <w:r>
        <w:rPr>
          <w:w w:val="105"/>
        </w:rPr>
        <w:t>is</w:t>
      </w:r>
      <w:r>
        <w:rPr>
          <w:spacing w:val="-18"/>
          <w:w w:val="105"/>
        </w:rPr>
        <w:t> </w:t>
      </w:r>
      <w:r>
        <w:rPr>
          <w:w w:val="105"/>
        </w:rPr>
        <w:t>cunently</w:t>
      </w:r>
      <w:r>
        <w:rPr>
          <w:spacing w:val="-3"/>
          <w:w w:val="105"/>
        </w:rPr>
        <w:t> </w:t>
      </w:r>
      <w:r>
        <w:rPr>
          <w:w w:val="105"/>
        </w:rPr>
        <w:t>working</w:t>
      </w:r>
      <w:r>
        <w:rPr>
          <w:spacing w:val="-2"/>
          <w:w w:val="105"/>
        </w:rPr>
        <w:t> </w:t>
      </w:r>
      <w:r>
        <w:rPr>
          <w:w w:val="105"/>
        </w:rPr>
        <w:t>with</w:t>
      </w:r>
      <w:r>
        <w:rPr>
          <w:spacing w:val="-8"/>
          <w:w w:val="105"/>
        </w:rPr>
        <w:t> </w:t>
      </w:r>
      <w:r>
        <w:rPr>
          <w:w w:val="105"/>
        </w:rPr>
        <w:t>CMS</w:t>
      </w:r>
      <w:r>
        <w:rPr>
          <w:spacing w:val="-8"/>
          <w:w w:val="105"/>
        </w:rPr>
        <w:t> </w:t>
      </w:r>
      <w:r>
        <w:rPr>
          <w:w w:val="105"/>
        </w:rPr>
        <w:t>to</w:t>
      </w:r>
      <w:r>
        <w:rPr>
          <w:spacing w:val="-12"/>
          <w:w w:val="105"/>
        </w:rPr>
        <w:t> </w:t>
      </w:r>
      <w:r>
        <w:rPr>
          <w:w w:val="105"/>
        </w:rPr>
        <w:t>improve</w:t>
      </w:r>
      <w:r>
        <w:rPr>
          <w:spacing w:val="-4"/>
          <w:w w:val="105"/>
        </w:rPr>
        <w:t> </w:t>
      </w:r>
      <w:r>
        <w:rPr>
          <w:w w:val="105"/>
        </w:rPr>
        <w:t>integration</w:t>
      </w:r>
      <w:r>
        <w:rPr>
          <w:spacing w:val="-5"/>
          <w:w w:val="105"/>
        </w:rPr>
        <w:t> </w:t>
      </w:r>
      <w:r>
        <w:rPr>
          <w:w w:val="105"/>
        </w:rPr>
        <w:t>of</w:t>
      </w:r>
      <w:r>
        <w:rPr>
          <w:spacing w:val="-13"/>
          <w:w w:val="105"/>
        </w:rPr>
        <w:t> </w:t>
      </w:r>
      <w:r>
        <w:rPr>
          <w:w w:val="105"/>
        </w:rPr>
        <w:t>the</w:t>
      </w:r>
      <w:r>
        <w:rPr>
          <w:spacing w:val="-14"/>
          <w:w w:val="105"/>
        </w:rPr>
        <w:t> </w:t>
      </w:r>
      <w:r>
        <w:rPr>
          <w:w w:val="105"/>
        </w:rPr>
        <w:t>Summary of Benefits, Provider and Pharmacy Directory, and Formulary for our SCO plans. We further support</w:t>
      </w:r>
      <w:r>
        <w:rPr>
          <w:spacing w:val="-5"/>
          <w:w w:val="105"/>
        </w:rPr>
        <w:t> </w:t>
      </w:r>
      <w:r>
        <w:rPr>
          <w:spacing w:val="3"/>
          <w:w w:val="105"/>
        </w:rPr>
        <w:t>CMS's</w:t>
      </w:r>
      <w:r>
        <w:rPr>
          <w:spacing w:val="-13"/>
          <w:w w:val="105"/>
        </w:rPr>
        <w:t> </w:t>
      </w:r>
      <w:r>
        <w:rPr>
          <w:w w:val="105"/>
        </w:rPr>
        <w:t>proposal</w:t>
      </w:r>
      <w:r>
        <w:rPr>
          <w:spacing w:val="-12"/>
          <w:w w:val="105"/>
        </w:rPr>
        <w:t> </w:t>
      </w:r>
      <w:r>
        <w:rPr>
          <w:w w:val="105"/>
        </w:rPr>
        <w:t>to</w:t>
      </w:r>
      <w:r>
        <w:rPr>
          <w:spacing w:val="-14"/>
          <w:w w:val="105"/>
        </w:rPr>
        <w:t> </w:t>
      </w:r>
      <w:r>
        <w:rPr>
          <w:w w:val="105"/>
        </w:rPr>
        <w:t>coordinate</w:t>
      </w:r>
      <w:r>
        <w:rPr>
          <w:spacing w:val="-11"/>
          <w:w w:val="105"/>
        </w:rPr>
        <w:t> </w:t>
      </w:r>
      <w:r>
        <w:rPr>
          <w:w w:val="105"/>
        </w:rPr>
        <w:t>state</w:t>
      </w:r>
      <w:r>
        <w:rPr>
          <w:spacing w:val="-10"/>
          <w:w w:val="105"/>
        </w:rPr>
        <w:t> </w:t>
      </w:r>
      <w:r>
        <w:rPr>
          <w:w w:val="105"/>
        </w:rPr>
        <w:t>and</w:t>
      </w:r>
      <w:r>
        <w:rPr>
          <w:spacing w:val="-5"/>
          <w:w w:val="105"/>
        </w:rPr>
        <w:t> </w:t>
      </w:r>
      <w:r>
        <w:rPr>
          <w:w w:val="105"/>
        </w:rPr>
        <w:t>CMS</w:t>
      </w:r>
      <w:r>
        <w:rPr>
          <w:spacing w:val="-9"/>
          <w:w w:val="105"/>
        </w:rPr>
        <w:t> </w:t>
      </w:r>
      <w:r>
        <w:rPr>
          <w:w w:val="105"/>
        </w:rPr>
        <w:t>communications</w:t>
      </w:r>
      <w:r>
        <w:rPr>
          <w:spacing w:val="-20"/>
          <w:w w:val="105"/>
        </w:rPr>
        <w:t> </w:t>
      </w:r>
      <w:r>
        <w:rPr>
          <w:w w:val="105"/>
        </w:rPr>
        <w:t>and</w:t>
      </w:r>
      <w:r>
        <w:rPr>
          <w:spacing w:val="-9"/>
          <w:w w:val="105"/>
        </w:rPr>
        <w:t> </w:t>
      </w:r>
      <w:r>
        <w:rPr>
          <w:w w:val="105"/>
        </w:rPr>
        <w:t>processes</w:t>
      </w:r>
      <w:r>
        <w:rPr>
          <w:spacing w:val="-8"/>
          <w:w w:val="105"/>
        </w:rPr>
        <w:t> </w:t>
      </w:r>
      <w:r>
        <w:rPr>
          <w:w w:val="105"/>
        </w:rPr>
        <w:t>for</w:t>
      </w:r>
      <w:r>
        <w:rPr>
          <w:spacing w:val="-12"/>
          <w:w w:val="105"/>
        </w:rPr>
        <w:t> </w:t>
      </w:r>
      <w:r>
        <w:rPr>
          <w:w w:val="105"/>
        </w:rPr>
        <w:t>D-SNP non-renewals.</w:t>
      </w:r>
    </w:p>
    <w:p>
      <w:pPr>
        <w:pStyle w:val="BodyText"/>
        <w:spacing w:before="10"/>
      </w:pPr>
    </w:p>
    <w:p>
      <w:pPr>
        <w:pStyle w:val="BodyText"/>
        <w:spacing w:line="249" w:lineRule="auto"/>
        <w:ind w:left="126" w:right="137" w:firstLine="13"/>
      </w:pPr>
      <w:r>
        <w:rPr>
          <w:w w:val="105"/>
        </w:rPr>
        <w:t>We</w:t>
      </w:r>
      <w:r>
        <w:rPr>
          <w:spacing w:val="-15"/>
          <w:w w:val="105"/>
        </w:rPr>
        <w:t> </w:t>
      </w:r>
      <w:r>
        <w:rPr>
          <w:w w:val="105"/>
        </w:rPr>
        <w:t>encourage</w:t>
      </w:r>
      <w:r>
        <w:rPr>
          <w:spacing w:val="5"/>
          <w:w w:val="105"/>
        </w:rPr>
        <w:t> </w:t>
      </w:r>
      <w:r>
        <w:rPr>
          <w:w w:val="105"/>
        </w:rPr>
        <w:t>CMS</w:t>
      </w:r>
      <w:r>
        <w:rPr>
          <w:spacing w:val="-11"/>
          <w:w w:val="105"/>
        </w:rPr>
        <w:t> </w:t>
      </w:r>
      <w:r>
        <w:rPr>
          <w:w w:val="105"/>
        </w:rPr>
        <w:t>to</w:t>
      </w:r>
      <w:r>
        <w:rPr>
          <w:spacing w:val="-7"/>
          <w:w w:val="105"/>
        </w:rPr>
        <w:t> </w:t>
      </w:r>
      <w:r>
        <w:rPr>
          <w:w w:val="105"/>
        </w:rPr>
        <w:t>go</w:t>
      </w:r>
      <w:r>
        <w:rPr>
          <w:spacing w:val="-11"/>
          <w:w w:val="105"/>
        </w:rPr>
        <w:t> </w:t>
      </w:r>
      <w:r>
        <w:rPr>
          <w:w w:val="105"/>
        </w:rPr>
        <w:t>further</w:t>
      </w:r>
      <w:r>
        <w:rPr>
          <w:spacing w:val="-16"/>
          <w:w w:val="105"/>
        </w:rPr>
        <w:t> </w:t>
      </w:r>
      <w:r>
        <w:rPr>
          <w:w w:val="105"/>
        </w:rPr>
        <w:t>in</w:t>
      </w:r>
      <w:r>
        <w:rPr>
          <w:spacing w:val="-15"/>
          <w:w w:val="105"/>
        </w:rPr>
        <w:t> </w:t>
      </w:r>
      <w:r>
        <w:rPr>
          <w:w w:val="105"/>
        </w:rPr>
        <w:t>allowing</w:t>
      </w:r>
      <w:r>
        <w:rPr>
          <w:spacing w:val="-2"/>
          <w:w w:val="105"/>
        </w:rPr>
        <w:t> </w:t>
      </w:r>
      <w:r>
        <w:rPr>
          <w:w w:val="105"/>
        </w:rPr>
        <w:t>the</w:t>
      </w:r>
      <w:r>
        <w:rPr>
          <w:spacing w:val="-11"/>
          <w:w w:val="105"/>
        </w:rPr>
        <w:t> </w:t>
      </w:r>
      <w:r>
        <w:rPr>
          <w:w w:val="105"/>
        </w:rPr>
        <w:t>same</w:t>
      </w:r>
      <w:r>
        <w:rPr>
          <w:spacing w:val="-5"/>
          <w:w w:val="105"/>
        </w:rPr>
        <w:t> </w:t>
      </w:r>
      <w:r>
        <w:rPr>
          <w:w w:val="105"/>
        </w:rPr>
        <w:t>level</w:t>
      </w:r>
      <w:r>
        <w:rPr>
          <w:spacing w:val="-15"/>
          <w:w w:val="105"/>
        </w:rPr>
        <w:t> </w:t>
      </w:r>
      <w:r>
        <w:rPr>
          <w:w w:val="105"/>
        </w:rPr>
        <w:t>of</w:t>
      </w:r>
      <w:r>
        <w:rPr>
          <w:spacing w:val="-20"/>
          <w:w w:val="105"/>
        </w:rPr>
        <w:t> </w:t>
      </w:r>
      <w:r>
        <w:rPr>
          <w:w w:val="105"/>
        </w:rPr>
        <w:t>integration</w:t>
      </w:r>
      <w:r>
        <w:rPr>
          <w:spacing w:val="-2"/>
          <w:w w:val="105"/>
        </w:rPr>
        <w:t> </w:t>
      </w:r>
      <w:r>
        <w:rPr>
          <w:w w:val="105"/>
        </w:rPr>
        <w:t>for</w:t>
      </w:r>
      <w:r>
        <w:rPr>
          <w:spacing w:val="-10"/>
          <w:w w:val="105"/>
        </w:rPr>
        <w:t> </w:t>
      </w:r>
      <w:r>
        <w:rPr>
          <w:w w:val="105"/>
        </w:rPr>
        <w:t>FIDE-SNPs as</w:t>
      </w:r>
      <w:r>
        <w:rPr>
          <w:spacing w:val="-9"/>
          <w:w w:val="105"/>
        </w:rPr>
        <w:t> </w:t>
      </w:r>
      <w:r>
        <w:rPr>
          <w:w w:val="105"/>
        </w:rPr>
        <w:t>for Medicare-Medicaid Plans (MMPs). For example, in One Care, our integrated Financial Alignment Demonstration MMP, plans are required to use fully integrated materials, including integrated</w:t>
      </w:r>
      <w:r>
        <w:rPr>
          <w:spacing w:val="-6"/>
          <w:w w:val="105"/>
        </w:rPr>
        <w:t> </w:t>
      </w:r>
      <w:r>
        <w:rPr>
          <w:w w:val="105"/>
        </w:rPr>
        <w:t>directories,</w:t>
      </w:r>
      <w:r>
        <w:rPr>
          <w:spacing w:val="-6"/>
          <w:w w:val="105"/>
        </w:rPr>
        <w:t> </w:t>
      </w:r>
      <w:r>
        <w:rPr>
          <w:w w:val="105"/>
        </w:rPr>
        <w:t>formularies,</w:t>
      </w:r>
      <w:r>
        <w:rPr>
          <w:spacing w:val="-6"/>
          <w:w w:val="105"/>
        </w:rPr>
        <w:t> </w:t>
      </w:r>
      <w:r>
        <w:rPr>
          <w:w w:val="105"/>
        </w:rPr>
        <w:t>annual</w:t>
      </w:r>
      <w:r>
        <w:rPr>
          <w:spacing w:val="-10"/>
          <w:w w:val="105"/>
        </w:rPr>
        <w:t> </w:t>
      </w:r>
      <w:r>
        <w:rPr>
          <w:w w:val="105"/>
        </w:rPr>
        <w:t>notices</w:t>
      </w:r>
      <w:r>
        <w:rPr>
          <w:spacing w:val="-11"/>
          <w:w w:val="105"/>
        </w:rPr>
        <w:t> </w:t>
      </w:r>
      <w:r>
        <w:rPr>
          <w:w w:val="105"/>
        </w:rPr>
        <w:t>of</w:t>
      </w:r>
      <w:r>
        <w:rPr>
          <w:spacing w:val="-17"/>
          <w:w w:val="105"/>
        </w:rPr>
        <w:t> </w:t>
      </w:r>
      <w:r>
        <w:rPr>
          <w:w w:val="105"/>
        </w:rPr>
        <w:t>change</w:t>
      </w:r>
      <w:r>
        <w:rPr>
          <w:spacing w:val="-11"/>
          <w:w w:val="105"/>
        </w:rPr>
        <w:t> </w:t>
      </w:r>
      <w:r>
        <w:rPr>
          <w:w w:val="105"/>
        </w:rPr>
        <w:t>and</w:t>
      </w:r>
      <w:r>
        <w:rPr>
          <w:spacing w:val="-20"/>
          <w:w w:val="105"/>
        </w:rPr>
        <w:t> </w:t>
      </w:r>
      <w:r>
        <w:rPr>
          <w:w w:val="105"/>
        </w:rPr>
        <w:t>explanations</w:t>
      </w:r>
      <w:r>
        <w:rPr>
          <w:spacing w:val="-9"/>
          <w:w w:val="105"/>
        </w:rPr>
        <w:t> </w:t>
      </w:r>
      <w:r>
        <w:rPr>
          <w:w w:val="105"/>
        </w:rPr>
        <w:t>of</w:t>
      </w:r>
      <w:r>
        <w:rPr>
          <w:spacing w:val="-14"/>
          <w:w w:val="105"/>
        </w:rPr>
        <w:t> </w:t>
      </w:r>
      <w:r>
        <w:rPr>
          <w:w w:val="105"/>
        </w:rPr>
        <w:t>benefits,</w:t>
      </w:r>
      <w:r>
        <w:rPr>
          <w:spacing w:val="-10"/>
          <w:w w:val="105"/>
        </w:rPr>
        <w:t> </w:t>
      </w:r>
      <w:r>
        <w:rPr>
          <w:w w:val="105"/>
        </w:rPr>
        <w:t>as</w:t>
      </w:r>
      <w:r>
        <w:rPr>
          <w:spacing w:val="-17"/>
          <w:w w:val="105"/>
        </w:rPr>
        <w:t> </w:t>
      </w:r>
      <w:r>
        <w:rPr>
          <w:w w:val="105"/>
        </w:rPr>
        <w:t>well as integrated evidence of coverage documents, marketing materials, and denial and appeals notices. Fully integrated member materials maximize the ability of beneficiaries to understand their</w:t>
      </w:r>
      <w:r>
        <w:rPr>
          <w:spacing w:val="-8"/>
          <w:w w:val="105"/>
        </w:rPr>
        <w:t> </w:t>
      </w:r>
      <w:r>
        <w:rPr>
          <w:w w:val="105"/>
        </w:rPr>
        <w:t>benefits</w:t>
      </w:r>
      <w:r>
        <w:rPr>
          <w:spacing w:val="-6"/>
          <w:w w:val="105"/>
        </w:rPr>
        <w:t> </w:t>
      </w:r>
      <w:r>
        <w:rPr>
          <w:w w:val="105"/>
        </w:rPr>
        <w:t>and</w:t>
      </w:r>
      <w:r>
        <w:rPr>
          <w:spacing w:val="-9"/>
          <w:w w:val="105"/>
        </w:rPr>
        <w:t> </w:t>
      </w:r>
      <w:r>
        <w:rPr>
          <w:w w:val="105"/>
        </w:rPr>
        <w:t>access</w:t>
      </w:r>
      <w:r>
        <w:rPr>
          <w:spacing w:val="-8"/>
          <w:w w:val="105"/>
        </w:rPr>
        <w:t> </w:t>
      </w:r>
      <w:r>
        <w:rPr>
          <w:w w:val="105"/>
        </w:rPr>
        <w:t>the</w:t>
      </w:r>
      <w:r>
        <w:rPr>
          <w:spacing w:val="-14"/>
          <w:w w:val="105"/>
        </w:rPr>
        <w:t> </w:t>
      </w:r>
      <w:r>
        <w:rPr>
          <w:w w:val="105"/>
        </w:rPr>
        <w:t>care</w:t>
      </w:r>
      <w:r>
        <w:rPr>
          <w:spacing w:val="-17"/>
          <w:w w:val="105"/>
        </w:rPr>
        <w:t> </w:t>
      </w:r>
      <w:r>
        <w:rPr>
          <w:w w:val="105"/>
        </w:rPr>
        <w:t>they</w:t>
      </w:r>
      <w:r>
        <w:rPr>
          <w:spacing w:val="-8"/>
          <w:w w:val="105"/>
        </w:rPr>
        <w:t> </w:t>
      </w:r>
      <w:r>
        <w:rPr>
          <w:w w:val="105"/>
        </w:rPr>
        <w:t>need.</w:t>
      </w:r>
    </w:p>
    <w:p>
      <w:pPr>
        <w:pStyle w:val="BodyText"/>
        <w:spacing w:before="3"/>
        <w:rPr>
          <w:sz w:val="24"/>
        </w:rPr>
      </w:pPr>
    </w:p>
    <w:p>
      <w:pPr>
        <w:pStyle w:val="BodyText"/>
        <w:spacing w:line="249" w:lineRule="auto"/>
        <w:ind w:left="125" w:right="110" w:firstLine="4"/>
      </w:pPr>
      <w:r>
        <w:rPr>
          <w:w w:val="105"/>
        </w:rPr>
        <w:t>Massachusetts</w:t>
      </w:r>
      <w:r>
        <w:rPr>
          <w:spacing w:val="-9"/>
          <w:w w:val="105"/>
        </w:rPr>
        <w:t> </w:t>
      </w:r>
      <w:r>
        <w:rPr>
          <w:w w:val="105"/>
        </w:rPr>
        <w:t>also</w:t>
      </w:r>
      <w:r>
        <w:rPr>
          <w:spacing w:val="-14"/>
          <w:w w:val="105"/>
        </w:rPr>
        <w:t> </w:t>
      </w:r>
      <w:r>
        <w:rPr>
          <w:w w:val="105"/>
        </w:rPr>
        <w:t>recommends</w:t>
      </w:r>
      <w:r>
        <w:rPr>
          <w:spacing w:val="-5"/>
          <w:w w:val="105"/>
        </w:rPr>
        <w:t> </w:t>
      </w:r>
      <w:r>
        <w:rPr>
          <w:w w:val="105"/>
        </w:rPr>
        <w:t>that</w:t>
      </w:r>
      <w:r>
        <w:rPr>
          <w:spacing w:val="-17"/>
          <w:w w:val="105"/>
        </w:rPr>
        <w:t> </w:t>
      </w:r>
      <w:r>
        <w:rPr>
          <w:w w:val="105"/>
        </w:rPr>
        <w:t>CMS</w:t>
      </w:r>
      <w:r>
        <w:rPr>
          <w:spacing w:val="-12"/>
          <w:w w:val="105"/>
        </w:rPr>
        <w:t> </w:t>
      </w:r>
      <w:r>
        <w:rPr>
          <w:w w:val="105"/>
        </w:rPr>
        <w:t>promote</w:t>
      </w:r>
      <w:r>
        <w:rPr>
          <w:spacing w:val="-17"/>
          <w:w w:val="105"/>
        </w:rPr>
        <w:t> </w:t>
      </w:r>
      <w:r>
        <w:rPr>
          <w:w w:val="105"/>
        </w:rPr>
        <w:t>further</w:t>
      </w:r>
      <w:r>
        <w:rPr>
          <w:spacing w:val="-9"/>
          <w:w w:val="105"/>
        </w:rPr>
        <w:t> </w:t>
      </w:r>
      <w:r>
        <w:rPr>
          <w:w w:val="105"/>
        </w:rPr>
        <w:t>integration</w:t>
      </w:r>
      <w:r>
        <w:rPr>
          <w:spacing w:val="-6"/>
          <w:w w:val="105"/>
        </w:rPr>
        <w:t> </w:t>
      </w:r>
      <w:r>
        <w:rPr>
          <w:w w:val="105"/>
        </w:rPr>
        <w:t>by</w:t>
      </w:r>
      <w:r>
        <w:rPr>
          <w:spacing w:val="-15"/>
          <w:w w:val="105"/>
        </w:rPr>
        <w:t> </w:t>
      </w:r>
      <w:r>
        <w:rPr>
          <w:w w:val="105"/>
        </w:rPr>
        <w:t>offering</w:t>
      </w:r>
      <w:r>
        <w:rPr>
          <w:spacing w:val="-16"/>
          <w:w w:val="105"/>
        </w:rPr>
        <w:t> </w:t>
      </w:r>
      <w:r>
        <w:rPr>
          <w:w w:val="105"/>
        </w:rPr>
        <w:t>increased</w:t>
      </w:r>
      <w:r>
        <w:rPr>
          <w:spacing w:val="-11"/>
          <w:w w:val="105"/>
        </w:rPr>
        <w:t> </w:t>
      </w:r>
      <w:r>
        <w:rPr>
          <w:w w:val="105"/>
        </w:rPr>
        <w:t>data sharing with states to suppmi coordinated administration and financing for FIDE-SNPs, PACE, and MMPs. For example, expanding state access to HPMS for coordinated administration of FIDE-SNPs and PACE, similar to the access available to states for MMP joint administration, would</w:t>
      </w:r>
      <w:r>
        <w:rPr>
          <w:spacing w:val="-12"/>
          <w:w w:val="105"/>
        </w:rPr>
        <w:t> </w:t>
      </w:r>
      <w:r>
        <w:rPr>
          <w:w w:val="105"/>
        </w:rPr>
        <w:t>improve</w:t>
      </w:r>
      <w:r>
        <w:rPr>
          <w:spacing w:val="-11"/>
          <w:w w:val="105"/>
        </w:rPr>
        <w:t> </w:t>
      </w:r>
      <w:r>
        <w:rPr>
          <w:w w:val="105"/>
        </w:rPr>
        <w:t>administrative</w:t>
      </w:r>
      <w:r>
        <w:rPr>
          <w:spacing w:val="-26"/>
          <w:w w:val="105"/>
        </w:rPr>
        <w:t> </w:t>
      </w:r>
      <w:r>
        <w:rPr>
          <w:w w:val="105"/>
        </w:rPr>
        <w:t>alignment</w:t>
      </w:r>
      <w:r>
        <w:rPr>
          <w:spacing w:val="-7"/>
          <w:w w:val="105"/>
        </w:rPr>
        <w:t> </w:t>
      </w:r>
      <w:r>
        <w:rPr>
          <w:w w:val="105"/>
        </w:rPr>
        <w:t>efforts</w:t>
      </w:r>
      <w:r>
        <w:rPr>
          <w:spacing w:val="-17"/>
          <w:w w:val="105"/>
        </w:rPr>
        <w:t> </w:t>
      </w:r>
      <w:r>
        <w:rPr>
          <w:w w:val="105"/>
        </w:rPr>
        <w:t>and</w:t>
      </w:r>
      <w:r>
        <w:rPr>
          <w:spacing w:val="-12"/>
          <w:w w:val="105"/>
        </w:rPr>
        <w:t> </w:t>
      </w:r>
      <w:r>
        <w:rPr>
          <w:w w:val="105"/>
        </w:rPr>
        <w:t>reduce</w:t>
      </w:r>
      <w:r>
        <w:rPr>
          <w:spacing w:val="-13"/>
          <w:w w:val="105"/>
        </w:rPr>
        <w:t> </w:t>
      </w:r>
      <w:r>
        <w:rPr>
          <w:w w:val="105"/>
        </w:rPr>
        <w:t>administrative</w:t>
      </w:r>
      <w:r>
        <w:rPr>
          <w:spacing w:val="-13"/>
          <w:w w:val="105"/>
        </w:rPr>
        <w:t> </w:t>
      </w:r>
      <w:r>
        <w:rPr>
          <w:w w:val="105"/>
        </w:rPr>
        <w:t>burdens</w:t>
      </w:r>
      <w:r>
        <w:rPr>
          <w:spacing w:val="-17"/>
          <w:w w:val="105"/>
        </w:rPr>
        <w:t> </w:t>
      </w:r>
      <w:r>
        <w:rPr>
          <w:w w:val="105"/>
        </w:rPr>
        <w:t>for</w:t>
      </w:r>
      <w:r>
        <w:rPr>
          <w:spacing w:val="-14"/>
          <w:w w:val="105"/>
        </w:rPr>
        <w:t> </w:t>
      </w:r>
      <w:r>
        <w:rPr>
          <w:w w:val="105"/>
        </w:rPr>
        <w:t>plans.</w:t>
      </w:r>
    </w:p>
    <w:p>
      <w:pPr>
        <w:pStyle w:val="BodyText"/>
        <w:spacing w:line="249" w:lineRule="auto" w:before="2"/>
        <w:ind w:left="117" w:right="188" w:firstLine="12"/>
      </w:pPr>
      <w:r>
        <w:rPr>
          <w:w w:val="105"/>
        </w:rPr>
        <w:t>For</w:t>
      </w:r>
      <w:r>
        <w:rPr>
          <w:spacing w:val="-13"/>
          <w:w w:val="105"/>
        </w:rPr>
        <w:t> </w:t>
      </w:r>
      <w:r>
        <w:rPr>
          <w:w w:val="105"/>
        </w:rPr>
        <w:t>example,</w:t>
      </w:r>
      <w:r>
        <w:rPr>
          <w:spacing w:val="-7"/>
          <w:w w:val="105"/>
        </w:rPr>
        <w:t> </w:t>
      </w:r>
      <w:r>
        <w:rPr>
          <w:w w:val="105"/>
        </w:rPr>
        <w:t>as</w:t>
      </w:r>
      <w:r>
        <w:rPr>
          <w:spacing w:val="-14"/>
          <w:w w:val="105"/>
        </w:rPr>
        <w:t> </w:t>
      </w:r>
      <w:r>
        <w:rPr>
          <w:w w:val="105"/>
        </w:rPr>
        <w:t>Massachusetts</w:t>
      </w:r>
      <w:r>
        <w:rPr>
          <w:spacing w:val="-2"/>
          <w:w w:val="105"/>
        </w:rPr>
        <w:t> </w:t>
      </w:r>
      <w:r>
        <w:rPr>
          <w:w w:val="105"/>
        </w:rPr>
        <w:t>is</w:t>
      </w:r>
      <w:r>
        <w:rPr>
          <w:spacing w:val="-15"/>
          <w:w w:val="105"/>
        </w:rPr>
        <w:t> </w:t>
      </w:r>
      <w:r>
        <w:rPr>
          <w:w w:val="105"/>
        </w:rPr>
        <w:t>able</w:t>
      </w:r>
      <w:r>
        <w:rPr>
          <w:spacing w:val="-17"/>
          <w:w w:val="105"/>
        </w:rPr>
        <w:t> </w:t>
      </w:r>
      <w:r>
        <w:rPr>
          <w:w w:val="105"/>
        </w:rPr>
        <w:t>to</w:t>
      </w:r>
      <w:r>
        <w:rPr>
          <w:spacing w:val="-15"/>
          <w:w w:val="105"/>
        </w:rPr>
        <w:t> </w:t>
      </w:r>
      <w:r>
        <w:rPr>
          <w:w w:val="105"/>
        </w:rPr>
        <w:t>access</w:t>
      </w:r>
      <w:r>
        <w:rPr>
          <w:spacing w:val="-10"/>
          <w:w w:val="105"/>
        </w:rPr>
        <w:t> </w:t>
      </w:r>
      <w:r>
        <w:rPr>
          <w:w w:val="105"/>
        </w:rPr>
        <w:t>One</w:t>
      </w:r>
      <w:r>
        <w:rPr>
          <w:spacing w:val="-13"/>
          <w:w w:val="105"/>
        </w:rPr>
        <w:t> </w:t>
      </w:r>
      <w:r>
        <w:rPr>
          <w:w w:val="105"/>
        </w:rPr>
        <w:t>Care</w:t>
      </w:r>
      <w:r>
        <w:rPr>
          <w:spacing w:val="-11"/>
          <w:w w:val="105"/>
        </w:rPr>
        <w:t> </w:t>
      </w:r>
      <w:r>
        <w:rPr>
          <w:w w:val="105"/>
        </w:rPr>
        <w:t>plan</w:t>
      </w:r>
      <w:r>
        <w:rPr>
          <w:spacing w:val="-11"/>
          <w:w w:val="105"/>
        </w:rPr>
        <w:t> </w:t>
      </w:r>
      <w:r>
        <w:rPr>
          <w:w w:val="105"/>
        </w:rPr>
        <w:t>marketing material</w:t>
      </w:r>
      <w:r>
        <w:rPr>
          <w:spacing w:val="-5"/>
          <w:w w:val="105"/>
        </w:rPr>
        <w:t> </w:t>
      </w:r>
      <w:r>
        <w:rPr>
          <w:w w:val="105"/>
        </w:rPr>
        <w:t>submissions via HPMS, the MMPs need only submit their materials through HPMS as part of a single, streamlined submission and approval process. In addition, MassHealth recommends that CMS share information regarding current year Medicare Advantage bid amounts for FIDE-SNP products,</w:t>
      </w:r>
      <w:r>
        <w:rPr>
          <w:spacing w:val="-10"/>
          <w:w w:val="105"/>
        </w:rPr>
        <w:t> </w:t>
      </w:r>
      <w:r>
        <w:rPr>
          <w:w w:val="105"/>
        </w:rPr>
        <w:t>Medicare</w:t>
      </w:r>
      <w:r>
        <w:rPr>
          <w:spacing w:val="-5"/>
          <w:w w:val="105"/>
        </w:rPr>
        <w:t> </w:t>
      </w:r>
      <w:r>
        <w:rPr>
          <w:w w:val="105"/>
        </w:rPr>
        <w:t>beneficiary</w:t>
      </w:r>
      <w:r>
        <w:rPr>
          <w:spacing w:val="-5"/>
          <w:w w:val="105"/>
        </w:rPr>
        <w:t> </w:t>
      </w:r>
      <w:r>
        <w:rPr>
          <w:w w:val="105"/>
        </w:rPr>
        <w:t>level</w:t>
      </w:r>
      <w:r>
        <w:rPr>
          <w:spacing w:val="-13"/>
          <w:w w:val="105"/>
        </w:rPr>
        <w:t> </w:t>
      </w:r>
      <w:r>
        <w:rPr>
          <w:w w:val="105"/>
        </w:rPr>
        <w:t>risk</w:t>
      </w:r>
      <w:r>
        <w:rPr>
          <w:spacing w:val="-18"/>
          <w:w w:val="105"/>
        </w:rPr>
        <w:t> </w:t>
      </w:r>
      <w:r>
        <w:rPr>
          <w:w w:val="105"/>
        </w:rPr>
        <w:t>scores</w:t>
      </w:r>
      <w:r>
        <w:rPr>
          <w:spacing w:val="-18"/>
          <w:w w:val="105"/>
        </w:rPr>
        <w:t> </w:t>
      </w:r>
      <w:r>
        <w:rPr>
          <w:w w:val="105"/>
        </w:rPr>
        <w:t>for</w:t>
      </w:r>
      <w:r>
        <w:rPr>
          <w:spacing w:val="-16"/>
          <w:w w:val="105"/>
        </w:rPr>
        <w:t> </w:t>
      </w:r>
      <w:r>
        <w:rPr>
          <w:w w:val="105"/>
        </w:rPr>
        <w:t>dual</w:t>
      </w:r>
      <w:r>
        <w:rPr>
          <w:spacing w:val="-12"/>
          <w:w w:val="105"/>
        </w:rPr>
        <w:t> </w:t>
      </w:r>
      <w:r>
        <w:rPr>
          <w:w w:val="105"/>
        </w:rPr>
        <w:t>eligible</w:t>
      </w:r>
      <w:r>
        <w:rPr>
          <w:spacing w:val="-12"/>
          <w:w w:val="105"/>
        </w:rPr>
        <w:t> </w:t>
      </w:r>
      <w:r>
        <w:rPr>
          <w:w w:val="105"/>
        </w:rPr>
        <w:t>Medicaid</w:t>
      </w:r>
      <w:r>
        <w:rPr>
          <w:spacing w:val="-5"/>
          <w:w w:val="105"/>
        </w:rPr>
        <w:t> </w:t>
      </w:r>
      <w:r>
        <w:rPr>
          <w:w w:val="105"/>
        </w:rPr>
        <w:t>members</w:t>
      </w:r>
      <w:r>
        <w:rPr>
          <w:spacing w:val="-6"/>
          <w:w w:val="105"/>
        </w:rPr>
        <w:t> </w:t>
      </w:r>
      <w:r>
        <w:rPr>
          <w:w w:val="105"/>
        </w:rPr>
        <w:t>(to</w:t>
      </w:r>
      <w:r>
        <w:rPr>
          <w:spacing w:val="-19"/>
          <w:w w:val="105"/>
        </w:rPr>
        <w:t> </w:t>
      </w:r>
      <w:r>
        <w:rPr>
          <w:w w:val="105"/>
        </w:rPr>
        <w:t>support care coordination and Medicaid rate setting effmis), and Medicare plan payment data to better support joint federal and state effmis to ensure cost efficiency in both Medicare and Medicaid programs.</w:t>
      </w:r>
    </w:p>
    <w:p>
      <w:pPr>
        <w:pStyle w:val="BodyText"/>
        <w:rPr>
          <w:sz w:val="24"/>
        </w:rPr>
      </w:pPr>
    </w:p>
    <w:p>
      <w:pPr>
        <w:pStyle w:val="BodyText"/>
        <w:spacing w:before="1"/>
        <w:rPr>
          <w:sz w:val="24"/>
        </w:rPr>
      </w:pPr>
    </w:p>
    <w:p>
      <w:pPr>
        <w:pStyle w:val="BodyText"/>
        <w:ind w:left="112"/>
      </w:pPr>
      <w:r>
        <w:rPr>
          <w:w w:val="105"/>
          <w:u w:val="single"/>
        </w:rPr>
        <w:t>Network Adequacy Determinations and Provider Directory Best Practices</w:t>
      </w:r>
    </w:p>
    <w:p>
      <w:pPr>
        <w:pStyle w:val="BodyText"/>
        <w:spacing w:line="249" w:lineRule="auto" w:before="8"/>
        <w:ind w:left="110" w:right="222" w:firstLine="5"/>
      </w:pPr>
      <w:r>
        <w:rPr>
          <w:w w:val="105"/>
        </w:rPr>
        <w:t>Massachusetts appreciates our collaboration with CMS to jointly evaluate network adequacy submissions for MMPs. We encourage CMS to continue working with states to develop and implement network adequacy standards that are aligned between Medicare and Medicaid, and that are appropriately targeted to the populations eligible for and enrolled in MMPs. We would futiher encourage CMS to explore applying this approach in patinership with states in the administration of FIDE-SNPs.</w:t>
      </w:r>
    </w:p>
    <w:p>
      <w:pPr>
        <w:spacing w:after="0" w:line="249" w:lineRule="auto"/>
        <w:sectPr>
          <w:footerReference w:type="default" r:id="rId8"/>
          <w:pgSz w:w="12240" w:h="15840"/>
          <w:pgMar w:footer="438" w:header="0" w:top="1360" w:bottom="620" w:left="1300" w:right="142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spacing w:before="90"/>
        <w:ind w:left="123"/>
      </w:pPr>
      <w:r>
        <w:rPr/>
        <w:pict>
          <v:line style="position:absolute;mso-position-horizontal-relative:page;mso-position-vertical-relative:paragraph;z-index:1216" from="608.290222pt,30.817397pt" to="608.290222pt,-68.422295pt" stroked="true" strokeweight=".718029pt" strokecolor="#d4d4d4">
            <v:stroke dashstyle="solid"/>
            <w10:wrap type="none"/>
          </v:line>
        </w:pict>
      </w:r>
      <w:r>
        <w:rPr>
          <w:color w:val="232323"/>
          <w:u w:val="single" w:color="000000"/>
        </w:rPr>
        <w:t>Medication  Assisted Treatment</w:t>
      </w:r>
    </w:p>
    <w:p>
      <w:pPr>
        <w:pStyle w:val="BodyText"/>
        <w:spacing w:line="252" w:lineRule="auto" w:before="8"/>
        <w:ind w:left="115" w:right="684" w:firstLine="8"/>
      </w:pPr>
      <w:r>
        <w:rPr>
          <w:color w:val="232323"/>
          <w:w w:val="105"/>
        </w:rPr>
        <w:t>Finally, we applaud CMS in its efforts to address the needs of our most vulnerable members by supporting access medication for addiction treatment (MAT)</w:t>
      </w:r>
      <w:r>
        <w:rPr>
          <w:color w:val="3F3F3F"/>
          <w:w w:val="105"/>
        </w:rPr>
        <w:t>. </w:t>
      </w:r>
      <w:r>
        <w:rPr>
          <w:color w:val="232323"/>
          <w:w w:val="105"/>
        </w:rPr>
        <w:t>We encourage CMS to support the expansion of access to MAT in expanded settings. In pa1iicular, we recommend specifically incentivizing primary care providers to offer MAT.</w:t>
      </w:r>
    </w:p>
    <w:p>
      <w:pPr>
        <w:pStyle w:val="BodyText"/>
        <w:spacing w:before="4"/>
      </w:pPr>
    </w:p>
    <w:p>
      <w:pPr>
        <w:pStyle w:val="BodyText"/>
        <w:spacing w:line="252" w:lineRule="auto"/>
        <w:ind w:left="109" w:right="1505" w:firstLine="10"/>
      </w:pPr>
      <w:r>
        <w:rPr>
          <w:color w:val="232323"/>
          <w:w w:val="105"/>
        </w:rPr>
        <w:t>We thank you for your paiinership and for your consideration of our comments. We look forward</w:t>
      </w:r>
      <w:r>
        <w:rPr>
          <w:color w:val="232323"/>
          <w:spacing w:val="-6"/>
          <w:w w:val="105"/>
        </w:rPr>
        <w:t> </w:t>
      </w:r>
      <w:r>
        <w:rPr>
          <w:color w:val="232323"/>
          <w:w w:val="105"/>
        </w:rPr>
        <w:t>to</w:t>
      </w:r>
      <w:r>
        <w:rPr>
          <w:color w:val="232323"/>
          <w:spacing w:val="-14"/>
          <w:w w:val="105"/>
        </w:rPr>
        <w:t> </w:t>
      </w:r>
      <w:r>
        <w:rPr>
          <w:color w:val="232323"/>
          <w:w w:val="105"/>
        </w:rPr>
        <w:t>continuing</w:t>
      </w:r>
      <w:r>
        <w:rPr>
          <w:color w:val="232323"/>
          <w:spacing w:val="-1"/>
          <w:w w:val="105"/>
        </w:rPr>
        <w:t> </w:t>
      </w:r>
      <w:r>
        <w:rPr>
          <w:color w:val="232323"/>
          <w:w w:val="105"/>
        </w:rPr>
        <w:t>our</w:t>
      </w:r>
      <w:r>
        <w:rPr>
          <w:color w:val="232323"/>
          <w:spacing w:val="-14"/>
          <w:w w:val="105"/>
        </w:rPr>
        <w:t> </w:t>
      </w:r>
      <w:r>
        <w:rPr>
          <w:color w:val="232323"/>
          <w:w w:val="105"/>
        </w:rPr>
        <w:t>work</w:t>
      </w:r>
      <w:r>
        <w:rPr>
          <w:color w:val="232323"/>
          <w:spacing w:val="-6"/>
          <w:w w:val="105"/>
        </w:rPr>
        <w:t> </w:t>
      </w:r>
      <w:r>
        <w:rPr>
          <w:color w:val="232323"/>
          <w:w w:val="105"/>
        </w:rPr>
        <w:t>with</w:t>
      </w:r>
      <w:r>
        <w:rPr>
          <w:color w:val="232323"/>
          <w:spacing w:val="-13"/>
          <w:w w:val="105"/>
        </w:rPr>
        <w:t> </w:t>
      </w:r>
      <w:r>
        <w:rPr>
          <w:color w:val="232323"/>
          <w:w w:val="105"/>
        </w:rPr>
        <w:t>CMS</w:t>
      </w:r>
      <w:r>
        <w:rPr>
          <w:color w:val="232323"/>
          <w:spacing w:val="-10"/>
          <w:w w:val="105"/>
        </w:rPr>
        <w:t> </w:t>
      </w:r>
      <w:r>
        <w:rPr>
          <w:color w:val="232323"/>
          <w:w w:val="105"/>
        </w:rPr>
        <w:t>to</w:t>
      </w:r>
      <w:r>
        <w:rPr>
          <w:color w:val="232323"/>
          <w:spacing w:val="-17"/>
          <w:w w:val="105"/>
        </w:rPr>
        <w:t> </w:t>
      </w:r>
      <w:r>
        <w:rPr>
          <w:color w:val="232323"/>
          <w:w w:val="105"/>
        </w:rPr>
        <w:t>strengthen</w:t>
      </w:r>
      <w:r>
        <w:rPr>
          <w:color w:val="232323"/>
          <w:spacing w:val="3"/>
          <w:w w:val="105"/>
        </w:rPr>
        <w:t> </w:t>
      </w:r>
      <w:r>
        <w:rPr>
          <w:color w:val="232323"/>
          <w:w w:val="105"/>
        </w:rPr>
        <w:t>and</w:t>
      </w:r>
      <w:r>
        <w:rPr>
          <w:color w:val="232323"/>
          <w:spacing w:val="-7"/>
          <w:w w:val="105"/>
        </w:rPr>
        <w:t> </w:t>
      </w:r>
      <w:r>
        <w:rPr>
          <w:color w:val="232323"/>
          <w:w w:val="105"/>
        </w:rPr>
        <w:t>improve</w:t>
      </w:r>
      <w:r>
        <w:rPr>
          <w:color w:val="232323"/>
          <w:spacing w:val="-4"/>
          <w:w w:val="105"/>
        </w:rPr>
        <w:t> </w:t>
      </w:r>
      <w:r>
        <w:rPr>
          <w:color w:val="232323"/>
          <w:w w:val="105"/>
        </w:rPr>
        <w:t>integrated care</w:t>
      </w:r>
      <w:r>
        <w:rPr>
          <w:color w:val="232323"/>
          <w:spacing w:val="-13"/>
          <w:w w:val="105"/>
        </w:rPr>
        <w:t> </w:t>
      </w:r>
      <w:r>
        <w:rPr>
          <w:color w:val="232323"/>
          <w:w w:val="105"/>
        </w:rPr>
        <w:t>options</w:t>
      </w:r>
      <w:r>
        <w:rPr>
          <w:color w:val="232323"/>
          <w:spacing w:val="-13"/>
          <w:w w:val="105"/>
        </w:rPr>
        <w:t> </w:t>
      </w:r>
      <w:r>
        <w:rPr>
          <w:color w:val="232323"/>
          <w:w w:val="105"/>
        </w:rPr>
        <w:t>for our</w:t>
      </w:r>
      <w:r>
        <w:rPr>
          <w:color w:val="232323"/>
          <w:spacing w:val="-20"/>
          <w:w w:val="105"/>
        </w:rPr>
        <w:t> </w:t>
      </w:r>
      <w:r>
        <w:rPr>
          <w:color w:val="232323"/>
          <w:w w:val="105"/>
        </w:rPr>
        <w:t>most</w:t>
      </w:r>
      <w:r>
        <w:rPr>
          <w:color w:val="232323"/>
          <w:spacing w:val="-18"/>
          <w:w w:val="105"/>
        </w:rPr>
        <w:t> </w:t>
      </w:r>
      <w:r>
        <w:rPr>
          <w:color w:val="232323"/>
          <w:w w:val="105"/>
        </w:rPr>
        <w:t>vulnerable</w:t>
      </w:r>
      <w:r>
        <w:rPr>
          <w:color w:val="232323"/>
          <w:spacing w:val="-16"/>
          <w:w w:val="105"/>
        </w:rPr>
        <w:t> </w:t>
      </w:r>
      <w:r>
        <w:rPr>
          <w:color w:val="232323"/>
          <w:w w:val="105"/>
        </w:rPr>
        <w:t>members.</w:t>
      </w:r>
    </w:p>
    <w:p>
      <w:pPr>
        <w:pStyle w:val="BodyText"/>
        <w:spacing w:before="8"/>
      </w:pPr>
      <w:r>
        <w:rPr/>
        <w:drawing>
          <wp:anchor distT="0" distB="0" distL="0" distR="0" allowOverlap="1" layoutInCell="1" locked="0" behindDoc="0" simplePos="0" relativeHeight="1168">
            <wp:simplePos x="0" y="0"/>
            <wp:positionH relativeFrom="page">
              <wp:posOffset>890016</wp:posOffset>
            </wp:positionH>
            <wp:positionV relativeFrom="paragraph">
              <wp:posOffset>197833</wp:posOffset>
            </wp:positionV>
            <wp:extent cx="1743455" cy="64617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743455" cy="646176"/>
                    </a:xfrm>
                    <a:prstGeom prst="rect">
                      <a:avLst/>
                    </a:prstGeom>
                  </pic:spPr>
                </pic:pic>
              </a:graphicData>
            </a:graphic>
          </wp:anchor>
        </w:drawing>
      </w:r>
    </w:p>
    <w:p>
      <w:pPr>
        <w:pStyle w:val="BodyText"/>
        <w:spacing w:before="23"/>
        <w:ind w:left="109"/>
      </w:pPr>
      <w:r>
        <w:rPr>
          <w:color w:val="232323"/>
          <w:w w:val="105"/>
        </w:rPr>
        <w:t>Daniel Tsai</w:t>
      </w:r>
    </w:p>
    <w:p>
      <w:pPr>
        <w:pStyle w:val="BodyText"/>
        <w:spacing w:before="8"/>
        <w:ind w:left="106"/>
      </w:pPr>
      <w:r>
        <w:rPr/>
        <w:pict>
          <v:line style="position:absolute;mso-position-horizontal-relative:page;mso-position-vertical-relative:paragraph;z-index:1192" from="608.170471pt,476.652036pt" to="608.170471pt,58.598736pt" stroked="true" strokeweight=".718029pt" strokecolor="#cfcfcf">
            <v:stroke dashstyle="solid"/>
            <w10:wrap type="none"/>
          </v:line>
        </w:pict>
      </w:r>
      <w:r>
        <w:rPr>
          <w:color w:val="232323"/>
          <w:w w:val="105"/>
        </w:rPr>
        <w:t>Assistant Secretary for MassHealth</w:t>
      </w:r>
    </w:p>
    <w:sectPr>
      <w:pgSz w:w="12240" w:h="15840"/>
      <w:pgMar w:header="0" w:footer="438" w:top="80" w:bottom="62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9"/>
      </w:rPr>
    </w:pPr>
    <w:r>
      <w:rPr/>
      <w:pict>
        <v:shapetype id="_x0000_t202" o:spt="202" coordsize="21600,21600" path="m,l,21600r21600,l21600,xe">
          <v:stroke joinstyle="miter"/>
          <v:path gradientshapeok="t" o:connecttype="rect"/>
        </v:shapetype>
        <v:shape style="position:absolute;margin-left:296.758698pt;margin-top:752.961853pt;width:11.25pt;height:19.8pt;mso-position-horizontal-relative:page;mso-position-vertical-relative:page;z-index:-4168" type="#_x0000_t202" filled="false" stroked="false">
          <v:textbox inset="0,0,0,0">
            <w:txbxContent>
              <w:p>
                <w:pPr>
                  <w:spacing w:before="134"/>
                  <w:ind w:left="40" w:right="0" w:firstLine="0"/>
                  <w:jc w:val="left"/>
                  <w:rPr>
                    <w:sz w:val="21"/>
                  </w:rPr>
                </w:pPr>
                <w:r>
                  <w:rPr/>
                  <w:fldChar w:fldCharType="begin"/>
                </w:r>
                <w:r>
                  <w:rPr>
                    <w:color w:val="232323"/>
                    <w:w w:val="107"/>
                    <w:sz w:val="21"/>
                  </w:rPr>
                  <w:instrText> PAGE </w:instrText>
                </w:r>
                <w:r>
                  <w:rPr/>
                  <w:fldChar w:fldCharType="separate"/>
                </w:r>
                <w:r>
                  <w:rPr/>
                  <w:t>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 TargetMode="External"/><Relationship Id="rId8" Type="http://schemas.openxmlformats.org/officeDocument/2006/relationships/footer" Target="footer1.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2018-06-12T23:37:50Z</dcterms:created>
  <dcterms:modified xsi:type="dcterms:W3CDTF">2018-06-12T23:37:50Z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C6004</vt:lpwstr>
  </property>
  <property fmtid="{D5CDD505-2E9C-101B-9397-08002B2CF9AE}" pid="4" name="LastSaved">
    <vt:filetime>2018-06-13T00:00:00Z</vt:filetime>
  </property>
</Properties>
</file>