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EA6" w:rsidRDefault="00530375">
      <w:pPr>
        <w:pStyle w:val="Heading1"/>
      </w:pPr>
      <w:r>
        <w:t xml:space="preserve">Submitted electronically to </w:t>
      </w:r>
      <w:hyperlink r:id="rId7">
        <w:r>
          <w:rPr>
            <w:u w:val="single"/>
          </w:rPr>
          <w:t>https://www.regulations.gov/</w:t>
        </w:r>
      </w:hyperlink>
      <w:r>
        <w:t>, Docket Number “CMS-2017-0163”</w:t>
      </w:r>
    </w:p>
    <w:p w:rsidR="00773EA6" w:rsidRDefault="00530375">
      <w:pPr>
        <w:ind w:left="100"/>
        <w:rPr>
          <w:i/>
        </w:rPr>
      </w:pPr>
      <w:r>
        <w:rPr>
          <w:i/>
        </w:rPr>
        <w:t>Comments and Proposals from the Puerto Rico Healthcare Community</w:t>
      </w:r>
    </w:p>
    <w:p w:rsidR="00773EA6" w:rsidRDefault="00530375">
      <w:pPr>
        <w:ind w:left="100"/>
        <w:rPr>
          <w:i/>
        </w:rPr>
      </w:pPr>
      <w:r>
        <w:t xml:space="preserve">To the </w:t>
      </w:r>
      <w:r>
        <w:rPr>
          <w:i/>
        </w:rPr>
        <w:t>CMS Part C &amp;</w:t>
      </w:r>
      <w:r>
        <w:rPr>
          <w:i/>
        </w:rPr>
        <w:t xml:space="preserve"> D Advance Notice and Draft Call Letter 2019</w:t>
      </w:r>
    </w:p>
    <w:p w:rsidR="00773EA6" w:rsidRDefault="00773EA6">
      <w:pPr>
        <w:pStyle w:val="BodyText"/>
        <w:rPr>
          <w:i/>
        </w:rPr>
      </w:pPr>
    </w:p>
    <w:p w:rsidR="00773EA6" w:rsidRDefault="00530375">
      <w:pPr>
        <w:pStyle w:val="BodyText"/>
        <w:ind w:left="100"/>
      </w:pPr>
      <w:r>
        <w:t>March 5, 2018</w:t>
      </w:r>
    </w:p>
    <w:p w:rsidR="00773EA6" w:rsidRDefault="00773EA6">
      <w:pPr>
        <w:pStyle w:val="BodyText"/>
        <w:spacing w:before="10"/>
        <w:rPr>
          <w:sz w:val="21"/>
        </w:rPr>
      </w:pPr>
    </w:p>
    <w:p w:rsidR="00773EA6" w:rsidRDefault="00530375">
      <w:pPr>
        <w:pStyle w:val="BodyText"/>
        <w:ind w:left="100"/>
      </w:pPr>
      <w:r>
        <w:t>The Honorable Alex Azar</w:t>
      </w:r>
    </w:p>
    <w:p w:rsidR="00773EA6" w:rsidRDefault="00530375">
      <w:pPr>
        <w:pStyle w:val="BodyText"/>
        <w:ind w:left="100" w:right="3886"/>
      </w:pPr>
      <w:r>
        <w:t>Secretary of the US Department of Health and Human Services 200 Independence Avenue, S.W. Washington, D.C. 20201</w:t>
      </w:r>
    </w:p>
    <w:p w:rsidR="00773EA6" w:rsidRDefault="00773EA6">
      <w:pPr>
        <w:pStyle w:val="BodyText"/>
      </w:pPr>
    </w:p>
    <w:p w:rsidR="00773EA6" w:rsidRDefault="00530375">
      <w:pPr>
        <w:pStyle w:val="BodyText"/>
        <w:ind w:left="100"/>
      </w:pPr>
      <w:r>
        <w:t>cc/ Seema Verma, CMS Administrator</w:t>
      </w:r>
    </w:p>
    <w:p w:rsidR="00773EA6" w:rsidRDefault="00530375">
      <w:pPr>
        <w:pStyle w:val="BodyText"/>
        <w:ind w:left="100"/>
      </w:pPr>
      <w:r>
        <w:t>Demetrios Kouzoukas, P</w:t>
      </w:r>
      <w:r>
        <w:t>rincipal Deputy Administrator for Medicare and Director</w:t>
      </w:r>
    </w:p>
    <w:p w:rsidR="00773EA6" w:rsidRDefault="00530375">
      <w:pPr>
        <w:pStyle w:val="BodyText"/>
        <w:ind w:left="100"/>
      </w:pPr>
      <w:r>
        <w:t>Jennifer Wuggazer Lazio, F.S.A., M.A.A.A., Director of the Part C &amp; D Actuarial Group, OACT</w:t>
      </w:r>
    </w:p>
    <w:p w:rsidR="00773EA6" w:rsidRDefault="00530375">
      <w:pPr>
        <w:pStyle w:val="BodyText"/>
        <w:spacing w:before="6"/>
        <w:rPr>
          <w:sz w:val="20"/>
        </w:rPr>
      </w:pPr>
      <w:r>
        <w:pict>
          <v:shapetype id="_x0000_t202" coordsize="21600,21600" o:spt="202" path="m,l,21600r21600,l21600,xe">
            <v:stroke joinstyle="miter"/>
            <v:path gradientshapeok="t" o:connecttype="rect"/>
          </v:shapetype>
          <v:shape id="_x0000_s1026" type="#_x0000_t202" style="position:absolute;margin-left:76.1pt;margin-top:14.9pt;width:465pt;height:54.75pt;z-index:251670528;mso-wrap-distance-left:0;mso-wrap-distance-right:0;mso-position-horizontal-relative:page" filled="f" strokeweight=".72pt">
            <v:textbox inset="0,0,0,0">
              <w:txbxContent>
                <w:p w:rsidR="00773EA6" w:rsidRDefault="00530375">
                  <w:pPr>
                    <w:spacing w:before="72" w:line="292" w:lineRule="exact"/>
                    <w:ind w:left="346" w:right="347"/>
                    <w:jc w:val="center"/>
                    <w:rPr>
                      <w:b/>
                      <w:sz w:val="24"/>
                    </w:rPr>
                  </w:pPr>
                  <w:r>
                    <w:rPr>
                      <w:b/>
                      <w:sz w:val="24"/>
                    </w:rPr>
                    <w:t>The Puerto Rico Healthcare Community</w:t>
                  </w:r>
                </w:p>
                <w:p w:rsidR="00773EA6" w:rsidRDefault="00530375">
                  <w:pPr>
                    <w:spacing w:line="259" w:lineRule="auto"/>
                    <w:ind w:left="346" w:right="352"/>
                    <w:jc w:val="center"/>
                    <w:rPr>
                      <w:b/>
                      <w:sz w:val="24"/>
                    </w:rPr>
                  </w:pPr>
                  <w:r>
                    <w:rPr>
                      <w:b/>
                      <w:sz w:val="24"/>
                    </w:rPr>
                    <w:t xml:space="preserve">Requests CMS to consider urgent and critical policy adjustments to </w:t>
                  </w:r>
                  <w:r>
                    <w:rPr>
                      <w:b/>
                      <w:sz w:val="24"/>
                    </w:rPr>
                    <w:t>assure appropriate Medicare Advantage funding for 2019</w:t>
                  </w:r>
                </w:p>
              </w:txbxContent>
            </v:textbox>
            <w10:wrap type="topAndBottom" anchorx="page"/>
          </v:shape>
        </w:pict>
      </w:r>
    </w:p>
    <w:p w:rsidR="00773EA6" w:rsidRDefault="00773EA6">
      <w:pPr>
        <w:pStyle w:val="BodyText"/>
      </w:pPr>
    </w:p>
    <w:p w:rsidR="00773EA6" w:rsidRDefault="00773EA6">
      <w:pPr>
        <w:pStyle w:val="BodyText"/>
        <w:spacing w:before="7"/>
        <w:rPr>
          <w:sz w:val="19"/>
        </w:rPr>
      </w:pPr>
    </w:p>
    <w:p w:rsidR="00773EA6" w:rsidRDefault="00530375">
      <w:pPr>
        <w:pStyle w:val="BodyText"/>
        <w:ind w:left="100" w:right="132" w:firstLine="719"/>
        <w:jc w:val="both"/>
      </w:pPr>
      <w:r>
        <w:t>The</w:t>
      </w:r>
      <w:r>
        <w:rPr>
          <w:spacing w:val="-6"/>
        </w:rPr>
        <w:t xml:space="preserve"> </w:t>
      </w:r>
      <w:r>
        <w:rPr>
          <w:i/>
        </w:rPr>
        <w:t>Puerto</w:t>
      </w:r>
      <w:r>
        <w:rPr>
          <w:i/>
          <w:spacing w:val="-7"/>
        </w:rPr>
        <w:t xml:space="preserve"> </w:t>
      </w:r>
      <w:r>
        <w:rPr>
          <w:i/>
        </w:rPr>
        <w:t>Rico</w:t>
      </w:r>
      <w:r>
        <w:rPr>
          <w:i/>
          <w:spacing w:val="-7"/>
        </w:rPr>
        <w:t xml:space="preserve"> </w:t>
      </w:r>
      <w:r>
        <w:rPr>
          <w:i/>
        </w:rPr>
        <w:t>Healthcare</w:t>
      </w:r>
      <w:r>
        <w:rPr>
          <w:i/>
          <w:spacing w:val="-8"/>
        </w:rPr>
        <w:t xml:space="preserve"> </w:t>
      </w:r>
      <w:r>
        <w:rPr>
          <w:i/>
        </w:rPr>
        <w:t>Community</w:t>
      </w:r>
      <w:r>
        <w:rPr>
          <w:i/>
          <w:spacing w:val="-7"/>
        </w:rPr>
        <w:t xml:space="preserve"> </w:t>
      </w:r>
      <w:r>
        <w:t>(“the</w:t>
      </w:r>
      <w:r>
        <w:rPr>
          <w:spacing w:val="-9"/>
        </w:rPr>
        <w:t xml:space="preserve"> </w:t>
      </w:r>
      <w:r>
        <w:t>Community”)</w:t>
      </w:r>
      <w:r>
        <w:rPr>
          <w:spacing w:val="-6"/>
        </w:rPr>
        <w:t xml:space="preserve"> </w:t>
      </w:r>
      <w:r>
        <w:t>acknowledges</w:t>
      </w:r>
      <w:r>
        <w:rPr>
          <w:spacing w:val="-6"/>
        </w:rPr>
        <w:t xml:space="preserve"> </w:t>
      </w:r>
      <w:r>
        <w:t>the</w:t>
      </w:r>
      <w:r>
        <w:rPr>
          <w:spacing w:val="-9"/>
        </w:rPr>
        <w:t xml:space="preserve"> </w:t>
      </w:r>
      <w:r>
        <w:t>attention</w:t>
      </w:r>
      <w:r>
        <w:rPr>
          <w:spacing w:val="-7"/>
        </w:rPr>
        <w:t xml:space="preserve"> </w:t>
      </w:r>
      <w:r>
        <w:t>and</w:t>
      </w:r>
      <w:r>
        <w:rPr>
          <w:spacing w:val="-7"/>
        </w:rPr>
        <w:t xml:space="preserve"> </w:t>
      </w:r>
      <w:r>
        <w:t>work that CMS staff and HHS leadership have devoted to the unique case of Puerto Rico and the Medicare Advantage</w:t>
      </w:r>
      <w:r>
        <w:rPr>
          <w:spacing w:val="-13"/>
        </w:rPr>
        <w:t xml:space="preserve"> </w:t>
      </w:r>
      <w:r>
        <w:t>(MA)</w:t>
      </w:r>
      <w:r>
        <w:rPr>
          <w:spacing w:val="-13"/>
        </w:rPr>
        <w:t xml:space="preserve"> </w:t>
      </w:r>
      <w:r>
        <w:t>and</w:t>
      </w:r>
      <w:r>
        <w:rPr>
          <w:spacing w:val="-11"/>
        </w:rPr>
        <w:t xml:space="preserve"> </w:t>
      </w:r>
      <w:r>
        <w:t>Part</w:t>
      </w:r>
      <w:r>
        <w:rPr>
          <w:spacing w:val="-13"/>
        </w:rPr>
        <w:t xml:space="preserve"> </w:t>
      </w:r>
      <w:r>
        <w:t>D</w:t>
      </w:r>
      <w:r>
        <w:rPr>
          <w:spacing w:val="-12"/>
        </w:rPr>
        <w:t xml:space="preserve"> </w:t>
      </w:r>
      <w:r>
        <w:t>programs</w:t>
      </w:r>
      <w:r>
        <w:rPr>
          <w:spacing w:val="-13"/>
        </w:rPr>
        <w:t xml:space="preserve"> </w:t>
      </w:r>
      <w:r>
        <w:t>in</w:t>
      </w:r>
      <w:r>
        <w:rPr>
          <w:spacing w:val="-10"/>
        </w:rPr>
        <w:t xml:space="preserve"> </w:t>
      </w:r>
      <w:r>
        <w:t>recent</w:t>
      </w:r>
      <w:r>
        <w:rPr>
          <w:spacing w:val="-13"/>
        </w:rPr>
        <w:t xml:space="preserve"> </w:t>
      </w:r>
      <w:r>
        <w:t>years.</w:t>
      </w:r>
      <w:r>
        <w:rPr>
          <w:spacing w:val="26"/>
        </w:rPr>
        <w:t xml:space="preserve"> </w:t>
      </w:r>
      <w:r>
        <w:t>However,</w:t>
      </w:r>
      <w:r>
        <w:rPr>
          <w:spacing w:val="-10"/>
        </w:rPr>
        <w:t xml:space="preserve"> </w:t>
      </w:r>
      <w:r>
        <w:t>the</w:t>
      </w:r>
      <w:r>
        <w:rPr>
          <w:spacing w:val="-13"/>
        </w:rPr>
        <w:t xml:space="preserve"> </w:t>
      </w:r>
      <w:r>
        <w:t>steps</w:t>
      </w:r>
      <w:r>
        <w:rPr>
          <w:spacing w:val="-11"/>
        </w:rPr>
        <w:t xml:space="preserve"> </w:t>
      </w:r>
      <w:r>
        <w:t>taken</w:t>
      </w:r>
      <w:r>
        <w:rPr>
          <w:spacing w:val="-11"/>
        </w:rPr>
        <w:t xml:space="preserve"> </w:t>
      </w:r>
      <w:r>
        <w:t>are</w:t>
      </w:r>
      <w:r>
        <w:rPr>
          <w:spacing w:val="-10"/>
        </w:rPr>
        <w:t xml:space="preserve"> </w:t>
      </w:r>
      <w:r>
        <w:t>insufficient</w:t>
      </w:r>
      <w:r>
        <w:rPr>
          <w:spacing w:val="-12"/>
        </w:rPr>
        <w:t xml:space="preserve"> </w:t>
      </w:r>
      <w:r>
        <w:t>to</w:t>
      </w:r>
      <w:r>
        <w:rPr>
          <w:spacing w:val="-9"/>
        </w:rPr>
        <w:t xml:space="preserve"> </w:t>
      </w:r>
      <w:r>
        <w:t>address clear</w:t>
      </w:r>
      <w:r>
        <w:rPr>
          <w:spacing w:val="-4"/>
        </w:rPr>
        <w:t xml:space="preserve"> </w:t>
      </w:r>
      <w:r>
        <w:t>foundational</w:t>
      </w:r>
      <w:r>
        <w:rPr>
          <w:spacing w:val="-6"/>
        </w:rPr>
        <w:t xml:space="preserve"> </w:t>
      </w:r>
      <w:r>
        <w:t>problems</w:t>
      </w:r>
      <w:r>
        <w:rPr>
          <w:spacing w:val="-4"/>
        </w:rPr>
        <w:t xml:space="preserve"> </w:t>
      </w:r>
      <w:r>
        <w:t>and</w:t>
      </w:r>
      <w:r>
        <w:rPr>
          <w:spacing w:val="-4"/>
        </w:rPr>
        <w:t xml:space="preserve"> </w:t>
      </w:r>
      <w:r>
        <w:t>the</w:t>
      </w:r>
      <w:r>
        <w:rPr>
          <w:spacing w:val="-6"/>
        </w:rPr>
        <w:t xml:space="preserve"> </w:t>
      </w:r>
      <w:r>
        <w:t>increasing</w:t>
      </w:r>
      <w:r>
        <w:rPr>
          <w:spacing w:val="-4"/>
        </w:rPr>
        <w:t xml:space="preserve"> </w:t>
      </w:r>
      <w:r>
        <w:t>disparity</w:t>
      </w:r>
      <w:r>
        <w:rPr>
          <w:spacing w:val="-3"/>
        </w:rPr>
        <w:t xml:space="preserve"> </w:t>
      </w:r>
      <w:r>
        <w:t>in</w:t>
      </w:r>
      <w:r>
        <w:rPr>
          <w:spacing w:val="-6"/>
        </w:rPr>
        <w:t xml:space="preserve"> </w:t>
      </w:r>
      <w:r>
        <w:t>Puerto</w:t>
      </w:r>
      <w:r>
        <w:rPr>
          <w:spacing w:val="-4"/>
        </w:rPr>
        <w:t xml:space="preserve"> </w:t>
      </w:r>
      <w:r>
        <w:t>Rico’s</w:t>
      </w:r>
      <w:r>
        <w:rPr>
          <w:spacing w:val="-5"/>
        </w:rPr>
        <w:t xml:space="preserve"> </w:t>
      </w:r>
      <w:r>
        <w:t>MA</w:t>
      </w:r>
      <w:r>
        <w:rPr>
          <w:spacing w:val="-6"/>
        </w:rPr>
        <w:t xml:space="preserve"> </w:t>
      </w:r>
      <w:r>
        <w:t>funding.</w:t>
      </w:r>
      <w:r>
        <w:rPr>
          <w:spacing w:val="-4"/>
        </w:rPr>
        <w:t xml:space="preserve"> </w:t>
      </w:r>
      <w:r>
        <w:t>The</w:t>
      </w:r>
      <w:r>
        <w:rPr>
          <w:spacing w:val="-4"/>
        </w:rPr>
        <w:t xml:space="preserve"> </w:t>
      </w:r>
      <w:r>
        <w:t>comments</w:t>
      </w:r>
      <w:r>
        <w:rPr>
          <w:spacing w:val="-6"/>
        </w:rPr>
        <w:t xml:space="preserve"> </w:t>
      </w:r>
      <w:r>
        <w:t>and proposals outlined below recognize some positive elements included in the Advance Notice 2019, but most</w:t>
      </w:r>
      <w:r>
        <w:rPr>
          <w:spacing w:val="-8"/>
        </w:rPr>
        <w:t xml:space="preserve"> </w:t>
      </w:r>
      <w:r>
        <w:t>importantly</w:t>
      </w:r>
      <w:r>
        <w:rPr>
          <w:spacing w:val="-8"/>
        </w:rPr>
        <w:t xml:space="preserve"> </w:t>
      </w:r>
      <w:r>
        <w:t>reiterate</w:t>
      </w:r>
      <w:r>
        <w:rPr>
          <w:spacing w:val="-10"/>
        </w:rPr>
        <w:t xml:space="preserve"> </w:t>
      </w:r>
      <w:r>
        <w:t>the</w:t>
      </w:r>
      <w:r>
        <w:rPr>
          <w:spacing w:val="-7"/>
        </w:rPr>
        <w:t xml:space="preserve"> </w:t>
      </w:r>
      <w:r>
        <w:t>urgent</w:t>
      </w:r>
      <w:r>
        <w:rPr>
          <w:spacing w:val="-8"/>
        </w:rPr>
        <w:t xml:space="preserve"> </w:t>
      </w:r>
      <w:r>
        <w:t>need</w:t>
      </w:r>
      <w:r>
        <w:rPr>
          <w:spacing w:val="-9"/>
        </w:rPr>
        <w:t xml:space="preserve"> </w:t>
      </w:r>
      <w:r>
        <w:t>to</w:t>
      </w:r>
      <w:r>
        <w:rPr>
          <w:spacing w:val="-7"/>
        </w:rPr>
        <w:t xml:space="preserve"> </w:t>
      </w:r>
      <w:r>
        <w:t>finalize</w:t>
      </w:r>
      <w:r>
        <w:rPr>
          <w:spacing w:val="-10"/>
        </w:rPr>
        <w:t xml:space="preserve"> </w:t>
      </w:r>
      <w:r>
        <w:t>meaningful</w:t>
      </w:r>
      <w:r>
        <w:rPr>
          <w:spacing w:val="-7"/>
        </w:rPr>
        <w:t xml:space="preserve"> </w:t>
      </w:r>
      <w:r>
        <w:t>policies</w:t>
      </w:r>
      <w:r>
        <w:rPr>
          <w:spacing w:val="-8"/>
        </w:rPr>
        <w:t xml:space="preserve"> </w:t>
      </w:r>
      <w:r>
        <w:t>in</w:t>
      </w:r>
      <w:r>
        <w:rPr>
          <w:spacing w:val="-9"/>
        </w:rPr>
        <w:t xml:space="preserve"> </w:t>
      </w:r>
      <w:r>
        <w:t>the</w:t>
      </w:r>
      <w:r>
        <w:rPr>
          <w:spacing w:val="-8"/>
        </w:rPr>
        <w:t xml:space="preserve"> </w:t>
      </w:r>
      <w:r>
        <w:t>Final</w:t>
      </w:r>
      <w:r>
        <w:rPr>
          <w:spacing w:val="-7"/>
        </w:rPr>
        <w:t xml:space="preserve"> </w:t>
      </w:r>
      <w:r>
        <w:t>Announcement</w:t>
      </w:r>
      <w:r>
        <w:rPr>
          <w:spacing w:val="-8"/>
        </w:rPr>
        <w:t xml:space="preserve"> </w:t>
      </w:r>
      <w:r>
        <w:t>and Call Letter to be released next April 2</w:t>
      </w:r>
      <w:r>
        <w:rPr>
          <w:position w:val="8"/>
          <w:sz w:val="14"/>
        </w:rPr>
        <w:t>nd</w:t>
      </w:r>
      <w:r>
        <w:t>,</w:t>
      </w:r>
      <w:r>
        <w:rPr>
          <w:spacing w:val="-13"/>
        </w:rPr>
        <w:t xml:space="preserve"> </w:t>
      </w:r>
      <w:r>
        <w:t>2018.</w:t>
      </w:r>
    </w:p>
    <w:p w:rsidR="00773EA6" w:rsidRDefault="00530375">
      <w:pPr>
        <w:pStyle w:val="BodyText"/>
        <w:spacing w:before="162" w:line="237" w:lineRule="auto"/>
        <w:ind w:left="100" w:right="133" w:firstLine="719"/>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8"/>
        </w:rPr>
        <w:t xml:space="preserve"> </w:t>
      </w:r>
      <w:r>
        <w:t>meaningful</w:t>
      </w:r>
      <w:r>
        <w:rPr>
          <w:spacing w:val="-4"/>
        </w:rPr>
        <w:t xml:space="preserve"> </w:t>
      </w:r>
      <w:r>
        <w:t>positive</w:t>
      </w:r>
      <w:r>
        <w:rPr>
          <w:spacing w:val="-5"/>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8"/>
        </w:rPr>
        <w:t xml:space="preserve"> </w:t>
      </w:r>
      <w:r>
        <w:t>Puert</w:t>
      </w:r>
      <w:r>
        <w:t>o</w:t>
      </w:r>
      <w:r>
        <w:rPr>
          <w:spacing w:val="-4"/>
        </w:rPr>
        <w:t xml:space="preserve"> </w:t>
      </w:r>
      <w:r>
        <w:t>Rico</w:t>
      </w:r>
      <w:r>
        <w:rPr>
          <w:spacing w:val="-4"/>
        </w:rPr>
        <w:t xml:space="preserve"> </w:t>
      </w:r>
      <w:r>
        <w:t>counties</w:t>
      </w:r>
      <w:r>
        <w:rPr>
          <w:spacing w:val="-4"/>
        </w:rPr>
        <w:t xml:space="preserve"> </w:t>
      </w:r>
      <w:r>
        <w:t>in</w:t>
      </w:r>
      <w:r>
        <w:rPr>
          <w:spacing w:val="-7"/>
        </w:rPr>
        <w:t xml:space="preserve"> </w:t>
      </w:r>
      <w:r>
        <w:t>2019.</w:t>
      </w:r>
      <w:r>
        <w:rPr>
          <w:spacing w:val="-6"/>
        </w:rPr>
        <w:t xml:space="preserve"> </w:t>
      </w:r>
      <w:r>
        <w:t>These</w:t>
      </w:r>
      <w:r>
        <w:rPr>
          <w:spacing w:val="-5"/>
        </w:rPr>
        <w:t xml:space="preserve"> </w:t>
      </w:r>
      <w:r>
        <w:t>include an</w:t>
      </w:r>
      <w:r>
        <w:rPr>
          <w:spacing w:val="-10"/>
        </w:rPr>
        <w:t xml:space="preserve"> </w:t>
      </w:r>
      <w:r>
        <w:t>“Emergency</w:t>
      </w:r>
      <w:r>
        <w:rPr>
          <w:spacing w:val="-11"/>
        </w:rPr>
        <w:t xml:space="preserve"> </w:t>
      </w:r>
      <w:r>
        <w:t>Letter”</w:t>
      </w:r>
      <w:r>
        <w:rPr>
          <w:spacing w:val="-8"/>
        </w:rPr>
        <w:t xml:space="preserve"> </w:t>
      </w:r>
      <w:r>
        <w:t>sent</w:t>
      </w:r>
      <w:r>
        <w:rPr>
          <w:spacing w:val="-11"/>
        </w:rPr>
        <w:t xml:space="preserve"> </w:t>
      </w:r>
      <w:r>
        <w:t>to</w:t>
      </w:r>
      <w:r>
        <w:rPr>
          <w:spacing w:val="-7"/>
        </w:rPr>
        <w:t xml:space="preserve"> </w:t>
      </w:r>
      <w:r>
        <w:t>CMS</w:t>
      </w:r>
      <w:r>
        <w:rPr>
          <w:spacing w:val="-10"/>
        </w:rPr>
        <w:t xml:space="preserve"> </w:t>
      </w:r>
      <w:r>
        <w:t>Administrator,</w:t>
      </w:r>
      <w:r>
        <w:rPr>
          <w:spacing w:val="-9"/>
        </w:rPr>
        <w:t xml:space="preserve"> </w:t>
      </w:r>
      <w:r>
        <w:t>Seema</w:t>
      </w:r>
      <w:r>
        <w:rPr>
          <w:spacing w:val="-9"/>
        </w:rPr>
        <w:t xml:space="preserve"> </w:t>
      </w:r>
      <w:r>
        <w:t>Verma,</w:t>
      </w:r>
      <w:r>
        <w:rPr>
          <w:spacing w:val="-11"/>
        </w:rPr>
        <w:t xml:space="preserve"> </w:t>
      </w:r>
      <w:r>
        <w:t>last</w:t>
      </w:r>
      <w:r>
        <w:rPr>
          <w:spacing w:val="-11"/>
        </w:rPr>
        <w:t xml:space="preserve"> </w:t>
      </w:r>
      <w:r>
        <w:t>October</w:t>
      </w:r>
      <w:r>
        <w:rPr>
          <w:spacing w:val="-11"/>
        </w:rPr>
        <w:t xml:space="preserve"> </w:t>
      </w:r>
      <w:r>
        <w:t>20</w:t>
      </w:r>
      <w:r>
        <w:rPr>
          <w:position w:val="8"/>
          <w:sz w:val="14"/>
        </w:rPr>
        <w:t>th</w:t>
      </w:r>
      <w:r>
        <w:t>,</w:t>
      </w:r>
      <w:r>
        <w:rPr>
          <w:spacing w:val="-9"/>
        </w:rPr>
        <w:t xml:space="preserve"> </w:t>
      </w:r>
      <w:r>
        <w:t>2017,</w:t>
      </w:r>
      <w:r>
        <w:rPr>
          <w:spacing w:val="-9"/>
        </w:rPr>
        <w:t xml:space="preserve"> </w:t>
      </w:r>
      <w:r>
        <w:t>and</w:t>
      </w:r>
      <w:r>
        <w:rPr>
          <w:spacing w:val="-10"/>
        </w:rPr>
        <w:t xml:space="preserve"> </w:t>
      </w:r>
      <w:r>
        <w:t>a</w:t>
      </w:r>
      <w:r>
        <w:rPr>
          <w:spacing w:val="-9"/>
        </w:rPr>
        <w:t xml:space="preserve"> </w:t>
      </w:r>
      <w:r>
        <w:t>letter</w:t>
      </w:r>
      <w:r>
        <w:rPr>
          <w:spacing w:val="-9"/>
        </w:rPr>
        <w:t xml:space="preserve"> </w:t>
      </w:r>
      <w:r>
        <w:t>and supporting</w:t>
      </w:r>
      <w:r>
        <w:rPr>
          <w:spacing w:val="-11"/>
        </w:rPr>
        <w:t xml:space="preserve"> </w:t>
      </w:r>
      <w:r>
        <w:t>package</w:t>
      </w:r>
      <w:r>
        <w:rPr>
          <w:spacing w:val="-13"/>
        </w:rPr>
        <w:t xml:space="preserve"> </w:t>
      </w:r>
      <w:r>
        <w:t>sent</w:t>
      </w:r>
      <w:r>
        <w:rPr>
          <w:spacing w:val="-10"/>
        </w:rPr>
        <w:t xml:space="preserve"> </w:t>
      </w:r>
      <w:r>
        <w:t>to</w:t>
      </w:r>
      <w:r>
        <w:rPr>
          <w:spacing w:val="-12"/>
        </w:rPr>
        <w:t xml:space="preserve"> </w:t>
      </w:r>
      <w:r>
        <w:t>CMS</w:t>
      </w:r>
      <w:r>
        <w:rPr>
          <w:spacing w:val="-11"/>
        </w:rPr>
        <w:t xml:space="preserve"> </w:t>
      </w:r>
      <w:r>
        <w:t>Deputy</w:t>
      </w:r>
      <w:r>
        <w:rPr>
          <w:spacing w:val="-12"/>
        </w:rPr>
        <w:t xml:space="preserve"> </w:t>
      </w:r>
      <w:r>
        <w:t>Principal</w:t>
      </w:r>
      <w:r>
        <w:rPr>
          <w:spacing w:val="-11"/>
        </w:rPr>
        <w:t xml:space="preserve"> </w:t>
      </w:r>
      <w:r>
        <w:t>Administrator</w:t>
      </w:r>
      <w:r>
        <w:rPr>
          <w:spacing w:val="-13"/>
        </w:rPr>
        <w:t xml:space="preserve"> </w:t>
      </w:r>
      <w:r>
        <w:t>Demetrios</w:t>
      </w:r>
      <w:r>
        <w:rPr>
          <w:spacing w:val="-10"/>
        </w:rPr>
        <w:t xml:space="preserve"> </w:t>
      </w:r>
      <w:r>
        <w:t>Kouzoukas</w:t>
      </w:r>
      <w:r>
        <w:rPr>
          <w:spacing w:val="-10"/>
        </w:rPr>
        <w:t xml:space="preserve"> </w:t>
      </w:r>
      <w:r>
        <w:t>last</w:t>
      </w:r>
      <w:r>
        <w:rPr>
          <w:spacing w:val="-11"/>
        </w:rPr>
        <w:t xml:space="preserve"> </w:t>
      </w:r>
      <w:r>
        <w:t>November</w:t>
      </w:r>
      <w:r>
        <w:rPr>
          <w:spacing w:val="-13"/>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 (December 22</w:t>
      </w:r>
      <w:r>
        <w:rPr>
          <w:position w:val="8"/>
          <w:sz w:val="14"/>
        </w:rPr>
        <w:t>nd</w:t>
      </w:r>
      <w:r>
        <w:t>, 2017), and the Governor o</w:t>
      </w:r>
      <w:r>
        <w:t>f Puerto Rico Ricardo Rosselló (January 5</w:t>
      </w:r>
      <w:r>
        <w:rPr>
          <w:position w:val="8"/>
          <w:sz w:val="14"/>
        </w:rPr>
        <w:t>th</w:t>
      </w:r>
      <w:r>
        <w:t>,</w:t>
      </w:r>
      <w:r>
        <w:rPr>
          <w:spacing w:val="-29"/>
        </w:rPr>
        <w:t xml:space="preserve"> </w:t>
      </w:r>
      <w:r>
        <w:t>2018).</w:t>
      </w:r>
    </w:p>
    <w:p w:rsidR="00773EA6" w:rsidRDefault="00530375">
      <w:pPr>
        <w:pStyle w:val="BodyText"/>
        <w:spacing w:before="161"/>
        <w:ind w:left="100" w:right="134" w:firstLine="719"/>
        <w:jc w:val="both"/>
      </w:pPr>
      <w:r>
        <w:t>All</w:t>
      </w:r>
      <w:r>
        <w:rPr>
          <w:spacing w:val="-14"/>
        </w:rPr>
        <w:t xml:space="preserve"> </w:t>
      </w:r>
      <w:r>
        <w:t>these</w:t>
      </w:r>
      <w:r>
        <w:rPr>
          <w:spacing w:val="-16"/>
        </w:rPr>
        <w:t xml:space="preserve"> </w:t>
      </w:r>
      <w:r>
        <w:t>communications</w:t>
      </w:r>
      <w:r>
        <w:rPr>
          <w:spacing w:val="-14"/>
        </w:rPr>
        <w:t xml:space="preserve"> </w:t>
      </w:r>
      <w:r>
        <w:t>have</w:t>
      </w:r>
      <w:r>
        <w:rPr>
          <w:spacing w:val="23"/>
        </w:rPr>
        <w:t xml:space="preserve"> </w:t>
      </w:r>
      <w:r>
        <w:t>two</w:t>
      </w:r>
      <w:r>
        <w:rPr>
          <w:spacing w:val="-15"/>
        </w:rPr>
        <w:t xml:space="preserve"> </w:t>
      </w:r>
      <w:r>
        <w:t>points</w:t>
      </w:r>
      <w:r>
        <w:rPr>
          <w:spacing w:val="-16"/>
        </w:rPr>
        <w:t xml:space="preserve"> </w:t>
      </w:r>
      <w:r>
        <w:t>in</w:t>
      </w:r>
      <w:r>
        <w:rPr>
          <w:spacing w:val="-15"/>
        </w:rPr>
        <w:t xml:space="preserve"> </w:t>
      </w:r>
      <w:r>
        <w:t>common:</w:t>
      </w:r>
      <w:r>
        <w:rPr>
          <w:spacing w:val="-15"/>
        </w:rPr>
        <w:t xml:space="preserve"> </w:t>
      </w:r>
      <w:r>
        <w:t>(1)</w:t>
      </w:r>
      <w:r>
        <w:rPr>
          <w:spacing w:val="-16"/>
        </w:rPr>
        <w:t xml:space="preserve"> </w:t>
      </w:r>
      <w:r>
        <w:t>there</w:t>
      </w:r>
      <w:r>
        <w:rPr>
          <w:spacing w:val="-13"/>
        </w:rPr>
        <w:t xml:space="preserve"> </w:t>
      </w:r>
      <w:r>
        <w:t>is</w:t>
      </w:r>
      <w:r>
        <w:rPr>
          <w:spacing w:val="-16"/>
        </w:rPr>
        <w:t xml:space="preserve"> </w:t>
      </w:r>
      <w:r>
        <w:t>an</w:t>
      </w:r>
      <w:r>
        <w:rPr>
          <w:spacing w:val="-15"/>
        </w:rPr>
        <w:t xml:space="preserve"> </w:t>
      </w:r>
      <w:r>
        <w:t>anomalous</w:t>
      </w:r>
      <w:r>
        <w:rPr>
          <w:spacing w:val="-14"/>
        </w:rPr>
        <w:t xml:space="preserve"> </w:t>
      </w:r>
      <w:r>
        <w:t>historic</w:t>
      </w:r>
      <w:r>
        <w:rPr>
          <w:spacing w:val="-17"/>
        </w:rPr>
        <w:t xml:space="preserve"> </w:t>
      </w:r>
      <w:r>
        <w:t>situation that makes MA rates in Puerto Rico uniquely low, and (2) HHS and CMS should take immediate administrative a</w:t>
      </w:r>
      <w:r>
        <w:t>ction to make meaningful adjustments that can mitigate the harmful funding gap for MA in Puerto Rico. Historic statutory differences, along with market and data anomalies, are the primary causes of the deficient MA rates that persist</w:t>
      </w:r>
      <w:r>
        <w:rPr>
          <w:spacing w:val="-12"/>
        </w:rPr>
        <w:t xml:space="preserve"> </w:t>
      </w:r>
      <w:r>
        <w:t>today.</w:t>
      </w:r>
    </w:p>
    <w:p w:rsidR="00773EA6" w:rsidRDefault="00530375">
      <w:pPr>
        <w:pStyle w:val="Heading1"/>
        <w:spacing w:before="161"/>
      </w:pPr>
      <w:r>
        <w:t>Main Proposals:</w:t>
      </w:r>
    </w:p>
    <w:p w:rsidR="00773EA6" w:rsidRDefault="00773EA6">
      <w:pPr>
        <w:pStyle w:val="BodyText"/>
        <w:rPr>
          <w:b/>
        </w:rPr>
      </w:pPr>
    </w:p>
    <w:p w:rsidR="00773EA6" w:rsidRDefault="00530375">
      <w:pPr>
        <w:pStyle w:val="ListParagraph"/>
        <w:numPr>
          <w:ilvl w:val="0"/>
          <w:numId w:val="1"/>
        </w:numPr>
        <w:tabs>
          <w:tab w:val="left" w:pos="821"/>
        </w:tabs>
        <w:ind w:right="136"/>
        <w:jc w:val="both"/>
      </w:pPr>
      <w:r>
        <w:t>HHS and CMS should use administrative flexibility to meaningfully adjust MA rates in Puerto Rico for</w:t>
      </w:r>
      <w:r>
        <w:rPr>
          <w:spacing w:val="-7"/>
        </w:rPr>
        <w:t xml:space="preserve"> </w:t>
      </w:r>
      <w:r>
        <w:t>CY2019</w:t>
      </w:r>
      <w:r>
        <w:rPr>
          <w:spacing w:val="-6"/>
        </w:rPr>
        <w:t xml:space="preserve"> </w:t>
      </w:r>
      <w:r>
        <w:t>in</w:t>
      </w:r>
      <w:r>
        <w:rPr>
          <w:spacing w:val="-10"/>
        </w:rPr>
        <w:t xml:space="preserve"> </w:t>
      </w:r>
      <w:r>
        <w:t>the</w:t>
      </w:r>
      <w:r>
        <w:rPr>
          <w:spacing w:val="-9"/>
        </w:rPr>
        <w:t xml:space="preserve"> </w:t>
      </w:r>
      <w:r>
        <w:t>Final</w:t>
      </w:r>
      <w:r>
        <w:rPr>
          <w:spacing w:val="-7"/>
        </w:rPr>
        <w:t xml:space="preserve"> </w:t>
      </w:r>
      <w:r>
        <w:t>Announcement</w:t>
      </w:r>
      <w:r>
        <w:rPr>
          <w:spacing w:val="-9"/>
        </w:rPr>
        <w:t xml:space="preserve"> </w:t>
      </w:r>
      <w:r>
        <w:t>and</w:t>
      </w:r>
      <w:r>
        <w:rPr>
          <w:spacing w:val="-7"/>
        </w:rPr>
        <w:t xml:space="preserve"> </w:t>
      </w:r>
      <w:r>
        <w:t>Call</w:t>
      </w:r>
      <w:r>
        <w:rPr>
          <w:spacing w:val="-10"/>
        </w:rPr>
        <w:t xml:space="preserve"> </w:t>
      </w:r>
      <w:r>
        <w:t>Letter</w:t>
      </w:r>
      <w:r>
        <w:rPr>
          <w:spacing w:val="-9"/>
        </w:rPr>
        <w:t xml:space="preserve"> </w:t>
      </w:r>
      <w:r>
        <w:t>for</w:t>
      </w:r>
      <w:r>
        <w:rPr>
          <w:spacing w:val="-7"/>
        </w:rPr>
        <w:t xml:space="preserve"> </w:t>
      </w:r>
      <w:r>
        <w:t>CY2019,</w:t>
      </w:r>
      <w:r>
        <w:rPr>
          <w:spacing w:val="-9"/>
        </w:rPr>
        <w:t xml:space="preserve"> </w:t>
      </w:r>
      <w:r>
        <w:t>after</w:t>
      </w:r>
      <w:r>
        <w:rPr>
          <w:spacing w:val="-8"/>
        </w:rPr>
        <w:t xml:space="preserve"> </w:t>
      </w:r>
      <w:r>
        <w:t>recognizing</w:t>
      </w:r>
      <w:r>
        <w:rPr>
          <w:spacing w:val="-7"/>
        </w:rPr>
        <w:t xml:space="preserve"> </w:t>
      </w:r>
      <w:r>
        <w:t>new</w:t>
      </w:r>
      <w:r>
        <w:rPr>
          <w:spacing w:val="-8"/>
        </w:rPr>
        <w:t xml:space="preserve"> </w:t>
      </w:r>
      <w:r>
        <w:t>evidence of data anomalies and the harmful effects of the recent natural</w:t>
      </w:r>
      <w:r>
        <w:rPr>
          <w:spacing w:val="-17"/>
        </w:rPr>
        <w:t xml:space="preserve"> </w:t>
      </w:r>
      <w:r>
        <w:t>disaster.</w:t>
      </w:r>
    </w:p>
    <w:p w:rsidR="00773EA6" w:rsidRDefault="00773EA6">
      <w:pPr>
        <w:jc w:val="both"/>
        <w:sectPr w:rsidR="00773EA6">
          <w:type w:val="continuous"/>
          <w:pgSz w:w="12240" w:h="15840"/>
          <w:pgMar w:top="1400" w:right="1300" w:bottom="280" w:left="1340" w:header="720" w:footer="720" w:gutter="0"/>
          <w:cols w:space="720"/>
        </w:sectPr>
      </w:pPr>
    </w:p>
    <w:p w:rsidR="00773EA6" w:rsidRDefault="00530375">
      <w:pPr>
        <w:pStyle w:val="ListParagraph"/>
        <w:numPr>
          <w:ilvl w:val="0"/>
          <w:numId w:val="1"/>
        </w:numPr>
        <w:tabs>
          <w:tab w:val="left" w:pos="821"/>
        </w:tabs>
        <w:spacing w:before="37" w:line="259" w:lineRule="auto"/>
        <w:ind w:right="113"/>
        <w:jc w:val="both"/>
      </w:pPr>
      <w:r>
        <w:lastRenderedPageBreak/>
        <w:t xml:space="preserve">HHS and CMS should establish a proxy methodology for the 2019 MA benchmark or a national floor for the Average Geographic Adjustment (AGA floor) of 0.70 for all </w:t>
      </w:r>
      <w:r>
        <w:t>counties in MA rate- setting. The latter would move PR counties to an AGA closer to other Caribbean Territories and protect all the counties in the Nation from cases of extremely low AGAs resulting from clear data deficiencies and fluctuations. Implementin</w:t>
      </w:r>
      <w:r>
        <w:t>g an AGA floor now will prevent further erosion and irreparable harm to the healthcare system. A similar approach should be used to calculate the ESRD</w:t>
      </w:r>
      <w:r>
        <w:rPr>
          <w:spacing w:val="-11"/>
        </w:rPr>
        <w:t xml:space="preserve"> </w:t>
      </w:r>
      <w:r>
        <w:t>benchmark</w:t>
      </w:r>
      <w:r>
        <w:rPr>
          <w:spacing w:val="-11"/>
        </w:rPr>
        <w:t xml:space="preserve"> </w:t>
      </w:r>
      <w:r>
        <w:t>to</w:t>
      </w:r>
      <w:r>
        <w:rPr>
          <w:spacing w:val="-13"/>
        </w:rPr>
        <w:t xml:space="preserve"> </w:t>
      </w:r>
      <w:r>
        <w:t>ensure</w:t>
      </w:r>
      <w:r>
        <w:rPr>
          <w:spacing w:val="-16"/>
        </w:rPr>
        <w:t xml:space="preserve"> </w:t>
      </w:r>
      <w:r>
        <w:t>resources</w:t>
      </w:r>
      <w:r>
        <w:rPr>
          <w:spacing w:val="-11"/>
        </w:rPr>
        <w:t xml:space="preserve"> </w:t>
      </w:r>
      <w:r>
        <w:t>are</w:t>
      </w:r>
      <w:r>
        <w:rPr>
          <w:spacing w:val="-11"/>
        </w:rPr>
        <w:t xml:space="preserve"> </w:t>
      </w:r>
      <w:r>
        <w:t>available</w:t>
      </w:r>
      <w:r>
        <w:rPr>
          <w:spacing w:val="-14"/>
        </w:rPr>
        <w:t xml:space="preserve"> </w:t>
      </w:r>
      <w:r>
        <w:t>to</w:t>
      </w:r>
      <w:r>
        <w:rPr>
          <w:spacing w:val="-10"/>
        </w:rPr>
        <w:t xml:space="preserve"> </w:t>
      </w:r>
      <w:r>
        <w:t>properly</w:t>
      </w:r>
      <w:r>
        <w:rPr>
          <w:spacing w:val="-13"/>
        </w:rPr>
        <w:t xml:space="preserve"> </w:t>
      </w:r>
      <w:r>
        <w:t>care</w:t>
      </w:r>
      <w:r>
        <w:rPr>
          <w:spacing w:val="-11"/>
        </w:rPr>
        <w:t xml:space="preserve"> </w:t>
      </w:r>
      <w:r>
        <w:t>for</w:t>
      </w:r>
      <w:r>
        <w:rPr>
          <w:spacing w:val="-14"/>
        </w:rPr>
        <w:t xml:space="preserve"> </w:t>
      </w:r>
      <w:r>
        <w:t>this</w:t>
      </w:r>
      <w:r>
        <w:rPr>
          <w:spacing w:val="-14"/>
        </w:rPr>
        <w:t xml:space="preserve"> </w:t>
      </w:r>
      <w:r>
        <w:t>vulnerable</w:t>
      </w:r>
      <w:r>
        <w:rPr>
          <w:spacing w:val="-11"/>
        </w:rPr>
        <w:t xml:space="preserve"> </w:t>
      </w:r>
      <w:r>
        <w:t>population.</w:t>
      </w:r>
    </w:p>
    <w:p w:rsidR="00773EA6" w:rsidRDefault="00530375">
      <w:pPr>
        <w:pStyle w:val="ListParagraph"/>
        <w:numPr>
          <w:ilvl w:val="0"/>
          <w:numId w:val="1"/>
        </w:numPr>
        <w:tabs>
          <w:tab w:val="left" w:pos="821"/>
        </w:tabs>
        <w:spacing w:before="158"/>
        <w:ind w:right="114"/>
        <w:jc w:val="both"/>
      </w:pPr>
      <w:r>
        <w:t>CMS can phas</w:t>
      </w:r>
      <w:r>
        <w:t>e-in the impact of the proposed policy for MA benchmarks in a period of 2-3 years, starting in 2019, and monitor closely the effects on the system. MA plans in Puerto Rico are committed to work with CMS in defining additional bid requirements, bid to bench</w:t>
      </w:r>
      <w:r>
        <w:t>mark ratio parameters or monitoring tools to measure the impact of the adjustment in relation to provider compensation and development of value-based payment</w:t>
      </w:r>
      <w:r>
        <w:rPr>
          <w:spacing w:val="-20"/>
        </w:rPr>
        <w:t xml:space="preserve"> </w:t>
      </w:r>
      <w:r>
        <w:t>models.</w:t>
      </w:r>
    </w:p>
    <w:p w:rsidR="00773EA6" w:rsidRDefault="00773EA6">
      <w:pPr>
        <w:pStyle w:val="BodyText"/>
        <w:spacing w:before="10"/>
        <w:rPr>
          <w:sz w:val="21"/>
        </w:rPr>
      </w:pPr>
    </w:p>
    <w:p w:rsidR="00773EA6" w:rsidRDefault="00530375">
      <w:pPr>
        <w:pStyle w:val="ListParagraph"/>
        <w:numPr>
          <w:ilvl w:val="0"/>
          <w:numId w:val="1"/>
        </w:numPr>
        <w:tabs>
          <w:tab w:val="left" w:pos="821"/>
        </w:tabs>
        <w:jc w:val="both"/>
      </w:pPr>
      <w:r>
        <w:t xml:space="preserve">County rates in Puerto Rico are such outliers in 2018 that the level of payment proposed </w:t>
      </w:r>
      <w:r>
        <w:t xml:space="preserve">would still leave them at least 15% or more below the average MA rates in the state with </w:t>
      </w:r>
      <w:r>
        <w:rPr>
          <w:spacing w:val="2"/>
        </w:rPr>
        <w:t xml:space="preserve">the </w:t>
      </w:r>
      <w:r>
        <w:t>lowest average. The additional funding will provide the necessary inflow to support recovery efforts for our health system while remaining as the lowest cost optio</w:t>
      </w:r>
      <w:r>
        <w:t>n in the Nation and will also help address</w:t>
      </w:r>
      <w:r>
        <w:rPr>
          <w:spacing w:val="-6"/>
        </w:rPr>
        <w:t xml:space="preserve"> </w:t>
      </w:r>
      <w:r>
        <w:t>migration</w:t>
      </w:r>
      <w:r>
        <w:rPr>
          <w:spacing w:val="-10"/>
        </w:rPr>
        <w:t xml:space="preserve"> </w:t>
      </w:r>
      <w:r>
        <w:t>of</w:t>
      </w:r>
      <w:r>
        <w:rPr>
          <w:spacing w:val="-7"/>
        </w:rPr>
        <w:t xml:space="preserve"> </w:t>
      </w:r>
      <w:r>
        <w:t>providers</w:t>
      </w:r>
      <w:r>
        <w:rPr>
          <w:spacing w:val="-7"/>
        </w:rPr>
        <w:t xml:space="preserve"> </w:t>
      </w:r>
      <w:r>
        <w:t>and</w:t>
      </w:r>
      <w:r>
        <w:rPr>
          <w:spacing w:val="-7"/>
        </w:rPr>
        <w:t xml:space="preserve"> </w:t>
      </w:r>
      <w:r>
        <w:t>patients,</w:t>
      </w:r>
      <w:r>
        <w:rPr>
          <w:spacing w:val="-6"/>
        </w:rPr>
        <w:t xml:space="preserve"> </w:t>
      </w:r>
      <w:r>
        <w:t>ultimately</w:t>
      </w:r>
      <w:r>
        <w:rPr>
          <w:spacing w:val="-6"/>
        </w:rPr>
        <w:t xml:space="preserve"> </w:t>
      </w:r>
      <w:r>
        <w:t>avoiding</w:t>
      </w:r>
      <w:r>
        <w:rPr>
          <w:spacing w:val="-7"/>
        </w:rPr>
        <w:t xml:space="preserve"> </w:t>
      </w:r>
      <w:r>
        <w:t>unnecessary</w:t>
      </w:r>
      <w:r>
        <w:rPr>
          <w:spacing w:val="-6"/>
        </w:rPr>
        <w:t xml:space="preserve"> </w:t>
      </w:r>
      <w:r>
        <w:t>costs</w:t>
      </w:r>
      <w:r>
        <w:rPr>
          <w:spacing w:val="-7"/>
        </w:rPr>
        <w:t xml:space="preserve"> </w:t>
      </w:r>
      <w:r>
        <w:t>to</w:t>
      </w:r>
      <w:r>
        <w:rPr>
          <w:spacing w:val="-7"/>
        </w:rPr>
        <w:t xml:space="preserve"> </w:t>
      </w:r>
      <w:r>
        <w:t>the</w:t>
      </w:r>
      <w:r>
        <w:rPr>
          <w:spacing w:val="-7"/>
        </w:rPr>
        <w:t xml:space="preserve"> </w:t>
      </w:r>
      <w:r>
        <w:t>Federal government.</w:t>
      </w:r>
    </w:p>
    <w:p w:rsidR="00773EA6" w:rsidRDefault="00773EA6">
      <w:pPr>
        <w:pStyle w:val="BodyText"/>
      </w:pPr>
    </w:p>
    <w:p w:rsidR="00773EA6" w:rsidRDefault="00530375">
      <w:pPr>
        <w:pStyle w:val="ListParagraph"/>
        <w:numPr>
          <w:ilvl w:val="0"/>
          <w:numId w:val="1"/>
        </w:numPr>
        <w:tabs>
          <w:tab w:val="left" w:pos="821"/>
        </w:tabs>
        <w:jc w:val="both"/>
      </w:pPr>
      <w:r>
        <w:t>Puerto</w:t>
      </w:r>
      <w:r>
        <w:rPr>
          <w:spacing w:val="-7"/>
        </w:rPr>
        <w:t xml:space="preserve"> </w:t>
      </w:r>
      <w:r>
        <w:t>Rico</w:t>
      </w:r>
      <w:r>
        <w:rPr>
          <w:spacing w:val="-4"/>
        </w:rPr>
        <w:t xml:space="preserve"> </w:t>
      </w:r>
      <w:r>
        <w:t>has</w:t>
      </w:r>
      <w:r>
        <w:rPr>
          <w:spacing w:val="-8"/>
        </w:rPr>
        <w:t xml:space="preserve"> </w:t>
      </w:r>
      <w:r>
        <w:t>higher</w:t>
      </w:r>
      <w:r>
        <w:rPr>
          <w:spacing w:val="-8"/>
        </w:rPr>
        <w:t xml:space="preserve"> </w:t>
      </w:r>
      <w:r>
        <w:t>costs</w:t>
      </w:r>
      <w:r>
        <w:rPr>
          <w:spacing w:val="-6"/>
        </w:rPr>
        <w:t xml:space="preserve"> </w:t>
      </w:r>
      <w:r>
        <w:t>of</w:t>
      </w:r>
      <w:r>
        <w:rPr>
          <w:spacing w:val="-8"/>
        </w:rPr>
        <w:t xml:space="preserve"> </w:t>
      </w:r>
      <w:r>
        <w:t>living</w:t>
      </w:r>
      <w:r>
        <w:rPr>
          <w:spacing w:val="-6"/>
        </w:rPr>
        <w:t xml:space="preserve"> </w:t>
      </w:r>
      <w:r>
        <w:t>than</w:t>
      </w:r>
      <w:r>
        <w:rPr>
          <w:spacing w:val="-9"/>
        </w:rPr>
        <w:t xml:space="preserve"> </w:t>
      </w:r>
      <w:r>
        <w:t>the</w:t>
      </w:r>
      <w:r>
        <w:rPr>
          <w:spacing w:val="-8"/>
        </w:rPr>
        <w:t xml:space="preserve"> </w:t>
      </w:r>
      <w:r>
        <w:t>US</w:t>
      </w:r>
      <w:r>
        <w:rPr>
          <w:spacing w:val="-9"/>
        </w:rPr>
        <w:t xml:space="preserve"> </w:t>
      </w:r>
      <w:r>
        <w:t>average.</w:t>
      </w:r>
      <w:r>
        <w:rPr>
          <w:spacing w:val="-6"/>
        </w:rPr>
        <w:t xml:space="preserve"> </w:t>
      </w:r>
      <w:r>
        <w:t>The</w:t>
      </w:r>
      <w:r>
        <w:rPr>
          <w:spacing w:val="-8"/>
        </w:rPr>
        <w:t xml:space="preserve"> </w:t>
      </w:r>
      <w:r>
        <w:t>unsustainably</w:t>
      </w:r>
      <w:r>
        <w:rPr>
          <w:spacing w:val="-7"/>
        </w:rPr>
        <w:t xml:space="preserve"> </w:t>
      </w:r>
      <w:r>
        <w:t>low</w:t>
      </w:r>
      <w:r>
        <w:rPr>
          <w:spacing w:val="-7"/>
        </w:rPr>
        <w:t xml:space="preserve"> </w:t>
      </w:r>
      <w:r>
        <w:t>pricing</w:t>
      </w:r>
      <w:r>
        <w:rPr>
          <w:spacing w:val="-6"/>
        </w:rPr>
        <w:t xml:space="preserve"> </w:t>
      </w:r>
      <w:r>
        <w:t>of</w:t>
      </w:r>
      <w:r>
        <w:rPr>
          <w:spacing w:val="-8"/>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6"/>
        </w:rPr>
        <w:t xml:space="preserve"> </w:t>
      </w:r>
      <w:r>
        <w:t>care</w:t>
      </w:r>
      <w:r>
        <w:rPr>
          <w:spacing w:val="-6"/>
        </w:rPr>
        <w:t xml:space="preserve"> </w:t>
      </w:r>
      <w:r>
        <w:t>coordination,</w:t>
      </w:r>
      <w:r>
        <w:rPr>
          <w:spacing w:val="-6"/>
        </w:rPr>
        <w:t xml:space="preserve"> </w:t>
      </w:r>
      <w:r>
        <w:t>community</w:t>
      </w:r>
      <w:r>
        <w:rPr>
          <w:spacing w:val="-6"/>
        </w:rPr>
        <w:t xml:space="preserve"> </w:t>
      </w:r>
      <w:r>
        <w:t>outreach</w:t>
      </w:r>
      <w:r>
        <w:rPr>
          <w:spacing w:val="-7"/>
        </w:rPr>
        <w:t xml:space="preserve"> </w:t>
      </w:r>
      <w:r>
        <w:t>are</w:t>
      </w:r>
      <w:r>
        <w:rPr>
          <w:spacing w:val="-6"/>
        </w:rPr>
        <w:t xml:space="preserve"> </w:t>
      </w:r>
      <w:r>
        <w:t>efforts</w:t>
      </w:r>
      <w:r>
        <w:rPr>
          <w:spacing w:val="-6"/>
        </w:rPr>
        <w:t xml:space="preserve"> </w:t>
      </w:r>
      <w:r>
        <w:t>that</w:t>
      </w:r>
      <w:r>
        <w:rPr>
          <w:spacing w:val="-7"/>
        </w:rPr>
        <w:t xml:space="preserve"> </w:t>
      </w:r>
      <w:r>
        <w:t>have</w:t>
      </w:r>
      <w:r>
        <w:rPr>
          <w:spacing w:val="-6"/>
        </w:rPr>
        <w:t xml:space="preserve"> </w:t>
      </w:r>
      <w:r>
        <w:t>become</w:t>
      </w:r>
      <w:r>
        <w:rPr>
          <w:spacing w:val="-6"/>
        </w:rPr>
        <w:t xml:space="preserve"> </w:t>
      </w:r>
      <w:r>
        <w:t>harder</w:t>
      </w:r>
      <w:r>
        <w:rPr>
          <w:spacing w:val="-7"/>
        </w:rPr>
        <w:t xml:space="preserve"> </w:t>
      </w:r>
      <w:r>
        <w:t>and cost</w:t>
      </w:r>
      <w:r>
        <w:t>lier, but also more important for MA beneficiaries in</w:t>
      </w:r>
      <w:r>
        <w:rPr>
          <w:spacing w:val="-17"/>
        </w:rPr>
        <w:t xml:space="preserve"> </w:t>
      </w:r>
      <w:r>
        <w:t>PR.</w:t>
      </w:r>
    </w:p>
    <w:p w:rsidR="00773EA6" w:rsidRDefault="00773EA6">
      <w:pPr>
        <w:pStyle w:val="BodyText"/>
      </w:pPr>
    </w:p>
    <w:p w:rsidR="00773EA6" w:rsidRDefault="00530375">
      <w:pPr>
        <w:pStyle w:val="ListParagraph"/>
        <w:numPr>
          <w:ilvl w:val="0"/>
          <w:numId w:val="1"/>
        </w:numPr>
        <w:tabs>
          <w:tab w:val="left" w:pos="821"/>
        </w:tabs>
        <w:ind w:right="114"/>
        <w:jc w:val="both"/>
      </w:pPr>
      <w:r>
        <w:t>The Puerto Rico Community is appreciative of policy adjustments already taken by the Administration. We support CMS proposal to continue to provide Puerto Rico plans special consideration</w:t>
      </w:r>
      <w:r>
        <w:rPr>
          <w:spacing w:val="-11"/>
        </w:rPr>
        <w:t xml:space="preserve"> </w:t>
      </w:r>
      <w:r>
        <w:t>due</w:t>
      </w:r>
      <w:r>
        <w:rPr>
          <w:spacing w:val="-10"/>
        </w:rPr>
        <w:t xml:space="preserve"> </w:t>
      </w:r>
      <w:r>
        <w:t>to</w:t>
      </w:r>
      <w:r>
        <w:rPr>
          <w:spacing w:val="-9"/>
        </w:rPr>
        <w:t xml:space="preserve"> </w:t>
      </w:r>
      <w:r>
        <w:t>the</w:t>
      </w:r>
      <w:r>
        <w:rPr>
          <w:spacing w:val="-7"/>
        </w:rPr>
        <w:t xml:space="preserve"> </w:t>
      </w:r>
      <w:r>
        <w:t>program</w:t>
      </w:r>
      <w:r>
        <w:rPr>
          <w:spacing w:val="-10"/>
        </w:rPr>
        <w:t xml:space="preserve"> </w:t>
      </w:r>
      <w:r>
        <w:t>inequities</w:t>
      </w:r>
      <w:r>
        <w:rPr>
          <w:spacing w:val="-8"/>
        </w:rPr>
        <w:t xml:space="preserve"> </w:t>
      </w:r>
      <w:r>
        <w:t>in</w:t>
      </w:r>
      <w:r>
        <w:rPr>
          <w:spacing w:val="-12"/>
        </w:rPr>
        <w:t xml:space="preserve"> </w:t>
      </w:r>
      <w:r>
        <w:t>the</w:t>
      </w:r>
      <w:r>
        <w:rPr>
          <w:spacing w:val="-10"/>
        </w:rPr>
        <w:t xml:space="preserve"> </w:t>
      </w:r>
      <w:r>
        <w:t>Star</w:t>
      </w:r>
      <w:r>
        <w:rPr>
          <w:spacing w:val="-11"/>
        </w:rPr>
        <w:t xml:space="preserve"> </w:t>
      </w:r>
      <w:r>
        <w:t>rating</w:t>
      </w:r>
      <w:r>
        <w:rPr>
          <w:spacing w:val="-11"/>
        </w:rPr>
        <w:t xml:space="preserve"> </w:t>
      </w:r>
      <w:r>
        <w:t>measure,</w:t>
      </w:r>
      <w:r>
        <w:rPr>
          <w:spacing w:val="-11"/>
        </w:rPr>
        <w:t xml:space="preserve"> </w:t>
      </w:r>
      <w:r>
        <w:t>in</w:t>
      </w:r>
      <w:r>
        <w:rPr>
          <w:spacing w:val="-9"/>
        </w:rPr>
        <w:t xml:space="preserve"> </w:t>
      </w:r>
      <w:r>
        <w:t>particular</w:t>
      </w:r>
      <w:r>
        <w:rPr>
          <w:spacing w:val="-8"/>
        </w:rPr>
        <w:t xml:space="preserve"> </w:t>
      </w:r>
      <w:r>
        <w:t>the</w:t>
      </w:r>
      <w:r>
        <w:rPr>
          <w:spacing w:val="-10"/>
        </w:rPr>
        <w:t xml:space="preserve"> </w:t>
      </w:r>
      <w:r>
        <w:t>proposed hold harmless methodology due to the impact of the natural disaster. We also support that the zero claim adjustment implemented in 2017 and 2018 remain until a temporary solution to the data anomalies can be implemented. Finally, we also support t</w:t>
      </w:r>
      <w:r>
        <w:t xml:space="preserve">he 2018 decision to assign double bonus status to most counties in the Island and would request CMS to evaluate expanding the policy to cover all 78 municipalities. </w:t>
      </w:r>
      <w:r>
        <w:rPr>
          <w:b/>
        </w:rPr>
        <w:t>However</w:t>
      </w:r>
      <w:r>
        <w:t>, new evidence studied this past year suggests that these current adjustments are fa</w:t>
      </w:r>
      <w:r>
        <w:t>r from enough. The continued deterioration requires a higher- impact</w:t>
      </w:r>
      <w:r>
        <w:rPr>
          <w:spacing w:val="-8"/>
        </w:rPr>
        <w:t xml:space="preserve"> </w:t>
      </w:r>
      <w:r>
        <w:t>policy</w:t>
      </w:r>
      <w:r>
        <w:rPr>
          <w:spacing w:val="-6"/>
        </w:rPr>
        <w:t xml:space="preserve"> </w:t>
      </w:r>
      <w:r>
        <w:t>action</w:t>
      </w:r>
      <w:r>
        <w:rPr>
          <w:spacing w:val="-7"/>
        </w:rPr>
        <w:t xml:space="preserve"> </w:t>
      </w:r>
      <w:r>
        <w:t>to</w:t>
      </w:r>
      <w:r>
        <w:rPr>
          <w:spacing w:val="-5"/>
        </w:rPr>
        <w:t xml:space="preserve"> </w:t>
      </w:r>
      <w:r>
        <w:t>stop</w:t>
      </w:r>
      <w:r>
        <w:rPr>
          <w:spacing w:val="-10"/>
        </w:rPr>
        <w:t xml:space="preserve"> </w:t>
      </w:r>
      <w:r>
        <w:t>the</w:t>
      </w:r>
      <w:r>
        <w:rPr>
          <w:spacing w:val="-7"/>
        </w:rPr>
        <w:t xml:space="preserve"> </w:t>
      </w:r>
      <w:r>
        <w:t>harmful</w:t>
      </w:r>
      <w:r>
        <w:rPr>
          <w:spacing w:val="-9"/>
        </w:rPr>
        <w:t xml:space="preserve"> </w:t>
      </w:r>
      <w:r>
        <w:t>and</w:t>
      </w:r>
      <w:r>
        <w:rPr>
          <w:spacing w:val="-7"/>
        </w:rPr>
        <w:t xml:space="preserve"> </w:t>
      </w:r>
      <w:r>
        <w:t>increasing</w:t>
      </w:r>
      <w:r>
        <w:rPr>
          <w:spacing w:val="-10"/>
        </w:rPr>
        <w:t xml:space="preserve"> </w:t>
      </w:r>
      <w:r>
        <w:t>funding</w:t>
      </w:r>
      <w:r>
        <w:rPr>
          <w:spacing w:val="-7"/>
        </w:rPr>
        <w:t xml:space="preserve"> </w:t>
      </w:r>
      <w:r>
        <w:t>gap.</w:t>
      </w:r>
      <w:r>
        <w:rPr>
          <w:spacing w:val="-6"/>
        </w:rPr>
        <w:t xml:space="preserve"> </w:t>
      </w:r>
      <w:r>
        <w:t>Simultaneously,</w:t>
      </w:r>
      <w:r>
        <w:rPr>
          <w:spacing w:val="-9"/>
        </w:rPr>
        <w:t xml:space="preserve"> </w:t>
      </w:r>
      <w:r>
        <w:t>we</w:t>
      </w:r>
      <w:r>
        <w:rPr>
          <w:spacing w:val="-8"/>
        </w:rPr>
        <w:t xml:space="preserve"> </w:t>
      </w:r>
      <w:r>
        <w:t>continue to work with other persisting anomalies, unique to Puerto Rico in Medicare FFS, such as the use o</w:t>
      </w:r>
      <w:r>
        <w:t>f the SSI indicator and the wage index fix in Part</w:t>
      </w:r>
      <w:r>
        <w:rPr>
          <w:spacing w:val="-11"/>
        </w:rPr>
        <w:t xml:space="preserve"> </w:t>
      </w:r>
      <w:r>
        <w:t>A.</w:t>
      </w:r>
    </w:p>
    <w:p w:rsidR="00773EA6" w:rsidRDefault="00773EA6">
      <w:pPr>
        <w:pStyle w:val="BodyText"/>
      </w:pPr>
    </w:p>
    <w:p w:rsidR="00773EA6" w:rsidRDefault="00530375">
      <w:pPr>
        <w:pStyle w:val="BodyText"/>
        <w:ind w:left="100" w:right="113" w:firstLine="360"/>
        <w:jc w:val="both"/>
      </w:pPr>
      <w:r>
        <w:t>With</w:t>
      </w:r>
      <w:r>
        <w:rPr>
          <w:spacing w:val="-14"/>
        </w:rPr>
        <w:t xml:space="preserve"> </w:t>
      </w:r>
      <w:r>
        <w:t>close</w:t>
      </w:r>
      <w:r>
        <w:rPr>
          <w:spacing w:val="-12"/>
        </w:rPr>
        <w:t xml:space="preserve"> </w:t>
      </w:r>
      <w:r>
        <w:t>to</w:t>
      </w:r>
      <w:r>
        <w:rPr>
          <w:spacing w:val="-12"/>
        </w:rPr>
        <w:t xml:space="preserve"> </w:t>
      </w:r>
      <w:r>
        <w:t>50%</w:t>
      </w:r>
      <w:r>
        <w:rPr>
          <w:spacing w:val="-12"/>
        </w:rPr>
        <w:t xml:space="preserve"> </w:t>
      </w:r>
      <w:r>
        <w:t>of</w:t>
      </w:r>
      <w:r>
        <w:rPr>
          <w:spacing w:val="-13"/>
        </w:rPr>
        <w:t xml:space="preserve"> </w:t>
      </w:r>
      <w:r>
        <w:t>the</w:t>
      </w:r>
      <w:r>
        <w:rPr>
          <w:spacing w:val="-12"/>
        </w:rPr>
        <w:t xml:space="preserve"> </w:t>
      </w:r>
      <w:r>
        <w:t>health</w:t>
      </w:r>
      <w:r>
        <w:rPr>
          <w:spacing w:val="-14"/>
        </w:rPr>
        <w:t xml:space="preserve"> </w:t>
      </w:r>
      <w:r>
        <w:t>care</w:t>
      </w:r>
      <w:r>
        <w:rPr>
          <w:spacing w:val="-13"/>
        </w:rPr>
        <w:t xml:space="preserve"> </w:t>
      </w:r>
      <w:r>
        <w:t>expenses</w:t>
      </w:r>
      <w:r>
        <w:rPr>
          <w:spacing w:val="-12"/>
        </w:rPr>
        <w:t xml:space="preserve"> </w:t>
      </w:r>
      <w:r>
        <w:t>in</w:t>
      </w:r>
      <w:r>
        <w:rPr>
          <w:spacing w:val="-14"/>
        </w:rPr>
        <w:t xml:space="preserve"> </w:t>
      </w:r>
      <w:r>
        <w:t>Puerto</w:t>
      </w:r>
      <w:r>
        <w:rPr>
          <w:spacing w:val="-12"/>
        </w:rPr>
        <w:t xml:space="preserve"> </w:t>
      </w:r>
      <w:r>
        <w:t>Rico</w:t>
      </w:r>
      <w:r>
        <w:rPr>
          <w:spacing w:val="-12"/>
        </w:rPr>
        <w:t xml:space="preserve"> </w:t>
      </w:r>
      <w:r>
        <w:t>tied</w:t>
      </w:r>
      <w:r>
        <w:rPr>
          <w:spacing w:val="-13"/>
        </w:rPr>
        <w:t xml:space="preserve"> </w:t>
      </w:r>
      <w:r>
        <w:t>to</w:t>
      </w:r>
      <w:r>
        <w:rPr>
          <w:spacing w:val="-9"/>
        </w:rPr>
        <w:t xml:space="preserve"> </w:t>
      </w:r>
      <w:r>
        <w:t>the</w:t>
      </w:r>
      <w:r>
        <w:rPr>
          <w:spacing w:val="-13"/>
        </w:rPr>
        <w:t xml:space="preserve"> </w:t>
      </w:r>
      <w:r>
        <w:t>Medicare</w:t>
      </w:r>
      <w:r>
        <w:rPr>
          <w:spacing w:val="-15"/>
        </w:rPr>
        <w:t xml:space="preserve"> </w:t>
      </w:r>
      <w:r>
        <w:t>Advantage</w:t>
      </w:r>
      <w:r>
        <w:rPr>
          <w:spacing w:val="-12"/>
        </w:rPr>
        <w:t xml:space="preserve"> </w:t>
      </w:r>
      <w:r>
        <w:t>program, it is inevitable that breaking the spiral of underfunded healthcare must start with a solution in MA</w:t>
      </w:r>
      <w:r>
        <w:t xml:space="preserve"> rates. Puerto</w:t>
      </w:r>
      <w:r>
        <w:rPr>
          <w:spacing w:val="-4"/>
        </w:rPr>
        <w:t xml:space="preserve"> </w:t>
      </w:r>
      <w:r>
        <w:t>Rico</w:t>
      </w:r>
      <w:r>
        <w:rPr>
          <w:spacing w:val="-2"/>
        </w:rPr>
        <w:t xml:space="preserve"> </w:t>
      </w:r>
      <w:r>
        <w:t>also</w:t>
      </w:r>
      <w:r>
        <w:rPr>
          <w:spacing w:val="-4"/>
        </w:rPr>
        <w:t xml:space="preserve"> </w:t>
      </w:r>
      <w:r>
        <w:t>has</w:t>
      </w:r>
      <w:r>
        <w:rPr>
          <w:spacing w:val="-6"/>
        </w:rPr>
        <w:t xml:space="preserve"> </w:t>
      </w:r>
      <w:r>
        <w:t>the</w:t>
      </w:r>
      <w:r>
        <w:rPr>
          <w:spacing w:val="-6"/>
        </w:rPr>
        <w:t xml:space="preserve"> </w:t>
      </w:r>
      <w:r>
        <w:t>highest</w:t>
      </w:r>
      <w:r>
        <w:rPr>
          <w:spacing w:val="-4"/>
        </w:rPr>
        <w:t xml:space="preserve"> </w:t>
      </w:r>
      <w:r>
        <w:t>MA</w:t>
      </w:r>
      <w:r>
        <w:rPr>
          <w:spacing w:val="-4"/>
        </w:rPr>
        <w:t xml:space="preserve"> </w:t>
      </w:r>
      <w:r>
        <w:t>penetration</w:t>
      </w:r>
      <w:r>
        <w:rPr>
          <w:spacing w:val="-6"/>
        </w:rPr>
        <w:t xml:space="preserve"> </w:t>
      </w:r>
      <w:r>
        <w:t>in</w:t>
      </w:r>
      <w:r>
        <w:rPr>
          <w:spacing w:val="-4"/>
        </w:rPr>
        <w:t xml:space="preserve"> </w:t>
      </w:r>
      <w:r>
        <w:t>the</w:t>
      </w:r>
      <w:r>
        <w:rPr>
          <w:spacing w:val="-5"/>
        </w:rPr>
        <w:t xml:space="preserve"> </w:t>
      </w:r>
      <w:r>
        <w:t>nation</w:t>
      </w:r>
      <w:r>
        <w:rPr>
          <w:spacing w:val="-6"/>
        </w:rPr>
        <w:t xml:space="preserve"> </w:t>
      </w:r>
      <w:r>
        <w:t>(over</w:t>
      </w:r>
      <w:r>
        <w:rPr>
          <w:spacing w:val="-6"/>
        </w:rPr>
        <w:t xml:space="preserve"> </w:t>
      </w:r>
      <w:r>
        <w:t>570,000,</w:t>
      </w:r>
      <w:r>
        <w:rPr>
          <w:spacing w:val="-6"/>
        </w:rPr>
        <w:t xml:space="preserve"> </w:t>
      </w:r>
      <w:r>
        <w:t>75%),</w:t>
      </w:r>
      <w:r>
        <w:rPr>
          <w:spacing w:val="-3"/>
        </w:rPr>
        <w:t xml:space="preserve"> </w:t>
      </w:r>
      <w:r>
        <w:t>and</w:t>
      </w:r>
      <w:r>
        <w:rPr>
          <w:spacing w:val="-6"/>
        </w:rPr>
        <w:t xml:space="preserve"> </w:t>
      </w:r>
      <w:r>
        <w:t>the</w:t>
      </w:r>
      <w:r>
        <w:rPr>
          <w:spacing w:val="-3"/>
        </w:rPr>
        <w:t xml:space="preserve"> </w:t>
      </w:r>
      <w:r>
        <w:t>largest</w:t>
      </w:r>
      <w:r>
        <w:rPr>
          <w:spacing w:val="-5"/>
        </w:rPr>
        <w:t xml:space="preserve"> </w:t>
      </w:r>
      <w:r>
        <w:t>D-SNP</w:t>
      </w:r>
    </w:p>
    <w:p w:rsidR="00773EA6" w:rsidRDefault="00773EA6">
      <w:pPr>
        <w:jc w:val="both"/>
        <w:sectPr w:rsidR="00773EA6">
          <w:footerReference w:type="default" r:id="rId8"/>
          <w:pgSz w:w="12240" w:h="15840"/>
          <w:pgMar w:top="1400" w:right="1320" w:bottom="1140" w:left="1340" w:header="0" w:footer="955" w:gutter="0"/>
          <w:pgNumType w:start="2"/>
          <w:cols w:space="720"/>
        </w:sectPr>
      </w:pPr>
    </w:p>
    <w:p w:rsidR="00773EA6" w:rsidRDefault="00530375">
      <w:pPr>
        <w:pStyle w:val="BodyText"/>
        <w:spacing w:before="37"/>
        <w:ind w:left="120" w:right="993"/>
        <w:jc w:val="both"/>
      </w:pPr>
      <w:r>
        <w:rPr>
          <w:noProof/>
        </w:rPr>
        <w:lastRenderedPageBreak/>
        <w:drawing>
          <wp:anchor distT="0" distB="0" distL="0" distR="0" simplePos="0" relativeHeight="251644928" behindDoc="1" locked="0" layoutInCell="1" allowOverlap="1">
            <wp:simplePos x="0" y="0"/>
            <wp:positionH relativeFrom="page">
              <wp:posOffset>917447</wp:posOffset>
            </wp:positionH>
            <wp:positionV relativeFrom="page">
              <wp:posOffset>5490974</wp:posOffset>
            </wp:positionV>
            <wp:extent cx="1934596" cy="3984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34596" cy="398430"/>
                    </a:xfrm>
                    <a:prstGeom prst="rect">
                      <a:avLst/>
                    </a:prstGeom>
                  </pic:spPr>
                </pic:pic>
              </a:graphicData>
            </a:graphic>
          </wp:anchor>
        </w:drawing>
      </w:r>
      <w:r>
        <w:rPr>
          <w:noProof/>
        </w:rPr>
        <w:drawing>
          <wp:anchor distT="0" distB="0" distL="0" distR="0" simplePos="0" relativeHeight="251646976" behindDoc="1" locked="0" layoutInCell="1" allowOverlap="1">
            <wp:simplePos x="0" y="0"/>
            <wp:positionH relativeFrom="page">
              <wp:posOffset>3909059</wp:posOffset>
            </wp:positionH>
            <wp:positionV relativeFrom="page">
              <wp:posOffset>5480405</wp:posOffset>
            </wp:positionV>
            <wp:extent cx="1832683" cy="47548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32683" cy="475488"/>
                    </a:xfrm>
                    <a:prstGeom prst="rect">
                      <a:avLst/>
                    </a:prstGeom>
                  </pic:spPr>
                </pic:pic>
              </a:graphicData>
            </a:graphic>
          </wp:anchor>
        </w:drawing>
      </w:r>
      <w:r>
        <w:rPr>
          <w:noProof/>
        </w:rPr>
        <w:drawing>
          <wp:anchor distT="0" distB="0" distL="0" distR="0" simplePos="0" relativeHeight="251649024" behindDoc="1" locked="0" layoutInCell="1" allowOverlap="1">
            <wp:simplePos x="0" y="0"/>
            <wp:positionH relativeFrom="page">
              <wp:posOffset>1114044</wp:posOffset>
            </wp:positionH>
            <wp:positionV relativeFrom="page">
              <wp:posOffset>6565392</wp:posOffset>
            </wp:positionV>
            <wp:extent cx="1086245" cy="75438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86245" cy="754380"/>
                    </a:xfrm>
                    <a:prstGeom prst="rect">
                      <a:avLst/>
                    </a:prstGeom>
                  </pic:spPr>
                </pic:pic>
              </a:graphicData>
            </a:graphic>
          </wp:anchor>
        </w:drawing>
      </w:r>
      <w:r>
        <w:rPr>
          <w:noProof/>
        </w:rPr>
        <w:drawing>
          <wp:anchor distT="0" distB="0" distL="0" distR="0" simplePos="0" relativeHeight="251650048" behindDoc="1" locked="0" layoutInCell="1" allowOverlap="1">
            <wp:simplePos x="0" y="0"/>
            <wp:positionH relativeFrom="page">
              <wp:posOffset>4021835</wp:posOffset>
            </wp:positionH>
            <wp:positionV relativeFrom="page">
              <wp:posOffset>6454140</wp:posOffset>
            </wp:positionV>
            <wp:extent cx="917117" cy="74761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917117" cy="747617"/>
                    </a:xfrm>
                    <a:prstGeom prst="rect">
                      <a:avLst/>
                    </a:prstGeom>
                  </pic:spPr>
                </pic:pic>
              </a:graphicData>
            </a:graphic>
          </wp:anchor>
        </w:drawing>
      </w:r>
      <w:r>
        <w:rPr>
          <w:noProof/>
        </w:rPr>
        <w:drawing>
          <wp:anchor distT="0" distB="0" distL="0" distR="0" simplePos="0" relativeHeight="251651072" behindDoc="1" locked="0" layoutInCell="1" allowOverlap="1">
            <wp:simplePos x="0" y="0"/>
            <wp:positionH relativeFrom="page">
              <wp:posOffset>914399</wp:posOffset>
            </wp:positionH>
            <wp:positionV relativeFrom="page">
              <wp:posOffset>7661150</wp:posOffset>
            </wp:positionV>
            <wp:extent cx="1913218" cy="6537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13218" cy="653795"/>
                    </a:xfrm>
                    <a:prstGeom prst="rect">
                      <a:avLst/>
                    </a:prstGeom>
                  </pic:spPr>
                </pic:pic>
              </a:graphicData>
            </a:graphic>
          </wp:anchor>
        </w:drawing>
      </w:r>
      <w:r>
        <w:rPr>
          <w:noProof/>
        </w:rPr>
        <w:drawing>
          <wp:anchor distT="0" distB="0" distL="0" distR="0" simplePos="0" relativeHeight="251652096" behindDoc="1" locked="0" layoutInCell="1" allowOverlap="1">
            <wp:simplePos x="0" y="0"/>
            <wp:positionH relativeFrom="page">
              <wp:posOffset>4009644</wp:posOffset>
            </wp:positionH>
            <wp:positionV relativeFrom="page">
              <wp:posOffset>7949183</wp:posOffset>
            </wp:positionV>
            <wp:extent cx="1204406" cy="36576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204406" cy="365760"/>
                    </a:xfrm>
                    <a:prstGeom prst="rect">
                      <a:avLst/>
                    </a:prstGeom>
                  </pic:spPr>
                </pic:pic>
              </a:graphicData>
            </a:graphic>
          </wp:anchor>
        </w:drawing>
      </w:r>
      <w:r>
        <w:t>(</w:t>
      </w:r>
      <w:r>
        <w:rPr>
          <w:i/>
        </w:rPr>
        <w:t>Platino</w:t>
      </w:r>
      <w:r>
        <w:t>) program that integrates Medicare and Medicaid with approximately 275,000 beneficiaries. Moreover, the program has the most developed administrative structure, with proven pay for performance methods, quality measures, as well as fraud, waste and abuse me</w:t>
      </w:r>
      <w:r>
        <w:t>chanisms.</w:t>
      </w:r>
    </w:p>
    <w:p w:rsidR="00773EA6" w:rsidRDefault="00773EA6">
      <w:pPr>
        <w:pStyle w:val="BodyText"/>
      </w:pPr>
    </w:p>
    <w:p w:rsidR="00773EA6" w:rsidRDefault="00530375">
      <w:pPr>
        <w:pStyle w:val="BodyText"/>
        <w:ind w:left="120" w:right="994" w:firstLine="360"/>
        <w:jc w:val="both"/>
      </w:pPr>
      <w:r>
        <w:t>The positive pillars created by the MA program in Puerto Rico should not be a deterrent to the implementation</w:t>
      </w:r>
      <w:r>
        <w:rPr>
          <w:spacing w:val="-14"/>
        </w:rPr>
        <w:t xml:space="preserve"> </w:t>
      </w:r>
      <w:r>
        <w:t>of</w:t>
      </w:r>
      <w:r>
        <w:rPr>
          <w:spacing w:val="-11"/>
        </w:rPr>
        <w:t xml:space="preserve"> </w:t>
      </w:r>
      <w:r>
        <w:t>concrete</w:t>
      </w:r>
      <w:r>
        <w:rPr>
          <w:spacing w:val="-10"/>
        </w:rPr>
        <w:t xml:space="preserve"> </w:t>
      </w:r>
      <w:r>
        <w:t>solutions</w:t>
      </w:r>
      <w:r>
        <w:rPr>
          <w:spacing w:val="-10"/>
        </w:rPr>
        <w:t xml:space="preserve"> </w:t>
      </w:r>
      <w:r>
        <w:t>for</w:t>
      </w:r>
      <w:r>
        <w:rPr>
          <w:spacing w:val="-11"/>
        </w:rPr>
        <w:t xml:space="preserve"> </w:t>
      </w:r>
      <w:r>
        <w:t>the</w:t>
      </w:r>
      <w:r>
        <w:rPr>
          <w:spacing w:val="-10"/>
        </w:rPr>
        <w:t xml:space="preserve"> </w:t>
      </w:r>
      <w:r>
        <w:t>deteriorating</w:t>
      </w:r>
      <w:r>
        <w:rPr>
          <w:spacing w:val="-11"/>
        </w:rPr>
        <w:t xml:space="preserve"> </w:t>
      </w:r>
      <w:r>
        <w:t>scenario</w:t>
      </w:r>
      <w:r>
        <w:rPr>
          <w:spacing w:val="-12"/>
        </w:rPr>
        <w:t xml:space="preserve"> </w:t>
      </w:r>
      <w:r>
        <w:t>of</w:t>
      </w:r>
      <w:r>
        <w:rPr>
          <w:spacing w:val="-11"/>
        </w:rPr>
        <w:t xml:space="preserve"> </w:t>
      </w:r>
      <w:r>
        <w:t>the</w:t>
      </w:r>
      <w:r>
        <w:rPr>
          <w:spacing w:val="-13"/>
        </w:rPr>
        <w:t xml:space="preserve"> </w:t>
      </w:r>
      <w:r>
        <w:t>MA</w:t>
      </w:r>
      <w:r>
        <w:rPr>
          <w:spacing w:val="-11"/>
        </w:rPr>
        <w:t xml:space="preserve"> </w:t>
      </w:r>
      <w:r>
        <w:t>rates.</w:t>
      </w:r>
      <w:r>
        <w:rPr>
          <w:spacing w:val="-11"/>
        </w:rPr>
        <w:t xml:space="preserve"> </w:t>
      </w:r>
      <w:r>
        <w:t>As</w:t>
      </w:r>
      <w:r>
        <w:rPr>
          <w:spacing w:val="-11"/>
        </w:rPr>
        <w:t xml:space="preserve"> </w:t>
      </w:r>
      <w:r>
        <w:t>the</w:t>
      </w:r>
      <w:r>
        <w:rPr>
          <w:spacing w:val="-10"/>
        </w:rPr>
        <w:t xml:space="preserve"> </w:t>
      </w:r>
      <w:r>
        <w:t>recent</w:t>
      </w:r>
      <w:r>
        <w:rPr>
          <w:spacing w:val="-10"/>
        </w:rPr>
        <w:t xml:space="preserve"> </w:t>
      </w:r>
      <w:r>
        <w:t>natural disaster validated, Puerto Rico offers an unstable and fragile platform for providers who continue to flee to the US mainland, while infrastructure keeps falling</w:t>
      </w:r>
      <w:r>
        <w:rPr>
          <w:spacing w:val="-24"/>
        </w:rPr>
        <w:t xml:space="preserve"> </w:t>
      </w:r>
      <w:r>
        <w:t>behind.</w:t>
      </w:r>
    </w:p>
    <w:p w:rsidR="00773EA6" w:rsidRDefault="00773EA6">
      <w:pPr>
        <w:pStyle w:val="BodyText"/>
      </w:pPr>
    </w:p>
    <w:p w:rsidR="00773EA6" w:rsidRDefault="00530375">
      <w:pPr>
        <w:pStyle w:val="BodyText"/>
        <w:ind w:left="120" w:right="993" w:firstLine="360"/>
        <w:jc w:val="both"/>
      </w:pPr>
      <w:r>
        <w:t>We</w:t>
      </w:r>
      <w:r>
        <w:rPr>
          <w:spacing w:val="-3"/>
        </w:rPr>
        <w:t xml:space="preserve"> </w:t>
      </w:r>
      <w:r>
        <w:t>are</w:t>
      </w:r>
      <w:r>
        <w:rPr>
          <w:spacing w:val="-3"/>
        </w:rPr>
        <w:t xml:space="preserve"> </w:t>
      </w:r>
      <w:r>
        <w:t>committed</w:t>
      </w:r>
      <w:r>
        <w:rPr>
          <w:spacing w:val="-4"/>
        </w:rPr>
        <w:t xml:space="preserve"> </w:t>
      </w:r>
      <w:r>
        <w:t>to</w:t>
      </w:r>
      <w:r>
        <w:rPr>
          <w:spacing w:val="-2"/>
        </w:rPr>
        <w:t xml:space="preserve"> </w:t>
      </w:r>
      <w:r>
        <w:t>the</w:t>
      </w:r>
      <w:r>
        <w:rPr>
          <w:spacing w:val="-3"/>
        </w:rPr>
        <w:t xml:space="preserve"> </w:t>
      </w:r>
      <w:r>
        <w:t>continued</w:t>
      </w:r>
      <w:r>
        <w:rPr>
          <w:spacing w:val="-4"/>
        </w:rPr>
        <w:t xml:space="preserve"> </w:t>
      </w:r>
      <w:r>
        <w:t>improvement</w:t>
      </w:r>
      <w:r>
        <w:rPr>
          <w:spacing w:val="-3"/>
        </w:rPr>
        <w:t xml:space="preserve"> </w:t>
      </w:r>
      <w:r>
        <w:t>in</w:t>
      </w:r>
      <w:r>
        <w:rPr>
          <w:spacing w:val="-4"/>
        </w:rPr>
        <w:t xml:space="preserve"> </w:t>
      </w:r>
      <w:r>
        <w:t>the</w:t>
      </w:r>
      <w:r>
        <w:rPr>
          <w:spacing w:val="-3"/>
        </w:rPr>
        <w:t xml:space="preserve"> </w:t>
      </w:r>
      <w:r>
        <w:t>quality</w:t>
      </w:r>
      <w:r>
        <w:rPr>
          <w:spacing w:val="-2"/>
        </w:rPr>
        <w:t xml:space="preserve"> </w:t>
      </w:r>
      <w:r>
        <w:t>of</w:t>
      </w:r>
      <w:r>
        <w:rPr>
          <w:spacing w:val="-3"/>
        </w:rPr>
        <w:t xml:space="preserve"> </w:t>
      </w:r>
      <w:r>
        <w:t>the</w:t>
      </w:r>
      <w:r>
        <w:rPr>
          <w:spacing w:val="-6"/>
        </w:rPr>
        <w:t xml:space="preserve"> </w:t>
      </w:r>
      <w:r>
        <w:t>Medicare</w:t>
      </w:r>
      <w:r>
        <w:rPr>
          <w:spacing w:val="-4"/>
        </w:rPr>
        <w:t xml:space="preserve"> </w:t>
      </w:r>
      <w:r>
        <w:t>Advantage</w:t>
      </w:r>
      <w:r>
        <w:rPr>
          <w:spacing w:val="-3"/>
        </w:rPr>
        <w:t xml:space="preserve"> </w:t>
      </w:r>
      <w:r>
        <w:t>program in Puerto Rico, demonstrated by the positive progress made through some particularly challenging circumstances</w:t>
      </w:r>
      <w:r>
        <w:rPr>
          <w:spacing w:val="-9"/>
        </w:rPr>
        <w:t xml:space="preserve"> </w:t>
      </w:r>
      <w:r>
        <w:t>in</w:t>
      </w:r>
      <w:r>
        <w:rPr>
          <w:spacing w:val="-8"/>
        </w:rPr>
        <w:t xml:space="preserve"> </w:t>
      </w:r>
      <w:r>
        <w:t>recent</w:t>
      </w:r>
      <w:r>
        <w:rPr>
          <w:spacing w:val="-10"/>
        </w:rPr>
        <w:t xml:space="preserve"> </w:t>
      </w:r>
      <w:r>
        <w:t>years.</w:t>
      </w:r>
      <w:r>
        <w:rPr>
          <w:spacing w:val="-7"/>
        </w:rPr>
        <w:t xml:space="preserve"> </w:t>
      </w:r>
      <w:r>
        <w:t>With</w:t>
      </w:r>
      <w:r>
        <w:rPr>
          <w:spacing w:val="-10"/>
        </w:rPr>
        <w:t xml:space="preserve"> </w:t>
      </w:r>
      <w:r>
        <w:t>the</w:t>
      </w:r>
      <w:r>
        <w:rPr>
          <w:spacing w:val="-9"/>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4"/>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5"/>
        </w:rPr>
        <w:t xml:space="preserve"> </w:t>
      </w:r>
      <w:r>
        <w:rPr>
          <w:b/>
        </w:rPr>
        <w:t>to</w:t>
      </w:r>
      <w:r>
        <w:rPr>
          <w:b/>
          <w:spacing w:val="-15"/>
        </w:rPr>
        <w:t xml:space="preserve"> </w:t>
      </w:r>
      <w:r>
        <w:rPr>
          <w:b/>
        </w:rPr>
        <w:t>make</w:t>
      </w:r>
      <w:r>
        <w:rPr>
          <w:b/>
          <w:spacing w:val="-15"/>
        </w:rPr>
        <w:t xml:space="preserve"> </w:t>
      </w:r>
      <w:r>
        <w:rPr>
          <w:b/>
        </w:rPr>
        <w:t>progress</w:t>
      </w:r>
      <w:r>
        <w:rPr>
          <w:b/>
          <w:spacing w:val="-16"/>
        </w:rPr>
        <w:t xml:space="preserve"> </w:t>
      </w:r>
      <w:r>
        <w:rPr>
          <w:b/>
        </w:rPr>
        <w:t>towards</w:t>
      </w:r>
      <w:r>
        <w:rPr>
          <w:b/>
          <w:spacing w:val="-13"/>
        </w:rPr>
        <w:t xml:space="preserve"> </w:t>
      </w:r>
      <w:r>
        <w:rPr>
          <w:b/>
        </w:rPr>
        <w:t>operating</w:t>
      </w:r>
      <w:r>
        <w:rPr>
          <w:b/>
          <w:spacing w:val="-16"/>
        </w:rPr>
        <w:t xml:space="preserve"> </w:t>
      </w:r>
      <w:r>
        <w:rPr>
          <w:b/>
        </w:rPr>
        <w:t>the</w:t>
      </w:r>
      <w:r>
        <w:rPr>
          <w:b/>
          <w:spacing w:val="-15"/>
        </w:rPr>
        <w:t xml:space="preserve"> </w:t>
      </w:r>
      <w:r>
        <w:rPr>
          <w:b/>
        </w:rPr>
        <w:t>most</w:t>
      </w:r>
      <w:r>
        <w:rPr>
          <w:b/>
          <w:spacing w:val="-16"/>
        </w:rPr>
        <w:t xml:space="preserve"> </w:t>
      </w:r>
      <w:r>
        <w:rPr>
          <w:b/>
        </w:rPr>
        <w:t>cost-effective</w:t>
      </w:r>
      <w:r>
        <w:rPr>
          <w:b/>
          <w:spacing w:val="-16"/>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5"/>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6"/>
        </w:rPr>
        <w:t xml:space="preserve"> </w:t>
      </w:r>
      <w:r>
        <w:t>and</w:t>
      </w:r>
      <w:r>
        <w:rPr>
          <w:spacing w:val="-5"/>
        </w:rPr>
        <w:t xml:space="preserve"> </w:t>
      </w:r>
      <w:r>
        <w:t>CMS</w:t>
      </w:r>
      <w:r>
        <w:rPr>
          <w:spacing w:val="-5"/>
        </w:rPr>
        <w:t xml:space="preserve"> </w:t>
      </w:r>
      <w:r>
        <w:t>to</w:t>
      </w:r>
      <w:r>
        <w:rPr>
          <w:spacing w:val="-5"/>
        </w:rPr>
        <w:t xml:space="preserve"> </w:t>
      </w:r>
      <w:r>
        <w:t>take</w:t>
      </w:r>
      <w:r>
        <w:rPr>
          <w:spacing w:val="-7"/>
        </w:rPr>
        <w:t xml:space="preserve"> </w:t>
      </w:r>
      <w:r>
        <w:t>meaningful</w:t>
      </w:r>
      <w:r>
        <w:rPr>
          <w:spacing w:val="-4"/>
        </w:rPr>
        <w:t xml:space="preserve"> </w:t>
      </w:r>
      <w:r>
        <w:t>administrative</w:t>
      </w:r>
      <w:r>
        <w:rPr>
          <w:spacing w:val="-6"/>
        </w:rPr>
        <w:t xml:space="preserve"> </w:t>
      </w:r>
      <w:r>
        <w:t>ac</w:t>
      </w:r>
      <w:r>
        <w:t>tion</w:t>
      </w:r>
      <w:r>
        <w:rPr>
          <w:spacing w:val="-6"/>
        </w:rPr>
        <w:t xml:space="preserve"> </w:t>
      </w:r>
      <w:r>
        <w:t>to</w:t>
      </w:r>
      <w:r>
        <w:rPr>
          <w:spacing w:val="-5"/>
        </w:rPr>
        <w:t xml:space="preserve"> </w:t>
      </w:r>
      <w:r>
        <w:t>mitigate ACA cuts and enhance access and benefits for over 570,000 Medicare Advantage beneficiaries in Puerto Rico.</w:t>
      </w:r>
    </w:p>
    <w:p w:rsidR="00773EA6" w:rsidRDefault="00773EA6">
      <w:pPr>
        <w:pStyle w:val="BodyText"/>
        <w:spacing w:before="11"/>
        <w:rPr>
          <w:sz w:val="23"/>
        </w:rPr>
      </w:pPr>
    </w:p>
    <w:p w:rsidR="00773EA6" w:rsidRDefault="00530375">
      <w:pPr>
        <w:pStyle w:val="BodyText"/>
        <w:spacing w:before="1"/>
        <w:ind w:left="120"/>
        <w:jc w:val="both"/>
      </w:pPr>
      <w:r>
        <w:rPr>
          <w:noProof/>
        </w:rPr>
        <w:drawing>
          <wp:anchor distT="0" distB="0" distL="0" distR="0" simplePos="0" relativeHeight="251645952" behindDoc="1" locked="0" layoutInCell="1" allowOverlap="1">
            <wp:simplePos x="0" y="0"/>
            <wp:positionH relativeFrom="page">
              <wp:posOffset>1028700</wp:posOffset>
            </wp:positionH>
            <wp:positionV relativeFrom="paragraph">
              <wp:posOffset>136063</wp:posOffset>
            </wp:positionV>
            <wp:extent cx="1732788" cy="65684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732788" cy="656843"/>
                    </a:xfrm>
                    <a:prstGeom prst="rect">
                      <a:avLst/>
                    </a:prstGeom>
                  </pic:spPr>
                </pic:pic>
              </a:graphicData>
            </a:graphic>
          </wp:anchor>
        </w:drawing>
      </w:r>
      <w:r>
        <w:rPr>
          <w:noProof/>
        </w:rPr>
        <w:drawing>
          <wp:anchor distT="0" distB="0" distL="0" distR="0" simplePos="0" relativeHeight="251648000" behindDoc="1" locked="0" layoutInCell="1" allowOverlap="1">
            <wp:simplePos x="0" y="0"/>
            <wp:positionH relativeFrom="page">
              <wp:posOffset>3982211</wp:posOffset>
            </wp:positionH>
            <wp:positionV relativeFrom="paragraph">
              <wp:posOffset>46147</wp:posOffset>
            </wp:positionV>
            <wp:extent cx="2560319" cy="111556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60319" cy="1115567"/>
                    </a:xfrm>
                    <a:prstGeom prst="rect">
                      <a:avLst/>
                    </a:prstGeom>
                  </pic:spPr>
                </pic:pic>
              </a:graphicData>
            </a:graphic>
          </wp:anchor>
        </w:drawing>
      </w:r>
      <w:r>
        <w:t>Sincerely,</w:t>
      </w:r>
    </w:p>
    <w:p w:rsidR="00773EA6" w:rsidRDefault="00773EA6">
      <w:pPr>
        <w:pStyle w:val="BodyText"/>
        <w:rPr>
          <w:sz w:val="20"/>
        </w:rPr>
      </w:pPr>
    </w:p>
    <w:p w:rsidR="00773EA6" w:rsidRDefault="00773EA6">
      <w:pPr>
        <w:pStyle w:val="BodyText"/>
        <w:rPr>
          <w:sz w:val="20"/>
        </w:rPr>
      </w:pPr>
    </w:p>
    <w:p w:rsidR="00773EA6" w:rsidRDefault="00773EA6">
      <w:pPr>
        <w:pStyle w:val="BodyText"/>
        <w:spacing w:before="2"/>
        <w:rPr>
          <w:sz w:val="10"/>
        </w:rPr>
      </w:pPr>
    </w:p>
    <w:tbl>
      <w:tblPr>
        <w:tblW w:w="0" w:type="auto"/>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773EA6">
        <w:trPr>
          <w:trHeight w:hRule="exact" w:val="1666"/>
        </w:trPr>
        <w:tc>
          <w:tcPr>
            <w:tcW w:w="4767" w:type="dxa"/>
          </w:tcPr>
          <w:p w:rsidR="00773EA6" w:rsidRDefault="00773EA6">
            <w:pPr>
              <w:pStyle w:val="TableParagraph"/>
              <w:spacing w:before="11"/>
              <w:ind w:left="0"/>
              <w:rPr>
                <w:rFonts w:ascii="Calibri"/>
                <w:sz w:val="21"/>
              </w:rPr>
            </w:pPr>
          </w:p>
          <w:p w:rsidR="00773EA6" w:rsidRDefault="00530375">
            <w:pPr>
              <w:pStyle w:val="TableParagraph"/>
              <w:ind w:right="1481"/>
              <w:rPr>
                <w:sz w:val="24"/>
              </w:rPr>
            </w:pPr>
            <w:r>
              <w:rPr>
                <w:sz w:val="24"/>
              </w:rPr>
              <w:t>Hon. Luis Gerardo Rivera Marín Secretary of State</w:t>
            </w:r>
          </w:p>
          <w:p w:rsidR="00773EA6" w:rsidRDefault="00530375">
            <w:pPr>
              <w:pStyle w:val="TableParagraph"/>
              <w:rPr>
                <w:sz w:val="24"/>
              </w:rPr>
            </w:pPr>
            <w:r>
              <w:rPr>
                <w:sz w:val="24"/>
              </w:rPr>
              <w:t>Government of Puerto Rico</w:t>
            </w:r>
          </w:p>
        </w:tc>
        <w:tc>
          <w:tcPr>
            <w:tcW w:w="5485" w:type="dxa"/>
            <w:tcBorders>
              <w:right w:val="nil"/>
            </w:tcBorders>
          </w:tcPr>
          <w:p w:rsidR="00773EA6" w:rsidRDefault="00773EA6">
            <w:pPr>
              <w:pStyle w:val="TableParagraph"/>
              <w:spacing w:before="11"/>
              <w:ind w:left="0"/>
              <w:rPr>
                <w:rFonts w:ascii="Calibri"/>
                <w:sz w:val="21"/>
              </w:rPr>
            </w:pPr>
          </w:p>
          <w:p w:rsidR="00773EA6" w:rsidRDefault="00530375">
            <w:pPr>
              <w:pStyle w:val="TableParagraph"/>
              <w:ind w:left="100" w:right="1721"/>
              <w:rPr>
                <w:sz w:val="24"/>
              </w:rPr>
            </w:pPr>
            <w:r>
              <w:rPr>
                <w:sz w:val="24"/>
              </w:rPr>
              <w:t>Hon. Rafael Rodriguez Mercado, MD Secretary of Health</w:t>
            </w:r>
          </w:p>
          <w:p w:rsidR="00773EA6" w:rsidRDefault="00530375">
            <w:pPr>
              <w:pStyle w:val="TableParagraph"/>
              <w:ind w:left="100"/>
              <w:rPr>
                <w:sz w:val="24"/>
              </w:rPr>
            </w:pPr>
            <w:r>
              <w:rPr>
                <w:sz w:val="24"/>
              </w:rPr>
              <w:t>Government of Puerto Rico</w:t>
            </w:r>
          </w:p>
        </w:tc>
      </w:tr>
      <w:tr w:rsidR="00773EA6">
        <w:trPr>
          <w:trHeight w:hRule="exact" w:val="2189"/>
        </w:trPr>
        <w:tc>
          <w:tcPr>
            <w:tcW w:w="4767" w:type="dxa"/>
          </w:tcPr>
          <w:p w:rsidR="00773EA6" w:rsidRDefault="00773EA6">
            <w:pPr>
              <w:pStyle w:val="TableParagraph"/>
              <w:spacing w:before="1"/>
              <w:ind w:left="0"/>
              <w:rPr>
                <w:rFonts w:ascii="Calibri"/>
              </w:rPr>
            </w:pPr>
          </w:p>
          <w:p w:rsidR="00773EA6" w:rsidRDefault="00530375">
            <w:pPr>
              <w:pStyle w:val="TableParagraph"/>
              <w:ind w:right="2615"/>
              <w:rPr>
                <w:sz w:val="24"/>
              </w:rPr>
            </w:pPr>
            <w:r>
              <w:rPr>
                <w:sz w:val="24"/>
              </w:rPr>
              <w:t>Mr. Carlos Mercader Executive Director</w:t>
            </w:r>
          </w:p>
          <w:p w:rsidR="00773EA6" w:rsidRDefault="00530375">
            <w:pPr>
              <w:pStyle w:val="TableParagraph"/>
              <w:ind w:right="461"/>
              <w:rPr>
                <w:sz w:val="24"/>
              </w:rPr>
            </w:pPr>
            <w:r>
              <w:rPr>
                <w:sz w:val="24"/>
              </w:rPr>
              <w:t>Puerto Rico Federal Affairs Administration Government of Puerto Rico</w:t>
            </w:r>
          </w:p>
        </w:tc>
        <w:tc>
          <w:tcPr>
            <w:tcW w:w="5485" w:type="dxa"/>
            <w:tcBorders>
              <w:right w:val="nil"/>
            </w:tcBorders>
          </w:tcPr>
          <w:p w:rsidR="00773EA6" w:rsidRDefault="00773EA6">
            <w:pPr>
              <w:pStyle w:val="TableParagraph"/>
              <w:spacing w:before="1"/>
              <w:ind w:left="0"/>
              <w:rPr>
                <w:rFonts w:ascii="Calibri"/>
              </w:rPr>
            </w:pPr>
          </w:p>
          <w:p w:rsidR="00773EA6" w:rsidRDefault="00530375">
            <w:pPr>
              <w:pStyle w:val="TableParagraph"/>
              <w:ind w:left="100" w:right="3541"/>
              <w:rPr>
                <w:sz w:val="24"/>
              </w:rPr>
            </w:pPr>
            <w:r>
              <w:rPr>
                <w:sz w:val="24"/>
              </w:rPr>
              <w:t>Mrs. Angela Avila Executive Director</w:t>
            </w:r>
          </w:p>
          <w:p w:rsidR="00773EA6" w:rsidRDefault="00530375">
            <w:pPr>
              <w:pStyle w:val="TableParagraph"/>
              <w:ind w:left="100"/>
              <w:rPr>
                <w:sz w:val="24"/>
              </w:rPr>
            </w:pPr>
            <w:r>
              <w:rPr>
                <w:sz w:val="24"/>
              </w:rPr>
              <w:t>Puerto Rico Health Insurance Administration Government of Puerto Rico</w:t>
            </w:r>
          </w:p>
        </w:tc>
      </w:tr>
      <w:tr w:rsidR="00773EA6">
        <w:trPr>
          <w:trHeight w:hRule="exact" w:val="2007"/>
        </w:trPr>
        <w:tc>
          <w:tcPr>
            <w:tcW w:w="4767" w:type="dxa"/>
            <w:tcBorders>
              <w:right w:val="nil"/>
            </w:tcBorders>
          </w:tcPr>
          <w:p w:rsidR="00773EA6" w:rsidRDefault="00530375">
            <w:pPr>
              <w:pStyle w:val="TableParagraph"/>
              <w:ind w:right="1606"/>
              <w:rPr>
                <w:sz w:val="24"/>
              </w:rPr>
            </w:pPr>
            <w:r>
              <w:rPr>
                <w:sz w:val="24"/>
              </w:rPr>
              <w:t>Hon. Juan Oscar Morales Chairman of Health Committee</w:t>
            </w:r>
          </w:p>
          <w:p w:rsidR="00773EA6" w:rsidRDefault="00530375">
            <w:pPr>
              <w:pStyle w:val="TableParagraph"/>
              <w:spacing w:before="8"/>
              <w:rPr>
                <w:sz w:val="24"/>
              </w:rPr>
            </w:pPr>
            <w:r>
              <w:rPr>
                <w:sz w:val="24"/>
              </w:rPr>
              <w:t>House of Representatives of Puerto Rico</w:t>
            </w:r>
          </w:p>
        </w:tc>
        <w:tc>
          <w:tcPr>
            <w:tcW w:w="5485" w:type="dxa"/>
            <w:tcBorders>
              <w:left w:val="nil"/>
              <w:right w:val="nil"/>
            </w:tcBorders>
          </w:tcPr>
          <w:p w:rsidR="00773EA6" w:rsidRDefault="00530375">
            <w:pPr>
              <w:pStyle w:val="TableParagraph"/>
              <w:ind w:left="105" w:right="2343"/>
              <w:rPr>
                <w:sz w:val="24"/>
              </w:rPr>
            </w:pPr>
            <w:r>
              <w:rPr>
                <w:sz w:val="24"/>
              </w:rPr>
              <w:t>Hon. Angel Martínez Chairman of Health Committee Senate of Puerto</w:t>
            </w:r>
            <w:r>
              <w:rPr>
                <w:spacing w:val="-7"/>
                <w:sz w:val="24"/>
              </w:rPr>
              <w:t xml:space="preserve"> </w:t>
            </w:r>
            <w:r>
              <w:rPr>
                <w:sz w:val="24"/>
              </w:rPr>
              <w:t>Rico</w:t>
            </w:r>
          </w:p>
        </w:tc>
      </w:tr>
      <w:tr w:rsidR="00773EA6">
        <w:trPr>
          <w:trHeight w:hRule="exact" w:val="833"/>
        </w:trPr>
        <w:tc>
          <w:tcPr>
            <w:tcW w:w="4767" w:type="dxa"/>
            <w:tcBorders>
              <w:bottom w:val="nil"/>
              <w:right w:val="nil"/>
            </w:tcBorders>
          </w:tcPr>
          <w:p w:rsidR="00773EA6" w:rsidRDefault="00530375">
            <w:pPr>
              <w:pStyle w:val="TableParagraph"/>
              <w:spacing w:line="268" w:lineRule="exact"/>
              <w:rPr>
                <w:sz w:val="24"/>
              </w:rPr>
            </w:pPr>
            <w:r>
              <w:rPr>
                <w:sz w:val="24"/>
              </w:rPr>
              <w:t>Hon. Javier Rivera Ríos</w:t>
            </w:r>
          </w:p>
          <w:p w:rsidR="00773EA6" w:rsidRDefault="00530375">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rsidR="00773EA6" w:rsidRDefault="00530375">
            <w:pPr>
              <w:pStyle w:val="TableParagraph"/>
              <w:spacing w:line="268" w:lineRule="exact"/>
              <w:ind w:left="105"/>
              <w:rPr>
                <w:sz w:val="24"/>
              </w:rPr>
            </w:pPr>
            <w:r>
              <w:rPr>
                <w:sz w:val="24"/>
              </w:rPr>
              <w:t>Pedro R. Pierluisi, Esq.</w:t>
            </w:r>
          </w:p>
          <w:p w:rsidR="00773EA6" w:rsidRDefault="00530375">
            <w:pPr>
              <w:pStyle w:val="TableParagraph"/>
              <w:ind w:left="105"/>
              <w:rPr>
                <w:sz w:val="24"/>
              </w:rPr>
            </w:pPr>
            <w:r>
              <w:rPr>
                <w:sz w:val="24"/>
              </w:rPr>
              <w:t>Immediate Past Resident Commissioner of Puerto Rico Member of Congress (2009-2016)</w:t>
            </w:r>
          </w:p>
        </w:tc>
      </w:tr>
    </w:tbl>
    <w:p w:rsidR="00773EA6" w:rsidRDefault="00773EA6">
      <w:pPr>
        <w:rPr>
          <w:sz w:val="24"/>
        </w:rPr>
        <w:sectPr w:rsidR="00773EA6">
          <w:pgSz w:w="12240" w:h="15840"/>
          <w:pgMar w:top="1400" w:right="440" w:bottom="1200" w:left="1320" w:header="0" w:footer="955" w:gutter="0"/>
          <w:cols w:space="720"/>
        </w:sectPr>
      </w:pPr>
    </w:p>
    <w:tbl>
      <w:tblPr>
        <w:tblW w:w="0" w:type="auto"/>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773EA6">
        <w:trPr>
          <w:trHeight w:hRule="exact" w:val="2331"/>
        </w:trPr>
        <w:tc>
          <w:tcPr>
            <w:tcW w:w="4767" w:type="dxa"/>
          </w:tcPr>
          <w:p w:rsidR="00773EA6" w:rsidRDefault="00773EA6">
            <w:pPr>
              <w:pStyle w:val="TableParagraph"/>
              <w:ind w:left="0"/>
              <w:rPr>
                <w:rFonts w:ascii="Calibri"/>
                <w:sz w:val="26"/>
              </w:rPr>
            </w:pPr>
          </w:p>
          <w:p w:rsidR="00773EA6" w:rsidRDefault="00773EA6">
            <w:pPr>
              <w:pStyle w:val="TableParagraph"/>
              <w:ind w:left="0"/>
              <w:rPr>
                <w:rFonts w:ascii="Calibri"/>
                <w:sz w:val="26"/>
              </w:rPr>
            </w:pPr>
          </w:p>
          <w:p w:rsidR="00773EA6" w:rsidRDefault="00530375">
            <w:pPr>
              <w:pStyle w:val="TableParagraph"/>
              <w:spacing w:before="185"/>
              <w:ind w:right="2387"/>
              <w:rPr>
                <w:sz w:val="24"/>
              </w:rPr>
            </w:pPr>
            <w:r>
              <w:rPr>
                <w:sz w:val="24"/>
              </w:rPr>
              <w:t>Richard A. Shinto, MD CEO, InnovaCare, Inc.</w:t>
            </w:r>
          </w:p>
          <w:p w:rsidR="00773EA6" w:rsidRDefault="00530375">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rsidR="00773EA6" w:rsidRDefault="00773EA6">
            <w:pPr>
              <w:pStyle w:val="TableParagraph"/>
              <w:ind w:left="0"/>
              <w:rPr>
                <w:rFonts w:ascii="Calibri"/>
                <w:sz w:val="26"/>
              </w:rPr>
            </w:pPr>
          </w:p>
          <w:p w:rsidR="00773EA6" w:rsidRDefault="00773EA6">
            <w:pPr>
              <w:pStyle w:val="TableParagraph"/>
              <w:ind w:left="0"/>
              <w:rPr>
                <w:rFonts w:ascii="Calibri"/>
                <w:sz w:val="26"/>
              </w:rPr>
            </w:pPr>
          </w:p>
          <w:p w:rsidR="00773EA6" w:rsidRDefault="00530375">
            <w:pPr>
              <w:pStyle w:val="TableParagraph"/>
              <w:spacing w:before="190"/>
              <w:ind w:left="100" w:right="3447"/>
              <w:rPr>
                <w:sz w:val="24"/>
              </w:rPr>
            </w:pPr>
            <w:r>
              <w:rPr>
                <w:sz w:val="24"/>
              </w:rPr>
              <w:t>Jaime Plá-Cortés Executive President</w:t>
            </w:r>
          </w:p>
          <w:p w:rsidR="00773EA6" w:rsidRDefault="00530375">
            <w:pPr>
              <w:pStyle w:val="TableParagraph"/>
              <w:ind w:left="100"/>
              <w:rPr>
                <w:sz w:val="24"/>
              </w:rPr>
            </w:pPr>
            <w:r>
              <w:rPr>
                <w:sz w:val="24"/>
              </w:rPr>
              <w:t>Puerto Rico Hospital Association</w:t>
            </w:r>
          </w:p>
        </w:tc>
      </w:tr>
      <w:tr w:rsidR="00773EA6">
        <w:trPr>
          <w:trHeight w:hRule="exact" w:val="1666"/>
        </w:trPr>
        <w:tc>
          <w:tcPr>
            <w:tcW w:w="4767" w:type="dxa"/>
          </w:tcPr>
          <w:p w:rsidR="00773EA6" w:rsidRDefault="00773EA6">
            <w:pPr>
              <w:pStyle w:val="TableParagraph"/>
              <w:ind w:left="0"/>
              <w:rPr>
                <w:rFonts w:ascii="Calibri"/>
                <w:sz w:val="26"/>
              </w:rPr>
            </w:pPr>
          </w:p>
          <w:p w:rsidR="00773EA6" w:rsidRDefault="00530375">
            <w:pPr>
              <w:pStyle w:val="TableParagraph"/>
              <w:spacing w:before="226"/>
              <w:rPr>
                <w:sz w:val="24"/>
              </w:rPr>
            </w:pPr>
            <w:r>
              <w:rPr>
                <w:sz w:val="24"/>
              </w:rPr>
              <w:t>James P. O’Drobinak</w:t>
            </w:r>
          </w:p>
          <w:p w:rsidR="00773EA6" w:rsidRDefault="00530375">
            <w:pPr>
              <w:pStyle w:val="TableParagraph"/>
              <w:rPr>
                <w:sz w:val="24"/>
              </w:rPr>
            </w:pPr>
            <w:r>
              <w:rPr>
                <w:sz w:val="24"/>
              </w:rPr>
              <w:t>CEO, MCS Advantage, Inc.</w:t>
            </w:r>
          </w:p>
          <w:p w:rsidR="00773EA6" w:rsidRDefault="00530375">
            <w:pPr>
              <w:pStyle w:val="TableParagraph"/>
              <w:spacing w:before="1"/>
              <w:ind w:right="268"/>
              <w:rPr>
                <w:sz w:val="24"/>
              </w:rPr>
            </w:pPr>
            <w:r>
              <w:rPr>
                <w:sz w:val="24"/>
              </w:rPr>
              <w:t>Medicaid &amp;</w:t>
            </w:r>
            <w:r>
              <w:rPr>
                <w:sz w:val="24"/>
              </w:rPr>
              <w:t xml:space="preserve"> Medicare Advantage Products Association of Puerto Rico (MMAPA) Board</w:t>
            </w:r>
          </w:p>
        </w:tc>
        <w:tc>
          <w:tcPr>
            <w:tcW w:w="5485" w:type="dxa"/>
            <w:tcBorders>
              <w:bottom w:val="nil"/>
              <w:right w:val="nil"/>
            </w:tcBorders>
          </w:tcPr>
          <w:p w:rsidR="00773EA6" w:rsidRDefault="00773EA6">
            <w:pPr>
              <w:pStyle w:val="TableParagraph"/>
              <w:ind w:left="0"/>
              <w:rPr>
                <w:rFonts w:ascii="Calibri"/>
                <w:sz w:val="26"/>
              </w:rPr>
            </w:pPr>
          </w:p>
          <w:p w:rsidR="00773EA6" w:rsidRDefault="00530375">
            <w:pPr>
              <w:pStyle w:val="TableParagraph"/>
              <w:spacing w:before="226"/>
              <w:ind w:left="100" w:right="2520"/>
              <w:rPr>
                <w:sz w:val="24"/>
              </w:rPr>
            </w:pPr>
            <w:r>
              <w:rPr>
                <w:sz w:val="24"/>
              </w:rPr>
              <w:t>Dr. José Joaquín Vargas, MD President</w:t>
            </w:r>
          </w:p>
          <w:p w:rsidR="00773EA6" w:rsidRDefault="00530375">
            <w:pPr>
              <w:pStyle w:val="TableParagraph"/>
              <w:ind w:left="100"/>
              <w:rPr>
                <w:sz w:val="24"/>
              </w:rPr>
            </w:pPr>
            <w:r>
              <w:rPr>
                <w:sz w:val="24"/>
              </w:rPr>
              <w:t>Puerto Rico IPA Association</w:t>
            </w:r>
          </w:p>
        </w:tc>
      </w:tr>
      <w:tr w:rsidR="00773EA6">
        <w:trPr>
          <w:trHeight w:hRule="exact" w:val="2630"/>
        </w:trPr>
        <w:tc>
          <w:tcPr>
            <w:tcW w:w="4767" w:type="dxa"/>
            <w:tcBorders>
              <w:bottom w:val="nil"/>
            </w:tcBorders>
          </w:tcPr>
          <w:p w:rsidR="00773EA6" w:rsidRDefault="00773EA6">
            <w:pPr>
              <w:pStyle w:val="TableParagraph"/>
              <w:ind w:left="0"/>
              <w:rPr>
                <w:rFonts w:ascii="Calibri"/>
                <w:sz w:val="26"/>
              </w:rPr>
            </w:pPr>
          </w:p>
          <w:p w:rsidR="00773EA6" w:rsidRDefault="00773EA6">
            <w:pPr>
              <w:pStyle w:val="TableParagraph"/>
              <w:ind w:left="0"/>
              <w:rPr>
                <w:rFonts w:ascii="Calibri"/>
                <w:sz w:val="26"/>
              </w:rPr>
            </w:pPr>
          </w:p>
          <w:p w:rsidR="00773EA6" w:rsidRDefault="00773EA6">
            <w:pPr>
              <w:pStyle w:val="TableParagraph"/>
              <w:spacing w:before="9"/>
              <w:ind w:left="0"/>
              <w:rPr>
                <w:rFonts w:ascii="Calibri"/>
                <w:sz w:val="37"/>
              </w:rPr>
            </w:pPr>
          </w:p>
          <w:p w:rsidR="00773EA6" w:rsidRDefault="00530375">
            <w:pPr>
              <w:pStyle w:val="TableParagraph"/>
              <w:rPr>
                <w:sz w:val="24"/>
              </w:rPr>
            </w:pPr>
            <w:r>
              <w:rPr>
                <w:sz w:val="24"/>
              </w:rPr>
              <w:t>Roberto García Rodríguez, Esq.</w:t>
            </w:r>
          </w:p>
          <w:p w:rsidR="00773EA6" w:rsidRDefault="00530375">
            <w:pPr>
              <w:pStyle w:val="TableParagraph"/>
              <w:ind w:right="121"/>
              <w:rPr>
                <w:sz w:val="24"/>
              </w:rPr>
            </w:pPr>
            <w:r>
              <w:rPr>
                <w:sz w:val="24"/>
              </w:rPr>
              <w:t>President &amp; CEO, Triple-S Management Corp. Medicaid &amp;</w:t>
            </w:r>
            <w:r>
              <w:rPr>
                <w:sz w:val="24"/>
              </w:rPr>
              <w:t xml:space="preserve"> Medicare Advantage Products Association of Puerto Rico (MMAPA) Board</w:t>
            </w:r>
          </w:p>
        </w:tc>
        <w:tc>
          <w:tcPr>
            <w:tcW w:w="5485" w:type="dxa"/>
            <w:tcBorders>
              <w:top w:val="nil"/>
              <w:bottom w:val="nil"/>
              <w:right w:val="nil"/>
            </w:tcBorders>
          </w:tcPr>
          <w:p w:rsidR="00773EA6" w:rsidRDefault="00773EA6">
            <w:pPr>
              <w:pStyle w:val="TableParagraph"/>
              <w:ind w:left="0"/>
              <w:rPr>
                <w:rFonts w:ascii="Calibri"/>
                <w:sz w:val="26"/>
              </w:rPr>
            </w:pPr>
          </w:p>
          <w:p w:rsidR="00773EA6" w:rsidRDefault="00773EA6">
            <w:pPr>
              <w:pStyle w:val="TableParagraph"/>
              <w:ind w:left="0"/>
              <w:rPr>
                <w:rFonts w:ascii="Calibri"/>
                <w:sz w:val="26"/>
              </w:rPr>
            </w:pPr>
          </w:p>
          <w:p w:rsidR="00773EA6" w:rsidRDefault="00773EA6">
            <w:pPr>
              <w:pStyle w:val="TableParagraph"/>
              <w:spacing w:before="2"/>
              <w:ind w:left="0"/>
              <w:rPr>
                <w:rFonts w:ascii="Calibri"/>
                <w:sz w:val="38"/>
              </w:rPr>
            </w:pPr>
          </w:p>
          <w:p w:rsidR="00773EA6" w:rsidRDefault="00530375">
            <w:pPr>
              <w:pStyle w:val="TableParagraph"/>
              <w:ind w:left="100" w:right="3541"/>
              <w:rPr>
                <w:sz w:val="24"/>
              </w:rPr>
            </w:pPr>
            <w:r>
              <w:rPr>
                <w:sz w:val="24"/>
              </w:rPr>
              <w:t>Linda Ayala Executive Director</w:t>
            </w:r>
          </w:p>
          <w:p w:rsidR="00773EA6" w:rsidRDefault="00530375">
            <w:pPr>
              <w:pStyle w:val="TableParagraph"/>
              <w:ind w:left="100"/>
              <w:rPr>
                <w:sz w:val="24"/>
              </w:rPr>
            </w:pPr>
            <w:r>
              <w:rPr>
                <w:sz w:val="24"/>
              </w:rPr>
              <w:t>PR Community Pharmacies Association</w:t>
            </w:r>
          </w:p>
        </w:tc>
      </w:tr>
      <w:tr w:rsidR="00773EA6">
        <w:trPr>
          <w:trHeight w:hRule="exact" w:val="1532"/>
        </w:trPr>
        <w:tc>
          <w:tcPr>
            <w:tcW w:w="4767" w:type="dxa"/>
            <w:tcBorders>
              <w:top w:val="nil"/>
            </w:tcBorders>
          </w:tcPr>
          <w:p w:rsidR="00773EA6" w:rsidRDefault="00773EA6">
            <w:pPr>
              <w:pStyle w:val="TableParagraph"/>
              <w:ind w:left="0"/>
              <w:rPr>
                <w:rFonts w:ascii="Calibri"/>
                <w:sz w:val="34"/>
              </w:rPr>
            </w:pPr>
          </w:p>
          <w:p w:rsidR="00773EA6" w:rsidRDefault="00530375">
            <w:pPr>
              <w:pStyle w:val="TableParagraph"/>
              <w:ind w:right="1608"/>
              <w:rPr>
                <w:sz w:val="24"/>
              </w:rPr>
            </w:pPr>
            <w:r>
              <w:rPr>
                <w:sz w:val="24"/>
              </w:rPr>
              <w:t>Luis A. Torres-Olivera, Esq. President, Humana Puerto Rico</w:t>
            </w:r>
          </w:p>
          <w:p w:rsidR="00773EA6" w:rsidRDefault="00530375">
            <w:pPr>
              <w:pStyle w:val="TableParagraph"/>
              <w:rPr>
                <w:sz w:val="24"/>
              </w:rPr>
            </w:pPr>
            <w:r>
              <w:rPr>
                <w:sz w:val="24"/>
              </w:rPr>
              <w:t>Medicaid &amp;</w:t>
            </w:r>
            <w:r>
              <w:rPr>
                <w:sz w:val="24"/>
              </w:rPr>
              <w:t xml:space="preserve"> Medicare Advantage Products Association of Puerto Rico (MMAPA) Board</w:t>
            </w:r>
          </w:p>
        </w:tc>
        <w:tc>
          <w:tcPr>
            <w:tcW w:w="5485" w:type="dxa"/>
            <w:tcBorders>
              <w:top w:val="nil"/>
              <w:right w:val="nil"/>
            </w:tcBorders>
          </w:tcPr>
          <w:p w:rsidR="00773EA6" w:rsidRDefault="00773EA6">
            <w:pPr>
              <w:pStyle w:val="TableParagraph"/>
              <w:ind w:left="0"/>
              <w:rPr>
                <w:rFonts w:ascii="Calibri"/>
                <w:sz w:val="34"/>
              </w:rPr>
            </w:pPr>
          </w:p>
          <w:p w:rsidR="00773EA6" w:rsidRDefault="00530375">
            <w:pPr>
              <w:pStyle w:val="TableParagraph"/>
              <w:ind w:left="100" w:right="3541"/>
              <w:rPr>
                <w:sz w:val="24"/>
              </w:rPr>
            </w:pPr>
            <w:r>
              <w:rPr>
                <w:sz w:val="24"/>
              </w:rPr>
              <w:t>Alicia Suárez Executive Director</w:t>
            </w:r>
          </w:p>
          <w:p w:rsidR="00773EA6" w:rsidRDefault="00530375">
            <w:pPr>
              <w:pStyle w:val="TableParagraph"/>
              <w:ind w:left="100"/>
              <w:rPr>
                <w:sz w:val="24"/>
              </w:rPr>
            </w:pPr>
            <w:r>
              <w:rPr>
                <w:sz w:val="24"/>
              </w:rPr>
              <w:t>Primary Health Association of Puerto Rico</w:t>
            </w:r>
          </w:p>
        </w:tc>
      </w:tr>
      <w:tr w:rsidR="00773EA6">
        <w:trPr>
          <w:trHeight w:hRule="exact" w:val="1666"/>
        </w:trPr>
        <w:tc>
          <w:tcPr>
            <w:tcW w:w="4767" w:type="dxa"/>
          </w:tcPr>
          <w:p w:rsidR="00773EA6" w:rsidRDefault="00773EA6">
            <w:pPr>
              <w:pStyle w:val="TableParagraph"/>
              <w:ind w:left="0"/>
              <w:rPr>
                <w:rFonts w:ascii="Calibri"/>
                <w:sz w:val="26"/>
              </w:rPr>
            </w:pPr>
          </w:p>
          <w:p w:rsidR="00773EA6" w:rsidRDefault="00530375">
            <w:pPr>
              <w:pStyle w:val="TableParagraph"/>
              <w:spacing w:before="226"/>
              <w:rPr>
                <w:sz w:val="24"/>
              </w:rPr>
            </w:pPr>
            <w:r>
              <w:rPr>
                <w:sz w:val="24"/>
              </w:rPr>
              <w:t>Juan Domínguez</w:t>
            </w:r>
          </w:p>
          <w:p w:rsidR="00773EA6" w:rsidRDefault="00530375">
            <w:pPr>
              <w:pStyle w:val="TableParagraph"/>
              <w:rPr>
                <w:sz w:val="24"/>
              </w:rPr>
            </w:pPr>
            <w:r>
              <w:rPr>
                <w:sz w:val="24"/>
              </w:rPr>
              <w:t>Vice –president, First Medical</w:t>
            </w:r>
          </w:p>
          <w:p w:rsidR="00773EA6" w:rsidRDefault="00530375">
            <w:pPr>
              <w:pStyle w:val="TableParagraph"/>
              <w:ind w:right="268"/>
              <w:rPr>
                <w:sz w:val="24"/>
              </w:rPr>
            </w:pPr>
            <w:r>
              <w:rPr>
                <w:sz w:val="24"/>
              </w:rPr>
              <w:t>Medicaid &amp;</w:t>
            </w:r>
            <w:r>
              <w:rPr>
                <w:sz w:val="24"/>
              </w:rPr>
              <w:t xml:space="preserve"> Medicare Advantage Products Association of Puerto Rico (MMAPA) Board</w:t>
            </w:r>
          </w:p>
        </w:tc>
        <w:tc>
          <w:tcPr>
            <w:tcW w:w="5485" w:type="dxa"/>
            <w:tcBorders>
              <w:right w:val="nil"/>
            </w:tcBorders>
          </w:tcPr>
          <w:p w:rsidR="00773EA6" w:rsidRDefault="00773EA6">
            <w:pPr>
              <w:pStyle w:val="TableParagraph"/>
              <w:ind w:left="0"/>
              <w:rPr>
                <w:rFonts w:ascii="Calibri"/>
                <w:sz w:val="26"/>
              </w:rPr>
            </w:pPr>
          </w:p>
          <w:p w:rsidR="00773EA6" w:rsidRDefault="00530375">
            <w:pPr>
              <w:pStyle w:val="TableParagraph"/>
              <w:spacing w:before="226"/>
              <w:ind w:left="100" w:right="447"/>
              <w:rPr>
                <w:sz w:val="24"/>
              </w:rPr>
            </w:pPr>
            <w:r>
              <w:rPr>
                <w:sz w:val="24"/>
              </w:rPr>
              <w:t>Gloria del C. Amador Fernández, DrPH(c), MHSA Executive Director</w:t>
            </w:r>
          </w:p>
          <w:p w:rsidR="00773EA6" w:rsidRDefault="00530375">
            <w:pPr>
              <w:pStyle w:val="TableParagraph"/>
              <w:ind w:left="100"/>
              <w:rPr>
                <w:sz w:val="24"/>
              </w:rPr>
            </w:pPr>
            <w:r>
              <w:rPr>
                <w:sz w:val="24"/>
              </w:rPr>
              <w:t>Salud Integral en la Montaña, Inc.</w:t>
            </w:r>
          </w:p>
        </w:tc>
      </w:tr>
      <w:tr w:rsidR="00773EA6">
        <w:trPr>
          <w:trHeight w:hRule="exact" w:val="1904"/>
        </w:trPr>
        <w:tc>
          <w:tcPr>
            <w:tcW w:w="4767" w:type="dxa"/>
            <w:tcBorders>
              <w:bottom w:val="nil"/>
              <w:right w:val="nil"/>
            </w:tcBorders>
          </w:tcPr>
          <w:p w:rsidR="00773EA6" w:rsidRDefault="00773EA6">
            <w:pPr>
              <w:pStyle w:val="TableParagraph"/>
              <w:ind w:left="0"/>
              <w:rPr>
                <w:rFonts w:ascii="Calibri"/>
                <w:sz w:val="26"/>
              </w:rPr>
            </w:pPr>
          </w:p>
          <w:p w:rsidR="00773EA6" w:rsidRDefault="00530375">
            <w:pPr>
              <w:pStyle w:val="TableParagraph"/>
              <w:spacing w:before="227"/>
              <w:rPr>
                <w:sz w:val="24"/>
              </w:rPr>
            </w:pPr>
            <w:r>
              <w:rPr>
                <w:sz w:val="24"/>
              </w:rPr>
              <w:t>Alicia Lamboy</w:t>
            </w:r>
          </w:p>
          <w:p w:rsidR="00773EA6" w:rsidRDefault="00530375">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rsidR="00773EA6" w:rsidRDefault="00773EA6">
            <w:pPr>
              <w:pStyle w:val="TableParagraph"/>
              <w:ind w:left="0"/>
              <w:rPr>
                <w:rFonts w:ascii="Calibri"/>
                <w:sz w:val="26"/>
              </w:rPr>
            </w:pPr>
          </w:p>
          <w:p w:rsidR="00773EA6" w:rsidRDefault="00530375">
            <w:pPr>
              <w:pStyle w:val="TableParagraph"/>
              <w:spacing w:before="227"/>
              <w:ind w:left="105" w:right="3046"/>
              <w:rPr>
                <w:sz w:val="24"/>
              </w:rPr>
            </w:pPr>
            <w:r>
              <w:rPr>
                <w:sz w:val="24"/>
              </w:rPr>
              <w:t>Rodrigo Mases President</w:t>
            </w:r>
          </w:p>
          <w:p w:rsidR="00773EA6" w:rsidRDefault="00530375">
            <w:pPr>
              <w:pStyle w:val="TableParagraph"/>
              <w:ind w:left="105"/>
              <w:rPr>
                <w:sz w:val="24"/>
              </w:rPr>
            </w:pPr>
            <w:r>
              <w:rPr>
                <w:sz w:val="24"/>
              </w:rPr>
              <w:t>Puerto Rico Manufacturers Association</w:t>
            </w:r>
          </w:p>
        </w:tc>
      </w:tr>
    </w:tbl>
    <w:p w:rsidR="00773EA6" w:rsidRDefault="00530375">
      <w:pPr>
        <w:rPr>
          <w:sz w:val="2"/>
          <w:szCs w:val="2"/>
        </w:rPr>
      </w:pPr>
      <w:r>
        <w:rPr>
          <w:noProof/>
        </w:rPr>
        <w:drawing>
          <wp:anchor distT="0" distB="0" distL="0" distR="0" simplePos="0" relativeHeight="251653120" behindDoc="1" locked="0" layoutInCell="1" allowOverlap="1">
            <wp:simplePos x="0" y="0"/>
            <wp:positionH relativeFrom="page">
              <wp:posOffset>3982211</wp:posOffset>
            </wp:positionH>
            <wp:positionV relativeFrom="page">
              <wp:posOffset>1025652</wp:posOffset>
            </wp:positionV>
            <wp:extent cx="1459314" cy="462819"/>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59314" cy="462819"/>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911352</wp:posOffset>
            </wp:positionH>
            <wp:positionV relativeFrom="page">
              <wp:posOffset>905255</wp:posOffset>
            </wp:positionV>
            <wp:extent cx="1624058" cy="65417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1624058" cy="654176"/>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915924</wp:posOffset>
            </wp:positionH>
            <wp:positionV relativeFrom="page">
              <wp:posOffset>2313432</wp:posOffset>
            </wp:positionV>
            <wp:extent cx="1633076" cy="714375"/>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633076" cy="714375"/>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3895344</wp:posOffset>
            </wp:positionH>
            <wp:positionV relativeFrom="page">
              <wp:posOffset>2142744</wp:posOffset>
            </wp:positionV>
            <wp:extent cx="1751665" cy="71437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751665" cy="714375"/>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833627</wp:posOffset>
            </wp:positionH>
            <wp:positionV relativeFrom="page">
              <wp:posOffset>3448811</wp:posOffset>
            </wp:positionV>
            <wp:extent cx="1212421" cy="80010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212421" cy="800100"/>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3886200</wp:posOffset>
            </wp:positionH>
            <wp:positionV relativeFrom="page">
              <wp:posOffset>3642359</wp:posOffset>
            </wp:positionV>
            <wp:extent cx="1950720" cy="603503"/>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1950720" cy="60350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3912107</wp:posOffset>
            </wp:positionH>
            <wp:positionV relativeFrom="page">
              <wp:posOffset>4997200</wp:posOffset>
            </wp:positionV>
            <wp:extent cx="2303772" cy="42005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303772" cy="420052"/>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914400</wp:posOffset>
            </wp:positionH>
            <wp:positionV relativeFrom="page">
              <wp:posOffset>5010911</wp:posOffset>
            </wp:positionV>
            <wp:extent cx="1902125" cy="492061"/>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902125" cy="49206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3877055</wp:posOffset>
            </wp:positionH>
            <wp:positionV relativeFrom="page">
              <wp:posOffset>6041135</wp:posOffset>
            </wp:positionV>
            <wp:extent cx="3035807" cy="51816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3035807" cy="518160"/>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943355</wp:posOffset>
            </wp:positionH>
            <wp:positionV relativeFrom="page">
              <wp:posOffset>6134100</wp:posOffset>
            </wp:positionV>
            <wp:extent cx="1341120" cy="457200"/>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341120" cy="457200"/>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859536</wp:posOffset>
            </wp:positionH>
            <wp:positionV relativeFrom="page">
              <wp:posOffset>7083559</wp:posOffset>
            </wp:positionV>
            <wp:extent cx="2589952" cy="797242"/>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2589952" cy="797242"/>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4038599</wp:posOffset>
            </wp:positionH>
            <wp:positionV relativeFrom="page">
              <wp:posOffset>7142981</wp:posOffset>
            </wp:positionV>
            <wp:extent cx="1323640" cy="43872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1323640" cy="438721"/>
                    </a:xfrm>
                    <a:prstGeom prst="rect">
                      <a:avLst/>
                    </a:prstGeom>
                  </pic:spPr>
                </pic:pic>
              </a:graphicData>
            </a:graphic>
          </wp:anchor>
        </w:drawing>
      </w:r>
    </w:p>
    <w:p w:rsidR="00773EA6" w:rsidRDefault="00773EA6">
      <w:pPr>
        <w:rPr>
          <w:sz w:val="2"/>
          <w:szCs w:val="2"/>
        </w:rPr>
        <w:sectPr w:rsidR="00773EA6">
          <w:pgSz w:w="12240" w:h="15840"/>
          <w:pgMar w:top="1420" w:right="440" w:bottom="1140" w:left="1200" w:header="0" w:footer="955" w:gutter="0"/>
          <w:cols w:space="720"/>
        </w:sectPr>
      </w:pPr>
    </w:p>
    <w:p w:rsidR="00773EA6" w:rsidRDefault="00530375">
      <w:pPr>
        <w:pStyle w:val="BodyText"/>
        <w:rPr>
          <w:rFonts w:ascii="Times New Roman"/>
          <w:sz w:val="20"/>
        </w:rPr>
      </w:pPr>
      <w:bookmarkStart w:id="0" w:name="_GoBack"/>
      <w:r>
        <w:rPr>
          <w:noProof/>
        </w:rPr>
        <w:lastRenderedPageBreak/>
        <w:drawing>
          <wp:anchor distT="0" distB="0" distL="0" distR="0" simplePos="0" relativeHeight="251665408" behindDoc="1" locked="0" layoutInCell="1" allowOverlap="1">
            <wp:simplePos x="0" y="0"/>
            <wp:positionH relativeFrom="page">
              <wp:posOffset>4018788</wp:posOffset>
            </wp:positionH>
            <wp:positionV relativeFrom="page">
              <wp:posOffset>377952</wp:posOffset>
            </wp:positionV>
            <wp:extent cx="1166034" cy="561594"/>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1166034" cy="561594"/>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914400</wp:posOffset>
            </wp:positionH>
            <wp:positionV relativeFrom="page">
              <wp:posOffset>408431</wp:posOffset>
            </wp:positionV>
            <wp:extent cx="1569079" cy="552450"/>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1569079" cy="552450"/>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3986783</wp:posOffset>
            </wp:positionH>
            <wp:positionV relativeFrom="page">
              <wp:posOffset>1658121</wp:posOffset>
            </wp:positionV>
            <wp:extent cx="1456915" cy="475106"/>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1" cstate="print"/>
                    <a:stretch>
                      <a:fillRect/>
                    </a:stretch>
                  </pic:blipFill>
                  <pic:spPr>
                    <a:xfrm>
                      <a:off x="0" y="0"/>
                      <a:ext cx="1456915" cy="475106"/>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914399</wp:posOffset>
            </wp:positionH>
            <wp:positionV relativeFrom="page">
              <wp:posOffset>1659654</wp:posOffset>
            </wp:positionV>
            <wp:extent cx="2233897" cy="419290"/>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2233897" cy="419290"/>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914400</wp:posOffset>
            </wp:positionH>
            <wp:positionV relativeFrom="page">
              <wp:posOffset>2734055</wp:posOffset>
            </wp:positionV>
            <wp:extent cx="1200912" cy="524255"/>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3" cstate="print"/>
                    <a:stretch>
                      <a:fillRect/>
                    </a:stretch>
                  </pic:blipFill>
                  <pic:spPr>
                    <a:xfrm>
                      <a:off x="0" y="0"/>
                      <a:ext cx="1200912" cy="524255"/>
                    </a:xfrm>
                    <a:prstGeom prst="rect">
                      <a:avLst/>
                    </a:prstGeom>
                  </pic:spPr>
                </pic:pic>
              </a:graphicData>
            </a:graphic>
          </wp:anchor>
        </w:drawing>
      </w:r>
    </w:p>
    <w:p w:rsidR="00773EA6" w:rsidRDefault="00773EA6">
      <w:pPr>
        <w:pStyle w:val="BodyText"/>
        <w:rPr>
          <w:rFonts w:ascii="Times New Roman"/>
          <w:sz w:val="20"/>
        </w:rPr>
      </w:pPr>
    </w:p>
    <w:p w:rsidR="00773EA6" w:rsidRDefault="00773EA6">
      <w:pPr>
        <w:pStyle w:val="BodyText"/>
        <w:rPr>
          <w:rFonts w:ascii="Times New Roman"/>
          <w:sz w:val="20"/>
        </w:rPr>
      </w:pPr>
    </w:p>
    <w:p w:rsidR="00773EA6" w:rsidRDefault="00773EA6">
      <w:pPr>
        <w:pStyle w:val="BodyText"/>
        <w:rPr>
          <w:rFonts w:ascii="Times New Roman"/>
          <w:sz w:val="13"/>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03"/>
        <w:gridCol w:w="6049"/>
      </w:tblGrid>
      <w:tr w:rsidR="00773EA6">
        <w:trPr>
          <w:trHeight w:hRule="exact" w:val="1810"/>
        </w:trPr>
        <w:tc>
          <w:tcPr>
            <w:tcW w:w="4203" w:type="dxa"/>
            <w:tcBorders>
              <w:top w:val="single" w:sz="4" w:space="0" w:color="FFFFFF"/>
              <w:left w:val="single" w:sz="4" w:space="0" w:color="FFFFFF"/>
              <w:bottom w:val="single" w:sz="4" w:space="0" w:color="FFFFFF"/>
            </w:tcBorders>
          </w:tcPr>
          <w:p w:rsidR="00773EA6" w:rsidRDefault="00530375">
            <w:pPr>
              <w:pStyle w:val="TableParagraph"/>
              <w:ind w:right="2243"/>
              <w:jc w:val="both"/>
              <w:rPr>
                <w:sz w:val="24"/>
              </w:rPr>
            </w:pPr>
            <w:r>
              <w:rPr>
                <w:sz w:val="24"/>
              </w:rPr>
              <w:t>Iraelia Pernas,</w:t>
            </w:r>
            <w:r>
              <w:rPr>
                <w:spacing w:val="-7"/>
                <w:sz w:val="24"/>
              </w:rPr>
              <w:t xml:space="preserve"> </w:t>
            </w:r>
            <w:r>
              <w:rPr>
                <w:sz w:val="24"/>
              </w:rPr>
              <w:t>Esq. Executive Director ACODESE</w:t>
            </w:r>
          </w:p>
        </w:tc>
        <w:tc>
          <w:tcPr>
            <w:tcW w:w="6049" w:type="dxa"/>
            <w:tcBorders>
              <w:top w:val="single" w:sz="4" w:space="0" w:color="FFFFFF"/>
              <w:bottom w:val="single" w:sz="4" w:space="0" w:color="FFFFFF"/>
            </w:tcBorders>
          </w:tcPr>
          <w:p w:rsidR="00773EA6" w:rsidRDefault="00530375">
            <w:pPr>
              <w:pStyle w:val="TableParagraph"/>
              <w:ind w:left="669" w:right="2327"/>
              <w:rPr>
                <w:sz w:val="24"/>
              </w:rPr>
            </w:pPr>
            <w:r>
              <w:rPr>
                <w:sz w:val="24"/>
              </w:rPr>
              <w:t>José A. Hernández Rodríguez Founder/Executive Director Physical Therapy Services, Inc. DBA Puerto Rico Prosthetics</w:t>
            </w:r>
          </w:p>
        </w:tc>
      </w:tr>
      <w:tr w:rsidR="00773EA6">
        <w:trPr>
          <w:trHeight w:hRule="exact" w:val="1807"/>
        </w:trPr>
        <w:tc>
          <w:tcPr>
            <w:tcW w:w="4203" w:type="dxa"/>
            <w:tcBorders>
              <w:top w:val="single" w:sz="4" w:space="0" w:color="FFFFFF"/>
              <w:left w:val="single" w:sz="4" w:space="0" w:color="FFFFFF"/>
              <w:bottom w:val="single" w:sz="4" w:space="0" w:color="FFFFFF"/>
            </w:tcBorders>
          </w:tcPr>
          <w:p w:rsidR="00773EA6" w:rsidRDefault="00530375">
            <w:pPr>
              <w:pStyle w:val="TableParagraph"/>
              <w:ind w:right="648"/>
              <w:rPr>
                <w:sz w:val="24"/>
              </w:rPr>
            </w:pPr>
            <w:r>
              <w:rPr>
                <w:sz w:val="24"/>
              </w:rPr>
              <w:t>María F. Levis Peralta, MPH, MPA CEO</w:t>
            </w:r>
          </w:p>
          <w:p w:rsidR="00773EA6" w:rsidRDefault="00530375">
            <w:pPr>
              <w:pStyle w:val="TableParagraph"/>
              <w:spacing w:before="8"/>
              <w:rPr>
                <w:sz w:val="24"/>
              </w:rPr>
            </w:pPr>
            <w:r>
              <w:rPr>
                <w:sz w:val="24"/>
              </w:rPr>
              <w:t>Impactivo</w:t>
            </w:r>
          </w:p>
        </w:tc>
        <w:tc>
          <w:tcPr>
            <w:tcW w:w="6049" w:type="dxa"/>
            <w:tcBorders>
              <w:top w:val="single" w:sz="4" w:space="0" w:color="FFFFFF"/>
            </w:tcBorders>
          </w:tcPr>
          <w:p w:rsidR="00773EA6" w:rsidRDefault="00530375">
            <w:pPr>
              <w:pStyle w:val="TableParagraph"/>
              <w:spacing w:line="268" w:lineRule="exact"/>
              <w:ind w:left="669"/>
              <w:rPr>
                <w:sz w:val="24"/>
              </w:rPr>
            </w:pPr>
            <w:r>
              <w:rPr>
                <w:sz w:val="24"/>
              </w:rPr>
              <w:t>Elliot Pacheco</w:t>
            </w:r>
          </w:p>
          <w:p w:rsidR="00773EA6" w:rsidRDefault="00530375">
            <w:pPr>
              <w:pStyle w:val="TableParagraph"/>
              <w:ind w:left="669" w:right="1787"/>
              <w:rPr>
                <w:sz w:val="24"/>
              </w:rPr>
            </w:pPr>
            <w:r>
              <w:rPr>
                <w:sz w:val="24"/>
              </w:rPr>
              <w:t>Vice-president, Entrepreneurs for PR Former President, PR Community Pharmacies</w:t>
            </w:r>
            <w:r>
              <w:rPr>
                <w:sz w:val="24"/>
              </w:rPr>
              <w:t xml:space="preserve"> Association</w:t>
            </w:r>
          </w:p>
        </w:tc>
      </w:tr>
      <w:tr w:rsidR="00773EA6">
        <w:trPr>
          <w:trHeight w:hRule="exact" w:val="1805"/>
        </w:trPr>
        <w:tc>
          <w:tcPr>
            <w:tcW w:w="4203" w:type="dxa"/>
            <w:tcBorders>
              <w:top w:val="single" w:sz="4" w:space="0" w:color="FFFFFF"/>
              <w:left w:val="single" w:sz="4" w:space="0" w:color="FFFFFF"/>
            </w:tcBorders>
          </w:tcPr>
          <w:p w:rsidR="00773EA6" w:rsidRDefault="00530375">
            <w:pPr>
              <w:pStyle w:val="TableParagraph"/>
              <w:ind w:right="2509"/>
              <w:rPr>
                <w:sz w:val="24"/>
              </w:rPr>
            </w:pPr>
            <w:r>
              <w:rPr>
                <w:sz w:val="24"/>
              </w:rPr>
              <w:t>Rubette Harford CEO</w:t>
            </w:r>
          </w:p>
          <w:p w:rsidR="00773EA6" w:rsidRDefault="00530375">
            <w:pPr>
              <w:pStyle w:val="TableParagraph"/>
              <w:spacing w:before="5"/>
              <w:rPr>
                <w:sz w:val="24"/>
              </w:rPr>
            </w:pPr>
            <w:r>
              <w:rPr>
                <w:sz w:val="24"/>
              </w:rPr>
              <w:t>Atlantis Healthcare, Inc.</w:t>
            </w:r>
          </w:p>
        </w:tc>
        <w:tc>
          <w:tcPr>
            <w:tcW w:w="6049" w:type="dxa"/>
          </w:tcPr>
          <w:p w:rsidR="00773EA6" w:rsidRDefault="00773EA6"/>
        </w:tc>
      </w:tr>
      <w:bookmarkEnd w:id="0"/>
    </w:tbl>
    <w:p w:rsidR="00000000" w:rsidRDefault="00530375"/>
    <w:sectPr w:rsidR="00000000">
      <w:pgSz w:w="12240" w:h="15840"/>
      <w:pgMar w:top="600" w:right="440" w:bottom="1140" w:left="1320" w:header="0" w:footer="9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30375">
      <w:r>
        <w:separator/>
      </w:r>
    </w:p>
  </w:endnote>
  <w:endnote w:type="continuationSeparator" w:id="0">
    <w:p w:rsidR="00000000" w:rsidRDefault="0053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EA6" w:rsidRDefault="00530375">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532.6pt;margin-top:730.25pt;width:9.6pt;height:13.05pt;z-index:-251658752;mso-position-horizontal-relative:page;mso-position-vertical-relative:page" filled="f" stroked="f">
          <v:textbox inset="0,0,0,0">
            <w:txbxContent>
              <w:p w:rsidR="00773EA6" w:rsidRDefault="00530375">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30375">
      <w:r>
        <w:separator/>
      </w:r>
    </w:p>
  </w:footnote>
  <w:footnote w:type="continuationSeparator" w:id="0">
    <w:p w:rsidR="00000000" w:rsidRDefault="005303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529D1"/>
    <w:multiLevelType w:val="hybridMultilevel"/>
    <w:tmpl w:val="C33C858C"/>
    <w:lvl w:ilvl="0" w:tplc="D5D86E6C">
      <w:start w:val="1"/>
      <w:numFmt w:val="decimal"/>
      <w:lvlText w:val="%1."/>
      <w:lvlJc w:val="left"/>
      <w:pPr>
        <w:ind w:left="820" w:hanging="360"/>
        <w:jc w:val="left"/>
      </w:pPr>
      <w:rPr>
        <w:rFonts w:ascii="Calibri" w:eastAsia="Calibri" w:hAnsi="Calibri" w:cs="Calibri" w:hint="default"/>
        <w:w w:val="100"/>
        <w:sz w:val="22"/>
        <w:szCs w:val="22"/>
      </w:rPr>
    </w:lvl>
    <w:lvl w:ilvl="1" w:tplc="9572B05A">
      <w:numFmt w:val="bullet"/>
      <w:lvlText w:val="•"/>
      <w:lvlJc w:val="left"/>
      <w:pPr>
        <w:ind w:left="1698" w:hanging="360"/>
      </w:pPr>
      <w:rPr>
        <w:rFonts w:hint="default"/>
      </w:rPr>
    </w:lvl>
    <w:lvl w:ilvl="2" w:tplc="201EA97C">
      <w:numFmt w:val="bullet"/>
      <w:lvlText w:val="•"/>
      <w:lvlJc w:val="left"/>
      <w:pPr>
        <w:ind w:left="2576" w:hanging="360"/>
      </w:pPr>
      <w:rPr>
        <w:rFonts w:hint="default"/>
      </w:rPr>
    </w:lvl>
    <w:lvl w:ilvl="3" w:tplc="91AE6036">
      <w:numFmt w:val="bullet"/>
      <w:lvlText w:val="•"/>
      <w:lvlJc w:val="left"/>
      <w:pPr>
        <w:ind w:left="3454" w:hanging="360"/>
      </w:pPr>
      <w:rPr>
        <w:rFonts w:hint="default"/>
      </w:rPr>
    </w:lvl>
    <w:lvl w:ilvl="4" w:tplc="7326ED00">
      <w:numFmt w:val="bullet"/>
      <w:lvlText w:val="•"/>
      <w:lvlJc w:val="left"/>
      <w:pPr>
        <w:ind w:left="4332" w:hanging="360"/>
      </w:pPr>
      <w:rPr>
        <w:rFonts w:hint="default"/>
      </w:rPr>
    </w:lvl>
    <w:lvl w:ilvl="5" w:tplc="9F5040C8">
      <w:numFmt w:val="bullet"/>
      <w:lvlText w:val="•"/>
      <w:lvlJc w:val="left"/>
      <w:pPr>
        <w:ind w:left="5210" w:hanging="360"/>
      </w:pPr>
      <w:rPr>
        <w:rFonts w:hint="default"/>
      </w:rPr>
    </w:lvl>
    <w:lvl w:ilvl="6" w:tplc="9FE6E5BA">
      <w:numFmt w:val="bullet"/>
      <w:lvlText w:val="•"/>
      <w:lvlJc w:val="left"/>
      <w:pPr>
        <w:ind w:left="6088" w:hanging="360"/>
      </w:pPr>
      <w:rPr>
        <w:rFonts w:hint="default"/>
      </w:rPr>
    </w:lvl>
    <w:lvl w:ilvl="7" w:tplc="9A927746">
      <w:numFmt w:val="bullet"/>
      <w:lvlText w:val="•"/>
      <w:lvlJc w:val="left"/>
      <w:pPr>
        <w:ind w:left="6966" w:hanging="360"/>
      </w:pPr>
      <w:rPr>
        <w:rFonts w:hint="default"/>
      </w:rPr>
    </w:lvl>
    <w:lvl w:ilvl="8" w:tplc="3ED27D52">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73EA6"/>
    <w:rsid w:val="00530375"/>
    <w:rsid w:val="0077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9173094-DCA8-4E38-8168-54130F1A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2" w:hanging="360"/>
      <w:jc w:val="both"/>
    </w:pPr>
  </w:style>
  <w:style w:type="paragraph" w:customStyle="1" w:styleId="TableParagraph">
    <w:name w:val="Table Paragraph"/>
    <w:basedOn w:val="Normal"/>
    <w:uiPriority w:val="1"/>
    <w:qFormat/>
    <w:pPr>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regulations.gov/"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8744</Characters>
  <Application>Microsoft Office Word</Application>
  <DocSecurity>0</DocSecurity>
  <Lines>226</Lines>
  <Paragraphs>73</Paragraphs>
  <ScaleCrop>false</ScaleCrop>
  <Company>CMS</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