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67"/>
        <w:rPr>
          <w:sz w:val="20"/>
        </w:rPr>
      </w:pPr>
      <w:r>
        <w:rPr>
          <w:sz w:val="20"/>
        </w:rPr>
        <w:drawing>
          <wp:inline distT="0" distB="0" distL="0" distR="0">
            <wp:extent cx="2354579" cy="15499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4579" cy="1549907"/>
                    </a:xfrm>
                    <a:prstGeom prst="rect">
                      <a:avLst/>
                    </a:prstGeom>
                  </pic:spPr>
                </pic:pic>
              </a:graphicData>
            </a:graphic>
          </wp:inline>
        </w:drawing>
      </w:r>
      <w:r>
        <w:rPr>
          <w:sz w:val="20"/>
        </w:rPr>
      </w:r>
    </w:p>
    <w:p>
      <w:pPr>
        <w:pStyle w:val="BodyText"/>
        <w:spacing w:before="11"/>
        <w:rPr>
          <w:sz w:val="17"/>
        </w:rPr>
      </w:pPr>
    </w:p>
    <w:p>
      <w:pPr>
        <w:pStyle w:val="BodyText"/>
        <w:spacing w:before="90"/>
        <w:ind w:left="1440"/>
        <w:jc w:val="both"/>
      </w:pPr>
      <w:r>
        <w:rPr/>
        <w:t>March 5, 2018</w:t>
      </w:r>
    </w:p>
    <w:p>
      <w:pPr>
        <w:pStyle w:val="BodyText"/>
        <w:spacing w:before="4"/>
      </w:pPr>
    </w:p>
    <w:p>
      <w:pPr>
        <w:pStyle w:val="BodyText"/>
        <w:spacing w:line="274" w:lineRule="exact" w:before="1"/>
        <w:ind w:left="1440" w:right="8281"/>
      </w:pPr>
      <w:r>
        <w:rPr/>
        <w:t>The Honorable Alex Azar Secretary</w:t>
      </w:r>
    </w:p>
    <w:p>
      <w:pPr>
        <w:pStyle w:val="BodyText"/>
        <w:spacing w:line="274" w:lineRule="exact" w:before="4"/>
        <w:ind w:left="1440" w:right="4594"/>
      </w:pPr>
      <w:r>
        <w:rPr/>
        <w:t>United States Department of Health and Human Services (HHS) 200 Independence Avenue SW</w:t>
      </w:r>
    </w:p>
    <w:p>
      <w:pPr>
        <w:pStyle w:val="BodyText"/>
        <w:spacing w:line="480" w:lineRule="auto"/>
        <w:ind w:left="1440" w:right="8386"/>
      </w:pPr>
      <w:r>
        <w:rPr/>
        <w:t>Washington, D.C. 20201 Dear Secretary Azar,</w:t>
      </w:r>
    </w:p>
    <w:p>
      <w:pPr>
        <w:pStyle w:val="BodyText"/>
        <w:spacing w:before="11"/>
        <w:ind w:left="1440" w:right="1432"/>
        <w:jc w:val="both"/>
      </w:pPr>
      <w:r>
        <w:rPr/>
        <w:t>I greatly appreciate you taking the time to meet with me during the recent National Governors Association Winter Meeting. I was very encouraged by your knowledge about Puerto Rico and your interest in working with me to address the unique challenges our health care sector has as well as to maximize the opportunities that are currently before us. As my administration works to navigate</w:t>
      </w:r>
      <w:r>
        <w:rPr>
          <w:spacing w:val="-12"/>
        </w:rPr>
        <w:t> </w:t>
      </w:r>
      <w:r>
        <w:rPr/>
        <w:t>through</w:t>
      </w:r>
      <w:r>
        <w:rPr>
          <w:spacing w:val="-15"/>
        </w:rPr>
        <w:t> </w:t>
      </w:r>
      <w:r>
        <w:rPr/>
        <w:t>Puerto</w:t>
      </w:r>
      <w:r>
        <w:rPr>
          <w:spacing w:val="-15"/>
        </w:rPr>
        <w:t> </w:t>
      </w:r>
      <w:r>
        <w:rPr/>
        <w:t>Rico’s</w:t>
      </w:r>
      <w:r>
        <w:rPr>
          <w:spacing w:val="-13"/>
        </w:rPr>
        <w:t> </w:t>
      </w:r>
      <w:r>
        <w:rPr/>
        <w:t>economic</w:t>
      </w:r>
      <w:r>
        <w:rPr>
          <w:spacing w:val="-12"/>
        </w:rPr>
        <w:t> </w:t>
      </w:r>
      <w:r>
        <w:rPr/>
        <w:t>challenges</w:t>
      </w:r>
      <w:r>
        <w:rPr>
          <w:spacing w:val="-13"/>
        </w:rPr>
        <w:t> </w:t>
      </w:r>
      <w:r>
        <w:rPr/>
        <w:t>and</w:t>
      </w:r>
      <w:r>
        <w:rPr>
          <w:spacing w:val="-11"/>
        </w:rPr>
        <w:t> </w:t>
      </w:r>
      <w:r>
        <w:rPr/>
        <w:t>recover</w:t>
      </w:r>
      <w:r>
        <w:rPr>
          <w:spacing w:val="-14"/>
        </w:rPr>
        <w:t> </w:t>
      </w:r>
      <w:r>
        <w:rPr/>
        <w:t>from</w:t>
      </w:r>
      <w:r>
        <w:rPr>
          <w:spacing w:val="-15"/>
        </w:rPr>
        <w:t> </w:t>
      </w:r>
      <w:r>
        <w:rPr/>
        <w:t>last</w:t>
      </w:r>
      <w:r>
        <w:rPr>
          <w:spacing w:val="-10"/>
        </w:rPr>
        <w:t> </w:t>
      </w:r>
      <w:r>
        <w:rPr/>
        <w:t>year’s</w:t>
      </w:r>
      <w:r>
        <w:rPr>
          <w:spacing w:val="-13"/>
        </w:rPr>
        <w:t> </w:t>
      </w:r>
      <w:r>
        <w:rPr/>
        <w:t>natural</w:t>
      </w:r>
      <w:r>
        <w:rPr>
          <w:spacing w:val="-10"/>
        </w:rPr>
        <w:t> </w:t>
      </w:r>
      <w:r>
        <w:rPr/>
        <w:t>disasters, it has become clear that fixing our health care system and its funding structures is critical for our island to be able to achieve sustainable socio-economic revival. To accomplish this, Puerto Rico must</w:t>
      </w:r>
      <w:r>
        <w:rPr>
          <w:spacing w:val="-14"/>
        </w:rPr>
        <w:t> </w:t>
      </w:r>
      <w:r>
        <w:rPr/>
        <w:t>work</w:t>
      </w:r>
      <w:r>
        <w:rPr>
          <w:spacing w:val="-14"/>
        </w:rPr>
        <w:t> </w:t>
      </w:r>
      <w:r>
        <w:rPr/>
        <w:t>in</w:t>
      </w:r>
      <w:r>
        <w:rPr>
          <w:spacing w:val="-14"/>
        </w:rPr>
        <w:t> </w:t>
      </w:r>
      <w:r>
        <w:rPr/>
        <w:t>close</w:t>
      </w:r>
      <w:r>
        <w:rPr>
          <w:spacing w:val="-15"/>
        </w:rPr>
        <w:t> </w:t>
      </w:r>
      <w:r>
        <w:rPr/>
        <w:t>partnership</w:t>
      </w:r>
      <w:r>
        <w:rPr>
          <w:spacing w:val="-14"/>
        </w:rPr>
        <w:t> </w:t>
      </w:r>
      <w:r>
        <w:rPr/>
        <w:t>with</w:t>
      </w:r>
      <w:r>
        <w:rPr>
          <w:spacing w:val="-14"/>
        </w:rPr>
        <w:t> </w:t>
      </w:r>
      <w:r>
        <w:rPr/>
        <w:t>federal</w:t>
      </w:r>
      <w:r>
        <w:rPr>
          <w:spacing w:val="-14"/>
        </w:rPr>
        <w:t> </w:t>
      </w:r>
      <w:r>
        <w:rPr/>
        <w:t>authorities</w:t>
      </w:r>
      <w:r>
        <w:rPr>
          <w:spacing w:val="-17"/>
        </w:rPr>
        <w:t> </w:t>
      </w:r>
      <w:r>
        <w:rPr/>
        <w:t>in</w:t>
      </w:r>
      <w:r>
        <w:rPr>
          <w:spacing w:val="-14"/>
        </w:rPr>
        <w:t> </w:t>
      </w:r>
      <w:r>
        <w:rPr/>
        <w:t>both</w:t>
      </w:r>
      <w:r>
        <w:rPr>
          <w:spacing w:val="-14"/>
        </w:rPr>
        <w:t> </w:t>
      </w:r>
      <w:r>
        <w:rPr/>
        <w:t>the</w:t>
      </w:r>
      <w:r>
        <w:rPr>
          <w:spacing w:val="-15"/>
        </w:rPr>
        <w:t> </w:t>
      </w:r>
      <w:r>
        <w:rPr/>
        <w:t>executive</w:t>
      </w:r>
      <w:r>
        <w:rPr>
          <w:spacing w:val="-15"/>
        </w:rPr>
        <w:t> </w:t>
      </w:r>
      <w:r>
        <w:rPr/>
        <w:t>and</w:t>
      </w:r>
      <w:r>
        <w:rPr>
          <w:spacing w:val="-14"/>
        </w:rPr>
        <w:t> </w:t>
      </w:r>
      <w:r>
        <w:rPr/>
        <w:t>legislative</w:t>
      </w:r>
      <w:r>
        <w:rPr>
          <w:spacing w:val="-15"/>
        </w:rPr>
        <w:t> </w:t>
      </w:r>
      <w:r>
        <w:rPr/>
        <w:t>branch, therefore, I want to take this opportunity to highlight some immediate steps we can take together to advance this</w:t>
      </w:r>
      <w:r>
        <w:rPr>
          <w:spacing w:val="-7"/>
        </w:rPr>
        <w:t> </w:t>
      </w:r>
      <w:r>
        <w:rPr/>
        <w:t>process.</w:t>
      </w:r>
    </w:p>
    <w:p>
      <w:pPr>
        <w:pStyle w:val="BodyText"/>
        <w:spacing w:before="11"/>
        <w:rPr>
          <w:sz w:val="23"/>
        </w:rPr>
      </w:pPr>
    </w:p>
    <w:p>
      <w:pPr>
        <w:pStyle w:val="BodyText"/>
        <w:ind w:left="1440" w:right="1433"/>
        <w:jc w:val="both"/>
      </w:pPr>
      <w:r>
        <w:rPr/>
        <w:t>The emergency supplemental funding that became law last February (Public Law 115-123, Bipartisan</w:t>
      </w:r>
      <w:r>
        <w:rPr>
          <w:spacing w:val="-5"/>
        </w:rPr>
        <w:t> </w:t>
      </w:r>
      <w:r>
        <w:rPr/>
        <w:t>Budget</w:t>
      </w:r>
      <w:r>
        <w:rPr>
          <w:spacing w:val="-4"/>
        </w:rPr>
        <w:t> </w:t>
      </w:r>
      <w:r>
        <w:rPr/>
        <w:t>Act</w:t>
      </w:r>
      <w:r>
        <w:rPr>
          <w:spacing w:val="-4"/>
        </w:rPr>
        <w:t> </w:t>
      </w:r>
      <w:r>
        <w:rPr/>
        <w:t>of</w:t>
      </w:r>
      <w:r>
        <w:rPr>
          <w:spacing w:val="-3"/>
        </w:rPr>
        <w:t> </w:t>
      </w:r>
      <w:r>
        <w:rPr/>
        <w:t>2018)</w:t>
      </w:r>
      <w:r>
        <w:rPr>
          <w:spacing w:val="-3"/>
        </w:rPr>
        <w:t> </w:t>
      </w:r>
      <w:r>
        <w:rPr/>
        <w:t>will</w:t>
      </w:r>
      <w:r>
        <w:rPr>
          <w:spacing w:val="-4"/>
        </w:rPr>
        <w:t> </w:t>
      </w:r>
      <w:r>
        <w:rPr/>
        <w:t>help</w:t>
      </w:r>
      <w:r>
        <w:rPr>
          <w:spacing w:val="-5"/>
        </w:rPr>
        <w:t> </w:t>
      </w:r>
      <w:r>
        <w:rPr/>
        <w:t>provide</w:t>
      </w:r>
      <w:r>
        <w:rPr>
          <w:spacing w:val="-6"/>
        </w:rPr>
        <w:t> </w:t>
      </w:r>
      <w:r>
        <w:rPr/>
        <w:t>critical</w:t>
      </w:r>
      <w:r>
        <w:rPr>
          <w:spacing w:val="-4"/>
        </w:rPr>
        <w:t> </w:t>
      </w:r>
      <w:r>
        <w:rPr/>
        <w:t>relief</w:t>
      </w:r>
      <w:r>
        <w:rPr>
          <w:spacing w:val="-8"/>
        </w:rPr>
        <w:t> </w:t>
      </w:r>
      <w:r>
        <w:rPr/>
        <w:t>for</w:t>
      </w:r>
      <w:r>
        <w:rPr>
          <w:spacing w:val="-3"/>
        </w:rPr>
        <w:t> </w:t>
      </w:r>
      <w:r>
        <w:rPr/>
        <w:t>us</w:t>
      </w:r>
      <w:r>
        <w:rPr>
          <w:spacing w:val="-7"/>
        </w:rPr>
        <w:t> </w:t>
      </w:r>
      <w:r>
        <w:rPr/>
        <w:t>to</w:t>
      </w:r>
      <w:r>
        <w:rPr>
          <w:spacing w:val="-5"/>
        </w:rPr>
        <w:t> </w:t>
      </w:r>
      <w:r>
        <w:rPr/>
        <w:t>meet</w:t>
      </w:r>
      <w:r>
        <w:rPr>
          <w:spacing w:val="-4"/>
        </w:rPr>
        <w:t> </w:t>
      </w:r>
      <w:r>
        <w:rPr/>
        <w:t>the</w:t>
      </w:r>
      <w:r>
        <w:rPr>
          <w:spacing w:val="-6"/>
        </w:rPr>
        <w:t> </w:t>
      </w:r>
      <w:r>
        <w:rPr/>
        <w:t>healthcare</w:t>
      </w:r>
      <w:r>
        <w:rPr>
          <w:spacing w:val="-6"/>
        </w:rPr>
        <w:t> </w:t>
      </w:r>
      <w:r>
        <w:rPr/>
        <w:t>needs of more than 600,000 of the most vulnerable residents of Puerto Rico. While the new funds stabilize Puerto Rico’s Medicaid program through 2020, the program’s federal funding cliff remains</w:t>
      </w:r>
      <w:r>
        <w:rPr>
          <w:spacing w:val="-13"/>
        </w:rPr>
        <w:t> </w:t>
      </w:r>
      <w:r>
        <w:rPr/>
        <w:t>as</w:t>
      </w:r>
      <w:r>
        <w:rPr>
          <w:spacing w:val="-13"/>
        </w:rPr>
        <w:t> </w:t>
      </w:r>
      <w:r>
        <w:rPr/>
        <w:t>a</w:t>
      </w:r>
      <w:r>
        <w:rPr>
          <w:spacing w:val="-12"/>
        </w:rPr>
        <w:t> </w:t>
      </w:r>
      <w:r>
        <w:rPr/>
        <w:t>very</w:t>
      </w:r>
      <w:r>
        <w:rPr>
          <w:spacing w:val="-15"/>
        </w:rPr>
        <w:t> </w:t>
      </w:r>
      <w:r>
        <w:rPr/>
        <w:t>real</w:t>
      </w:r>
      <w:r>
        <w:rPr>
          <w:spacing w:val="-10"/>
        </w:rPr>
        <w:t> </w:t>
      </w:r>
      <w:r>
        <w:rPr/>
        <w:t>threat.</w:t>
      </w:r>
      <w:r>
        <w:rPr>
          <w:spacing w:val="-13"/>
        </w:rPr>
        <w:t> </w:t>
      </w:r>
      <w:r>
        <w:rPr/>
        <w:t>That</w:t>
      </w:r>
      <w:r>
        <w:rPr>
          <w:spacing w:val="-15"/>
        </w:rPr>
        <w:t> </w:t>
      </w:r>
      <w:r>
        <w:rPr/>
        <w:t>is</w:t>
      </w:r>
      <w:r>
        <w:rPr>
          <w:spacing w:val="-13"/>
        </w:rPr>
        <w:t> </w:t>
      </w:r>
      <w:r>
        <w:rPr/>
        <w:t>why</w:t>
      </w:r>
      <w:r>
        <w:rPr>
          <w:spacing w:val="-15"/>
        </w:rPr>
        <w:t> </w:t>
      </w:r>
      <w:r>
        <w:rPr/>
        <w:t>I</w:t>
      </w:r>
      <w:r>
        <w:rPr>
          <w:spacing w:val="-14"/>
        </w:rPr>
        <w:t> </w:t>
      </w:r>
      <w:r>
        <w:rPr/>
        <w:t>ask</w:t>
      </w:r>
      <w:r>
        <w:rPr>
          <w:spacing w:val="-15"/>
        </w:rPr>
        <w:t> </w:t>
      </w:r>
      <w:r>
        <w:rPr/>
        <w:t>to</w:t>
      </w:r>
      <w:r>
        <w:rPr>
          <w:spacing w:val="-11"/>
        </w:rPr>
        <w:t> </w:t>
      </w:r>
      <w:r>
        <w:rPr/>
        <w:t>work</w:t>
      </w:r>
      <w:r>
        <w:rPr>
          <w:spacing w:val="-11"/>
        </w:rPr>
        <w:t> </w:t>
      </w:r>
      <w:r>
        <w:rPr/>
        <w:t>closely</w:t>
      </w:r>
      <w:r>
        <w:rPr>
          <w:spacing w:val="-11"/>
        </w:rPr>
        <w:t> </w:t>
      </w:r>
      <w:r>
        <w:rPr/>
        <w:t>with</w:t>
      </w:r>
      <w:r>
        <w:rPr>
          <w:spacing w:val="-15"/>
        </w:rPr>
        <w:t> </w:t>
      </w:r>
      <w:r>
        <w:rPr/>
        <w:t>your</w:t>
      </w:r>
      <w:r>
        <w:rPr>
          <w:spacing w:val="-9"/>
        </w:rPr>
        <w:t> </w:t>
      </w:r>
      <w:r>
        <w:rPr/>
        <w:t>Department</w:t>
      </w:r>
      <w:r>
        <w:rPr>
          <w:spacing w:val="-10"/>
        </w:rPr>
        <w:t> </w:t>
      </w:r>
      <w:r>
        <w:rPr/>
        <w:t>in</w:t>
      </w:r>
      <w:r>
        <w:rPr>
          <w:spacing w:val="-15"/>
        </w:rPr>
        <w:t> </w:t>
      </w:r>
      <w:r>
        <w:rPr/>
        <w:t>the</w:t>
      </w:r>
      <w:r>
        <w:rPr>
          <w:spacing w:val="-16"/>
        </w:rPr>
        <w:t> </w:t>
      </w:r>
      <w:r>
        <w:rPr/>
        <w:t>coming months to identify a long-term solution to Puerto Rico’s Medicaid funding structure that we can present</w:t>
      </w:r>
      <w:r>
        <w:rPr>
          <w:spacing w:val="-9"/>
        </w:rPr>
        <w:t> </w:t>
      </w:r>
      <w:r>
        <w:rPr/>
        <w:t>to</w:t>
      </w:r>
      <w:r>
        <w:rPr>
          <w:spacing w:val="-10"/>
        </w:rPr>
        <w:t> </w:t>
      </w:r>
      <w:r>
        <w:rPr/>
        <w:t>lawmakers</w:t>
      </w:r>
      <w:r>
        <w:rPr>
          <w:spacing w:val="-12"/>
        </w:rPr>
        <w:t> </w:t>
      </w:r>
      <w:r>
        <w:rPr/>
        <w:t>in</w:t>
      </w:r>
      <w:r>
        <w:rPr>
          <w:spacing w:val="-10"/>
        </w:rPr>
        <w:t> </w:t>
      </w:r>
      <w:r>
        <w:rPr/>
        <w:t>the</w:t>
      </w:r>
      <w:r>
        <w:rPr>
          <w:spacing w:val="-11"/>
        </w:rPr>
        <w:t> </w:t>
      </w:r>
      <w:r>
        <w:rPr/>
        <w:t>next</w:t>
      </w:r>
      <w:r>
        <w:rPr>
          <w:spacing w:val="-9"/>
        </w:rPr>
        <w:t> </w:t>
      </w:r>
      <w:r>
        <w:rPr/>
        <w:t>session</w:t>
      </w:r>
      <w:r>
        <w:rPr>
          <w:spacing w:val="-10"/>
        </w:rPr>
        <w:t> </w:t>
      </w:r>
      <w:r>
        <w:rPr/>
        <w:t>of</w:t>
      </w:r>
      <w:r>
        <w:rPr>
          <w:spacing w:val="-8"/>
        </w:rPr>
        <w:t> </w:t>
      </w:r>
      <w:r>
        <w:rPr/>
        <w:t>Congress</w:t>
      </w:r>
      <w:r>
        <w:rPr>
          <w:spacing w:val="-12"/>
        </w:rPr>
        <w:t> </w:t>
      </w:r>
      <w:r>
        <w:rPr/>
        <w:t>before</w:t>
      </w:r>
      <w:r>
        <w:rPr>
          <w:spacing w:val="-11"/>
        </w:rPr>
        <w:t> </w:t>
      </w:r>
      <w:r>
        <w:rPr/>
        <w:t>we</w:t>
      </w:r>
      <w:r>
        <w:rPr>
          <w:spacing w:val="-11"/>
        </w:rPr>
        <w:t> </w:t>
      </w:r>
      <w:r>
        <w:rPr/>
        <w:t>get</w:t>
      </w:r>
      <w:r>
        <w:rPr>
          <w:spacing w:val="-9"/>
        </w:rPr>
        <w:t> </w:t>
      </w:r>
      <w:r>
        <w:rPr/>
        <w:t>close</w:t>
      </w:r>
      <w:r>
        <w:rPr>
          <w:spacing w:val="-11"/>
        </w:rPr>
        <w:t> </w:t>
      </w:r>
      <w:r>
        <w:rPr/>
        <w:t>to</w:t>
      </w:r>
      <w:r>
        <w:rPr>
          <w:spacing w:val="-10"/>
        </w:rPr>
        <w:t> </w:t>
      </w:r>
      <w:r>
        <w:rPr/>
        <w:t>the</w:t>
      </w:r>
      <w:r>
        <w:rPr>
          <w:spacing w:val="-11"/>
        </w:rPr>
        <w:t> </w:t>
      </w:r>
      <w:r>
        <w:rPr/>
        <w:t>next</w:t>
      </w:r>
      <w:r>
        <w:rPr>
          <w:spacing w:val="-9"/>
        </w:rPr>
        <w:t> </w:t>
      </w:r>
      <w:r>
        <w:rPr/>
        <w:t>Medicaid</w:t>
      </w:r>
      <w:r>
        <w:rPr>
          <w:spacing w:val="-10"/>
        </w:rPr>
        <w:t> </w:t>
      </w:r>
      <w:r>
        <w:rPr/>
        <w:t>cliff deadline.</w:t>
      </w:r>
    </w:p>
    <w:p>
      <w:pPr>
        <w:pStyle w:val="BodyText"/>
        <w:spacing w:before="11"/>
        <w:rPr>
          <w:sz w:val="23"/>
        </w:rPr>
      </w:pPr>
    </w:p>
    <w:p>
      <w:pPr>
        <w:pStyle w:val="BodyText"/>
        <w:ind w:left="1440" w:right="1432"/>
        <w:jc w:val="both"/>
      </w:pPr>
      <w:r>
        <w:rPr/>
        <w:drawing>
          <wp:anchor distT="0" distB="0" distL="0" distR="0" allowOverlap="1" layoutInCell="1" locked="0" behindDoc="0" simplePos="0" relativeHeight="0">
            <wp:simplePos x="0" y="0"/>
            <wp:positionH relativeFrom="page">
              <wp:posOffset>12700</wp:posOffset>
            </wp:positionH>
            <wp:positionV relativeFrom="paragraph">
              <wp:posOffset>1315377</wp:posOffset>
            </wp:positionV>
            <wp:extent cx="7759699" cy="69151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759699" cy="691515"/>
                    </a:xfrm>
                    <a:prstGeom prst="rect">
                      <a:avLst/>
                    </a:prstGeom>
                  </pic:spPr>
                </pic:pic>
              </a:graphicData>
            </a:graphic>
          </wp:anchor>
        </w:drawing>
      </w:r>
      <w:r>
        <w:rPr/>
        <w:t>In the past year Puerto Rico Department of Health and our State Health Insurance Administration (ASES)</w:t>
      </w:r>
      <w:r>
        <w:rPr>
          <w:spacing w:val="-18"/>
        </w:rPr>
        <w:t> </w:t>
      </w:r>
      <w:r>
        <w:rPr/>
        <w:t>have</w:t>
      </w:r>
      <w:r>
        <w:rPr>
          <w:spacing w:val="-15"/>
        </w:rPr>
        <w:t> </w:t>
      </w:r>
      <w:r>
        <w:rPr/>
        <w:t>made</w:t>
      </w:r>
      <w:r>
        <w:rPr>
          <w:spacing w:val="-15"/>
        </w:rPr>
        <w:t> </w:t>
      </w:r>
      <w:r>
        <w:rPr/>
        <w:t>significant</w:t>
      </w:r>
      <w:r>
        <w:rPr>
          <w:spacing w:val="-14"/>
        </w:rPr>
        <w:t> </w:t>
      </w:r>
      <w:r>
        <w:rPr/>
        <w:t>advances</w:t>
      </w:r>
      <w:r>
        <w:rPr>
          <w:spacing w:val="-17"/>
        </w:rPr>
        <w:t> </w:t>
      </w:r>
      <w:r>
        <w:rPr/>
        <w:t>in</w:t>
      </w:r>
      <w:r>
        <w:rPr>
          <w:spacing w:val="-14"/>
        </w:rPr>
        <w:t> </w:t>
      </w:r>
      <w:r>
        <w:rPr/>
        <w:t>the</w:t>
      </w:r>
      <w:r>
        <w:rPr>
          <w:spacing w:val="-15"/>
        </w:rPr>
        <w:t> </w:t>
      </w:r>
      <w:r>
        <w:rPr/>
        <w:t>development</w:t>
      </w:r>
      <w:r>
        <w:rPr>
          <w:spacing w:val="-14"/>
        </w:rPr>
        <w:t> </w:t>
      </w:r>
      <w:r>
        <w:rPr/>
        <w:t>and</w:t>
      </w:r>
      <w:r>
        <w:rPr>
          <w:spacing w:val="-14"/>
        </w:rPr>
        <w:t> </w:t>
      </w:r>
      <w:r>
        <w:rPr/>
        <w:t>implementation</w:t>
      </w:r>
      <w:r>
        <w:rPr>
          <w:spacing w:val="-14"/>
        </w:rPr>
        <w:t> </w:t>
      </w:r>
      <w:r>
        <w:rPr>
          <w:spacing w:val="-3"/>
        </w:rPr>
        <w:t>of</w:t>
      </w:r>
      <w:r>
        <w:rPr>
          <w:spacing w:val="-14"/>
        </w:rPr>
        <w:t> </w:t>
      </w:r>
      <w:r>
        <w:rPr/>
        <w:t>the</w:t>
      </w:r>
      <w:r>
        <w:rPr>
          <w:spacing w:val="-15"/>
        </w:rPr>
        <w:t> </w:t>
      </w:r>
      <w:r>
        <w:rPr/>
        <w:t>Puerto</w:t>
      </w:r>
      <w:r>
        <w:rPr>
          <w:spacing w:val="-14"/>
        </w:rPr>
        <w:t> </w:t>
      </w:r>
      <w:r>
        <w:rPr/>
        <w:t>Rico Medicaid Management Information Systems (PRMMIS), which will support development and implementation of an Medicaid Fraud Control Unit (MFCU) in Puerto Rico. I also look forward to demonstrating to your satisfaction that we are implementing methods for the collection and reporting of reliable data to the Transformed Medicaid Statistical Information System and to demonstrate our progress in establishing a Puerto Rico MFCU as required by P.L</w:t>
      </w:r>
      <w:r>
        <w:rPr>
          <w:spacing w:val="-26"/>
        </w:rPr>
        <w:t> </w:t>
      </w:r>
      <w:r>
        <w:rPr/>
        <w:t>115-123.</w:t>
      </w:r>
    </w:p>
    <w:p>
      <w:pPr>
        <w:spacing w:after="0"/>
        <w:jc w:val="both"/>
        <w:sectPr>
          <w:type w:val="continuous"/>
          <w:pgSz w:w="12240" w:h="15840"/>
          <w:pgMar w:top="720" w:bottom="280" w:left="0" w:right="0"/>
        </w:sectPr>
      </w:pPr>
    </w:p>
    <w:p>
      <w:pPr>
        <w:pStyle w:val="BodyText"/>
        <w:rPr>
          <w:sz w:val="21"/>
        </w:rPr>
      </w:pPr>
    </w:p>
    <w:p>
      <w:pPr>
        <w:pStyle w:val="BodyText"/>
        <w:spacing w:before="90"/>
        <w:ind w:left="1440" w:right="1434"/>
        <w:jc w:val="both"/>
      </w:pPr>
      <w:r>
        <w:rPr/>
        <w:t>Beyond this, my administration has outlined additional reforms we intend to carry out as part of our Fiscal Plan to transform Puerto Rico’s healthcare model. These sweeping reforms to our healthcare system will lead to a better delivery of care, increase accountability, reduce costs, and reduce fraud, waste and abuse. I ask for the help of HHS to work with us through the review, approval and implementation of these local policy changes.</w:t>
      </w:r>
    </w:p>
    <w:p>
      <w:pPr>
        <w:pStyle w:val="BodyText"/>
        <w:spacing w:before="11"/>
        <w:rPr>
          <w:sz w:val="23"/>
        </w:rPr>
      </w:pPr>
    </w:p>
    <w:p>
      <w:pPr>
        <w:pStyle w:val="BodyText"/>
        <w:ind w:left="1440" w:right="1432"/>
        <w:jc w:val="both"/>
      </w:pPr>
      <w:r>
        <w:rPr/>
        <w:t>As we discussed, Medicare Advantage (MA) is one of the three pillars that sustains Puerto</w:t>
      </w:r>
      <w:r>
        <w:rPr>
          <w:spacing w:val="-36"/>
        </w:rPr>
        <w:t> </w:t>
      </w:r>
      <w:r>
        <w:rPr/>
        <w:t>Rico’s healthcare industry along with Medicaid and the private health insurance sector. Unfortunately, Puerto Rico’s MA program has suffered from disproportionate Obamacare-related reductions in recent</w:t>
      </w:r>
      <w:r>
        <w:rPr>
          <w:spacing w:val="-10"/>
        </w:rPr>
        <w:t> </w:t>
      </w:r>
      <w:r>
        <w:rPr/>
        <w:t>years</w:t>
      </w:r>
      <w:r>
        <w:rPr>
          <w:spacing w:val="-13"/>
        </w:rPr>
        <w:t> </w:t>
      </w:r>
      <w:r>
        <w:rPr/>
        <w:t>and</w:t>
      </w:r>
      <w:r>
        <w:rPr>
          <w:spacing w:val="-11"/>
        </w:rPr>
        <w:t> </w:t>
      </w:r>
      <w:r>
        <w:rPr/>
        <w:t>is</w:t>
      </w:r>
      <w:r>
        <w:rPr>
          <w:spacing w:val="-13"/>
        </w:rPr>
        <w:t> </w:t>
      </w:r>
      <w:r>
        <w:rPr/>
        <w:t>subject</w:t>
      </w:r>
      <w:r>
        <w:rPr>
          <w:spacing w:val="-10"/>
        </w:rPr>
        <w:t> </w:t>
      </w:r>
      <w:r>
        <w:rPr/>
        <w:t>to</w:t>
      </w:r>
      <w:r>
        <w:rPr>
          <w:spacing w:val="-11"/>
        </w:rPr>
        <w:t> </w:t>
      </w:r>
      <w:r>
        <w:rPr/>
        <w:t>a</w:t>
      </w:r>
      <w:r>
        <w:rPr>
          <w:spacing w:val="-12"/>
        </w:rPr>
        <w:t> </w:t>
      </w:r>
      <w:r>
        <w:rPr/>
        <w:t>significant</w:t>
      </w:r>
      <w:r>
        <w:rPr>
          <w:spacing w:val="-10"/>
        </w:rPr>
        <w:t> </w:t>
      </w:r>
      <w:r>
        <w:rPr/>
        <w:t>funding</w:t>
      </w:r>
      <w:r>
        <w:rPr>
          <w:spacing w:val="-15"/>
        </w:rPr>
        <w:t> </w:t>
      </w:r>
      <w:r>
        <w:rPr/>
        <w:t>gap</w:t>
      </w:r>
      <w:r>
        <w:rPr>
          <w:spacing w:val="-11"/>
        </w:rPr>
        <w:t> </w:t>
      </w:r>
      <w:r>
        <w:rPr/>
        <w:t>compared</w:t>
      </w:r>
      <w:r>
        <w:rPr>
          <w:spacing w:val="-11"/>
        </w:rPr>
        <w:t> </w:t>
      </w:r>
      <w:r>
        <w:rPr/>
        <w:t>to</w:t>
      </w:r>
      <w:r>
        <w:rPr>
          <w:spacing w:val="-11"/>
        </w:rPr>
        <w:t> </w:t>
      </w:r>
      <w:r>
        <w:rPr/>
        <w:t>other</w:t>
      </w:r>
      <w:r>
        <w:rPr>
          <w:spacing w:val="-14"/>
        </w:rPr>
        <w:t> </w:t>
      </w:r>
      <w:r>
        <w:rPr/>
        <w:t>states</w:t>
      </w:r>
      <w:r>
        <w:rPr>
          <w:spacing w:val="-13"/>
        </w:rPr>
        <w:t> </w:t>
      </w:r>
      <w:r>
        <w:rPr/>
        <w:t>and</w:t>
      </w:r>
      <w:r>
        <w:rPr>
          <w:spacing w:val="-11"/>
        </w:rPr>
        <w:t> </w:t>
      </w:r>
      <w:r>
        <w:rPr/>
        <w:t>territories.</w:t>
      </w:r>
      <w:r>
        <w:rPr>
          <w:spacing w:val="-13"/>
        </w:rPr>
        <w:t> </w:t>
      </w:r>
      <w:r>
        <w:rPr/>
        <w:t>The MA rates for Puerto Rico counties averaged 24% </w:t>
      </w:r>
      <w:r>
        <w:rPr>
          <w:spacing w:val="-3"/>
        </w:rPr>
        <w:t>less </w:t>
      </w:r>
      <w:r>
        <w:rPr/>
        <w:t>than the National average in 2011, but after the</w:t>
      </w:r>
      <w:r>
        <w:rPr>
          <w:spacing w:val="-6"/>
        </w:rPr>
        <w:t> </w:t>
      </w:r>
      <w:r>
        <w:rPr/>
        <w:t>Obamacare</w:t>
      </w:r>
      <w:r>
        <w:rPr>
          <w:spacing w:val="-6"/>
        </w:rPr>
        <w:t> </w:t>
      </w:r>
      <w:r>
        <w:rPr/>
        <w:t>cuts</w:t>
      </w:r>
      <w:r>
        <w:rPr>
          <w:spacing w:val="-7"/>
        </w:rPr>
        <w:t> </w:t>
      </w:r>
      <w:r>
        <w:rPr/>
        <w:t>they</w:t>
      </w:r>
      <w:r>
        <w:rPr>
          <w:spacing w:val="-5"/>
        </w:rPr>
        <w:t> </w:t>
      </w:r>
      <w:r>
        <w:rPr/>
        <w:t>are</w:t>
      </w:r>
      <w:r>
        <w:rPr>
          <w:spacing w:val="-6"/>
        </w:rPr>
        <w:t> </w:t>
      </w:r>
      <w:r>
        <w:rPr/>
        <w:t>43%</w:t>
      </w:r>
      <w:r>
        <w:rPr>
          <w:spacing w:val="-3"/>
        </w:rPr>
        <w:t> </w:t>
      </w:r>
      <w:r>
        <w:rPr/>
        <w:t>lower</w:t>
      </w:r>
      <w:r>
        <w:rPr>
          <w:spacing w:val="-8"/>
        </w:rPr>
        <w:t> </w:t>
      </w:r>
      <w:r>
        <w:rPr/>
        <w:t>(2018).</w:t>
      </w:r>
      <w:r>
        <w:rPr>
          <w:spacing w:val="44"/>
        </w:rPr>
        <w:t> </w:t>
      </w:r>
      <w:r>
        <w:rPr/>
        <w:t>Moreover,</w:t>
      </w:r>
      <w:r>
        <w:rPr>
          <w:spacing w:val="-7"/>
        </w:rPr>
        <w:t> </w:t>
      </w:r>
      <w:r>
        <w:rPr/>
        <w:t>they</w:t>
      </w:r>
      <w:r>
        <w:rPr>
          <w:spacing w:val="-5"/>
        </w:rPr>
        <w:t> </w:t>
      </w:r>
      <w:r>
        <w:rPr/>
        <w:t>are</w:t>
      </w:r>
      <w:r>
        <w:rPr>
          <w:spacing w:val="-11"/>
        </w:rPr>
        <w:t> </w:t>
      </w:r>
      <w:r>
        <w:rPr/>
        <w:t>39%</w:t>
      </w:r>
      <w:r>
        <w:rPr>
          <w:spacing w:val="-8"/>
        </w:rPr>
        <w:t> </w:t>
      </w:r>
      <w:r>
        <w:rPr/>
        <w:t>lower</w:t>
      </w:r>
      <w:r>
        <w:rPr>
          <w:spacing w:val="-8"/>
        </w:rPr>
        <w:t> </w:t>
      </w:r>
      <w:r>
        <w:rPr/>
        <w:t>than</w:t>
      </w:r>
      <w:r>
        <w:rPr>
          <w:spacing w:val="-5"/>
        </w:rPr>
        <w:t> </w:t>
      </w:r>
      <w:r>
        <w:rPr/>
        <w:t>the</w:t>
      </w:r>
      <w:r>
        <w:rPr>
          <w:spacing w:val="-11"/>
        </w:rPr>
        <w:t> </w:t>
      </w:r>
      <w:r>
        <w:rPr/>
        <w:t>state</w:t>
      </w:r>
      <w:r>
        <w:rPr>
          <w:spacing w:val="-6"/>
        </w:rPr>
        <w:t> </w:t>
      </w:r>
      <w:r>
        <w:rPr/>
        <w:t>with the lowest MA rates, and 26% lower than the U.S. Virgin Islands. The impact </w:t>
      </w:r>
      <w:r>
        <w:rPr>
          <w:spacing w:val="-3"/>
        </w:rPr>
        <w:t>of </w:t>
      </w:r>
      <w:r>
        <w:rPr/>
        <w:t>these disparities cannot be overstated since Puerto Rico has the highest MA beneficiary penetration in the nation (~75%), MA serves 97% (275,000) </w:t>
      </w:r>
      <w:r>
        <w:rPr>
          <w:spacing w:val="-3"/>
        </w:rPr>
        <w:t>of </w:t>
      </w:r>
      <w:r>
        <w:rPr/>
        <w:t>all the dual eligible beneficiaries with Medicare Parts A &amp; B</w:t>
      </w:r>
      <w:r>
        <w:rPr>
          <w:spacing w:val="-17"/>
        </w:rPr>
        <w:t> </w:t>
      </w:r>
      <w:r>
        <w:rPr/>
        <w:t>on</w:t>
      </w:r>
      <w:r>
        <w:rPr>
          <w:spacing w:val="-15"/>
        </w:rPr>
        <w:t> </w:t>
      </w:r>
      <w:r>
        <w:rPr/>
        <w:t>the</w:t>
      </w:r>
      <w:r>
        <w:rPr>
          <w:spacing w:val="-16"/>
        </w:rPr>
        <w:t> </w:t>
      </w:r>
      <w:r>
        <w:rPr/>
        <w:t>island</w:t>
      </w:r>
      <w:r>
        <w:rPr>
          <w:spacing w:val="-15"/>
        </w:rPr>
        <w:t> </w:t>
      </w:r>
      <w:r>
        <w:rPr/>
        <w:t>through</w:t>
      </w:r>
      <w:r>
        <w:rPr>
          <w:spacing w:val="-15"/>
        </w:rPr>
        <w:t> </w:t>
      </w:r>
      <w:r>
        <w:rPr/>
        <w:t>an</w:t>
      </w:r>
      <w:r>
        <w:rPr>
          <w:spacing w:val="-15"/>
        </w:rPr>
        <w:t> </w:t>
      </w:r>
      <w:r>
        <w:rPr/>
        <w:t>integrated</w:t>
      </w:r>
      <w:r>
        <w:rPr>
          <w:spacing w:val="-15"/>
        </w:rPr>
        <w:t> </w:t>
      </w:r>
      <w:r>
        <w:rPr/>
        <w:t>Dual-Special</w:t>
      </w:r>
      <w:r>
        <w:rPr>
          <w:spacing w:val="-20"/>
        </w:rPr>
        <w:t> </w:t>
      </w:r>
      <w:r>
        <w:rPr/>
        <w:t>Needs</w:t>
      </w:r>
      <w:r>
        <w:rPr>
          <w:spacing w:val="-18"/>
        </w:rPr>
        <w:t> </w:t>
      </w:r>
      <w:r>
        <w:rPr/>
        <w:t>Program</w:t>
      </w:r>
      <w:r>
        <w:rPr>
          <w:spacing w:val="-15"/>
        </w:rPr>
        <w:t> </w:t>
      </w:r>
      <w:r>
        <w:rPr/>
        <w:t>(D-SNP),</w:t>
      </w:r>
      <w:r>
        <w:rPr>
          <w:spacing w:val="-13"/>
        </w:rPr>
        <w:t> </w:t>
      </w:r>
      <w:r>
        <w:rPr/>
        <w:t>only</w:t>
      </w:r>
      <w:r>
        <w:rPr>
          <w:spacing w:val="-15"/>
        </w:rPr>
        <w:t> </w:t>
      </w:r>
      <w:r>
        <w:rPr/>
        <w:t>possible</w:t>
      </w:r>
      <w:r>
        <w:rPr>
          <w:spacing w:val="-16"/>
        </w:rPr>
        <w:t> </w:t>
      </w:r>
      <w:r>
        <w:rPr/>
        <w:t>through the MA platform, and in 2018 over 95% of members are in 4 STAR plans. Therefore, we request your support for the inclusion of policy and MA rate adjustments in the in the </w:t>
      </w:r>
      <w:r>
        <w:rPr>
          <w:i/>
        </w:rPr>
        <w:t>2019 Final </w:t>
      </w:r>
      <w:r>
        <w:rPr>
          <w:i/>
        </w:rPr>
        <w:t>Announcement and Call Letter </w:t>
      </w:r>
      <w:r>
        <w:rPr/>
        <w:t>that can meaningfully mitigate the harmful funding gap for MA</w:t>
      </w:r>
      <w:r>
        <w:rPr>
          <w:spacing w:val="-29"/>
        </w:rPr>
        <w:t> </w:t>
      </w:r>
      <w:r>
        <w:rPr/>
        <w:t>in Puerto</w:t>
      </w:r>
      <w:r>
        <w:rPr>
          <w:spacing w:val="-1"/>
        </w:rPr>
        <w:t> </w:t>
      </w:r>
      <w:r>
        <w:rPr/>
        <w:t>Rico.</w:t>
      </w:r>
    </w:p>
    <w:p>
      <w:pPr>
        <w:pStyle w:val="BodyText"/>
        <w:spacing w:before="11"/>
        <w:rPr>
          <w:sz w:val="23"/>
        </w:rPr>
      </w:pPr>
    </w:p>
    <w:p>
      <w:pPr>
        <w:pStyle w:val="BodyText"/>
        <w:ind w:left="1440" w:right="1432"/>
        <w:jc w:val="both"/>
      </w:pPr>
      <w:r>
        <w:rPr/>
        <w:t>There is precedent for HHS giving guidance to CMS to make policy adjustments for MA rates. For the 2017 rates, the HHS Secretary instructed CMS to make an adjustment in the MA rate setting formula with the purpose of mitigating the continuing increase in the anomalous funding gap for the MA program affecting beneficiaries in Puerto Rico. Still, as evidenced by the simple benchmark numbers, these adjustments are far from enough. My administration and the community of stakeholders in Puerto Rico have analyzed the issue and developed policy alternatives that are meaningful and executable as part of the </w:t>
      </w:r>
      <w:r>
        <w:rPr>
          <w:i/>
        </w:rPr>
        <w:t>2019 Final Announcement and Call </w:t>
      </w:r>
      <w:r>
        <w:rPr>
          <w:i/>
        </w:rPr>
        <w:t>Letter </w:t>
      </w:r>
      <w:r>
        <w:rPr/>
        <w:t>for MA. I urge you to use the full scope and flexibility of HHS and CMS administrative authority to define a new path forward for MA in Puerto Rico, as follows:</w:t>
      </w:r>
    </w:p>
    <w:p>
      <w:pPr>
        <w:pStyle w:val="BodyText"/>
        <w:spacing w:before="1"/>
        <w:rPr>
          <w:sz w:val="22"/>
        </w:rPr>
      </w:pPr>
    </w:p>
    <w:p>
      <w:pPr>
        <w:pStyle w:val="ListParagraph"/>
        <w:numPr>
          <w:ilvl w:val="0"/>
          <w:numId w:val="1"/>
        </w:numPr>
        <w:tabs>
          <w:tab w:pos="2160" w:val="left" w:leader="none"/>
        </w:tabs>
        <w:spacing w:line="240" w:lineRule="auto" w:before="0" w:after="0"/>
        <w:ind w:left="2160" w:right="1433" w:hanging="360"/>
        <w:jc w:val="both"/>
        <w:rPr>
          <w:sz w:val="22"/>
        </w:rPr>
      </w:pPr>
      <w:r>
        <w:rPr>
          <w:b/>
          <w:sz w:val="22"/>
        </w:rPr>
        <w:t>Methodological Changes for Calculation of MA Benchmarks or a National Floor: </w:t>
      </w:r>
      <w:r>
        <w:rPr>
          <w:sz w:val="22"/>
        </w:rPr>
        <w:t>CMS and HHS can establish additional methodological changes that may be appropriate for the calculation of</w:t>
      </w:r>
      <w:r>
        <w:rPr>
          <w:spacing w:val="-14"/>
          <w:sz w:val="22"/>
        </w:rPr>
        <w:t> </w:t>
      </w:r>
      <w:r>
        <w:rPr>
          <w:sz w:val="22"/>
        </w:rPr>
        <w:t>the</w:t>
      </w:r>
      <w:r>
        <w:rPr>
          <w:spacing w:val="-14"/>
          <w:sz w:val="22"/>
        </w:rPr>
        <w:t> </w:t>
      </w:r>
      <w:r>
        <w:rPr>
          <w:sz w:val="22"/>
        </w:rPr>
        <w:t>2019</w:t>
      </w:r>
      <w:r>
        <w:rPr>
          <w:spacing w:val="-12"/>
          <w:sz w:val="22"/>
        </w:rPr>
        <w:t> </w:t>
      </w:r>
      <w:r>
        <w:rPr>
          <w:sz w:val="22"/>
        </w:rPr>
        <w:t>MA</w:t>
      </w:r>
      <w:r>
        <w:rPr>
          <w:spacing w:val="-13"/>
          <w:sz w:val="22"/>
        </w:rPr>
        <w:t> </w:t>
      </w:r>
      <w:r>
        <w:rPr>
          <w:sz w:val="22"/>
        </w:rPr>
        <w:t>benchmarks</w:t>
      </w:r>
      <w:r>
        <w:rPr>
          <w:spacing w:val="-12"/>
          <w:sz w:val="22"/>
        </w:rPr>
        <w:t> </w:t>
      </w:r>
      <w:r>
        <w:rPr>
          <w:sz w:val="22"/>
        </w:rPr>
        <w:t>or</w:t>
      </w:r>
      <w:r>
        <w:rPr>
          <w:spacing w:val="-14"/>
          <w:sz w:val="22"/>
        </w:rPr>
        <w:t> </w:t>
      </w:r>
      <w:r>
        <w:rPr>
          <w:sz w:val="22"/>
        </w:rPr>
        <w:t>define</w:t>
      </w:r>
      <w:r>
        <w:rPr>
          <w:spacing w:val="-14"/>
          <w:sz w:val="22"/>
        </w:rPr>
        <w:t> </w:t>
      </w:r>
      <w:r>
        <w:rPr>
          <w:sz w:val="22"/>
        </w:rPr>
        <w:t>a</w:t>
      </w:r>
      <w:r>
        <w:rPr>
          <w:spacing w:val="-14"/>
          <w:sz w:val="22"/>
        </w:rPr>
        <w:t> </w:t>
      </w:r>
      <w:r>
        <w:rPr>
          <w:sz w:val="22"/>
        </w:rPr>
        <w:t>National</w:t>
      </w:r>
      <w:r>
        <w:rPr>
          <w:spacing w:val="-11"/>
          <w:sz w:val="22"/>
        </w:rPr>
        <w:t> </w:t>
      </w:r>
      <w:r>
        <w:rPr>
          <w:sz w:val="22"/>
        </w:rPr>
        <w:t>floor</w:t>
      </w:r>
      <w:r>
        <w:rPr>
          <w:spacing w:val="-14"/>
          <w:sz w:val="22"/>
        </w:rPr>
        <w:t> </w:t>
      </w:r>
      <w:r>
        <w:rPr>
          <w:spacing w:val="-3"/>
          <w:sz w:val="22"/>
        </w:rPr>
        <w:t>of</w:t>
      </w:r>
      <w:r>
        <w:rPr>
          <w:spacing w:val="-14"/>
          <w:sz w:val="22"/>
        </w:rPr>
        <w:t> </w:t>
      </w:r>
      <w:r>
        <w:rPr>
          <w:sz w:val="22"/>
        </w:rPr>
        <w:t>0.70</w:t>
      </w:r>
      <w:r>
        <w:rPr>
          <w:spacing w:val="-12"/>
          <w:sz w:val="22"/>
        </w:rPr>
        <w:t> </w:t>
      </w:r>
      <w:r>
        <w:rPr>
          <w:sz w:val="22"/>
        </w:rPr>
        <w:t>in</w:t>
      </w:r>
      <w:r>
        <w:rPr>
          <w:spacing w:val="-17"/>
          <w:sz w:val="22"/>
        </w:rPr>
        <w:t> </w:t>
      </w:r>
      <w:r>
        <w:rPr>
          <w:sz w:val="22"/>
        </w:rPr>
        <w:t>the</w:t>
      </w:r>
      <w:r>
        <w:rPr>
          <w:spacing w:val="-14"/>
          <w:sz w:val="22"/>
        </w:rPr>
        <w:t> </w:t>
      </w:r>
      <w:r>
        <w:rPr>
          <w:sz w:val="22"/>
        </w:rPr>
        <w:t>average</w:t>
      </w:r>
      <w:r>
        <w:rPr>
          <w:spacing w:val="-14"/>
          <w:sz w:val="22"/>
        </w:rPr>
        <w:t> </w:t>
      </w:r>
      <w:r>
        <w:rPr>
          <w:sz w:val="22"/>
        </w:rPr>
        <w:t>geographic</w:t>
      </w:r>
      <w:r>
        <w:rPr>
          <w:spacing w:val="-9"/>
          <w:sz w:val="22"/>
        </w:rPr>
        <w:t> </w:t>
      </w:r>
      <w:r>
        <w:rPr>
          <w:sz w:val="22"/>
        </w:rPr>
        <w:t>adjustment (AGA)</w:t>
      </w:r>
      <w:r>
        <w:rPr>
          <w:spacing w:val="-6"/>
          <w:sz w:val="22"/>
        </w:rPr>
        <w:t> </w:t>
      </w:r>
      <w:r>
        <w:rPr>
          <w:sz w:val="22"/>
        </w:rPr>
        <w:t>applied</w:t>
      </w:r>
      <w:r>
        <w:rPr>
          <w:spacing w:val="-5"/>
          <w:sz w:val="22"/>
        </w:rPr>
        <w:t> </w:t>
      </w:r>
      <w:r>
        <w:rPr>
          <w:sz w:val="22"/>
        </w:rPr>
        <w:t>to</w:t>
      </w:r>
      <w:r>
        <w:rPr>
          <w:spacing w:val="-9"/>
          <w:sz w:val="22"/>
        </w:rPr>
        <w:t> </w:t>
      </w:r>
      <w:r>
        <w:rPr>
          <w:sz w:val="22"/>
        </w:rPr>
        <w:t>all</w:t>
      </w:r>
      <w:r>
        <w:rPr>
          <w:spacing w:val="-8"/>
          <w:sz w:val="22"/>
        </w:rPr>
        <w:t> </w:t>
      </w:r>
      <w:r>
        <w:rPr>
          <w:sz w:val="22"/>
        </w:rPr>
        <w:t>counties</w:t>
      </w:r>
      <w:r>
        <w:rPr>
          <w:spacing w:val="-4"/>
          <w:sz w:val="22"/>
        </w:rPr>
        <w:t> </w:t>
      </w:r>
      <w:r>
        <w:rPr>
          <w:sz w:val="22"/>
        </w:rPr>
        <w:t>in</w:t>
      </w:r>
      <w:r>
        <w:rPr>
          <w:spacing w:val="-9"/>
          <w:sz w:val="22"/>
        </w:rPr>
        <w:t> </w:t>
      </w:r>
      <w:r>
        <w:rPr>
          <w:sz w:val="22"/>
        </w:rPr>
        <w:t>the</w:t>
      </w:r>
      <w:r>
        <w:rPr>
          <w:spacing w:val="-7"/>
          <w:sz w:val="22"/>
        </w:rPr>
        <w:t> </w:t>
      </w:r>
      <w:r>
        <w:rPr>
          <w:sz w:val="22"/>
        </w:rPr>
        <w:t>nation.</w:t>
      </w:r>
      <w:r>
        <w:rPr>
          <w:spacing w:val="40"/>
          <w:sz w:val="22"/>
        </w:rPr>
        <w:t> </w:t>
      </w:r>
      <w:r>
        <w:rPr>
          <w:sz w:val="22"/>
        </w:rPr>
        <w:t>Through</w:t>
      </w:r>
      <w:r>
        <w:rPr>
          <w:spacing w:val="-9"/>
          <w:sz w:val="22"/>
        </w:rPr>
        <w:t> </w:t>
      </w:r>
      <w:r>
        <w:rPr>
          <w:sz w:val="22"/>
        </w:rPr>
        <w:t>the</w:t>
      </w:r>
      <w:r>
        <w:rPr>
          <w:spacing w:val="-7"/>
          <w:sz w:val="22"/>
        </w:rPr>
        <w:t> </w:t>
      </w:r>
      <w:r>
        <w:rPr>
          <w:sz w:val="22"/>
        </w:rPr>
        <w:t>later,</w:t>
      </w:r>
      <w:r>
        <w:rPr>
          <w:spacing w:val="-7"/>
          <w:sz w:val="22"/>
        </w:rPr>
        <w:t> </w:t>
      </w:r>
      <w:r>
        <w:rPr>
          <w:sz w:val="22"/>
        </w:rPr>
        <w:t>the</w:t>
      </w:r>
      <w:r>
        <w:rPr>
          <w:spacing w:val="-7"/>
          <w:sz w:val="22"/>
        </w:rPr>
        <w:t> </w:t>
      </w:r>
      <w:r>
        <w:rPr>
          <w:sz w:val="22"/>
        </w:rPr>
        <w:t>policy</w:t>
      </w:r>
      <w:r>
        <w:rPr>
          <w:spacing w:val="-5"/>
          <w:sz w:val="22"/>
        </w:rPr>
        <w:t> </w:t>
      </w:r>
      <w:r>
        <w:rPr>
          <w:sz w:val="22"/>
        </w:rPr>
        <w:t>would</w:t>
      </w:r>
      <w:r>
        <w:rPr>
          <w:spacing w:val="-9"/>
          <w:sz w:val="22"/>
        </w:rPr>
        <w:t> </w:t>
      </w:r>
      <w:r>
        <w:rPr>
          <w:sz w:val="22"/>
        </w:rPr>
        <w:t>protect</w:t>
      </w:r>
      <w:r>
        <w:rPr>
          <w:spacing w:val="-4"/>
          <w:sz w:val="22"/>
        </w:rPr>
        <w:t> </w:t>
      </w:r>
      <w:r>
        <w:rPr>
          <w:sz w:val="22"/>
        </w:rPr>
        <w:t>any</w:t>
      </w:r>
      <w:r>
        <w:rPr>
          <w:spacing w:val="-9"/>
          <w:sz w:val="22"/>
        </w:rPr>
        <w:t> </w:t>
      </w:r>
      <w:r>
        <w:rPr>
          <w:sz w:val="22"/>
        </w:rPr>
        <w:t>county at the National level from falling to abnormally low AGA factors resulting from unexplained variabilities</w:t>
      </w:r>
      <w:r>
        <w:rPr>
          <w:spacing w:val="-3"/>
          <w:sz w:val="22"/>
        </w:rPr>
        <w:t> </w:t>
      </w:r>
      <w:r>
        <w:rPr>
          <w:sz w:val="22"/>
        </w:rPr>
        <w:t>or</w:t>
      </w:r>
      <w:r>
        <w:rPr>
          <w:spacing w:val="-10"/>
          <w:sz w:val="22"/>
        </w:rPr>
        <w:t> </w:t>
      </w:r>
      <w:r>
        <w:rPr>
          <w:sz w:val="22"/>
        </w:rPr>
        <w:t>deficiencies</w:t>
      </w:r>
      <w:r>
        <w:rPr>
          <w:spacing w:val="-3"/>
          <w:sz w:val="22"/>
        </w:rPr>
        <w:t> </w:t>
      </w:r>
      <w:r>
        <w:rPr>
          <w:sz w:val="22"/>
        </w:rPr>
        <w:t>in</w:t>
      </w:r>
      <w:r>
        <w:rPr>
          <w:spacing w:val="-8"/>
          <w:sz w:val="22"/>
        </w:rPr>
        <w:t> </w:t>
      </w:r>
      <w:r>
        <w:rPr>
          <w:sz w:val="22"/>
        </w:rPr>
        <w:t>data,</w:t>
      </w:r>
      <w:r>
        <w:rPr>
          <w:spacing w:val="-6"/>
          <w:sz w:val="22"/>
        </w:rPr>
        <w:t> </w:t>
      </w:r>
      <w:r>
        <w:rPr>
          <w:sz w:val="22"/>
        </w:rPr>
        <w:t>especially</w:t>
      </w:r>
      <w:r>
        <w:rPr>
          <w:spacing w:val="-4"/>
          <w:sz w:val="22"/>
        </w:rPr>
        <w:t> </w:t>
      </w:r>
      <w:r>
        <w:rPr>
          <w:sz w:val="22"/>
        </w:rPr>
        <w:t>as</w:t>
      </w:r>
      <w:r>
        <w:rPr>
          <w:spacing w:val="-8"/>
          <w:sz w:val="22"/>
        </w:rPr>
        <w:t> </w:t>
      </w:r>
      <w:r>
        <w:rPr>
          <w:sz w:val="22"/>
        </w:rPr>
        <w:t>MA</w:t>
      </w:r>
      <w:r>
        <w:rPr>
          <w:spacing w:val="-10"/>
          <w:sz w:val="22"/>
        </w:rPr>
        <w:t> </w:t>
      </w:r>
      <w:r>
        <w:rPr>
          <w:sz w:val="22"/>
        </w:rPr>
        <w:t>penetration</w:t>
      </w:r>
      <w:r>
        <w:rPr>
          <w:spacing w:val="-4"/>
          <w:sz w:val="22"/>
        </w:rPr>
        <w:t> </w:t>
      </w:r>
      <w:r>
        <w:rPr>
          <w:sz w:val="22"/>
        </w:rPr>
        <w:t>continues</w:t>
      </w:r>
      <w:r>
        <w:rPr>
          <w:spacing w:val="-8"/>
          <w:sz w:val="22"/>
        </w:rPr>
        <w:t> </w:t>
      </w:r>
      <w:r>
        <w:rPr>
          <w:sz w:val="22"/>
        </w:rPr>
        <w:t>to</w:t>
      </w:r>
      <w:r>
        <w:rPr>
          <w:spacing w:val="-8"/>
          <w:sz w:val="22"/>
        </w:rPr>
        <w:t> </w:t>
      </w:r>
      <w:r>
        <w:rPr>
          <w:sz w:val="22"/>
        </w:rPr>
        <w:t>increase</w:t>
      </w:r>
      <w:r>
        <w:rPr>
          <w:spacing w:val="-6"/>
          <w:sz w:val="22"/>
        </w:rPr>
        <w:t> </w:t>
      </w:r>
      <w:r>
        <w:rPr>
          <w:sz w:val="22"/>
        </w:rPr>
        <w:t>in</w:t>
      </w:r>
      <w:r>
        <w:rPr>
          <w:spacing w:val="-8"/>
          <w:sz w:val="22"/>
        </w:rPr>
        <w:t> </w:t>
      </w:r>
      <w:r>
        <w:rPr>
          <w:sz w:val="22"/>
        </w:rPr>
        <w:t>many</w:t>
      </w:r>
      <w:r>
        <w:rPr>
          <w:spacing w:val="-4"/>
          <w:sz w:val="22"/>
        </w:rPr>
        <w:t> </w:t>
      </w:r>
      <w:r>
        <w:rPr>
          <w:spacing w:val="-3"/>
          <w:sz w:val="22"/>
        </w:rPr>
        <w:t>US </w:t>
      </w:r>
      <w:r>
        <w:rPr>
          <w:sz w:val="22"/>
        </w:rPr>
        <w:t>markets.</w:t>
      </w:r>
    </w:p>
    <w:p>
      <w:pPr>
        <w:pStyle w:val="BodyText"/>
        <w:spacing w:before="1"/>
        <w:rPr>
          <w:sz w:val="22"/>
        </w:rPr>
      </w:pPr>
    </w:p>
    <w:p>
      <w:pPr>
        <w:pStyle w:val="ListParagraph"/>
        <w:numPr>
          <w:ilvl w:val="0"/>
          <w:numId w:val="1"/>
        </w:numPr>
        <w:tabs>
          <w:tab w:pos="2160" w:val="left" w:leader="none"/>
        </w:tabs>
        <w:spacing w:line="240" w:lineRule="auto" w:before="0" w:after="0"/>
        <w:ind w:left="2160" w:right="1432" w:hanging="360"/>
        <w:jc w:val="both"/>
        <w:rPr>
          <w:sz w:val="22"/>
        </w:rPr>
      </w:pPr>
      <w:r>
        <w:rPr>
          <w:b/>
          <w:sz w:val="22"/>
        </w:rPr>
        <w:t>Additional Monitoring and Reporting Tools for MA in Puerto Rico: </w:t>
      </w:r>
      <w:r>
        <w:rPr>
          <w:sz w:val="22"/>
        </w:rPr>
        <w:t>To ensure the new policy supports program objectives, CMS can define additional monitoring and reporting tools with MA plans</w:t>
      </w:r>
      <w:r>
        <w:rPr>
          <w:spacing w:val="-3"/>
          <w:sz w:val="22"/>
        </w:rPr>
        <w:t> </w:t>
      </w:r>
      <w:r>
        <w:rPr>
          <w:sz w:val="22"/>
        </w:rPr>
        <w:t>in</w:t>
      </w:r>
      <w:r>
        <w:rPr>
          <w:spacing w:val="-8"/>
          <w:sz w:val="22"/>
        </w:rPr>
        <w:t> </w:t>
      </w:r>
      <w:r>
        <w:rPr>
          <w:sz w:val="22"/>
        </w:rPr>
        <w:t>Puerto</w:t>
      </w:r>
      <w:r>
        <w:rPr>
          <w:spacing w:val="-8"/>
          <w:sz w:val="22"/>
        </w:rPr>
        <w:t> </w:t>
      </w:r>
      <w:r>
        <w:rPr>
          <w:sz w:val="22"/>
        </w:rPr>
        <w:t>Rico,</w:t>
      </w:r>
      <w:r>
        <w:rPr>
          <w:spacing w:val="-6"/>
          <w:sz w:val="22"/>
        </w:rPr>
        <w:t> </w:t>
      </w:r>
      <w:r>
        <w:rPr>
          <w:sz w:val="22"/>
        </w:rPr>
        <w:t>including</w:t>
      </w:r>
      <w:r>
        <w:rPr>
          <w:spacing w:val="-8"/>
          <w:sz w:val="22"/>
        </w:rPr>
        <w:t> </w:t>
      </w:r>
      <w:r>
        <w:rPr>
          <w:sz w:val="22"/>
        </w:rPr>
        <w:t>a</w:t>
      </w:r>
      <w:r>
        <w:rPr>
          <w:spacing w:val="-10"/>
          <w:sz w:val="22"/>
        </w:rPr>
        <w:t> </w:t>
      </w:r>
      <w:r>
        <w:rPr>
          <w:sz w:val="22"/>
        </w:rPr>
        <w:t>multi-year</w:t>
      </w:r>
      <w:r>
        <w:rPr>
          <w:spacing w:val="-5"/>
          <w:sz w:val="22"/>
        </w:rPr>
        <w:t> </w:t>
      </w:r>
      <w:r>
        <w:rPr>
          <w:sz w:val="22"/>
        </w:rPr>
        <w:t>implementation</w:t>
      </w:r>
      <w:r>
        <w:rPr>
          <w:spacing w:val="-8"/>
          <w:sz w:val="22"/>
        </w:rPr>
        <w:t> </w:t>
      </w:r>
      <w:r>
        <w:rPr>
          <w:sz w:val="22"/>
        </w:rPr>
        <w:t>period</w:t>
      </w:r>
      <w:r>
        <w:rPr>
          <w:spacing w:val="-8"/>
          <w:sz w:val="22"/>
        </w:rPr>
        <w:t> </w:t>
      </w:r>
      <w:r>
        <w:rPr>
          <w:sz w:val="22"/>
        </w:rPr>
        <w:t>of</w:t>
      </w:r>
      <w:r>
        <w:rPr>
          <w:spacing w:val="-5"/>
          <w:sz w:val="22"/>
        </w:rPr>
        <w:t> </w:t>
      </w:r>
      <w:r>
        <w:rPr>
          <w:sz w:val="22"/>
        </w:rPr>
        <w:t>a</w:t>
      </w:r>
      <w:r>
        <w:rPr>
          <w:spacing w:val="-10"/>
          <w:sz w:val="22"/>
        </w:rPr>
        <w:t> </w:t>
      </w:r>
      <w:r>
        <w:rPr>
          <w:sz w:val="22"/>
        </w:rPr>
        <w:t>new</w:t>
      </w:r>
      <w:r>
        <w:rPr>
          <w:spacing w:val="-10"/>
          <w:sz w:val="22"/>
        </w:rPr>
        <w:t> </w:t>
      </w:r>
      <w:r>
        <w:rPr>
          <w:sz w:val="22"/>
        </w:rPr>
        <w:t>MA</w:t>
      </w:r>
      <w:r>
        <w:rPr>
          <w:spacing w:val="-5"/>
          <w:sz w:val="22"/>
        </w:rPr>
        <w:t> </w:t>
      </w:r>
      <w:r>
        <w:rPr>
          <w:sz w:val="22"/>
        </w:rPr>
        <w:t>rate</w:t>
      </w:r>
      <w:r>
        <w:rPr>
          <w:spacing w:val="-10"/>
          <w:sz w:val="22"/>
        </w:rPr>
        <w:t> </w:t>
      </w:r>
      <w:r>
        <w:rPr>
          <w:sz w:val="22"/>
        </w:rPr>
        <w:t>methodology adjustment. I am convinced that measuring effects of the new policy will reveal lessons from the Puerto Rico scenario valuable nationally, especially in relation to value-based services, and social determinants of</w:t>
      </w:r>
      <w:r>
        <w:rPr>
          <w:spacing w:val="-1"/>
          <w:sz w:val="22"/>
        </w:rPr>
        <w:t> </w:t>
      </w:r>
      <w:r>
        <w:rPr>
          <w:sz w:val="22"/>
        </w:rPr>
        <w:t>health.</w:t>
      </w:r>
    </w:p>
    <w:p>
      <w:pPr>
        <w:spacing w:after="0" w:line="240" w:lineRule="auto"/>
        <w:jc w:val="both"/>
        <w:rPr>
          <w:sz w:val="22"/>
        </w:rPr>
        <w:sectPr>
          <w:headerReference w:type="default" r:id="rId7"/>
          <w:footerReference w:type="default" r:id="rId8"/>
          <w:pgSz w:w="12240" w:h="15840"/>
          <w:pgMar w:header="4" w:footer="872" w:top="1860" w:bottom="1060" w:left="0" w:right="0"/>
        </w:sectPr>
      </w:pPr>
    </w:p>
    <w:p>
      <w:pPr>
        <w:pStyle w:val="BodyText"/>
        <w:rPr>
          <w:sz w:val="20"/>
        </w:rPr>
      </w:pPr>
    </w:p>
    <w:p>
      <w:pPr>
        <w:pStyle w:val="BodyText"/>
        <w:spacing w:before="5"/>
        <w:rPr>
          <w:sz w:val="22"/>
        </w:rPr>
      </w:pPr>
    </w:p>
    <w:p>
      <w:pPr>
        <w:pStyle w:val="ListParagraph"/>
        <w:numPr>
          <w:ilvl w:val="0"/>
          <w:numId w:val="1"/>
        </w:numPr>
        <w:tabs>
          <w:tab w:pos="2160" w:val="left" w:leader="none"/>
        </w:tabs>
        <w:spacing w:line="240" w:lineRule="auto" w:before="101" w:after="0"/>
        <w:ind w:left="2160" w:right="1431" w:hanging="360"/>
        <w:jc w:val="both"/>
        <w:rPr>
          <w:sz w:val="22"/>
        </w:rPr>
      </w:pPr>
      <w:r>
        <w:rPr>
          <w:b/>
          <w:sz w:val="22"/>
        </w:rPr>
        <w:t>Meaningful</w:t>
      </w:r>
      <w:r>
        <w:rPr>
          <w:b/>
          <w:spacing w:val="-8"/>
          <w:sz w:val="22"/>
        </w:rPr>
        <w:t> </w:t>
      </w:r>
      <w:r>
        <w:rPr>
          <w:b/>
          <w:sz w:val="22"/>
        </w:rPr>
        <w:t>Reduction</w:t>
      </w:r>
      <w:r>
        <w:rPr>
          <w:b/>
          <w:spacing w:val="-7"/>
          <w:sz w:val="22"/>
        </w:rPr>
        <w:t> </w:t>
      </w:r>
      <w:r>
        <w:rPr>
          <w:b/>
          <w:sz w:val="22"/>
        </w:rPr>
        <w:t>in</w:t>
      </w:r>
      <w:r>
        <w:rPr>
          <w:b/>
          <w:spacing w:val="-7"/>
          <w:sz w:val="22"/>
        </w:rPr>
        <w:t> </w:t>
      </w:r>
      <w:r>
        <w:rPr>
          <w:b/>
          <w:sz w:val="22"/>
        </w:rPr>
        <w:t>the</w:t>
      </w:r>
      <w:r>
        <w:rPr>
          <w:b/>
          <w:spacing w:val="-11"/>
          <w:sz w:val="22"/>
        </w:rPr>
        <w:t> </w:t>
      </w:r>
      <w:r>
        <w:rPr>
          <w:b/>
          <w:sz w:val="22"/>
        </w:rPr>
        <w:t>ESRD</w:t>
      </w:r>
      <w:r>
        <w:rPr>
          <w:b/>
          <w:spacing w:val="-11"/>
          <w:sz w:val="22"/>
        </w:rPr>
        <w:t> </w:t>
      </w:r>
      <w:r>
        <w:rPr>
          <w:b/>
          <w:sz w:val="22"/>
        </w:rPr>
        <w:t>MA</w:t>
      </w:r>
      <w:r>
        <w:rPr>
          <w:b/>
          <w:spacing w:val="-6"/>
          <w:sz w:val="22"/>
        </w:rPr>
        <w:t> </w:t>
      </w:r>
      <w:r>
        <w:rPr>
          <w:b/>
          <w:sz w:val="22"/>
        </w:rPr>
        <w:t>Rate</w:t>
      </w:r>
      <w:r>
        <w:rPr>
          <w:b/>
          <w:spacing w:val="-11"/>
          <w:sz w:val="22"/>
        </w:rPr>
        <w:t> </w:t>
      </w:r>
      <w:r>
        <w:rPr>
          <w:b/>
          <w:sz w:val="22"/>
        </w:rPr>
        <w:t>Gap</w:t>
      </w:r>
      <w:r>
        <w:rPr>
          <w:b/>
          <w:spacing w:val="-7"/>
          <w:sz w:val="22"/>
        </w:rPr>
        <w:t> </w:t>
      </w:r>
      <w:r>
        <w:rPr>
          <w:b/>
          <w:sz w:val="22"/>
        </w:rPr>
        <w:t>for</w:t>
      </w:r>
      <w:r>
        <w:rPr>
          <w:b/>
          <w:spacing w:val="-7"/>
          <w:sz w:val="22"/>
        </w:rPr>
        <w:t> </w:t>
      </w:r>
      <w:r>
        <w:rPr>
          <w:b/>
          <w:sz w:val="22"/>
        </w:rPr>
        <w:t>Puerto</w:t>
      </w:r>
      <w:r>
        <w:rPr>
          <w:b/>
          <w:spacing w:val="-5"/>
          <w:sz w:val="22"/>
        </w:rPr>
        <w:t> </w:t>
      </w:r>
      <w:r>
        <w:rPr>
          <w:b/>
          <w:sz w:val="22"/>
        </w:rPr>
        <w:t>Rico:</w:t>
      </w:r>
      <w:r>
        <w:rPr>
          <w:b/>
          <w:spacing w:val="-11"/>
          <w:sz w:val="22"/>
        </w:rPr>
        <w:t> </w:t>
      </w:r>
      <w:r>
        <w:rPr>
          <w:sz w:val="22"/>
        </w:rPr>
        <w:t>A</w:t>
      </w:r>
      <w:r>
        <w:rPr>
          <w:spacing w:val="-11"/>
          <w:sz w:val="22"/>
        </w:rPr>
        <w:t> </w:t>
      </w:r>
      <w:r>
        <w:rPr>
          <w:sz w:val="22"/>
        </w:rPr>
        <w:t>meaningful</w:t>
      </w:r>
      <w:r>
        <w:rPr>
          <w:spacing w:val="-8"/>
          <w:sz w:val="22"/>
        </w:rPr>
        <w:t> </w:t>
      </w:r>
      <w:r>
        <w:rPr>
          <w:sz w:val="22"/>
        </w:rPr>
        <w:t>step</w:t>
      </w:r>
      <w:r>
        <w:rPr>
          <w:spacing w:val="-5"/>
          <w:sz w:val="22"/>
        </w:rPr>
        <w:t> </w:t>
      </w:r>
      <w:r>
        <w:rPr>
          <w:sz w:val="22"/>
        </w:rPr>
        <w:t>can</w:t>
      </w:r>
      <w:r>
        <w:rPr>
          <w:spacing w:val="-9"/>
          <w:sz w:val="22"/>
        </w:rPr>
        <w:t> </w:t>
      </w:r>
      <w:r>
        <w:rPr>
          <w:sz w:val="22"/>
        </w:rPr>
        <w:t>also be achieved if the regular and End-Stage Renal Disease (ESRD) MA rates for Puerto Rico can be brought to a level that meaningfully reduces the gap, in a similar position as the current payment levels in MA for counties with similar costs of living nationwide or at least to the current level of MA payment rates for the neighbor territory of U.S. Virgin</w:t>
      </w:r>
      <w:r>
        <w:rPr>
          <w:spacing w:val="-10"/>
          <w:sz w:val="22"/>
        </w:rPr>
        <w:t> </w:t>
      </w:r>
      <w:r>
        <w:rPr>
          <w:sz w:val="22"/>
        </w:rPr>
        <w:t>Islands.</w:t>
      </w:r>
    </w:p>
    <w:p>
      <w:pPr>
        <w:pStyle w:val="BodyText"/>
        <w:spacing w:before="6"/>
        <w:rPr>
          <w:sz w:val="23"/>
        </w:rPr>
      </w:pPr>
    </w:p>
    <w:p>
      <w:pPr>
        <w:pStyle w:val="BodyText"/>
        <w:ind w:left="1440" w:right="1433"/>
        <w:jc w:val="both"/>
      </w:pPr>
      <w:r>
        <w:rPr/>
        <w:t>Finally,</w:t>
      </w:r>
      <w:r>
        <w:rPr>
          <w:spacing w:val="-3"/>
        </w:rPr>
        <w:t> </w:t>
      </w:r>
      <w:r>
        <w:rPr/>
        <w:t>I</w:t>
      </w:r>
      <w:r>
        <w:rPr>
          <w:spacing w:val="-8"/>
        </w:rPr>
        <w:t> </w:t>
      </w:r>
      <w:r>
        <w:rPr/>
        <w:t>propose</w:t>
      </w:r>
      <w:r>
        <w:rPr>
          <w:spacing w:val="-6"/>
        </w:rPr>
        <w:t> </w:t>
      </w:r>
      <w:r>
        <w:rPr/>
        <w:t>we</w:t>
      </w:r>
      <w:r>
        <w:rPr>
          <w:spacing w:val="-6"/>
        </w:rPr>
        <w:t> </w:t>
      </w:r>
      <w:r>
        <w:rPr/>
        <w:t>re-establish</w:t>
      </w:r>
      <w:r>
        <w:rPr>
          <w:spacing w:val="-5"/>
        </w:rPr>
        <w:t> </w:t>
      </w:r>
      <w:r>
        <w:rPr/>
        <w:t>the</w:t>
      </w:r>
      <w:r>
        <w:rPr>
          <w:spacing w:val="-6"/>
        </w:rPr>
        <w:t> </w:t>
      </w:r>
      <w:r>
        <w:rPr>
          <w:i/>
        </w:rPr>
        <w:t>Puerto</w:t>
      </w:r>
      <w:r>
        <w:rPr>
          <w:i/>
          <w:spacing w:val="-5"/>
        </w:rPr>
        <w:t> </w:t>
      </w:r>
      <w:r>
        <w:rPr>
          <w:i/>
        </w:rPr>
        <w:t>Rico</w:t>
      </w:r>
      <w:r>
        <w:rPr>
          <w:i/>
          <w:spacing w:val="-5"/>
        </w:rPr>
        <w:t> </w:t>
      </w:r>
      <w:r>
        <w:rPr>
          <w:i/>
        </w:rPr>
        <w:t>–</w:t>
      </w:r>
      <w:r>
        <w:rPr>
          <w:i/>
          <w:spacing w:val="-5"/>
        </w:rPr>
        <w:t> </w:t>
      </w:r>
      <w:r>
        <w:rPr>
          <w:i/>
        </w:rPr>
        <w:t>HHS</w:t>
      </w:r>
      <w:r>
        <w:rPr>
          <w:i/>
          <w:spacing w:val="-5"/>
        </w:rPr>
        <w:t> </w:t>
      </w:r>
      <w:r>
        <w:rPr>
          <w:i/>
        </w:rPr>
        <w:t>Technical</w:t>
      </w:r>
      <w:r>
        <w:rPr>
          <w:i/>
          <w:spacing w:val="-4"/>
        </w:rPr>
        <w:t> </w:t>
      </w:r>
      <w:r>
        <w:rPr>
          <w:i/>
        </w:rPr>
        <w:t>Joint</w:t>
      </w:r>
      <w:r>
        <w:rPr>
          <w:i/>
          <w:spacing w:val="-4"/>
        </w:rPr>
        <w:t> </w:t>
      </w:r>
      <w:r>
        <w:rPr>
          <w:i/>
        </w:rPr>
        <w:t>Work</w:t>
      </w:r>
      <w:r>
        <w:rPr>
          <w:i/>
          <w:spacing w:val="-6"/>
        </w:rPr>
        <w:t> </w:t>
      </w:r>
      <w:r>
        <w:rPr>
          <w:i/>
        </w:rPr>
        <w:t>Group</w:t>
      </w:r>
      <w:r>
        <w:rPr>
          <w:i/>
          <w:spacing w:val="-5"/>
        </w:rPr>
        <w:t> </w:t>
      </w:r>
      <w:r>
        <w:rPr/>
        <w:t>to</w:t>
      </w:r>
      <w:r>
        <w:rPr>
          <w:spacing w:val="-5"/>
        </w:rPr>
        <w:t> </w:t>
      </w:r>
      <w:r>
        <w:rPr/>
        <w:t>generate a</w:t>
      </w:r>
      <w:r>
        <w:rPr>
          <w:spacing w:val="-2"/>
        </w:rPr>
        <w:t> </w:t>
      </w:r>
      <w:r>
        <w:rPr/>
        <w:t>process</w:t>
      </w:r>
      <w:r>
        <w:rPr>
          <w:spacing w:val="-3"/>
        </w:rPr>
        <w:t> </w:t>
      </w:r>
      <w:r>
        <w:rPr/>
        <w:t>that</w:t>
      </w:r>
      <w:r>
        <w:rPr>
          <w:spacing w:val="-5"/>
        </w:rPr>
        <w:t> </w:t>
      </w:r>
      <w:r>
        <w:rPr/>
        <w:t>can</w:t>
      </w:r>
      <w:r>
        <w:rPr>
          <w:spacing w:val="-1"/>
        </w:rPr>
        <w:t> </w:t>
      </w:r>
      <w:r>
        <w:rPr/>
        <w:t>actively</w:t>
      </w:r>
      <w:r>
        <w:rPr>
          <w:spacing w:val="-6"/>
        </w:rPr>
        <w:t> </w:t>
      </w:r>
      <w:r>
        <w:rPr/>
        <w:t>address</w:t>
      </w:r>
      <w:r>
        <w:rPr>
          <w:spacing w:val="-3"/>
        </w:rPr>
        <w:t> </w:t>
      </w:r>
      <w:r>
        <w:rPr/>
        <w:t>the</w:t>
      </w:r>
      <w:r>
        <w:rPr>
          <w:spacing w:val="-7"/>
        </w:rPr>
        <w:t> </w:t>
      </w:r>
      <w:r>
        <w:rPr/>
        <w:t>federal</w:t>
      </w:r>
      <w:r>
        <w:rPr>
          <w:spacing w:val="-5"/>
        </w:rPr>
        <w:t> </w:t>
      </w:r>
      <w:r>
        <w:rPr/>
        <w:t>healthcare</w:t>
      </w:r>
      <w:r>
        <w:rPr>
          <w:spacing w:val="-2"/>
        </w:rPr>
        <w:t> </w:t>
      </w:r>
      <w:r>
        <w:rPr/>
        <w:t>policy</w:t>
      </w:r>
      <w:r>
        <w:rPr>
          <w:spacing w:val="-6"/>
        </w:rPr>
        <w:t> </w:t>
      </w:r>
      <w:r>
        <w:rPr/>
        <w:t>anomalies</w:t>
      </w:r>
      <w:r>
        <w:rPr>
          <w:spacing w:val="-3"/>
        </w:rPr>
        <w:t> </w:t>
      </w:r>
      <w:r>
        <w:rPr/>
        <w:t>and</w:t>
      </w:r>
      <w:r>
        <w:rPr>
          <w:spacing w:val="-6"/>
        </w:rPr>
        <w:t> </w:t>
      </w:r>
      <w:r>
        <w:rPr/>
        <w:t>propose</w:t>
      </w:r>
      <w:r>
        <w:rPr>
          <w:spacing w:val="-7"/>
        </w:rPr>
        <w:t> </w:t>
      </w:r>
      <w:r>
        <w:rPr/>
        <w:t>actionable policy solutions. This is an initiative that has been implemented directly by your office in the</w:t>
      </w:r>
      <w:r>
        <w:rPr>
          <w:spacing w:val="-42"/>
        </w:rPr>
        <w:t> </w:t>
      </w:r>
      <w:r>
        <w:rPr/>
        <w:t>past would periodically bring together top HHS officials with a small group of Puerto Rico public officials and key private sector subject matter experts, to discuss issues critical to the</w:t>
      </w:r>
      <w:r>
        <w:rPr>
          <w:spacing w:val="-33"/>
        </w:rPr>
        <w:t> </w:t>
      </w:r>
      <w:r>
        <w:rPr/>
        <w:t>island.</w:t>
      </w:r>
    </w:p>
    <w:p>
      <w:pPr>
        <w:pStyle w:val="BodyText"/>
      </w:pPr>
    </w:p>
    <w:p>
      <w:pPr>
        <w:pStyle w:val="BodyText"/>
        <w:ind w:left="1440" w:right="1432"/>
        <w:jc w:val="both"/>
      </w:pPr>
      <w:r>
        <w:rPr/>
        <w:t>We have a unique window of opportunity this year to improve public policies that can set a new healthcare foundation for Puerto Rico’s future. For all the pain and misery that Hurricane Maria brought to the U.S. citizens </w:t>
      </w:r>
      <w:r>
        <w:rPr>
          <w:spacing w:val="-3"/>
        </w:rPr>
        <w:t>of </w:t>
      </w:r>
      <w:r>
        <w:rPr/>
        <w:t>Puerto Rico, it has also granted us a chance to rebuild our society on</w:t>
      </w:r>
      <w:r>
        <w:rPr>
          <w:spacing w:val="-15"/>
        </w:rPr>
        <w:t> </w:t>
      </w:r>
      <w:r>
        <w:rPr/>
        <w:t>the</w:t>
      </w:r>
      <w:r>
        <w:rPr>
          <w:spacing w:val="-16"/>
        </w:rPr>
        <w:t> </w:t>
      </w:r>
      <w:r>
        <w:rPr/>
        <w:t>island.</w:t>
      </w:r>
      <w:r>
        <w:rPr>
          <w:spacing w:val="-13"/>
        </w:rPr>
        <w:t> </w:t>
      </w:r>
      <w:r>
        <w:rPr/>
        <w:t>For</w:t>
      </w:r>
      <w:r>
        <w:rPr>
          <w:spacing w:val="-14"/>
        </w:rPr>
        <w:t> </w:t>
      </w:r>
      <w:r>
        <w:rPr/>
        <w:t>Puerto</w:t>
      </w:r>
      <w:r>
        <w:rPr>
          <w:spacing w:val="-20"/>
        </w:rPr>
        <w:t> </w:t>
      </w:r>
      <w:r>
        <w:rPr/>
        <w:t>Rico</w:t>
      </w:r>
      <w:r>
        <w:rPr>
          <w:spacing w:val="-15"/>
        </w:rPr>
        <w:t> </w:t>
      </w:r>
      <w:r>
        <w:rPr/>
        <w:t>to</w:t>
      </w:r>
      <w:r>
        <w:rPr>
          <w:spacing w:val="-15"/>
        </w:rPr>
        <w:t> </w:t>
      </w:r>
      <w:r>
        <w:rPr/>
        <w:t>fully</w:t>
      </w:r>
      <w:r>
        <w:rPr>
          <w:spacing w:val="-15"/>
        </w:rPr>
        <w:t> </w:t>
      </w:r>
      <w:r>
        <w:rPr/>
        <w:t>recover</w:t>
      </w:r>
      <w:r>
        <w:rPr>
          <w:spacing w:val="-14"/>
        </w:rPr>
        <w:t> </w:t>
      </w:r>
      <w:r>
        <w:rPr/>
        <w:t>and</w:t>
      </w:r>
      <w:r>
        <w:rPr>
          <w:spacing w:val="-20"/>
        </w:rPr>
        <w:t> </w:t>
      </w:r>
      <w:r>
        <w:rPr/>
        <w:t>rebuild,</w:t>
      </w:r>
      <w:r>
        <w:rPr>
          <w:spacing w:val="-13"/>
        </w:rPr>
        <w:t> </w:t>
      </w:r>
      <w:r>
        <w:rPr/>
        <w:t>a</w:t>
      </w:r>
      <w:r>
        <w:rPr>
          <w:spacing w:val="-16"/>
        </w:rPr>
        <w:t> </w:t>
      </w:r>
      <w:r>
        <w:rPr/>
        <w:t>strong,</w:t>
      </w:r>
      <w:r>
        <w:rPr>
          <w:spacing w:val="-13"/>
        </w:rPr>
        <w:t> </w:t>
      </w:r>
      <w:r>
        <w:rPr/>
        <w:t>reliable</w:t>
      </w:r>
      <w:r>
        <w:rPr>
          <w:spacing w:val="-16"/>
        </w:rPr>
        <w:t> </w:t>
      </w:r>
      <w:r>
        <w:rPr/>
        <w:t>and</w:t>
      </w:r>
      <w:r>
        <w:rPr>
          <w:spacing w:val="-20"/>
        </w:rPr>
        <w:t> </w:t>
      </w:r>
      <w:r>
        <w:rPr/>
        <w:t>resilient</w:t>
      </w:r>
      <w:r>
        <w:rPr>
          <w:spacing w:val="-15"/>
        </w:rPr>
        <w:t> </w:t>
      </w:r>
      <w:r>
        <w:rPr/>
        <w:t>healthcare system must be part of the equation. I look forward to working with you and your team at HSS toward that</w:t>
      </w:r>
      <w:r>
        <w:rPr>
          <w:spacing w:val="-4"/>
        </w:rPr>
        <w:t> </w:t>
      </w:r>
      <w:r>
        <w:rPr/>
        <w:t>goal.</w:t>
      </w:r>
    </w:p>
    <w:p>
      <w:pPr>
        <w:pStyle w:val="BodyText"/>
        <w:rPr>
          <w:sz w:val="26"/>
        </w:rPr>
      </w:pPr>
    </w:p>
    <w:p>
      <w:pPr>
        <w:spacing w:before="226"/>
        <w:ind w:left="1440" w:right="0" w:firstLine="0"/>
        <w:jc w:val="both"/>
        <w:rPr>
          <w:sz w:val="21"/>
        </w:rPr>
      </w:pPr>
      <w:r>
        <w:rPr/>
        <w:drawing>
          <wp:anchor distT="0" distB="0" distL="0" distR="0" allowOverlap="1" layoutInCell="1" locked="0" behindDoc="1" simplePos="0" relativeHeight="268432559">
            <wp:simplePos x="0" y="0"/>
            <wp:positionH relativeFrom="page">
              <wp:posOffset>693988</wp:posOffset>
            </wp:positionH>
            <wp:positionV relativeFrom="paragraph">
              <wp:posOffset>430832</wp:posOffset>
            </wp:positionV>
            <wp:extent cx="1540537" cy="29210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540537" cy="292100"/>
                    </a:xfrm>
                    <a:prstGeom prst="rect">
                      <a:avLst/>
                    </a:prstGeom>
                  </pic:spPr>
                </pic:pic>
              </a:graphicData>
            </a:graphic>
          </wp:anchor>
        </w:drawing>
      </w:r>
      <w:r>
        <w:rPr>
          <w:sz w:val="21"/>
        </w:rPr>
        <w:t>Sincerely,</w:t>
      </w:r>
    </w:p>
    <w:p>
      <w:pPr>
        <w:pStyle w:val="BodyText"/>
        <w:rPr>
          <w:sz w:val="22"/>
        </w:rPr>
      </w:pPr>
    </w:p>
    <w:p>
      <w:pPr>
        <w:pStyle w:val="BodyText"/>
        <w:rPr>
          <w:sz w:val="22"/>
        </w:rPr>
      </w:pPr>
    </w:p>
    <w:p>
      <w:pPr>
        <w:spacing w:line="242" w:lineRule="auto" w:before="131"/>
        <w:ind w:left="1440" w:right="9339" w:firstLine="0"/>
        <w:jc w:val="left"/>
        <w:rPr>
          <w:sz w:val="21"/>
        </w:rPr>
      </w:pPr>
      <w:r>
        <w:rPr>
          <w:sz w:val="21"/>
        </w:rPr>
        <w:t>Ricardo Rosselló Governor</w:t>
      </w:r>
    </w:p>
    <w:sectPr>
      <w:pgSz w:w="12240" w:h="15840"/>
      <w:pgMar w:header="4" w:footer="872" w:top="1860" w:bottom="10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559">
          <wp:simplePos x="0" y="0"/>
          <wp:positionH relativeFrom="page">
            <wp:posOffset>12700</wp:posOffset>
          </wp:positionH>
          <wp:positionV relativeFrom="page">
            <wp:posOffset>9377678</wp:posOffset>
          </wp:positionV>
          <wp:extent cx="7759699" cy="680721"/>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535">
          <wp:simplePos x="0" y="0"/>
          <wp:positionH relativeFrom="page">
            <wp:posOffset>15239</wp:posOffset>
          </wp:positionH>
          <wp:positionV relativeFrom="page">
            <wp:posOffset>2538</wp:posOffset>
          </wp:positionV>
          <wp:extent cx="7757160" cy="118364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60" w:hanging="360"/>
      </w:pPr>
      <w:rPr>
        <w:rFonts w:hint="default" w:ascii="Symbol" w:hAnsi="Symbol" w:eastAsia="Symbol" w:cs="Symbol"/>
        <w:w w:val="100"/>
        <w:sz w:val="22"/>
        <w:szCs w:val="22"/>
      </w:rPr>
    </w:lvl>
    <w:lvl w:ilvl="1">
      <w:start w:val="0"/>
      <w:numFmt w:val="bullet"/>
      <w:lvlText w:val="•"/>
      <w:lvlJc w:val="left"/>
      <w:pPr>
        <w:ind w:left="3168" w:hanging="360"/>
      </w:pPr>
      <w:rPr>
        <w:rFonts w:hint="default"/>
      </w:rPr>
    </w:lvl>
    <w:lvl w:ilvl="2">
      <w:start w:val="0"/>
      <w:numFmt w:val="bullet"/>
      <w:lvlText w:val="•"/>
      <w:lvlJc w:val="left"/>
      <w:pPr>
        <w:ind w:left="4176" w:hanging="360"/>
      </w:pPr>
      <w:rPr>
        <w:rFonts w:hint="default"/>
      </w:rPr>
    </w:lvl>
    <w:lvl w:ilvl="3">
      <w:start w:val="0"/>
      <w:numFmt w:val="bullet"/>
      <w:lvlText w:val="•"/>
      <w:lvlJc w:val="left"/>
      <w:pPr>
        <w:ind w:left="5184" w:hanging="360"/>
      </w:pPr>
      <w:rPr>
        <w:rFonts w:hint="default"/>
      </w:rPr>
    </w:lvl>
    <w:lvl w:ilvl="4">
      <w:start w:val="0"/>
      <w:numFmt w:val="bullet"/>
      <w:lvlText w:val="•"/>
      <w:lvlJc w:val="left"/>
      <w:pPr>
        <w:ind w:left="6192" w:hanging="360"/>
      </w:pPr>
      <w:rPr>
        <w:rFonts w:hint="default"/>
      </w:rPr>
    </w:lvl>
    <w:lvl w:ilvl="5">
      <w:start w:val="0"/>
      <w:numFmt w:val="bullet"/>
      <w:lvlText w:val="•"/>
      <w:lvlJc w:val="left"/>
      <w:pPr>
        <w:ind w:left="7200" w:hanging="360"/>
      </w:pPr>
      <w:rPr>
        <w:rFonts w:hint="default"/>
      </w:rPr>
    </w:lvl>
    <w:lvl w:ilvl="6">
      <w:start w:val="0"/>
      <w:numFmt w:val="bullet"/>
      <w:lvlText w:val="•"/>
      <w:lvlJc w:val="left"/>
      <w:pPr>
        <w:ind w:left="8208" w:hanging="360"/>
      </w:pPr>
      <w:rPr>
        <w:rFonts w:hint="default"/>
      </w:rPr>
    </w:lvl>
    <w:lvl w:ilvl="7">
      <w:start w:val="0"/>
      <w:numFmt w:val="bullet"/>
      <w:lvlText w:val="•"/>
      <w:lvlJc w:val="left"/>
      <w:pPr>
        <w:ind w:left="9216" w:hanging="360"/>
      </w:pPr>
      <w:rPr>
        <w:rFonts w:hint="default"/>
      </w:rPr>
    </w:lvl>
    <w:lvl w:ilvl="8">
      <w:start w:val="0"/>
      <w:numFmt w:val="bullet"/>
      <w:lvlText w:val="•"/>
      <w:lvlJc w:val="left"/>
      <w:pPr>
        <w:ind w:left="1022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2160" w:right="143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dcterms:created xsi:type="dcterms:W3CDTF">2018-06-12T23:39:30Z</dcterms:created>
  <dcterms:modified xsi:type="dcterms:W3CDTF">2018-06-12T23:39:30Z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