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6FB41" w14:textId="77777777" w:rsidR="008A0A93" w:rsidRDefault="008A0A93" w:rsidP="00A44EC8">
      <w:pPr>
        <w:rPr>
          <w:rFonts w:ascii="Times New Roman" w:hAnsi="Times New Roman" w:cs="Times New Roman"/>
        </w:rPr>
      </w:pPr>
    </w:p>
    <w:p w14:paraId="3571D12B" w14:textId="77777777" w:rsidR="008A0A93" w:rsidRDefault="008A0A93" w:rsidP="00A44EC8">
      <w:pPr>
        <w:rPr>
          <w:rFonts w:ascii="Times New Roman" w:hAnsi="Times New Roman" w:cs="Times New Roman"/>
        </w:rPr>
      </w:pPr>
    </w:p>
    <w:p w14:paraId="0F422B88" w14:textId="77777777" w:rsidR="006710BB" w:rsidRPr="00B93E22" w:rsidRDefault="001E06B2" w:rsidP="00A44EC8">
      <w:pPr>
        <w:rPr>
          <w:rFonts w:ascii="Times New Roman" w:hAnsi="Times New Roman" w:cs="Times New Roman"/>
          <w:sz w:val="24"/>
          <w:szCs w:val="24"/>
        </w:rPr>
      </w:pPr>
      <w:r w:rsidRPr="00B93E22">
        <w:rPr>
          <w:rFonts w:ascii="Times New Roman" w:hAnsi="Times New Roman" w:cs="Times New Roman"/>
          <w:sz w:val="24"/>
          <w:szCs w:val="24"/>
        </w:rPr>
        <w:t xml:space="preserve">Submitted via e-mail to: </w:t>
      </w:r>
      <w:hyperlink r:id="rId8" w:history="1">
        <w:r w:rsidR="003116DC" w:rsidRPr="00B93E22">
          <w:rPr>
            <w:rStyle w:val="Hyperlink"/>
            <w:rFonts w:ascii="Times New Roman" w:hAnsi="Times New Roman" w:cs="Times New Roman"/>
            <w:sz w:val="24"/>
            <w:szCs w:val="24"/>
          </w:rPr>
          <w:t>AdvanceNotice2019@cms.hhs.gov</w:t>
        </w:r>
      </w:hyperlink>
      <w:r w:rsidRPr="00B93E22">
        <w:rPr>
          <w:rFonts w:ascii="Times New Roman" w:hAnsi="Times New Roman" w:cs="Times New Roman"/>
          <w:sz w:val="24"/>
          <w:szCs w:val="24"/>
        </w:rPr>
        <w:t xml:space="preserve">. </w:t>
      </w:r>
    </w:p>
    <w:p w14:paraId="788CAA4A" w14:textId="77777777" w:rsidR="006710BB" w:rsidRPr="00B93E22" w:rsidRDefault="006710BB" w:rsidP="00A44EC8">
      <w:pPr>
        <w:rPr>
          <w:rFonts w:ascii="Times New Roman" w:hAnsi="Times New Roman" w:cs="Times New Roman"/>
          <w:b/>
          <w:bCs/>
          <w:sz w:val="24"/>
          <w:szCs w:val="24"/>
        </w:rPr>
      </w:pPr>
      <w:r w:rsidRPr="00B93E22">
        <w:rPr>
          <w:rFonts w:ascii="Times New Roman" w:hAnsi="Times New Roman" w:cs="Times New Roman"/>
          <w:b/>
          <w:sz w:val="24"/>
          <w:szCs w:val="24"/>
        </w:rPr>
        <w:t xml:space="preserve">Re:  </w:t>
      </w:r>
      <w:r w:rsidRPr="00B93E22">
        <w:rPr>
          <w:rFonts w:ascii="Times New Roman" w:hAnsi="Times New Roman" w:cs="Times New Roman"/>
          <w:b/>
          <w:bCs/>
          <w:sz w:val="24"/>
          <w:szCs w:val="24"/>
        </w:rPr>
        <w:t>Advance Notice of Methodological Changes for Calendar Year (CY)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for Medicare Advantage (MA) Capitation Rates, Part C and Part D Payment Policies and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Call Letter</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Draft Call Letter</w:t>
      </w:r>
      <w:r w:rsidRPr="00B93E22">
        <w:rPr>
          <w:rFonts w:ascii="Times New Roman" w:hAnsi="Times New Roman" w:cs="Times New Roman"/>
          <w:b/>
          <w:bCs/>
          <w:sz w:val="24"/>
          <w:szCs w:val="24"/>
        </w:rPr>
        <w:t>”)</w:t>
      </w:r>
    </w:p>
    <w:p w14:paraId="476DC754" w14:textId="77777777" w:rsidR="000E707D" w:rsidRPr="00B93E22" w:rsidRDefault="00386DF4" w:rsidP="003116DC">
      <w:pPr>
        <w:pStyle w:val="Default"/>
      </w:pPr>
      <w:r w:rsidRPr="00B93E22">
        <w:t xml:space="preserve">On behalf of </w:t>
      </w:r>
      <w:r w:rsidR="00D61E7A" w:rsidRPr="00B93E22">
        <w:t>the Regulatory Relief Coalition, including the undersigned profess</w:t>
      </w:r>
      <w:r w:rsidR="000E707D" w:rsidRPr="00B93E22">
        <w:t>ional organizations,</w:t>
      </w:r>
      <w:r w:rsidRPr="00B93E22">
        <w:t xml:space="preserve"> we are pleased to have this opportunity to comment on the</w:t>
      </w:r>
      <w:r w:rsidRPr="00B93E22">
        <w:rPr>
          <w:b/>
          <w:bCs/>
        </w:rPr>
        <w:t xml:space="preserve"> </w:t>
      </w:r>
      <w:r w:rsidR="00042B32" w:rsidRPr="00B93E22">
        <w:rPr>
          <w:bCs/>
        </w:rPr>
        <w:t>Draft Call Letter</w:t>
      </w:r>
      <w:r w:rsidR="000E707D" w:rsidRPr="00B93E22">
        <w:rPr>
          <w:bCs/>
        </w:rPr>
        <w:t xml:space="preserve">.  Our comments focus on </w:t>
      </w:r>
      <w:r w:rsidR="00F14B1E" w:rsidRPr="00B93E22">
        <w:rPr>
          <w:bCs/>
        </w:rPr>
        <w:t xml:space="preserve">MAOs’ growing use of </w:t>
      </w:r>
      <w:r w:rsidR="00F14B1E" w:rsidRPr="00B93E22">
        <w:t xml:space="preserve">prior authorization (PA) requirements </w:t>
      </w:r>
      <w:r w:rsidR="000E707D" w:rsidRPr="00B93E22">
        <w:t xml:space="preserve">as a precondition of coverage of </w:t>
      </w:r>
      <w:r w:rsidR="00F14B1E" w:rsidRPr="00B93E22">
        <w:t xml:space="preserve">Part B services, including a wide range of physicians’ services.  </w:t>
      </w:r>
    </w:p>
    <w:p w14:paraId="5984B176" w14:textId="77777777" w:rsidR="000E707D" w:rsidRPr="00B93E22" w:rsidRDefault="000E707D" w:rsidP="003116DC">
      <w:pPr>
        <w:pStyle w:val="Default"/>
      </w:pPr>
    </w:p>
    <w:p w14:paraId="5298F4CD" w14:textId="77777777" w:rsidR="003116DC" w:rsidRPr="00B93E22" w:rsidRDefault="000E707D" w:rsidP="003116DC">
      <w:pPr>
        <w:pStyle w:val="Default"/>
        <w:rPr>
          <w:bCs/>
        </w:rPr>
      </w:pPr>
      <w:r w:rsidRPr="00B93E22">
        <w:t xml:space="preserve">The Draft Call Letter explicitly </w:t>
      </w:r>
      <w:r w:rsidR="00F14B1E" w:rsidRPr="00B93E22">
        <w:t xml:space="preserve">recognizes the need for </w:t>
      </w:r>
      <w:r w:rsidRPr="00B93E22">
        <w:t xml:space="preserve">MAOs to make PA processes and requirements </w:t>
      </w:r>
      <w:r w:rsidR="00F14B1E" w:rsidRPr="00B93E22">
        <w:t>transparen</w:t>
      </w:r>
      <w:r w:rsidRPr="00B93E22">
        <w:t xml:space="preserve">t </w:t>
      </w:r>
      <w:r w:rsidR="00F14B1E" w:rsidRPr="00B93E22">
        <w:t xml:space="preserve">and </w:t>
      </w:r>
      <w:r w:rsidRPr="00B93E22">
        <w:t xml:space="preserve">to adhere to </w:t>
      </w:r>
      <w:r w:rsidR="00F14B1E" w:rsidRPr="00B93E22">
        <w:t xml:space="preserve">regulatory </w:t>
      </w:r>
      <w:r w:rsidRPr="00B93E22">
        <w:t xml:space="preserve">timeframes and </w:t>
      </w:r>
      <w:r w:rsidR="00F14B1E" w:rsidRPr="00B93E22">
        <w:t>appeal procedures</w:t>
      </w:r>
      <w:r w:rsidRPr="00B93E22">
        <w:t xml:space="preserve">. We </w:t>
      </w:r>
      <w:r w:rsidR="00E17C8B" w:rsidRPr="00B93E22">
        <w:t>applaud CMS for including these provisions in the Draft Call Letter: The</w:t>
      </w:r>
      <w:r w:rsidR="00FA1757" w:rsidRPr="00B93E22">
        <w:t>se provisions</w:t>
      </w:r>
      <w:r w:rsidR="00F14B1E" w:rsidRPr="00B93E22">
        <w:t xml:space="preserve"> </w:t>
      </w:r>
      <w:r w:rsidR="003116DC" w:rsidRPr="00B93E22">
        <w:rPr>
          <w:bCs/>
        </w:rPr>
        <w:t xml:space="preserve">lay the groundwork for a comprehensive approach to </w:t>
      </w:r>
      <w:r w:rsidR="00FA1757" w:rsidRPr="00B93E22">
        <w:rPr>
          <w:bCs/>
        </w:rPr>
        <w:t>PA-related</w:t>
      </w:r>
      <w:r w:rsidR="003116DC" w:rsidRPr="00B93E22">
        <w:rPr>
          <w:bCs/>
        </w:rPr>
        <w:t xml:space="preserve"> issue</w:t>
      </w:r>
      <w:r w:rsidR="00286A2A" w:rsidRPr="00B93E22">
        <w:rPr>
          <w:bCs/>
        </w:rPr>
        <w:t>s</w:t>
      </w:r>
      <w:r w:rsidR="003116DC" w:rsidRPr="00B93E22">
        <w:rPr>
          <w:bCs/>
        </w:rPr>
        <w:t xml:space="preserve"> and </w:t>
      </w:r>
      <w:r w:rsidR="00FA1757" w:rsidRPr="00B93E22">
        <w:rPr>
          <w:bCs/>
        </w:rPr>
        <w:t xml:space="preserve">constitute </w:t>
      </w:r>
      <w:r w:rsidR="003116DC" w:rsidRPr="00B93E22">
        <w:rPr>
          <w:bCs/>
        </w:rPr>
        <w:t>a</w:t>
      </w:r>
      <w:r w:rsidR="00FA1757" w:rsidRPr="00B93E22">
        <w:rPr>
          <w:bCs/>
        </w:rPr>
        <w:t xml:space="preserve"> </w:t>
      </w:r>
      <w:r w:rsidR="003116DC" w:rsidRPr="00B93E22">
        <w:rPr>
          <w:bCs/>
        </w:rPr>
        <w:t xml:space="preserve">strong start for CMS efforts in this area. </w:t>
      </w:r>
    </w:p>
    <w:p w14:paraId="50F43CC1" w14:textId="77777777" w:rsidR="009D3B0B" w:rsidRPr="00B93E22" w:rsidRDefault="009D3B0B" w:rsidP="003116DC">
      <w:pPr>
        <w:pStyle w:val="Default"/>
        <w:rPr>
          <w:bCs/>
        </w:rPr>
      </w:pPr>
    </w:p>
    <w:p w14:paraId="44CBA19D" w14:textId="18B737F1" w:rsidR="00FA1757" w:rsidRPr="00B93E22" w:rsidRDefault="00D4329B" w:rsidP="003116DC">
      <w:pPr>
        <w:pStyle w:val="Default"/>
        <w:rPr>
          <w:bCs/>
          <w:color w:val="auto"/>
        </w:rPr>
      </w:pPr>
      <w:r w:rsidRPr="00B93E22">
        <w:rPr>
          <w:bCs/>
        </w:rPr>
        <w:t xml:space="preserve">CMS’ focus on the burdens posted by PA is extremely timely. </w:t>
      </w:r>
      <w:r w:rsidR="009D3B0B" w:rsidRPr="00B93E22">
        <w:rPr>
          <w:color w:val="auto"/>
        </w:rPr>
        <w:t xml:space="preserve">Notably, associations representing </w:t>
      </w:r>
      <w:r w:rsidR="00FA1757" w:rsidRPr="00B93E22">
        <w:rPr>
          <w:color w:val="auto"/>
        </w:rPr>
        <w:t xml:space="preserve">health </w:t>
      </w:r>
      <w:r w:rsidR="009D3B0B" w:rsidRPr="00B93E22">
        <w:rPr>
          <w:color w:val="auto"/>
        </w:rPr>
        <w:t xml:space="preserve">plans, including the Association of Health Insurance Plans (AHIP) and Blue Cross/Blue Shield Association (BC/BS) themselves </w:t>
      </w:r>
      <w:r w:rsidR="00FA1757" w:rsidRPr="00B93E22">
        <w:rPr>
          <w:color w:val="auto"/>
        </w:rPr>
        <w:t xml:space="preserve">recently </w:t>
      </w:r>
      <w:r w:rsidR="009D3B0B" w:rsidRPr="00B93E22">
        <w:rPr>
          <w:color w:val="auto"/>
        </w:rPr>
        <w:t>recognized the need to streamline and simplify prior authorization processes</w:t>
      </w:r>
      <w:r w:rsidR="00FA1757" w:rsidRPr="00B93E22">
        <w:rPr>
          <w:color w:val="auto"/>
        </w:rPr>
        <w:t xml:space="preserve">.  These associations, along with a number of provider groups, have </w:t>
      </w:r>
      <w:r w:rsidR="00713387" w:rsidRPr="00B93E22">
        <w:rPr>
          <w:color w:val="auto"/>
        </w:rPr>
        <w:t>started</w:t>
      </w:r>
      <w:r w:rsidR="009D3B0B" w:rsidRPr="00B93E22">
        <w:rPr>
          <w:color w:val="auto"/>
        </w:rPr>
        <w:t xml:space="preserve"> by adopting the </w:t>
      </w:r>
      <w:r w:rsidR="009D3B0B" w:rsidRPr="00B93E22">
        <w:rPr>
          <w:b/>
          <w:bCs/>
          <w:color w:val="auto"/>
        </w:rPr>
        <w:t>Consensus Statement on Improving the Prior Authorization Process</w:t>
      </w:r>
      <w:r w:rsidR="009D3B0B" w:rsidRPr="00B93E22">
        <w:rPr>
          <w:rStyle w:val="FootnoteReference"/>
          <w:b/>
          <w:bCs/>
          <w:color w:val="auto"/>
        </w:rPr>
        <w:footnoteReference w:id="1"/>
      </w:r>
      <w:r w:rsidR="00E17C8B" w:rsidRPr="00B93E22">
        <w:rPr>
          <w:b/>
          <w:bCs/>
          <w:color w:val="auto"/>
        </w:rPr>
        <w:t xml:space="preserve"> </w:t>
      </w:r>
      <w:r w:rsidR="00E17C8B" w:rsidRPr="00B93E22">
        <w:rPr>
          <w:bCs/>
          <w:color w:val="auto"/>
        </w:rPr>
        <w:t xml:space="preserve">which sets forth a number of principles </w:t>
      </w:r>
      <w:r w:rsidR="00FA1757" w:rsidRPr="00B93E22">
        <w:rPr>
          <w:bCs/>
          <w:color w:val="auto"/>
        </w:rPr>
        <w:t xml:space="preserve">for the design and implementation of PA programs.  </w:t>
      </w:r>
    </w:p>
    <w:p w14:paraId="5303D448" w14:textId="54A1908E" w:rsidR="00D4329B" w:rsidRPr="00B93E22" w:rsidRDefault="009D3B0B" w:rsidP="003116DC">
      <w:pPr>
        <w:pStyle w:val="Default"/>
        <w:rPr>
          <w:bCs/>
          <w:color w:val="auto"/>
        </w:rPr>
      </w:pPr>
      <w:r w:rsidRPr="00B93E22">
        <w:rPr>
          <w:color w:val="auto"/>
        </w:rPr>
        <w:t xml:space="preserve">We believe that CMS has </w:t>
      </w:r>
      <w:r w:rsidR="00E17C8B" w:rsidRPr="00B93E22">
        <w:rPr>
          <w:color w:val="auto"/>
        </w:rPr>
        <w:t xml:space="preserve">the potential to play </w:t>
      </w:r>
      <w:r w:rsidRPr="00B93E22">
        <w:rPr>
          <w:color w:val="auto"/>
        </w:rPr>
        <w:t xml:space="preserve">a critical role in </w:t>
      </w:r>
      <w:r w:rsidR="00FA1757" w:rsidRPr="00B93E22">
        <w:rPr>
          <w:color w:val="auto"/>
        </w:rPr>
        <w:t xml:space="preserve">ensuring that these principles become the industry standard, ultimately benefiting patients, providers and health plans alike. </w:t>
      </w:r>
      <w:r w:rsidRPr="00B93E22">
        <w:rPr>
          <w:color w:val="0000FF"/>
          <w:u w:val="single"/>
        </w:rPr>
        <w:t xml:space="preserve"> </w:t>
      </w:r>
      <w:r w:rsidR="00FA1757" w:rsidRPr="00B93E22">
        <w:rPr>
          <w:color w:val="auto"/>
        </w:rPr>
        <w:t xml:space="preserve">Our recommendations regarding the Draft Call Letter set forth below are consistent with the principles endorsed by the </w:t>
      </w:r>
      <w:r w:rsidR="00053C09" w:rsidRPr="00B93E22">
        <w:rPr>
          <w:color w:val="auto"/>
        </w:rPr>
        <w:t xml:space="preserve">associations representing the </w:t>
      </w:r>
      <w:r w:rsidR="00FA1757" w:rsidRPr="00B93E22">
        <w:rPr>
          <w:color w:val="auto"/>
        </w:rPr>
        <w:t>managed care industry in th</w:t>
      </w:r>
      <w:r w:rsidR="00286A2A" w:rsidRPr="00B93E22">
        <w:rPr>
          <w:color w:val="auto"/>
        </w:rPr>
        <w:t xml:space="preserve">e Consensus </w:t>
      </w:r>
      <w:r w:rsidR="00FA1757" w:rsidRPr="00B93E22">
        <w:rPr>
          <w:color w:val="auto"/>
        </w:rPr>
        <w:t xml:space="preserve">Statement. </w:t>
      </w:r>
    </w:p>
    <w:p w14:paraId="54F3BC99" w14:textId="77777777" w:rsidR="00913FE3" w:rsidRPr="00B93E22" w:rsidRDefault="00913FE3" w:rsidP="003116DC">
      <w:pPr>
        <w:pStyle w:val="Default"/>
      </w:pPr>
    </w:p>
    <w:p w14:paraId="25972FBF" w14:textId="73334751" w:rsidR="00913FE3" w:rsidRPr="00B93E22" w:rsidRDefault="00BD706B" w:rsidP="003116DC">
      <w:pPr>
        <w:pStyle w:val="Default"/>
      </w:pPr>
      <w:r w:rsidRPr="00B93E22">
        <w:t>While we applaud CMS’ commitment to ensure additional transparency and adherence to timelines and other process requirements as described in the Draft Call Letter, we strongly believe that, to ensure that PA restrictions do not pose inappropriate barriers to access, additional complementary action is needed.  The most important of step—the issuance of comprehensive PA guidelines to MAOs—does not appear to fall within the scope of the Draft Call Letter, and we look forward to continued discussions with CMS regarding the issuance of such guidelines. However, in addition to calling for transparency and adherence to “organization determination” regulatory requirements, we urge CMS to address a number of other aspects of the use of PA by MAOs in the final 2019 and subsequent Call Letters</w:t>
      </w:r>
      <w:r w:rsidR="00FA1757" w:rsidRPr="00B93E22">
        <w:t>, as further described below.</w:t>
      </w:r>
      <w:r w:rsidR="00E17C8B" w:rsidRPr="00B93E22">
        <w:t xml:space="preserve"> </w:t>
      </w:r>
      <w:r w:rsidR="00913FE3" w:rsidRPr="00B93E22">
        <w:t xml:space="preserve"> </w:t>
      </w:r>
    </w:p>
    <w:p w14:paraId="0BE2011E" w14:textId="77777777" w:rsidR="00C3433F" w:rsidRPr="00B93E22" w:rsidRDefault="00C3433F" w:rsidP="003116DC">
      <w:pPr>
        <w:pStyle w:val="Default"/>
      </w:pPr>
    </w:p>
    <w:p w14:paraId="785198F6" w14:textId="1143E378" w:rsidR="00C3433F" w:rsidRPr="00B93E22" w:rsidRDefault="00C3433F" w:rsidP="003116DC">
      <w:pPr>
        <w:pStyle w:val="Default"/>
      </w:pPr>
      <w:r w:rsidRPr="00B93E22">
        <w:lastRenderedPageBreak/>
        <w:t xml:space="preserve">All of our comments could be addressed by adding the underscored language </w:t>
      </w:r>
      <w:r w:rsidR="009F7D8A" w:rsidRPr="00B93E22">
        <w:t xml:space="preserve">at the end of </w:t>
      </w:r>
      <w:r w:rsidRPr="00B93E22">
        <w:t>the section of the Draft Call Letter entitled “Transparency and Timeliness with Prior Authorization Processes” (page 193)</w:t>
      </w:r>
      <w:r w:rsidR="009F7D8A" w:rsidRPr="00B93E22">
        <w:t>:</w:t>
      </w:r>
      <w:r w:rsidRPr="00B93E22">
        <w:t xml:space="preserve"> </w:t>
      </w:r>
    </w:p>
    <w:p w14:paraId="7E357A78" w14:textId="77777777" w:rsidR="00C3433F" w:rsidRPr="00B93E22" w:rsidRDefault="00C3433F" w:rsidP="003116DC">
      <w:pPr>
        <w:pStyle w:val="Default"/>
      </w:pPr>
    </w:p>
    <w:p w14:paraId="02B5E974" w14:textId="77777777" w:rsidR="00C3433F" w:rsidRPr="00B93E22" w:rsidRDefault="00C3433F" w:rsidP="008A0A93">
      <w:pPr>
        <w:pStyle w:val="Default"/>
        <w:ind w:left="720" w:firstLine="720"/>
        <w:rPr>
          <w:b/>
          <w:bCs/>
          <w:i/>
          <w:iCs/>
        </w:rPr>
      </w:pPr>
      <w:r w:rsidRPr="00B93E22">
        <w:rPr>
          <w:b/>
          <w:bCs/>
          <w:i/>
          <w:iCs/>
        </w:rPr>
        <w:t xml:space="preserve">Transparency &amp; Timeliness with Prior Authorization Processes </w:t>
      </w:r>
    </w:p>
    <w:p w14:paraId="140CAAE2" w14:textId="77777777" w:rsidR="00B93E22" w:rsidRPr="00B93E22" w:rsidRDefault="00B93E22" w:rsidP="00C3433F">
      <w:pPr>
        <w:pStyle w:val="Default"/>
        <w:rPr>
          <w:i/>
          <w:u w:val="single"/>
        </w:rPr>
      </w:pPr>
    </w:p>
    <w:p w14:paraId="64A84DA5" w14:textId="0B80E452" w:rsidR="00C3433F" w:rsidRPr="00B93E22" w:rsidRDefault="009F7D8A" w:rsidP="008A0A93">
      <w:pPr>
        <w:pStyle w:val="Default"/>
        <w:ind w:left="720"/>
        <w:rPr>
          <w:i/>
          <w:u w:val="single"/>
        </w:rPr>
      </w:pPr>
      <w:r w:rsidRPr="00B93E22">
        <w:rPr>
          <w:i/>
        </w:rPr>
        <w:t xml:space="preserve"> . .</w:t>
      </w:r>
      <w:r w:rsidR="00C3433F" w:rsidRPr="00B93E22">
        <w:rPr>
          <w:i/>
        </w:rPr>
        <w:t xml:space="preserve">. Therefore, these requests are subject to applicable pre-service organization determination adjudication timeframes and notice requirements under the MA regulations, </w:t>
      </w:r>
      <w:r w:rsidR="00C3433F" w:rsidRPr="00B93E22">
        <w:rPr>
          <w:i/>
          <w:u w:val="single"/>
        </w:rPr>
        <w:t xml:space="preserve">and any determination denying payment for the service involved (including </w:t>
      </w:r>
      <w:r w:rsidR="004A5377" w:rsidRPr="00B93E22">
        <w:rPr>
          <w:i/>
          <w:u w:val="single"/>
        </w:rPr>
        <w:t>any denial based on medical necessity, beneficiary eligibility, plan exclusion or other reason</w:t>
      </w:r>
      <w:r w:rsidR="00C3433F" w:rsidRPr="00B93E22">
        <w:rPr>
          <w:i/>
          <w:u w:val="single"/>
        </w:rPr>
        <w:t>) must be made within these timeframes and are subject to the appeals process</w:t>
      </w:r>
      <w:r w:rsidR="00C3433F" w:rsidRPr="00B93E22">
        <w:rPr>
          <w:i/>
        </w:rPr>
        <w:t xml:space="preserve">. </w:t>
      </w:r>
      <w:r w:rsidR="00C3433F" w:rsidRPr="00B93E22">
        <w:rPr>
          <w:i/>
          <w:u w:val="single"/>
        </w:rPr>
        <w:t>See 42 CFR §§422.568 and 422.572.</w:t>
      </w:r>
    </w:p>
    <w:p w14:paraId="15CC73B0" w14:textId="77777777" w:rsidR="009F7D8A" w:rsidRPr="00B93E22" w:rsidRDefault="009F7D8A" w:rsidP="008A0A93">
      <w:pPr>
        <w:pStyle w:val="Default"/>
        <w:ind w:left="720"/>
        <w:rPr>
          <w:i/>
          <w:u w:val="single"/>
        </w:rPr>
      </w:pPr>
    </w:p>
    <w:p w14:paraId="5F7EF709" w14:textId="24D7F4C7" w:rsidR="009F7D8A" w:rsidRPr="00B93E22" w:rsidRDefault="009F7D8A" w:rsidP="008A0A93">
      <w:pPr>
        <w:pStyle w:val="Default"/>
        <w:ind w:left="720"/>
        <w:rPr>
          <w:i/>
        </w:rPr>
      </w:pPr>
      <w:r w:rsidRPr="00B93E22">
        <w:rPr>
          <w:i/>
          <w:u w:val="single"/>
        </w:rPr>
        <w:t xml:space="preserve">Plans are also reminded that Medicare regulations require MAOs to comply with </w:t>
      </w:r>
      <w:r w:rsidRPr="00B93E22">
        <w:rPr>
          <w:i/>
          <w:color w:val="333333"/>
          <w:u w:val="single"/>
          <w:lang w:val="en"/>
        </w:rPr>
        <w:t xml:space="preserve">HIPAA administrative simplification rules set forth at </w:t>
      </w:r>
      <w:hyperlink r:id="rId9" w:tooltip="45" w:history="1">
        <w:r w:rsidRPr="00B93E22">
          <w:rPr>
            <w:i/>
            <w:u w:val="single"/>
            <w:lang w:val="en"/>
          </w:rPr>
          <w:t>45</w:t>
        </w:r>
      </w:hyperlink>
      <w:r w:rsidRPr="00B93E22">
        <w:rPr>
          <w:i/>
          <w:u w:val="single"/>
          <w:lang w:val="en"/>
        </w:rPr>
        <w:t xml:space="preserve"> CFR parts </w:t>
      </w:r>
      <w:hyperlink r:id="rId10" w:tooltip="160" w:history="1">
        <w:r w:rsidRPr="00B93E22">
          <w:rPr>
            <w:i/>
            <w:u w:val="single"/>
            <w:lang w:val="en"/>
          </w:rPr>
          <w:t>160</w:t>
        </w:r>
      </w:hyperlink>
      <w:r w:rsidRPr="00B93E22">
        <w:rPr>
          <w:i/>
          <w:u w:val="single"/>
          <w:lang w:val="en"/>
        </w:rPr>
        <w:t xml:space="preserve">, </w:t>
      </w:r>
      <w:hyperlink r:id="rId11" w:tooltip="162" w:history="1">
        <w:r w:rsidRPr="00B93E22">
          <w:rPr>
            <w:i/>
            <w:u w:val="single"/>
            <w:lang w:val="en"/>
          </w:rPr>
          <w:t>162</w:t>
        </w:r>
      </w:hyperlink>
      <w:r w:rsidRPr="00B93E22">
        <w:rPr>
          <w:i/>
          <w:u w:val="single"/>
          <w:lang w:val="en"/>
        </w:rPr>
        <w:t xml:space="preserve">, and </w:t>
      </w:r>
      <w:hyperlink r:id="rId12" w:tooltip="164." w:history="1">
        <w:r w:rsidRPr="00B93E22">
          <w:rPr>
            <w:i/>
            <w:u w:val="single"/>
            <w:lang w:val="en"/>
          </w:rPr>
          <w:t>164</w:t>
        </w:r>
      </w:hyperlink>
      <w:r w:rsidRPr="00B93E22">
        <w:rPr>
          <w:i/>
          <w:u w:val="single"/>
          <w:lang w:val="en"/>
        </w:rPr>
        <w:t xml:space="preserve">).  </w:t>
      </w:r>
      <w:r w:rsidRPr="00B93E22">
        <w:rPr>
          <w:bCs/>
          <w:i/>
          <w:spacing w:val="-3"/>
          <w:u w:val="single"/>
        </w:rPr>
        <w:t>T</w:t>
      </w:r>
      <w:r w:rsidRPr="00B93E22">
        <w:rPr>
          <w:i/>
          <w:u w:val="single"/>
        </w:rPr>
        <w:t xml:space="preserve">he HIPAA regulations require that all health plans (including but not limited to MAOs) use a particular IT standard format (the </w:t>
      </w:r>
      <w:r w:rsidRPr="00B93E22">
        <w:rPr>
          <w:bCs/>
          <w:i/>
          <w:spacing w:val="-3"/>
          <w:u w:val="single"/>
        </w:rPr>
        <w:t xml:space="preserve">278 Standard) </w:t>
      </w:r>
      <w:r w:rsidRPr="00B93E22">
        <w:rPr>
          <w:bCs/>
          <w:i/>
          <w:spacing w:val="-3"/>
          <w:u w:val="single"/>
          <w:vertAlign w:val="superscript"/>
        </w:rPr>
        <w:footnoteReference w:id="2"/>
      </w:r>
      <w:r w:rsidRPr="00B93E22">
        <w:rPr>
          <w:bCs/>
          <w:i/>
          <w:spacing w:val="-3"/>
          <w:u w:val="single"/>
        </w:rPr>
        <w:t xml:space="preserve">  for all prior authorization</w:t>
      </w:r>
      <w:r w:rsidRPr="00B93E22">
        <w:rPr>
          <w:bCs/>
          <w:i/>
          <w:u w:val="single"/>
        </w:rPr>
        <w:t xml:space="preserve"> </w:t>
      </w:r>
      <w:r w:rsidRPr="00B93E22">
        <w:rPr>
          <w:bCs/>
          <w:i/>
          <w:spacing w:val="-3"/>
          <w:u w:val="single"/>
        </w:rPr>
        <w:t>electronic (</w:t>
      </w:r>
      <w:r w:rsidRPr="00B93E22">
        <w:rPr>
          <w:bCs/>
          <w:i/>
          <w:color w:val="333333"/>
          <w:u w:val="single"/>
        </w:rPr>
        <w:t>referral certification and authorization) transactions</w:t>
      </w:r>
      <w:r w:rsidRPr="00B93E22">
        <w:rPr>
          <w:rStyle w:val="FootnoteReference"/>
          <w:bCs/>
          <w:i/>
          <w:spacing w:val="-3"/>
          <w:u w:val="single"/>
        </w:rPr>
        <w:t xml:space="preserve"> </w:t>
      </w:r>
      <w:r w:rsidRPr="00B93E22">
        <w:rPr>
          <w:bCs/>
          <w:i/>
          <w:spacing w:val="-3"/>
          <w:u w:val="single"/>
        </w:rPr>
        <w:t xml:space="preserve">  effective on and after January 1, 2012, and   are required to use the applicable data content and data condition requirements of the 278 Standard for all direct data entry transactions.  42 CFR </w:t>
      </w:r>
      <w:r w:rsidRPr="00B93E22">
        <w:rPr>
          <w:rFonts w:eastAsia="Times New Roman"/>
          <w:bCs/>
          <w:i/>
          <w:color w:val="333333"/>
          <w:u w:val="single"/>
        </w:rPr>
        <w:t>§162.1302</w:t>
      </w:r>
      <w:r w:rsidRPr="00B93E22">
        <w:rPr>
          <w:bCs/>
          <w:i/>
          <w:spacing w:val="-3"/>
          <w:u w:val="single"/>
        </w:rPr>
        <w:t xml:space="preserve">, 42 CFR  </w:t>
      </w:r>
      <w:r w:rsidRPr="00B93E22">
        <w:rPr>
          <w:rFonts w:eastAsia="Times New Roman"/>
          <w:bCs/>
          <w:i/>
          <w:color w:val="333333"/>
          <w:u w:val="single"/>
        </w:rPr>
        <w:t xml:space="preserve">§ 162.923(b).    Failure </w:t>
      </w:r>
      <w:r w:rsidRPr="00B93E22">
        <w:rPr>
          <w:i/>
          <w:u w:val="single"/>
          <w:lang w:val="en"/>
        </w:rPr>
        <w:t>to comply with HIPAA administrative simplification requirements constitutes a violation of MA regulations</w:t>
      </w:r>
    </w:p>
    <w:p w14:paraId="36150B91" w14:textId="77777777" w:rsidR="00354258" w:rsidRPr="00B93E22" w:rsidRDefault="00354258" w:rsidP="008A0A93">
      <w:pPr>
        <w:pStyle w:val="Default"/>
        <w:ind w:left="720"/>
        <w:rPr>
          <w:i/>
        </w:rPr>
      </w:pPr>
    </w:p>
    <w:p w14:paraId="35715166" w14:textId="474E753F" w:rsidR="00354258" w:rsidRPr="00B93E22" w:rsidRDefault="004732FD" w:rsidP="007F1131">
      <w:pPr>
        <w:pStyle w:val="Default"/>
        <w:ind w:left="720"/>
        <w:rPr>
          <w:i/>
          <w:u w:val="single"/>
        </w:rPr>
      </w:pPr>
      <w:r w:rsidRPr="00B93E22">
        <w:rPr>
          <w:i/>
          <w:u w:val="single"/>
        </w:rPr>
        <w:t>Plans are reminded that they are required to cover all services that are covered;</w:t>
      </w:r>
      <w:r w:rsidR="00B93E22">
        <w:rPr>
          <w:i/>
          <w:u w:val="single"/>
        </w:rPr>
        <w:t xml:space="preserve"> </w:t>
      </w:r>
      <w:r w:rsidRPr="00B93E22">
        <w:rPr>
          <w:i/>
          <w:u w:val="single"/>
        </w:rPr>
        <w:t>under Part A and Part B of Medicare, and that prior authorization requirements may not impose an inappropriate barrier to access.</w:t>
      </w:r>
      <w:r w:rsidR="007F1131" w:rsidRPr="00B93E22">
        <w:t xml:space="preserve"> </w:t>
      </w:r>
      <w:r w:rsidR="007F1131" w:rsidRPr="00EC79E5">
        <w:rPr>
          <w:i/>
          <w:u w:val="single"/>
        </w:rPr>
        <w:t>For example, regular review of the list of medical services and prescription drugs that are subject to prior authorization requirements can help identify therapies that no longer warrant prior authorization due to, for example, low variation in utilization or low prior authorization denial rates</w:t>
      </w:r>
      <w:r w:rsidR="007F1131" w:rsidRPr="00EC79E5">
        <w:rPr>
          <w:u w:val="single"/>
        </w:rPr>
        <w:t>.</w:t>
      </w:r>
      <w:r w:rsidR="007F1131" w:rsidRPr="00B93E22">
        <w:t xml:space="preserve"> </w:t>
      </w:r>
      <w:r w:rsidR="00354258" w:rsidRPr="00B93E22">
        <w:rPr>
          <w:i/>
          <w:u w:val="single"/>
        </w:rPr>
        <w:t xml:space="preserve">CMS plans to enforce PA transparency and other regulatory requirements through administrative review of plan marketing materials, plan audits, and other tools that CMS has available to it. </w:t>
      </w:r>
    </w:p>
    <w:p w14:paraId="574C97E9" w14:textId="77777777" w:rsidR="00354258" w:rsidRPr="00B93E22" w:rsidRDefault="00354258" w:rsidP="007F1131">
      <w:pPr>
        <w:pStyle w:val="Default"/>
        <w:ind w:left="1440"/>
        <w:rPr>
          <w:i/>
          <w:u w:val="single"/>
        </w:rPr>
      </w:pPr>
    </w:p>
    <w:p w14:paraId="340F7706" w14:textId="097BA1DB" w:rsidR="00913FE3" w:rsidRDefault="00913FE3" w:rsidP="007F1131">
      <w:pPr>
        <w:pStyle w:val="Default"/>
        <w:ind w:left="720"/>
      </w:pPr>
    </w:p>
    <w:p w14:paraId="66FD00D5" w14:textId="1315E703" w:rsidR="00B93E22" w:rsidRDefault="00B93E22" w:rsidP="007F1131">
      <w:pPr>
        <w:pStyle w:val="Default"/>
        <w:ind w:left="720"/>
      </w:pPr>
    </w:p>
    <w:p w14:paraId="4A4C2CB0" w14:textId="675B4A88" w:rsidR="00B93E22" w:rsidRDefault="00B93E22" w:rsidP="007F1131">
      <w:pPr>
        <w:pStyle w:val="Default"/>
        <w:ind w:left="720"/>
      </w:pPr>
    </w:p>
    <w:p w14:paraId="34472125" w14:textId="77777777" w:rsidR="00B93E22" w:rsidRPr="00B93E22" w:rsidRDefault="00B93E22" w:rsidP="007F1131">
      <w:pPr>
        <w:pStyle w:val="Default"/>
        <w:ind w:left="720"/>
      </w:pPr>
    </w:p>
    <w:p w14:paraId="5055E357" w14:textId="77777777" w:rsidR="003116DC" w:rsidRPr="00B93E22" w:rsidRDefault="00BD706B"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sz w:val="24"/>
          <w:szCs w:val="24"/>
        </w:rPr>
        <w:t>PA Decisions as Pre-Service “Organization Determinations”</w:t>
      </w:r>
    </w:p>
    <w:p w14:paraId="09FF695C" w14:textId="77777777" w:rsidR="00D47A53" w:rsidRPr="00B93E22" w:rsidRDefault="00913FE3" w:rsidP="00E40B78">
      <w:pPr>
        <w:rPr>
          <w:rFonts w:ascii="Times New Roman" w:hAnsi="Times New Roman" w:cs="Times New Roman"/>
          <w:sz w:val="24"/>
          <w:szCs w:val="24"/>
        </w:rPr>
      </w:pPr>
      <w:r w:rsidRPr="00B93E22">
        <w:rPr>
          <w:rFonts w:ascii="Times New Roman" w:hAnsi="Times New Roman" w:cs="Times New Roman"/>
          <w:sz w:val="24"/>
          <w:szCs w:val="24"/>
        </w:rPr>
        <w:lastRenderedPageBreak/>
        <w:t xml:space="preserve">We appreciate CMS’ calling MAOs’ attention to the fact that PA determinations constitute “pre-service organization determinations” under applicable regulations and as such are subject to regulatory adjudication timeframes and notice requirements. </w:t>
      </w:r>
    </w:p>
    <w:p w14:paraId="26799F5A" w14:textId="26DBE209" w:rsidR="00C56817" w:rsidRPr="00B93E22" w:rsidRDefault="00210916" w:rsidP="00E40B78">
      <w:pPr>
        <w:rPr>
          <w:rFonts w:ascii="Times New Roman" w:hAnsi="Times New Roman" w:cs="Times New Roman"/>
          <w:sz w:val="24"/>
          <w:szCs w:val="24"/>
        </w:rPr>
      </w:pPr>
      <w:r w:rsidRPr="00B93E22">
        <w:rPr>
          <w:rFonts w:ascii="Times New Roman" w:hAnsi="Times New Roman" w:cs="Times New Roman"/>
          <w:sz w:val="24"/>
          <w:szCs w:val="24"/>
        </w:rPr>
        <w:t xml:space="preserve">We believe that CMS has the opportunity to significantly improve the PA process by clarifying an important issue related to pre-service determination timeframes in the final Call Letter. </w:t>
      </w:r>
      <w:r w:rsidR="00D47A53" w:rsidRPr="00B93E22">
        <w:rPr>
          <w:rFonts w:ascii="Times New Roman" w:hAnsi="Times New Roman" w:cs="Times New Roman"/>
          <w:sz w:val="24"/>
          <w:szCs w:val="24"/>
        </w:rPr>
        <w:t xml:space="preserve">MAOs generally take the position that services that are approved through the PA process may be denied </w:t>
      </w:r>
      <w:r w:rsidRPr="00B93E22">
        <w:rPr>
          <w:rFonts w:ascii="Times New Roman" w:hAnsi="Times New Roman" w:cs="Times New Roman"/>
          <w:sz w:val="24"/>
          <w:szCs w:val="24"/>
        </w:rPr>
        <w:t>subsequently—beyond the 14</w:t>
      </w:r>
      <w:r w:rsidR="00B93E22">
        <w:rPr>
          <w:rFonts w:ascii="Times New Roman" w:hAnsi="Times New Roman" w:cs="Times New Roman"/>
          <w:sz w:val="24"/>
          <w:szCs w:val="24"/>
        </w:rPr>
        <w:t>-</w:t>
      </w:r>
      <w:r w:rsidRPr="00B93E22">
        <w:rPr>
          <w:rFonts w:ascii="Times New Roman" w:hAnsi="Times New Roman" w:cs="Times New Roman"/>
          <w:sz w:val="24"/>
          <w:szCs w:val="24"/>
        </w:rPr>
        <w:t>day timeframe for standard determinations and the 72</w:t>
      </w:r>
      <w:r w:rsidR="00010C95">
        <w:rPr>
          <w:rFonts w:ascii="Times New Roman" w:hAnsi="Times New Roman" w:cs="Times New Roman"/>
          <w:sz w:val="24"/>
          <w:szCs w:val="24"/>
        </w:rPr>
        <w:t>-</w:t>
      </w:r>
      <w:r w:rsidRPr="00B93E22">
        <w:rPr>
          <w:rFonts w:ascii="Times New Roman" w:hAnsi="Times New Roman" w:cs="Times New Roman"/>
          <w:sz w:val="24"/>
          <w:szCs w:val="24"/>
        </w:rPr>
        <w:t>hour timeframe for expedited determinations--</w:t>
      </w:r>
      <w:r w:rsidR="00D47A53" w:rsidRPr="00B93E22">
        <w:rPr>
          <w:rFonts w:ascii="Times New Roman" w:hAnsi="Times New Roman" w:cs="Times New Roman"/>
          <w:sz w:val="24"/>
          <w:szCs w:val="24"/>
        </w:rPr>
        <w:t xml:space="preserve">on the basis of </w:t>
      </w:r>
      <w:r w:rsidRPr="00B93E22">
        <w:rPr>
          <w:rFonts w:ascii="Times New Roman" w:hAnsi="Times New Roman" w:cs="Times New Roman"/>
          <w:sz w:val="24"/>
          <w:szCs w:val="24"/>
        </w:rPr>
        <w:t>deficiencies unrelated to the medical necessity of the items or services involved., including, for example,</w:t>
      </w:r>
      <w:r w:rsidR="00286A2A" w:rsidRPr="00B93E22">
        <w:rPr>
          <w:rFonts w:ascii="Times New Roman" w:hAnsi="Times New Roman" w:cs="Times New Roman"/>
          <w:sz w:val="24"/>
          <w:szCs w:val="24"/>
        </w:rPr>
        <w:t xml:space="preserve"> </w:t>
      </w:r>
      <w:r w:rsidR="00D47A53" w:rsidRPr="00B93E22">
        <w:rPr>
          <w:rFonts w:ascii="Times New Roman" w:hAnsi="Times New Roman" w:cs="Times New Roman"/>
          <w:sz w:val="24"/>
          <w:szCs w:val="24"/>
        </w:rPr>
        <w:t xml:space="preserve">enrollee eligibility or a coverage exclusion in the enrollee’s benefit package.  As a result, </w:t>
      </w:r>
      <w:r w:rsidR="00913806" w:rsidRPr="00B93E22">
        <w:rPr>
          <w:rFonts w:ascii="Times New Roman" w:hAnsi="Times New Roman" w:cs="Times New Roman"/>
          <w:sz w:val="24"/>
          <w:szCs w:val="24"/>
        </w:rPr>
        <w:t xml:space="preserve">a physician may go through a long and time-consuming PA process, obtain an approval, provide the service in good faith reliance on the approval, only to find out at a later date that coverage and payment for the service is denied.   Conversely, an enrollee’s request for PA may be denied, go through numerous appeals, and ultimately approved, only to have coverage denied or limited for reasons unrelated to medical necessity. </w:t>
      </w:r>
      <w:r w:rsidR="00C56817" w:rsidRPr="00B93E22">
        <w:rPr>
          <w:rFonts w:ascii="Times New Roman" w:hAnsi="Times New Roman" w:cs="Times New Roman"/>
          <w:sz w:val="24"/>
          <w:szCs w:val="24"/>
        </w:rPr>
        <w:t xml:space="preserve"> For the reasons set forth in the attached legal memorandum (Attachment</w:t>
      </w:r>
      <w:r w:rsidR="00C94404" w:rsidRPr="00B93E22">
        <w:rPr>
          <w:rFonts w:ascii="Times New Roman" w:hAnsi="Times New Roman" w:cs="Times New Roman"/>
          <w:sz w:val="24"/>
          <w:szCs w:val="24"/>
        </w:rPr>
        <w:t xml:space="preserve"> A</w:t>
      </w:r>
      <w:r w:rsidR="00C56817" w:rsidRPr="00B93E22">
        <w:rPr>
          <w:rFonts w:ascii="Times New Roman" w:hAnsi="Times New Roman" w:cs="Times New Roman"/>
          <w:sz w:val="24"/>
          <w:szCs w:val="24"/>
        </w:rPr>
        <w:t xml:space="preserve">), we believe that this practice is inconsistent with regulatory requirements </w:t>
      </w:r>
      <w:r w:rsidR="00AA28AB" w:rsidRPr="00B93E22">
        <w:rPr>
          <w:rFonts w:ascii="Times New Roman" w:hAnsi="Times New Roman" w:cs="Times New Roman"/>
          <w:sz w:val="24"/>
          <w:szCs w:val="24"/>
        </w:rPr>
        <w:t xml:space="preserve">imposing specific timeframes for making </w:t>
      </w:r>
      <w:r w:rsidR="00C56817" w:rsidRPr="00B93E22">
        <w:rPr>
          <w:rFonts w:ascii="Times New Roman" w:hAnsi="Times New Roman" w:cs="Times New Roman"/>
          <w:sz w:val="24"/>
          <w:szCs w:val="24"/>
        </w:rPr>
        <w:t>organization determinations</w:t>
      </w:r>
      <w:r w:rsidRPr="00B93E22">
        <w:rPr>
          <w:rFonts w:ascii="Times New Roman" w:hAnsi="Times New Roman" w:cs="Times New Roman"/>
          <w:sz w:val="24"/>
          <w:szCs w:val="24"/>
        </w:rPr>
        <w:t>.</w:t>
      </w:r>
      <w:r w:rsidR="00C56817" w:rsidRPr="00B93E22">
        <w:rPr>
          <w:rFonts w:ascii="Times New Roman" w:hAnsi="Times New Roman" w:cs="Times New Roman"/>
          <w:sz w:val="24"/>
          <w:szCs w:val="24"/>
        </w:rPr>
        <w:t xml:space="preserve"> </w:t>
      </w:r>
    </w:p>
    <w:p w14:paraId="22E30AA0" w14:textId="77777777" w:rsidR="00C56817" w:rsidRPr="00B93E22" w:rsidRDefault="00C56817" w:rsidP="00C56817">
      <w:pPr>
        <w:ind w:left="720"/>
        <w:rPr>
          <w:rFonts w:ascii="Times New Roman" w:hAnsi="Times New Roman" w:cs="Times New Roman"/>
          <w:i/>
          <w:sz w:val="24"/>
          <w:szCs w:val="24"/>
        </w:rPr>
      </w:pPr>
      <w:r w:rsidRPr="00B93E22">
        <w:rPr>
          <w:rFonts w:ascii="Times New Roman" w:hAnsi="Times New Roman" w:cs="Times New Roman"/>
          <w:i/>
          <w:sz w:val="24"/>
          <w:szCs w:val="24"/>
          <w:u w:val="single"/>
        </w:rPr>
        <w:t>Recommendation</w:t>
      </w:r>
      <w:r w:rsidRPr="00B93E22">
        <w:rPr>
          <w:rFonts w:ascii="Times New Roman" w:hAnsi="Times New Roman" w:cs="Times New Roman"/>
          <w:i/>
          <w:sz w:val="24"/>
          <w:szCs w:val="24"/>
        </w:rPr>
        <w:t>:</w:t>
      </w:r>
      <w:r w:rsidRPr="00B93E22">
        <w:rPr>
          <w:rFonts w:ascii="Times New Roman" w:hAnsi="Times New Roman" w:cs="Times New Roman"/>
          <w:i/>
          <w:sz w:val="24"/>
          <w:szCs w:val="24"/>
        </w:rPr>
        <w:tab/>
        <w:t xml:space="preserve">We urge CMS to include in the Final </w:t>
      </w:r>
      <w:r w:rsidR="00042B32" w:rsidRPr="00B93E22">
        <w:rPr>
          <w:rFonts w:ascii="Times New Roman" w:hAnsi="Times New Roman" w:cs="Times New Roman"/>
          <w:i/>
          <w:sz w:val="24"/>
          <w:szCs w:val="24"/>
        </w:rPr>
        <w:t>Draft Call Letter</w:t>
      </w:r>
      <w:r w:rsidRPr="00B93E22">
        <w:rPr>
          <w:rFonts w:ascii="Times New Roman" w:hAnsi="Times New Roman" w:cs="Times New Roman"/>
          <w:i/>
          <w:sz w:val="24"/>
          <w:szCs w:val="24"/>
        </w:rPr>
        <w:t xml:space="preserve"> a statement reminding MAOs that </w:t>
      </w:r>
      <w:r w:rsidR="00210916" w:rsidRPr="00B93E22">
        <w:rPr>
          <w:rFonts w:ascii="Times New Roman" w:hAnsi="Times New Roman" w:cs="Times New Roman"/>
          <w:i/>
          <w:sz w:val="24"/>
          <w:szCs w:val="24"/>
        </w:rPr>
        <w:t xml:space="preserve">since a request for PA is a request for an organization determination, any determination affecting payment for the item or service involved must be made within the regulatory timeframes and included in any denial notice. </w:t>
      </w:r>
      <w:r w:rsidRPr="00B93E22">
        <w:rPr>
          <w:rFonts w:ascii="Times New Roman" w:hAnsi="Times New Roman" w:cs="Times New Roman"/>
          <w:i/>
          <w:sz w:val="24"/>
          <w:szCs w:val="24"/>
        </w:rPr>
        <w:t xml:space="preserve">    </w:t>
      </w:r>
    </w:p>
    <w:p w14:paraId="7B1B682D" w14:textId="77777777" w:rsidR="00400CFF" w:rsidRPr="00B93E22" w:rsidRDefault="00400CFF"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bCs/>
          <w:sz w:val="24"/>
          <w:szCs w:val="24"/>
        </w:rPr>
        <w:t>Attestation of Compliance with Administrative Simplification Requirements.</w:t>
      </w:r>
    </w:p>
    <w:p w14:paraId="65786E32" w14:textId="77353959" w:rsidR="00B33191" w:rsidRPr="00B93E22" w:rsidRDefault="00AA28AB" w:rsidP="00B33191">
      <w:pPr>
        <w:pStyle w:val="Default"/>
        <w:tabs>
          <w:tab w:val="left" w:pos="0"/>
        </w:tabs>
        <w:rPr>
          <w:bCs/>
          <w:spacing w:val="-3"/>
        </w:rPr>
      </w:pPr>
      <w:r w:rsidRPr="00B93E22">
        <w:t xml:space="preserve">One of the major administrative barriers for providers who serve MA beneficiaries is the myriad of forms used by the various plans to implement PA processes. </w:t>
      </w:r>
      <w:r w:rsidR="00B33191" w:rsidRPr="00B93E22">
        <w:t xml:space="preserve">The </w:t>
      </w:r>
      <w:r w:rsidR="00210916" w:rsidRPr="00B93E22">
        <w:t>MA r</w:t>
      </w:r>
      <w:r w:rsidR="00B33191" w:rsidRPr="00B93E22">
        <w:t xml:space="preserve">egulations (42 CFR §422.504(h)(2)) specifically require MAOs </w:t>
      </w:r>
      <w:r w:rsidR="00B33191" w:rsidRPr="00B93E22">
        <w:rPr>
          <w:bCs/>
          <w:spacing w:val="-3"/>
        </w:rPr>
        <w:t xml:space="preserve">to comply with HIPAA </w:t>
      </w:r>
      <w:r w:rsidR="00210916" w:rsidRPr="00B93E22">
        <w:rPr>
          <w:bCs/>
          <w:spacing w:val="-3"/>
        </w:rPr>
        <w:t xml:space="preserve">administrative </w:t>
      </w:r>
      <w:r w:rsidR="00B33191" w:rsidRPr="00B93E22">
        <w:rPr>
          <w:bCs/>
          <w:spacing w:val="-3"/>
        </w:rPr>
        <w:t>simplification regulations.   T</w:t>
      </w:r>
      <w:r w:rsidR="00B33191" w:rsidRPr="00B93E22">
        <w:t>he</w:t>
      </w:r>
      <w:r w:rsidR="00210916" w:rsidRPr="00B93E22">
        <w:t>se</w:t>
      </w:r>
      <w:r w:rsidR="00B33191" w:rsidRPr="00B93E22">
        <w:t xml:space="preserve"> HIPAA regulations require that all health plans (including but not limited to MAOs) use a particular IT standard format (the </w:t>
      </w:r>
      <w:r w:rsidR="00B33191" w:rsidRPr="00B93E22">
        <w:rPr>
          <w:bCs/>
          <w:spacing w:val="-3"/>
        </w:rPr>
        <w:t xml:space="preserve">278 Standard) </w:t>
      </w:r>
      <w:r w:rsidR="00B33191" w:rsidRPr="00B93E22">
        <w:rPr>
          <w:bCs/>
          <w:spacing w:val="-3"/>
          <w:vertAlign w:val="superscript"/>
        </w:rPr>
        <w:footnoteReference w:id="3"/>
      </w:r>
      <w:r w:rsidR="00B33191" w:rsidRPr="00B93E22">
        <w:rPr>
          <w:bCs/>
          <w:spacing w:val="-3"/>
        </w:rPr>
        <w:t xml:space="preserve">  for all PA</w:t>
      </w:r>
      <w:r w:rsidR="00B33191" w:rsidRPr="00B93E22">
        <w:rPr>
          <w:bCs/>
          <w:color w:val="333333"/>
        </w:rPr>
        <w:t xml:space="preserve"> </w:t>
      </w:r>
      <w:r w:rsidR="00B33191" w:rsidRPr="00B93E22">
        <w:rPr>
          <w:bCs/>
          <w:spacing w:val="-3"/>
        </w:rPr>
        <w:t>electronic transactions</w:t>
      </w:r>
      <w:r w:rsidR="00B33191" w:rsidRPr="00B93E22">
        <w:rPr>
          <w:rStyle w:val="FootnoteReference"/>
          <w:bCs/>
          <w:spacing w:val="-3"/>
        </w:rPr>
        <w:footnoteReference w:id="4"/>
      </w:r>
      <w:r w:rsidR="00DD1657" w:rsidRPr="00B93E22">
        <w:rPr>
          <w:bCs/>
          <w:spacing w:val="-3"/>
        </w:rPr>
        <w:t xml:space="preserve"> (</w:t>
      </w:r>
      <w:r w:rsidR="00DD1657" w:rsidRPr="00B93E22">
        <w:rPr>
          <w:lang w:val="en"/>
        </w:rPr>
        <w:t>i</w:t>
      </w:r>
      <w:r w:rsidR="00DD1657" w:rsidRPr="00B93E22">
        <w:rPr>
          <w:bCs/>
          <w:spacing w:val="-3"/>
        </w:rPr>
        <w:t>n HIPAA parlance, “</w:t>
      </w:r>
      <w:r w:rsidR="00DD1657" w:rsidRPr="00B93E22">
        <w:rPr>
          <w:bCs/>
          <w:color w:val="333333"/>
        </w:rPr>
        <w:t>referral certification and authorization” transactions) e</w:t>
      </w:r>
      <w:r w:rsidR="00B33191" w:rsidRPr="00B93E22">
        <w:rPr>
          <w:bCs/>
          <w:spacing w:val="-3"/>
        </w:rPr>
        <w:t xml:space="preserve">ffective on and after January 1, 2012. </w:t>
      </w:r>
      <w:r w:rsidR="00B33191" w:rsidRPr="00B93E22">
        <w:rPr>
          <w:rStyle w:val="FootnoteReference"/>
          <w:bCs/>
          <w:spacing w:val="-3"/>
        </w:rPr>
        <w:footnoteReference w:id="5"/>
      </w:r>
      <w:r w:rsidR="00B33191" w:rsidRPr="00B93E22">
        <w:rPr>
          <w:rFonts w:eastAsia="Times New Roman"/>
          <w:bCs/>
          <w:color w:val="333333"/>
        </w:rPr>
        <w:t xml:space="preserve">  It is our understanding that, despite this regulatory requirement, many</w:t>
      </w:r>
      <w:r w:rsidR="00B33191" w:rsidRPr="00B93E22">
        <w:rPr>
          <w:bCs/>
          <w:spacing w:val="-3"/>
        </w:rPr>
        <w:t xml:space="preserve"> health plans are not </w:t>
      </w:r>
      <w:r w:rsidR="00210916" w:rsidRPr="00B93E22">
        <w:rPr>
          <w:bCs/>
          <w:spacing w:val="-3"/>
        </w:rPr>
        <w:t>processing electronic transactions in accordance with the</w:t>
      </w:r>
      <w:r w:rsidR="00B33191" w:rsidRPr="00B93E22">
        <w:rPr>
          <w:bCs/>
          <w:spacing w:val="-3"/>
        </w:rPr>
        <w:t xml:space="preserve"> 278 Standard</w:t>
      </w:r>
      <w:r w:rsidR="00210916" w:rsidRPr="00B93E22">
        <w:rPr>
          <w:bCs/>
          <w:spacing w:val="-3"/>
        </w:rPr>
        <w:t xml:space="preserve">.  In addition, </w:t>
      </w:r>
      <w:r w:rsidRPr="00B93E22">
        <w:rPr>
          <w:bCs/>
          <w:spacing w:val="-3"/>
        </w:rPr>
        <w:t>under the HIPAA administrative simplification rules</w:t>
      </w:r>
      <w:r w:rsidR="00286A2A" w:rsidRPr="00B93E22">
        <w:rPr>
          <w:bCs/>
          <w:spacing w:val="-3"/>
        </w:rPr>
        <w:t xml:space="preserve"> with which </w:t>
      </w:r>
      <w:r w:rsidRPr="00B93E22">
        <w:rPr>
          <w:bCs/>
          <w:spacing w:val="-3"/>
        </w:rPr>
        <w:t xml:space="preserve">MA plans are required to comply under 42 CFR </w:t>
      </w:r>
      <w:r w:rsidRPr="00B93E22">
        <w:t xml:space="preserve">§422.504(h)(2), </w:t>
      </w:r>
      <w:r w:rsidR="00210916" w:rsidRPr="00B93E22">
        <w:rPr>
          <w:bCs/>
          <w:spacing w:val="-3"/>
        </w:rPr>
        <w:t xml:space="preserve">MA plans that process PA requests through proprietary websites are required to mirror the content of the 278 Standard, a requirement that </w:t>
      </w:r>
      <w:r w:rsidR="00053C09" w:rsidRPr="00B93E22">
        <w:rPr>
          <w:bCs/>
          <w:spacing w:val="-3"/>
        </w:rPr>
        <w:t>Is not being honored.</w:t>
      </w:r>
    </w:p>
    <w:p w14:paraId="58286B13" w14:textId="77777777" w:rsidR="00B33191" w:rsidRPr="00B93E22" w:rsidRDefault="00B33191" w:rsidP="00B33191">
      <w:pPr>
        <w:pStyle w:val="Default"/>
        <w:tabs>
          <w:tab w:val="left" w:pos="0"/>
        </w:tabs>
        <w:rPr>
          <w:bCs/>
          <w:spacing w:val="-3"/>
        </w:rPr>
      </w:pPr>
    </w:p>
    <w:p w14:paraId="21A09BDC" w14:textId="77777777" w:rsidR="0025600A" w:rsidRPr="00B93E22" w:rsidRDefault="00B33191" w:rsidP="00C94404">
      <w:pPr>
        <w:pStyle w:val="FootnoteText"/>
        <w:ind w:left="720"/>
        <w:rPr>
          <w:rFonts w:ascii="Times New Roman" w:hAnsi="Times New Roman" w:cs="Times New Roman"/>
          <w:i/>
          <w:sz w:val="24"/>
          <w:szCs w:val="24"/>
          <w:lang w:val="en"/>
        </w:rPr>
      </w:pPr>
      <w:r w:rsidRPr="00B93E22">
        <w:rPr>
          <w:rFonts w:ascii="Times New Roman" w:hAnsi="Times New Roman" w:cs="Times New Roman"/>
          <w:bCs/>
          <w:i/>
          <w:spacing w:val="-3"/>
          <w:sz w:val="24"/>
          <w:szCs w:val="24"/>
          <w:u w:val="single"/>
        </w:rPr>
        <w:t>Recommendation:</w:t>
      </w:r>
      <w:r w:rsidRPr="00B93E22">
        <w:rPr>
          <w:rFonts w:ascii="Times New Roman" w:hAnsi="Times New Roman" w:cs="Times New Roman"/>
          <w:bCs/>
          <w:i/>
          <w:spacing w:val="-3"/>
          <w:sz w:val="24"/>
          <w:szCs w:val="24"/>
        </w:rPr>
        <w:t xml:space="preserve">  We urge CMS to include in the </w:t>
      </w:r>
      <w:r w:rsidR="0025600A" w:rsidRPr="00B93E22">
        <w:rPr>
          <w:rFonts w:ascii="Times New Roman" w:hAnsi="Times New Roman" w:cs="Times New Roman"/>
          <w:bCs/>
          <w:i/>
          <w:spacing w:val="-3"/>
          <w:sz w:val="24"/>
          <w:szCs w:val="24"/>
        </w:rPr>
        <w:t xml:space="preserve">PA </w:t>
      </w:r>
      <w:r w:rsidRPr="00B93E22">
        <w:rPr>
          <w:rFonts w:ascii="Times New Roman" w:hAnsi="Times New Roman" w:cs="Times New Roman"/>
          <w:bCs/>
          <w:i/>
          <w:spacing w:val="-3"/>
          <w:sz w:val="24"/>
          <w:szCs w:val="24"/>
        </w:rPr>
        <w:t xml:space="preserve">section of the final Call Letter a reminder that </w:t>
      </w:r>
      <w:r w:rsidR="00EB47C7" w:rsidRPr="00B93E22">
        <w:rPr>
          <w:rFonts w:ascii="Times New Roman" w:hAnsi="Times New Roman" w:cs="Times New Roman"/>
          <w:bCs/>
          <w:i/>
          <w:spacing w:val="-3"/>
          <w:sz w:val="24"/>
          <w:szCs w:val="24"/>
        </w:rPr>
        <w:t>PA processes</w:t>
      </w:r>
      <w:r w:rsidRPr="00B93E22">
        <w:rPr>
          <w:rFonts w:ascii="Times New Roman" w:hAnsi="Times New Roman" w:cs="Times New Roman"/>
          <w:bCs/>
          <w:i/>
          <w:spacing w:val="-3"/>
          <w:sz w:val="24"/>
          <w:szCs w:val="24"/>
        </w:rPr>
        <w:t xml:space="preserve"> are required by regulation to comply with all HIPAA re</w:t>
      </w:r>
      <w:r w:rsidR="00EB47C7" w:rsidRPr="00B93E22">
        <w:rPr>
          <w:rFonts w:ascii="Times New Roman" w:hAnsi="Times New Roman" w:cs="Times New Roman"/>
          <w:bCs/>
          <w:i/>
          <w:spacing w:val="-3"/>
          <w:sz w:val="24"/>
          <w:szCs w:val="24"/>
        </w:rPr>
        <w:t>quirements,</w:t>
      </w:r>
      <w:r w:rsidR="0025600A" w:rsidRPr="00B93E22">
        <w:rPr>
          <w:rFonts w:ascii="Times New Roman" w:hAnsi="Times New Roman" w:cs="Times New Roman"/>
          <w:bCs/>
          <w:i/>
          <w:spacing w:val="-3"/>
          <w:sz w:val="24"/>
          <w:szCs w:val="24"/>
        </w:rPr>
        <w:t xml:space="preserve"> including HIPAA administrative simplification requirements, which call for the use of the </w:t>
      </w:r>
      <w:r w:rsidR="0025600A" w:rsidRPr="00B93E22">
        <w:rPr>
          <w:rFonts w:ascii="Times New Roman" w:hAnsi="Times New Roman" w:cs="Times New Roman"/>
          <w:i/>
          <w:sz w:val="24"/>
          <w:szCs w:val="24"/>
          <w:lang w:val="en"/>
        </w:rPr>
        <w:t xml:space="preserve">EDI </w:t>
      </w:r>
      <w:r w:rsidR="0025600A" w:rsidRPr="00B93E22">
        <w:rPr>
          <w:rStyle w:val="Strong"/>
          <w:rFonts w:ascii="Times New Roman" w:hAnsi="Times New Roman" w:cs="Times New Roman"/>
          <w:i/>
          <w:sz w:val="24"/>
          <w:szCs w:val="24"/>
          <w:lang w:val="en"/>
        </w:rPr>
        <w:t>278</w:t>
      </w:r>
      <w:r w:rsidR="0025600A" w:rsidRPr="00B93E22">
        <w:rPr>
          <w:rFonts w:ascii="Times New Roman" w:hAnsi="Times New Roman" w:cs="Times New Roman"/>
          <w:i/>
          <w:sz w:val="24"/>
          <w:szCs w:val="24"/>
          <w:lang w:val="en"/>
        </w:rPr>
        <w:t xml:space="preserve"> Health Care Services Review Information Transaction Standard for </w:t>
      </w:r>
      <w:r w:rsidR="00C94404" w:rsidRPr="00B93E22">
        <w:rPr>
          <w:rFonts w:ascii="Times New Roman" w:hAnsi="Times New Roman" w:cs="Times New Roman"/>
          <w:i/>
          <w:sz w:val="24"/>
          <w:szCs w:val="24"/>
          <w:lang w:val="en"/>
        </w:rPr>
        <w:t>all “</w:t>
      </w:r>
      <w:r w:rsidR="00C94404" w:rsidRPr="00B93E22">
        <w:rPr>
          <w:rFonts w:ascii="Times New Roman" w:hAnsi="Times New Roman" w:cs="Times New Roman"/>
          <w:bCs/>
          <w:i/>
          <w:spacing w:val="-3"/>
          <w:sz w:val="24"/>
          <w:szCs w:val="24"/>
        </w:rPr>
        <w:t>“</w:t>
      </w:r>
      <w:r w:rsidR="00C94404" w:rsidRPr="00B93E22">
        <w:rPr>
          <w:rFonts w:ascii="Times New Roman" w:hAnsi="Times New Roman" w:cs="Times New Roman"/>
          <w:bCs/>
          <w:i/>
          <w:color w:val="333333"/>
          <w:sz w:val="24"/>
          <w:szCs w:val="24"/>
        </w:rPr>
        <w:t xml:space="preserve">referral certification and authorization” transactions” </w:t>
      </w:r>
      <w:r w:rsidR="00DD1657" w:rsidRPr="00B93E22">
        <w:rPr>
          <w:rFonts w:ascii="Times New Roman" w:hAnsi="Times New Roman" w:cs="Times New Roman"/>
          <w:i/>
          <w:sz w:val="24"/>
          <w:szCs w:val="24"/>
          <w:lang w:val="en"/>
        </w:rPr>
        <w:t xml:space="preserve">and the use of Standard 278-equivalent content for propriety websites. </w:t>
      </w:r>
      <w:r w:rsidR="0025600A" w:rsidRPr="00B93E22">
        <w:rPr>
          <w:rFonts w:ascii="Times New Roman" w:hAnsi="Times New Roman" w:cs="Times New Roman"/>
          <w:bCs/>
          <w:i/>
          <w:color w:val="333333"/>
          <w:sz w:val="24"/>
          <w:szCs w:val="24"/>
        </w:rPr>
        <w:t xml:space="preserve"> </w:t>
      </w:r>
      <w:r w:rsidR="0025600A" w:rsidRPr="00B93E22">
        <w:rPr>
          <w:rFonts w:ascii="Times New Roman" w:hAnsi="Times New Roman" w:cs="Times New Roman"/>
          <w:i/>
          <w:sz w:val="24"/>
          <w:szCs w:val="24"/>
          <w:lang w:val="en"/>
        </w:rPr>
        <w:t xml:space="preserve"> MAO</w:t>
      </w:r>
      <w:r w:rsidR="00DD1657" w:rsidRPr="00B93E22">
        <w:rPr>
          <w:rFonts w:ascii="Times New Roman" w:hAnsi="Times New Roman" w:cs="Times New Roman"/>
          <w:i/>
          <w:sz w:val="24"/>
          <w:szCs w:val="24"/>
          <w:lang w:val="en"/>
        </w:rPr>
        <w:t xml:space="preserve">s should be reminded that failure to comply with HIPAA administrative simplification requirements constitutes a violation of MA regulations. </w:t>
      </w:r>
      <w:r w:rsidR="0025600A" w:rsidRPr="00B93E22">
        <w:rPr>
          <w:rFonts w:ascii="Times New Roman" w:hAnsi="Times New Roman" w:cs="Times New Roman"/>
          <w:i/>
          <w:sz w:val="24"/>
          <w:szCs w:val="24"/>
          <w:lang w:val="en"/>
        </w:rPr>
        <w:t xml:space="preserve">.   </w:t>
      </w:r>
    </w:p>
    <w:p w14:paraId="2988063D" w14:textId="77777777" w:rsidR="00BD706B" w:rsidRPr="00B93E22" w:rsidRDefault="00BD706B" w:rsidP="00651F2E">
      <w:pPr>
        <w:pStyle w:val="FootnoteText"/>
        <w:ind w:left="720"/>
        <w:rPr>
          <w:rFonts w:ascii="Times New Roman" w:hAnsi="Times New Roman" w:cs="Times New Roman"/>
          <w:bCs/>
          <w:i/>
          <w:spacing w:val="-3"/>
          <w:sz w:val="24"/>
          <w:szCs w:val="24"/>
        </w:rPr>
      </w:pPr>
    </w:p>
    <w:p w14:paraId="6264184B" w14:textId="77777777" w:rsidR="00BD706B" w:rsidRPr="00B93E22" w:rsidRDefault="00BD706B" w:rsidP="00BD706B">
      <w:pPr>
        <w:pStyle w:val="ListParagraph"/>
        <w:numPr>
          <w:ilvl w:val="0"/>
          <w:numId w:val="7"/>
        </w:numPr>
        <w:rPr>
          <w:rFonts w:ascii="Times New Roman" w:hAnsi="Times New Roman" w:cs="Times New Roman"/>
          <w:b/>
          <w:bCs/>
          <w:sz w:val="24"/>
          <w:szCs w:val="24"/>
        </w:rPr>
      </w:pPr>
      <w:r w:rsidRPr="00B93E22">
        <w:rPr>
          <w:rFonts w:ascii="Times New Roman" w:hAnsi="Times New Roman" w:cs="Times New Roman"/>
          <w:b/>
          <w:bCs/>
          <w:sz w:val="24"/>
          <w:szCs w:val="24"/>
        </w:rPr>
        <w:t>Star Ratings</w:t>
      </w:r>
    </w:p>
    <w:p w14:paraId="3504CFAF" w14:textId="77777777" w:rsidR="00BD706B" w:rsidRPr="00B93E22" w:rsidRDefault="00BD706B" w:rsidP="00BD706B">
      <w:pPr>
        <w:pStyle w:val="Default"/>
      </w:pPr>
      <w:r w:rsidRPr="00B93E22">
        <w:rPr>
          <w:bCs/>
        </w:rPr>
        <w:t>We believe that MA plans’ performance in conducting PA reviews of medical services should be subject to the same public disclosure and governmental scrutiny as P</w:t>
      </w:r>
      <w:r w:rsidR="00286A2A" w:rsidRPr="00B93E22">
        <w:rPr>
          <w:bCs/>
        </w:rPr>
        <w:t>rescription Drug Plans (PDPs’)</w:t>
      </w:r>
      <w:r w:rsidRPr="00B93E22">
        <w:rPr>
          <w:bCs/>
        </w:rPr>
        <w:t xml:space="preserve"> performance in conducting PA reviews of prescription drugs. In last year’s Draft Call Letter, CMS propose</w:t>
      </w:r>
      <w:r w:rsidR="00DD1657" w:rsidRPr="00B93E22">
        <w:rPr>
          <w:bCs/>
        </w:rPr>
        <w:t>d</w:t>
      </w:r>
      <w:r w:rsidRPr="00B93E22">
        <w:rPr>
          <w:bCs/>
        </w:rPr>
        <w:t xml:space="preserve"> adopt</w:t>
      </w:r>
      <w:r w:rsidR="00DD1657" w:rsidRPr="00B93E22">
        <w:rPr>
          <w:bCs/>
        </w:rPr>
        <w:t>ing</w:t>
      </w:r>
      <w:r w:rsidRPr="00B93E22">
        <w:rPr>
          <w:bCs/>
        </w:rPr>
        <w:t xml:space="preserve"> a new display measure under which each Part D plan sponsor’s performance in applying PA, step therapy (ST), quantity limits and similar utilization controls is made publicly accessible and to develop performance measures related to utilization controls as part of PDPs’ “beneficiary access” star ratings. </w:t>
      </w:r>
      <w:r w:rsidRPr="00B93E22">
        <w:rPr>
          <w:rStyle w:val="FootnoteReference"/>
        </w:rPr>
        <w:footnoteReference w:id="6"/>
      </w:r>
      <w:r w:rsidRPr="00B93E22">
        <w:t xml:space="preserve"> Similar public disclosure should be applied to MA plans’ performance in implementing PA and other utilization controls for medical services.  </w:t>
      </w:r>
    </w:p>
    <w:p w14:paraId="57F56393" w14:textId="77777777" w:rsidR="00C3433F" w:rsidRPr="00B93E22" w:rsidRDefault="00C3433F" w:rsidP="00BD706B">
      <w:pPr>
        <w:ind w:left="720"/>
        <w:rPr>
          <w:rFonts w:ascii="Times New Roman" w:hAnsi="Times New Roman" w:cs="Times New Roman"/>
          <w:bCs/>
          <w:i/>
          <w:sz w:val="24"/>
          <w:szCs w:val="24"/>
          <w:u w:val="single"/>
        </w:rPr>
      </w:pPr>
    </w:p>
    <w:p w14:paraId="14A04FA2" w14:textId="7A67871B" w:rsidR="00BD706B" w:rsidRPr="00B93E22" w:rsidRDefault="00BD706B" w:rsidP="00BD706B">
      <w:pPr>
        <w:ind w:left="720"/>
        <w:rPr>
          <w:rFonts w:ascii="Times New Roman" w:hAnsi="Times New Roman" w:cs="Times New Roman"/>
          <w:bCs/>
          <w:sz w:val="24"/>
          <w:szCs w:val="24"/>
        </w:rPr>
      </w:pPr>
      <w:r w:rsidRPr="00B93E22">
        <w:rPr>
          <w:rFonts w:ascii="Times New Roman" w:hAnsi="Times New Roman" w:cs="Times New Roman"/>
          <w:bCs/>
          <w:i/>
          <w:sz w:val="24"/>
          <w:szCs w:val="24"/>
          <w:u w:val="single"/>
        </w:rPr>
        <w:t>Recommendation</w:t>
      </w:r>
      <w:r w:rsidRPr="00B93E22">
        <w:rPr>
          <w:rFonts w:ascii="Times New Roman" w:hAnsi="Times New Roman" w:cs="Times New Roman"/>
          <w:bCs/>
          <w:i/>
          <w:sz w:val="24"/>
          <w:szCs w:val="24"/>
        </w:rPr>
        <w:t>:  We urge CMS to work with affected providers, patients, and MAOs to develop a</w:t>
      </w:r>
      <w:r w:rsidR="00DD1657" w:rsidRPr="00B93E22">
        <w:rPr>
          <w:rFonts w:ascii="Times New Roman" w:hAnsi="Times New Roman" w:cs="Times New Roman"/>
          <w:bCs/>
          <w:i/>
          <w:sz w:val="24"/>
          <w:szCs w:val="24"/>
        </w:rPr>
        <w:t xml:space="preserve"> PA-related</w:t>
      </w:r>
      <w:r w:rsidRPr="00B93E22">
        <w:rPr>
          <w:rFonts w:ascii="Times New Roman" w:hAnsi="Times New Roman" w:cs="Times New Roman"/>
          <w:bCs/>
          <w:i/>
          <w:sz w:val="24"/>
          <w:szCs w:val="24"/>
        </w:rPr>
        <w:t xml:space="preserve"> “access to care” </w:t>
      </w:r>
      <w:r w:rsidR="00286A2A" w:rsidRPr="00B93E22">
        <w:rPr>
          <w:rFonts w:ascii="Times New Roman" w:hAnsi="Times New Roman" w:cs="Times New Roman"/>
          <w:bCs/>
          <w:i/>
          <w:sz w:val="24"/>
          <w:szCs w:val="24"/>
        </w:rPr>
        <w:t xml:space="preserve">display </w:t>
      </w:r>
      <w:r w:rsidRPr="00B93E22">
        <w:rPr>
          <w:rFonts w:ascii="Times New Roman" w:hAnsi="Times New Roman" w:cs="Times New Roman"/>
          <w:bCs/>
          <w:i/>
          <w:sz w:val="24"/>
          <w:szCs w:val="24"/>
        </w:rPr>
        <w:t>measure</w:t>
      </w:r>
      <w:r w:rsidR="00286A2A" w:rsidRPr="00B93E22">
        <w:rPr>
          <w:rFonts w:ascii="Times New Roman" w:hAnsi="Times New Roman" w:cs="Times New Roman"/>
          <w:bCs/>
          <w:i/>
          <w:sz w:val="24"/>
          <w:szCs w:val="24"/>
        </w:rPr>
        <w:t xml:space="preserve"> and </w:t>
      </w:r>
      <w:r w:rsidRPr="00B93E22">
        <w:rPr>
          <w:rFonts w:ascii="Times New Roman" w:hAnsi="Times New Roman" w:cs="Times New Roman"/>
          <w:bCs/>
          <w:i/>
          <w:sz w:val="24"/>
          <w:szCs w:val="24"/>
        </w:rPr>
        <w:t xml:space="preserve">for inclusion in </w:t>
      </w:r>
      <w:r w:rsidR="00286A2A" w:rsidRPr="00B93E22">
        <w:rPr>
          <w:rFonts w:ascii="Times New Roman" w:hAnsi="Times New Roman" w:cs="Times New Roman"/>
          <w:bCs/>
          <w:i/>
          <w:sz w:val="24"/>
          <w:szCs w:val="24"/>
        </w:rPr>
        <w:t>MA plans’ s</w:t>
      </w:r>
      <w:r w:rsidRPr="00B93E22">
        <w:rPr>
          <w:rFonts w:ascii="Times New Roman" w:hAnsi="Times New Roman" w:cs="Times New Roman"/>
          <w:bCs/>
          <w:i/>
          <w:sz w:val="24"/>
          <w:szCs w:val="24"/>
        </w:rPr>
        <w:t>tar ratings</w:t>
      </w:r>
      <w:r w:rsidR="00286A2A" w:rsidRPr="00B93E22">
        <w:rPr>
          <w:rFonts w:ascii="Times New Roman" w:hAnsi="Times New Roman" w:cs="Times New Roman"/>
          <w:bCs/>
          <w:i/>
          <w:sz w:val="24"/>
          <w:szCs w:val="24"/>
        </w:rPr>
        <w:t>.</w:t>
      </w:r>
    </w:p>
    <w:p w14:paraId="651BB245" w14:textId="77777777" w:rsidR="009D3B0B" w:rsidRPr="00B93E22" w:rsidRDefault="00C94404" w:rsidP="00BD706B">
      <w:pPr>
        <w:pStyle w:val="Default"/>
        <w:numPr>
          <w:ilvl w:val="0"/>
          <w:numId w:val="7"/>
        </w:numPr>
        <w:tabs>
          <w:tab w:val="left" w:pos="0"/>
        </w:tabs>
        <w:rPr>
          <w:b/>
          <w:bCs/>
        </w:rPr>
      </w:pPr>
      <w:r w:rsidRPr="00B93E22">
        <w:rPr>
          <w:b/>
          <w:bCs/>
        </w:rPr>
        <w:t xml:space="preserve">Implementation of Draft Call Letter Provisions related to Transparency </w:t>
      </w:r>
    </w:p>
    <w:p w14:paraId="7292F8A6" w14:textId="77777777" w:rsidR="00651F2E" w:rsidRPr="00B93E22" w:rsidRDefault="00651F2E" w:rsidP="00651F2E">
      <w:pPr>
        <w:pStyle w:val="Default"/>
        <w:tabs>
          <w:tab w:val="left" w:pos="0"/>
        </w:tabs>
        <w:rPr>
          <w:bCs/>
          <w:i/>
          <w:spacing w:val="-3"/>
        </w:rPr>
      </w:pPr>
    </w:p>
    <w:p w14:paraId="0B59F49D" w14:textId="77777777" w:rsidR="00BD706B" w:rsidRPr="00B93E22" w:rsidRDefault="00BD706B" w:rsidP="00BD706B">
      <w:pPr>
        <w:pStyle w:val="Default"/>
      </w:pPr>
      <w:r w:rsidRPr="00B93E22">
        <w:t xml:space="preserve">The Draft Call Letter reminds MAOs that they should be transparent and provide adequate notice of any coverage restrictions, such as PA requirements, to providers and enrollees by specifying the existence of any coverage restrictions, including what information is needed when submitting a PA request, in the plan’s Evidence of Coverage (EOC), their contracts with providers and additional provider communications/materials (e.g., provider manuals). The Draft Call Letter also reminds MAOs to make PA request forms available and easily accessible; to deliver timely decisions on PA requests; and subject PA requests to applicable pre-service organization determination adjudication timeframes and notice requirements under the MA regulations. We very much appreciate CMS’ inclusion of these requirements in the Draft Call Letter. </w:t>
      </w:r>
    </w:p>
    <w:p w14:paraId="1509EBB4" w14:textId="77777777" w:rsidR="00C94404" w:rsidRPr="00B93E22" w:rsidRDefault="00C94404" w:rsidP="00BD706B">
      <w:pPr>
        <w:pStyle w:val="Default"/>
      </w:pPr>
    </w:p>
    <w:p w14:paraId="38A40280" w14:textId="77777777" w:rsidR="00C94404" w:rsidRPr="00B93E22" w:rsidRDefault="00C94404" w:rsidP="00C94404">
      <w:pPr>
        <w:pStyle w:val="Default"/>
      </w:pPr>
      <w:r w:rsidRPr="00B93E22">
        <w:rPr>
          <w:bCs/>
          <w:spacing w:val="-3"/>
        </w:rPr>
        <w:t xml:space="preserve">Section </w:t>
      </w:r>
      <w:r w:rsidRPr="00B93E22">
        <w:t>1</w:t>
      </w:r>
      <w:r w:rsidRPr="00B93E22">
        <w:rPr>
          <w:bCs/>
          <w:spacing w:val="-3"/>
        </w:rPr>
        <w:t xml:space="preserve">852( c)(1)(G)  of the Social Security Act specifically requires that each MAO </w:t>
      </w:r>
      <w:r w:rsidRPr="00B93E22">
        <w:t>disclose, in clear, accurate, and standardized form to each enrollee:</w:t>
      </w:r>
    </w:p>
    <w:p w14:paraId="0700C57D" w14:textId="77777777" w:rsidR="00C94404" w:rsidRPr="00B93E22" w:rsidRDefault="00C94404" w:rsidP="00C94404">
      <w:pPr>
        <w:pStyle w:val="Default"/>
      </w:pPr>
    </w:p>
    <w:p w14:paraId="43A50FD9" w14:textId="77777777" w:rsidR="00C94404" w:rsidRPr="00B93E22" w:rsidRDefault="00C94404" w:rsidP="00C94404">
      <w:pPr>
        <w:pStyle w:val="Default"/>
        <w:ind w:left="720"/>
      </w:pPr>
      <w:bookmarkStart w:id="0" w:name="_GoBack"/>
      <w:r w:rsidRPr="00B93E22">
        <w:lastRenderedPageBreak/>
        <w:t xml:space="preserve">Rules regarding prior authorization or other review requirements that could result in nonpayment.  </w:t>
      </w:r>
    </w:p>
    <w:p w14:paraId="2E5DBD97" w14:textId="77777777" w:rsidR="00C94404" w:rsidRPr="00B93E22" w:rsidRDefault="00C94404" w:rsidP="00C94404">
      <w:pPr>
        <w:pStyle w:val="Default"/>
        <w:ind w:left="720"/>
      </w:pPr>
    </w:p>
    <w:p w14:paraId="5D3F27D0" w14:textId="77777777" w:rsidR="00C94404" w:rsidRPr="00B93E22" w:rsidRDefault="00C94404" w:rsidP="00C94404">
      <w:pPr>
        <w:pStyle w:val="Default"/>
      </w:pPr>
      <w:r w:rsidRPr="00B93E22">
        <w:t>Such disclosure must be made at the time of enrollment and at least annually thereafter.  This requirement is also reflected in the implementing regulations.</w:t>
      </w:r>
    </w:p>
    <w:p w14:paraId="5AE74E39" w14:textId="77777777" w:rsidR="00C94404" w:rsidRPr="00B93E22" w:rsidRDefault="00C94404" w:rsidP="00C94404">
      <w:pPr>
        <w:pStyle w:val="Default"/>
      </w:pPr>
    </w:p>
    <w:p w14:paraId="76B0BD9D" w14:textId="77777777" w:rsidR="00244A61" w:rsidRPr="00B93E22" w:rsidRDefault="00C94404" w:rsidP="00244A61">
      <w:pPr>
        <w:pStyle w:val="Default"/>
        <w:ind w:left="720"/>
        <w:rPr>
          <w:i/>
        </w:rPr>
      </w:pPr>
      <w:r w:rsidRPr="00B93E22">
        <w:rPr>
          <w:i/>
          <w:u w:val="single"/>
        </w:rPr>
        <w:t>Recommendation:</w:t>
      </w:r>
      <w:r w:rsidRPr="00B93E22">
        <w:rPr>
          <w:i/>
        </w:rPr>
        <w:t xml:space="preserve">  Since the statute and regulations both require that rules regarding PA be disclosed in “standardized format</w:t>
      </w:r>
      <w:r w:rsidR="00244A61" w:rsidRPr="00B93E22">
        <w:rPr>
          <w:i/>
        </w:rPr>
        <w:t>,</w:t>
      </w:r>
      <w:r w:rsidRPr="00B93E22">
        <w:rPr>
          <w:i/>
        </w:rPr>
        <w:t>”</w:t>
      </w:r>
      <w:r w:rsidR="00244A61" w:rsidRPr="00B93E22">
        <w:rPr>
          <w:i/>
        </w:rPr>
        <w:t xml:space="preserve"> we recommend that CMS provide to MAOs the language that they are required to include in the plan’s </w:t>
      </w:r>
      <w:r w:rsidR="004873A8" w:rsidRPr="00B93E22">
        <w:rPr>
          <w:i/>
        </w:rPr>
        <w:t xml:space="preserve">primary marketing and </w:t>
      </w:r>
      <w:r w:rsidR="00244A61" w:rsidRPr="00B93E22">
        <w:rPr>
          <w:i/>
        </w:rPr>
        <w:t>EOC</w:t>
      </w:r>
      <w:r w:rsidR="004873A8" w:rsidRPr="00B93E22">
        <w:rPr>
          <w:i/>
        </w:rPr>
        <w:t xml:space="preserve">. </w:t>
      </w:r>
    </w:p>
    <w:p w14:paraId="7567393A" w14:textId="77777777" w:rsidR="00B628CE" w:rsidRPr="00B93E22" w:rsidRDefault="00B628CE" w:rsidP="00244A61">
      <w:pPr>
        <w:pStyle w:val="Default"/>
        <w:ind w:left="720"/>
      </w:pPr>
    </w:p>
    <w:p w14:paraId="140B5664" w14:textId="77777777" w:rsidR="00B628CE" w:rsidRPr="00B93E22" w:rsidRDefault="00B628CE" w:rsidP="00B628CE">
      <w:pPr>
        <w:pStyle w:val="Default"/>
        <w:tabs>
          <w:tab w:val="left" w:pos="0"/>
        </w:tabs>
        <w:ind w:left="720"/>
        <w:rPr>
          <w:i/>
        </w:rPr>
      </w:pPr>
      <w:r w:rsidRPr="00B93E22">
        <w:rPr>
          <w:i/>
          <w:u w:val="single"/>
        </w:rPr>
        <w:t xml:space="preserve">Recommendation: </w:t>
      </w:r>
      <w:r w:rsidRPr="00B93E22">
        <w:rPr>
          <w:i/>
        </w:rPr>
        <w:t xml:space="preserve">We urge CMS to enforce the requirement that MAOs disclose PA restrictions in its EOC, contracts with providers and additional provider communications through the agency’s review of an MAO’s marketing materials, through MA plan audits, and through other enforcement tools that CMS has available to it. </w:t>
      </w:r>
    </w:p>
    <w:p w14:paraId="11FDF899" w14:textId="77777777" w:rsidR="00B628CE" w:rsidRPr="00B93E22" w:rsidRDefault="00B628CE" w:rsidP="00244A61">
      <w:pPr>
        <w:pStyle w:val="Default"/>
        <w:ind w:left="720"/>
        <w:rPr>
          <w:i/>
          <w:u w:val="single"/>
        </w:rPr>
      </w:pPr>
    </w:p>
    <w:p w14:paraId="5736B6E2" w14:textId="77777777" w:rsidR="00C94404" w:rsidRPr="00B93E22" w:rsidRDefault="00244A61" w:rsidP="00244A61">
      <w:pPr>
        <w:pStyle w:val="Default"/>
        <w:ind w:left="720"/>
      </w:pPr>
      <w:r w:rsidRPr="00B93E22">
        <w:t xml:space="preserve"> </w:t>
      </w:r>
    </w:p>
    <w:p w14:paraId="6912E9DF" w14:textId="77777777" w:rsidR="00C94404" w:rsidRPr="00B93E22" w:rsidRDefault="00244A61" w:rsidP="00244A61">
      <w:pPr>
        <w:pStyle w:val="Default"/>
        <w:numPr>
          <w:ilvl w:val="0"/>
          <w:numId w:val="7"/>
        </w:numPr>
      </w:pPr>
      <w:r w:rsidRPr="00B93E22">
        <w:rPr>
          <w:b/>
          <w:bCs/>
        </w:rPr>
        <w:t>Oversight and Audit Focus on PA</w:t>
      </w:r>
    </w:p>
    <w:p w14:paraId="15A2EDD3" w14:textId="77777777" w:rsidR="00BD706B" w:rsidRPr="00B93E22" w:rsidRDefault="00BD706B" w:rsidP="00BD706B">
      <w:pPr>
        <w:pStyle w:val="Default"/>
        <w:tabs>
          <w:tab w:val="left" w:pos="0"/>
        </w:tabs>
        <w:rPr>
          <w:i/>
        </w:rPr>
      </w:pPr>
    </w:p>
    <w:p w14:paraId="268A7B04" w14:textId="77777777" w:rsidR="00651F2E" w:rsidRPr="00B93E22" w:rsidRDefault="00BD706B" w:rsidP="00BD706B">
      <w:pPr>
        <w:pStyle w:val="Default"/>
        <w:tabs>
          <w:tab w:val="left" w:pos="0"/>
        </w:tabs>
        <w:rPr>
          <w:bCs/>
        </w:rPr>
      </w:pPr>
      <w:r w:rsidRPr="00B93E22">
        <w:t xml:space="preserve">Beyond issues related to transparency and adherence to regulatory appeal and notice requirements, </w:t>
      </w:r>
      <w:r w:rsidR="00651F2E" w:rsidRPr="00B93E22">
        <w:rPr>
          <w:bCs/>
          <w:spacing w:val="-3"/>
        </w:rPr>
        <w:t>we urge CMS to focus its oversight and audit activities on ensuring that MAOs’ PA processes do not establish inappropriate barriers to access, and to include in the final Draft Call Letter a statement placing MAOs on notice that this will be a focus area for audit and oversight in coming years. Last year’s</w:t>
      </w:r>
      <w:r w:rsidR="00884C1E" w:rsidRPr="00B93E22">
        <w:rPr>
          <w:bCs/>
        </w:rPr>
        <w:t xml:space="preserve"> </w:t>
      </w:r>
      <w:r w:rsidR="00042B32" w:rsidRPr="00B93E22">
        <w:rPr>
          <w:bCs/>
        </w:rPr>
        <w:t>Draft Call Letter</w:t>
      </w:r>
      <w:r w:rsidR="00884C1E" w:rsidRPr="00B93E22">
        <w:rPr>
          <w:bCs/>
        </w:rPr>
        <w:t xml:space="preserve"> and </w:t>
      </w:r>
      <w:r w:rsidR="00F62883" w:rsidRPr="00B93E22">
        <w:rPr>
          <w:bCs/>
        </w:rPr>
        <w:t>other agency action</w:t>
      </w:r>
      <w:r w:rsidR="00D70367" w:rsidRPr="00B93E22">
        <w:rPr>
          <w:bCs/>
        </w:rPr>
        <w:t>s</w:t>
      </w:r>
      <w:r w:rsidR="00F62883" w:rsidRPr="00B93E22">
        <w:rPr>
          <w:bCs/>
        </w:rPr>
        <w:t xml:space="preserve"> suggest </w:t>
      </w:r>
      <w:r w:rsidR="00D70367" w:rsidRPr="00B93E22">
        <w:rPr>
          <w:bCs/>
        </w:rPr>
        <w:t xml:space="preserve">that CMS has a </w:t>
      </w:r>
      <w:r w:rsidR="00F62883" w:rsidRPr="00B93E22">
        <w:rPr>
          <w:bCs/>
        </w:rPr>
        <w:t xml:space="preserve">growing concern about </w:t>
      </w:r>
      <w:r w:rsidR="00A6645B" w:rsidRPr="00B93E22">
        <w:rPr>
          <w:bCs/>
        </w:rPr>
        <w:t xml:space="preserve">beneficiary access to prescription drugs as the result of PA and other utilization management tools by Medicare Part D PDPs, but the same </w:t>
      </w:r>
      <w:r w:rsidR="00286A2A" w:rsidRPr="00B93E22">
        <w:rPr>
          <w:bCs/>
        </w:rPr>
        <w:t xml:space="preserve">audit focus has not been evident with regard to the use of PA to delay or preclude </w:t>
      </w:r>
      <w:r w:rsidR="00A6645B" w:rsidRPr="00B93E22">
        <w:rPr>
          <w:bCs/>
        </w:rPr>
        <w:t>beneficiary access to medical services</w:t>
      </w:r>
      <w:r w:rsidR="00651F2E" w:rsidRPr="00B93E22">
        <w:rPr>
          <w:bCs/>
        </w:rPr>
        <w:t xml:space="preserve">.  </w:t>
      </w:r>
    </w:p>
    <w:p w14:paraId="299E073F" w14:textId="77777777" w:rsidR="009D3B0B" w:rsidRPr="00B93E22" w:rsidRDefault="009D3B0B" w:rsidP="00651F2E">
      <w:pPr>
        <w:pStyle w:val="Default"/>
        <w:tabs>
          <w:tab w:val="left" w:pos="0"/>
        </w:tabs>
        <w:ind w:left="720"/>
        <w:rPr>
          <w:bCs/>
          <w:i/>
          <w:u w:val="single"/>
        </w:rPr>
      </w:pPr>
    </w:p>
    <w:p w14:paraId="2E88B79B" w14:textId="77777777" w:rsidR="00244A61" w:rsidRPr="00B93E22" w:rsidRDefault="00651F2E" w:rsidP="00244A61">
      <w:pPr>
        <w:pStyle w:val="Default"/>
        <w:tabs>
          <w:tab w:val="left" w:pos="0"/>
        </w:tabs>
        <w:ind w:left="720"/>
        <w:rPr>
          <w:i/>
        </w:rPr>
      </w:pPr>
      <w:r w:rsidRPr="00B93E22">
        <w:rPr>
          <w:bCs/>
          <w:i/>
          <w:u w:val="single"/>
        </w:rPr>
        <w:t>Recommendation:</w:t>
      </w:r>
      <w:r w:rsidRPr="00B93E22">
        <w:rPr>
          <w:bCs/>
          <w:i/>
        </w:rPr>
        <w:t xml:space="preserve">  We urge CMS to focus oversight and audit activities on the extent of PA requirements imposed by MAOs and to make this focus clear in the final Call Letter.  </w:t>
      </w:r>
    </w:p>
    <w:p w14:paraId="4DF8863B" w14:textId="77777777" w:rsidR="001729EF" w:rsidRPr="00B93E22" w:rsidRDefault="001729EF" w:rsidP="00651F2E">
      <w:pPr>
        <w:pStyle w:val="Default"/>
        <w:tabs>
          <w:tab w:val="left" w:pos="0"/>
        </w:tabs>
        <w:ind w:left="720"/>
        <w:rPr>
          <w:i/>
        </w:rPr>
      </w:pPr>
    </w:p>
    <w:p w14:paraId="584AC6B8"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Again, we very much appreciate CMS’ responsiveness to our concerns about the use of PA by MAOs, and look forward to working with you to build on the Draft Call Letter’s strong start in addressing this important issue. </w:t>
      </w:r>
    </w:p>
    <w:p w14:paraId="47B66F37" w14:textId="77777777" w:rsidR="00651F2E" w:rsidRPr="00B93E22" w:rsidRDefault="00651F2E">
      <w:pPr>
        <w:spacing w:after="0" w:line="240" w:lineRule="auto"/>
        <w:rPr>
          <w:rFonts w:ascii="Times New Roman" w:hAnsi="Times New Roman" w:cs="Times New Roman"/>
          <w:sz w:val="24"/>
          <w:szCs w:val="24"/>
        </w:rPr>
      </w:pPr>
    </w:p>
    <w:p w14:paraId="3CD559D0"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Sincerely yours, </w:t>
      </w:r>
    </w:p>
    <w:p w14:paraId="03AFD4D7" w14:textId="77777777" w:rsidR="00B93E22" w:rsidRPr="00B93E22" w:rsidRDefault="00B93E22">
      <w:pPr>
        <w:spacing w:after="0" w:line="240" w:lineRule="auto"/>
        <w:rPr>
          <w:rFonts w:ascii="Times New Roman" w:hAnsi="Times New Roman" w:cs="Times New Roman"/>
          <w:sz w:val="24"/>
          <w:szCs w:val="24"/>
        </w:rPr>
      </w:pPr>
    </w:p>
    <w:p w14:paraId="57F0DE33"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Dermatology Association</w:t>
      </w:r>
    </w:p>
    <w:p w14:paraId="4E8941F7"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Neurology</w:t>
      </w:r>
    </w:p>
    <w:p w14:paraId="02B4743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Ophthalmology</w:t>
      </w:r>
    </w:p>
    <w:p w14:paraId="5FDAAFB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Association of Neurological Surgeons and</w:t>
      </w:r>
    </w:p>
    <w:p w14:paraId="63936ACD"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           the Congress of Neurological Surgeons</w:t>
      </w:r>
    </w:p>
    <w:p w14:paraId="29752639"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College of Rheumatology</w:t>
      </w:r>
    </w:p>
    <w:p w14:paraId="0E4813D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Society of Clinical Oncology</w:t>
      </w:r>
    </w:p>
    <w:p w14:paraId="383743AD" w14:textId="27D58928" w:rsidR="00BD706B" w:rsidRPr="007F1131" w:rsidRDefault="00B93E22">
      <w:pPr>
        <w:spacing w:after="0" w:line="240" w:lineRule="auto"/>
        <w:rPr>
          <w:rFonts w:ascii="Times New Roman" w:hAnsi="Times New Roman" w:cs="Times New Roman"/>
        </w:rPr>
      </w:pPr>
      <w:r w:rsidRPr="00B93E22">
        <w:rPr>
          <w:rFonts w:ascii="Times New Roman" w:hAnsi="Times New Roman" w:cs="Times New Roman"/>
          <w:sz w:val="24"/>
          <w:szCs w:val="24"/>
        </w:rPr>
        <w:t>American Urological Association</w:t>
      </w:r>
    </w:p>
    <w:p w14:paraId="445FDD4C" w14:textId="77777777" w:rsidR="004873A8" w:rsidRPr="007F1131" w:rsidRDefault="004873A8">
      <w:pPr>
        <w:spacing w:after="0" w:line="240" w:lineRule="auto"/>
        <w:rPr>
          <w:rFonts w:ascii="Times New Roman" w:hAnsi="Times New Roman" w:cs="Times New Roman"/>
        </w:rPr>
      </w:pPr>
    </w:p>
    <w:p w14:paraId="2CB98494" w14:textId="77777777" w:rsidR="004873A8" w:rsidRPr="007F1131" w:rsidRDefault="004873A8">
      <w:pPr>
        <w:spacing w:after="0" w:line="240" w:lineRule="auto"/>
        <w:rPr>
          <w:rFonts w:ascii="Times New Roman" w:hAnsi="Times New Roman" w:cs="Times New Roman"/>
        </w:rPr>
      </w:pPr>
    </w:p>
    <w:bookmarkEnd w:id="0"/>
    <w:p w14:paraId="0B00CA40" w14:textId="77777777" w:rsidR="00C06015" w:rsidRPr="00723555" w:rsidRDefault="00C06015">
      <w:pPr>
        <w:spacing w:after="0" w:line="240" w:lineRule="auto"/>
        <w:rPr>
          <w:rFonts w:ascii="Times New Roman" w:hAnsi="Times New Roman" w:cs="Times New Roman"/>
        </w:rPr>
      </w:pPr>
    </w:p>
    <w:sectPr w:rsidR="00C06015" w:rsidRPr="00723555" w:rsidSect="0067329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AF498" w14:textId="77777777" w:rsidR="00675848" w:rsidRDefault="00675848" w:rsidP="00A44EC8">
      <w:pPr>
        <w:spacing w:after="0" w:line="240" w:lineRule="auto"/>
      </w:pPr>
      <w:r>
        <w:separator/>
      </w:r>
    </w:p>
  </w:endnote>
  <w:endnote w:type="continuationSeparator" w:id="0">
    <w:p w14:paraId="670C9639" w14:textId="77777777" w:rsidR="00675848" w:rsidRDefault="00675848" w:rsidP="00A4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D2B76" w14:textId="77777777" w:rsidR="00A44EC8" w:rsidRDefault="00A44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332F" w14:textId="7427A79F" w:rsidR="00A44EC8" w:rsidRPr="00A44EC8" w:rsidRDefault="00EC79E5">
    <w:pPr>
      <w:pStyle w:val="Footer"/>
    </w:pPr>
    <w:r w:rsidRPr="00EC79E5">
      <w:rPr>
        <w:noProof/>
        <w:sz w:val="16"/>
      </w:rPr>
      <w:t>{D0768719.DOCX / 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EDE1" w14:textId="77777777" w:rsidR="00A44EC8" w:rsidRDefault="00A44E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C0E70" w14:textId="77777777" w:rsidR="00675848" w:rsidRDefault="00675848" w:rsidP="00A44EC8">
      <w:pPr>
        <w:spacing w:after="0" w:line="240" w:lineRule="auto"/>
        <w:rPr>
          <w:noProof/>
        </w:rPr>
      </w:pPr>
      <w:r>
        <w:rPr>
          <w:noProof/>
        </w:rPr>
        <w:separator/>
      </w:r>
    </w:p>
  </w:footnote>
  <w:footnote w:type="continuationSeparator" w:id="0">
    <w:p w14:paraId="245F198A" w14:textId="77777777" w:rsidR="00675848" w:rsidRDefault="00675848" w:rsidP="00A44EC8">
      <w:pPr>
        <w:spacing w:after="0" w:line="240" w:lineRule="auto"/>
      </w:pPr>
      <w:r>
        <w:continuationSeparator/>
      </w:r>
    </w:p>
  </w:footnote>
  <w:footnote w:id="1">
    <w:p w14:paraId="229FE352" w14:textId="77777777" w:rsidR="009D3B0B" w:rsidRDefault="009D3B0B">
      <w:pPr>
        <w:pStyle w:val="FootnoteText"/>
      </w:pPr>
      <w:r>
        <w:rPr>
          <w:rStyle w:val="FootnoteReference"/>
        </w:rPr>
        <w:footnoteRef/>
      </w:r>
      <w:hyperlink r:id="rId1" w:history="1">
        <w:r w:rsidR="00FA1757" w:rsidRPr="005C35CB">
          <w:rPr>
            <w:rStyle w:val="Hyperlink"/>
          </w:rPr>
          <w:t>https://www.mgma.com/getattachment/Government-Affairs/Issues-overview/Health-Information-Technology/Administrative-Simplification/Administrative-Simplification/Finalized-PA-consensus-statement-120717-logos.pdf</w:t>
        </w:r>
      </w:hyperlink>
      <w:r w:rsidR="00FA1757">
        <w:t xml:space="preserve">. </w:t>
      </w:r>
      <w:r>
        <w:t xml:space="preserve"> </w:t>
      </w:r>
    </w:p>
  </w:footnote>
  <w:footnote w:id="2">
    <w:p w14:paraId="0BD64E56" w14:textId="77777777" w:rsidR="009F7D8A" w:rsidRPr="00F52FAF" w:rsidRDefault="009F7D8A" w:rsidP="009F7D8A">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2"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3"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4"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5"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3787FD21" w14:textId="77777777" w:rsidR="009F7D8A" w:rsidRPr="00F52FAF" w:rsidRDefault="009F7D8A" w:rsidP="009F7D8A">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3">
    <w:p w14:paraId="6AE076CF" w14:textId="77777777" w:rsidR="00B33191" w:rsidRPr="00F52FAF" w:rsidRDefault="00B33191" w:rsidP="00B33191">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6"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7"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8"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9"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403AE1FA" w14:textId="77777777" w:rsidR="00B33191" w:rsidRPr="00F52FAF" w:rsidRDefault="00B33191" w:rsidP="00B33191">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4">
    <w:p w14:paraId="2DFC1A8C" w14:textId="77777777" w:rsidR="00B33191" w:rsidRDefault="00B33191" w:rsidP="00B33191">
      <w:pPr>
        <w:pStyle w:val="FootnoteText"/>
        <w:rPr>
          <w:rFonts w:ascii="Times New Roman" w:hAnsi="Times New Roman" w:cs="Times New Roman"/>
          <w:bCs/>
          <w:color w:val="333333"/>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I</w:t>
      </w:r>
      <w:r w:rsidRPr="00F52FAF">
        <w:rPr>
          <w:rFonts w:ascii="Times New Roman" w:hAnsi="Times New Roman" w:cs="Times New Roman"/>
          <w:bCs/>
          <w:spacing w:val="-3"/>
          <w:sz w:val="22"/>
          <w:szCs w:val="22"/>
        </w:rPr>
        <w:t>n HIPAA parlance, “</w:t>
      </w:r>
      <w:r w:rsidRPr="00F52FAF">
        <w:rPr>
          <w:rFonts w:ascii="Times New Roman" w:hAnsi="Times New Roman" w:cs="Times New Roman"/>
          <w:bCs/>
          <w:color w:val="333333"/>
          <w:sz w:val="22"/>
          <w:szCs w:val="22"/>
        </w:rPr>
        <w:t>referral certification and authorization” transactions</w:t>
      </w:r>
    </w:p>
    <w:p w14:paraId="3B9347D3" w14:textId="77777777" w:rsidR="00B33191" w:rsidRPr="00F52FAF" w:rsidRDefault="00B33191" w:rsidP="00B33191">
      <w:pPr>
        <w:pStyle w:val="FootnoteText"/>
        <w:rPr>
          <w:rFonts w:ascii="Times New Roman" w:hAnsi="Times New Roman" w:cs="Times New Roman"/>
          <w:sz w:val="22"/>
          <w:szCs w:val="22"/>
        </w:rPr>
      </w:pPr>
    </w:p>
  </w:footnote>
  <w:footnote w:id="5">
    <w:p w14:paraId="1C3730C3" w14:textId="77777777" w:rsidR="00B33191" w:rsidRPr="00F52FAF" w:rsidRDefault="00B33191" w:rsidP="00B33191">
      <w:pPr>
        <w:autoSpaceDE w:val="0"/>
        <w:autoSpaceDN w:val="0"/>
        <w:adjustRightInd w:val="0"/>
        <w:spacing w:after="0" w:line="240" w:lineRule="auto"/>
        <w:rPr>
          <w:rFonts w:ascii="Times New Roman" w:hAnsi="Times New Roman" w:cs="Times New Roman"/>
          <w:bCs/>
          <w:spacing w:val="-3"/>
        </w:rPr>
      </w:pPr>
      <w:r w:rsidRPr="00F52FAF">
        <w:rPr>
          <w:rStyle w:val="FootnoteReference"/>
          <w:rFonts w:ascii="Times New Roman" w:hAnsi="Times New Roman" w:cs="Times New Roman"/>
        </w:rPr>
        <w:footnoteRef/>
      </w:r>
      <w:r w:rsidRPr="00F52FAF">
        <w:rPr>
          <w:rFonts w:ascii="Times New Roman" w:hAnsi="Times New Roman" w:cs="Times New Roman"/>
        </w:rPr>
        <w:t xml:space="preserve"> </w:t>
      </w:r>
      <w:r w:rsidRPr="00F52FAF">
        <w:rPr>
          <w:rFonts w:ascii="Times New Roman" w:hAnsi="Times New Roman" w:cs="Times New Roman"/>
          <w:bCs/>
          <w:spacing w:val="-3"/>
        </w:rPr>
        <w:t xml:space="preserve">45 CFR </w:t>
      </w:r>
      <w:r w:rsidRPr="00F52FAF">
        <w:rPr>
          <w:rFonts w:ascii="Times New Roman" w:eastAsia="Times New Roman" w:hAnsi="Times New Roman" w:cs="Times New Roman"/>
          <w:bCs/>
          <w:color w:val="333333"/>
        </w:rPr>
        <w:t>§162.1302</w:t>
      </w:r>
      <w:r w:rsidRPr="00F52FAF">
        <w:rPr>
          <w:rFonts w:ascii="Times New Roman" w:hAnsi="Times New Roman" w:cs="Times New Roman"/>
          <w:bCs/>
          <w:spacing w:val="-3"/>
        </w:rPr>
        <w:t xml:space="preserve">.  </w:t>
      </w:r>
    </w:p>
    <w:p w14:paraId="0C566AC8" w14:textId="77777777" w:rsidR="00B33191" w:rsidRPr="00462628" w:rsidRDefault="00B33191" w:rsidP="00B33191">
      <w:pPr>
        <w:pStyle w:val="FootnoteText"/>
        <w:rPr>
          <w:rFonts w:ascii="Times New Roman" w:hAnsi="Times New Roman" w:cs="Times New Roman"/>
          <w:sz w:val="22"/>
          <w:szCs w:val="22"/>
        </w:rPr>
      </w:pPr>
    </w:p>
  </w:footnote>
  <w:footnote w:id="6">
    <w:p w14:paraId="6A4B2823" w14:textId="4FE60A8F" w:rsidR="00BD706B" w:rsidRPr="000A14F5" w:rsidRDefault="00BD706B" w:rsidP="00BD706B">
      <w:pPr>
        <w:pStyle w:val="FootnoteText"/>
        <w:rPr>
          <w:rFonts w:ascii="Times New Roman" w:hAnsi="Times New Roman" w:cs="Times New Roman"/>
        </w:rPr>
      </w:pPr>
      <w:r w:rsidRPr="00D70367">
        <w:rPr>
          <w:rStyle w:val="FootnoteReference"/>
          <w:rFonts w:ascii="Times New Roman" w:hAnsi="Times New Roman" w:cs="Times New Roman"/>
          <w:sz w:val="22"/>
          <w:szCs w:val="22"/>
        </w:rPr>
        <w:footnoteRef/>
      </w:r>
      <w:r w:rsidRPr="00D70367">
        <w:rPr>
          <w:rFonts w:ascii="Times New Roman" w:hAnsi="Times New Roman" w:cs="Times New Roman"/>
          <w:sz w:val="22"/>
          <w:szCs w:val="22"/>
        </w:rPr>
        <w:t xml:space="preserve"> It is our understanding that, u</w:t>
      </w:r>
      <w:r w:rsidRPr="00D70367">
        <w:rPr>
          <w:rFonts w:ascii="Times New Roman" w:hAnsi="Times New Roman" w:cs="Times New Roman"/>
          <w:bCs/>
          <w:sz w:val="22"/>
          <w:szCs w:val="22"/>
        </w:rPr>
        <w:t xml:space="preserve">nder this proposal, the results of </w:t>
      </w:r>
      <w:r w:rsidRPr="00D70367">
        <w:rPr>
          <w:rFonts w:ascii="Times New Roman" w:hAnsi="Times New Roman" w:cs="Times New Roman"/>
          <w:sz w:val="22"/>
          <w:szCs w:val="22"/>
        </w:rPr>
        <w:t>the Formulary Administration Analysis (FAA) program would be publicized. Under this program, CMS evaluates a sample of rejected claims to determine whether Part D sponsors (including Medicare Advantage Plans offering Part D benefits) are</w:t>
      </w:r>
      <w:r w:rsidRPr="000A14F5">
        <w:rPr>
          <w:rFonts w:ascii="Times New Roman" w:hAnsi="Times New Roman" w:cs="Times New Roman"/>
          <w:sz w:val="22"/>
          <w:szCs w:val="22"/>
        </w:rPr>
        <w:t xml:space="preserve"> appropriately adjudicating Part D drug claims, assigning a pass or fail to each sample claim depending on the appropriateness of the rejection.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4F278" w14:textId="77777777" w:rsidR="00A44EC8" w:rsidRDefault="00A44E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F8746" w14:textId="77777777" w:rsidR="00A44EC8" w:rsidRDefault="00A44E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4685" w14:textId="77777777" w:rsidR="00A44EC8" w:rsidRDefault="00A44E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42CC"/>
    <w:multiLevelType w:val="hybridMultilevel"/>
    <w:tmpl w:val="5D527DE0"/>
    <w:lvl w:ilvl="0" w:tplc="28CC80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245D7"/>
    <w:multiLevelType w:val="hybridMultilevel"/>
    <w:tmpl w:val="409E5D42"/>
    <w:lvl w:ilvl="0" w:tplc="F1D29C6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B9244F"/>
    <w:multiLevelType w:val="hybridMultilevel"/>
    <w:tmpl w:val="2F4C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B2B8A"/>
    <w:multiLevelType w:val="hybridMultilevel"/>
    <w:tmpl w:val="120E040E"/>
    <w:lvl w:ilvl="0" w:tplc="F1D29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31749"/>
    <w:multiLevelType w:val="hybridMultilevel"/>
    <w:tmpl w:val="E6B0B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21562B"/>
    <w:multiLevelType w:val="hybridMultilevel"/>
    <w:tmpl w:val="5694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C8"/>
    <w:rsid w:val="00010919"/>
    <w:rsid w:val="00010C95"/>
    <w:rsid w:val="000339D5"/>
    <w:rsid w:val="00042B32"/>
    <w:rsid w:val="00053C09"/>
    <w:rsid w:val="00061B70"/>
    <w:rsid w:val="0007535E"/>
    <w:rsid w:val="000A14F5"/>
    <w:rsid w:val="000E2CC9"/>
    <w:rsid w:val="000E429D"/>
    <w:rsid w:val="000E707D"/>
    <w:rsid w:val="001625B7"/>
    <w:rsid w:val="0016576F"/>
    <w:rsid w:val="001729EF"/>
    <w:rsid w:val="00195793"/>
    <w:rsid w:val="00197CAF"/>
    <w:rsid w:val="001E06B2"/>
    <w:rsid w:val="0020064E"/>
    <w:rsid w:val="00201BAA"/>
    <w:rsid w:val="00210916"/>
    <w:rsid w:val="00244A61"/>
    <w:rsid w:val="0025600A"/>
    <w:rsid w:val="00264684"/>
    <w:rsid w:val="00286A2A"/>
    <w:rsid w:val="002A1362"/>
    <w:rsid w:val="002A14A8"/>
    <w:rsid w:val="002B2C39"/>
    <w:rsid w:val="002C26E0"/>
    <w:rsid w:val="003116DC"/>
    <w:rsid w:val="00311FC0"/>
    <w:rsid w:val="00334C42"/>
    <w:rsid w:val="00354258"/>
    <w:rsid w:val="00374F0A"/>
    <w:rsid w:val="00386DF4"/>
    <w:rsid w:val="0039764A"/>
    <w:rsid w:val="003C651B"/>
    <w:rsid w:val="003D35E1"/>
    <w:rsid w:val="003E432B"/>
    <w:rsid w:val="003E7088"/>
    <w:rsid w:val="00400CFF"/>
    <w:rsid w:val="00455E95"/>
    <w:rsid w:val="0046040A"/>
    <w:rsid w:val="004732FD"/>
    <w:rsid w:val="004873A8"/>
    <w:rsid w:val="00495F86"/>
    <w:rsid w:val="004A2866"/>
    <w:rsid w:val="004A5377"/>
    <w:rsid w:val="005678A7"/>
    <w:rsid w:val="0057132D"/>
    <w:rsid w:val="005A630A"/>
    <w:rsid w:val="005D2AE0"/>
    <w:rsid w:val="00647F6B"/>
    <w:rsid w:val="00651F2E"/>
    <w:rsid w:val="0065797B"/>
    <w:rsid w:val="006710BB"/>
    <w:rsid w:val="00673297"/>
    <w:rsid w:val="00675848"/>
    <w:rsid w:val="006A4420"/>
    <w:rsid w:val="006D3D5A"/>
    <w:rsid w:val="006F7BE6"/>
    <w:rsid w:val="00713387"/>
    <w:rsid w:val="00723555"/>
    <w:rsid w:val="00754A00"/>
    <w:rsid w:val="007765DE"/>
    <w:rsid w:val="007F1131"/>
    <w:rsid w:val="00801343"/>
    <w:rsid w:val="00882BFD"/>
    <w:rsid w:val="00884A83"/>
    <w:rsid w:val="00884C1E"/>
    <w:rsid w:val="008A0A93"/>
    <w:rsid w:val="008A7203"/>
    <w:rsid w:val="008E45C4"/>
    <w:rsid w:val="008F295F"/>
    <w:rsid w:val="00913806"/>
    <w:rsid w:val="00913FE3"/>
    <w:rsid w:val="00931D1B"/>
    <w:rsid w:val="009505E6"/>
    <w:rsid w:val="00995A11"/>
    <w:rsid w:val="009D3B0B"/>
    <w:rsid w:val="009E7F56"/>
    <w:rsid w:val="009F10E5"/>
    <w:rsid w:val="009F7D8A"/>
    <w:rsid w:val="00A42A76"/>
    <w:rsid w:val="00A44EC8"/>
    <w:rsid w:val="00A55BD8"/>
    <w:rsid w:val="00A6645B"/>
    <w:rsid w:val="00A67D70"/>
    <w:rsid w:val="00A7412B"/>
    <w:rsid w:val="00A75B0D"/>
    <w:rsid w:val="00AA28AB"/>
    <w:rsid w:val="00AB0000"/>
    <w:rsid w:val="00AE290F"/>
    <w:rsid w:val="00B33191"/>
    <w:rsid w:val="00B439C9"/>
    <w:rsid w:val="00B56A7B"/>
    <w:rsid w:val="00B628CE"/>
    <w:rsid w:val="00B93E22"/>
    <w:rsid w:val="00BA44F3"/>
    <w:rsid w:val="00BD706B"/>
    <w:rsid w:val="00C06015"/>
    <w:rsid w:val="00C21C92"/>
    <w:rsid w:val="00C3433F"/>
    <w:rsid w:val="00C40AAB"/>
    <w:rsid w:val="00C50C45"/>
    <w:rsid w:val="00C558BD"/>
    <w:rsid w:val="00C56817"/>
    <w:rsid w:val="00C641B7"/>
    <w:rsid w:val="00C710FD"/>
    <w:rsid w:val="00C90A8F"/>
    <w:rsid w:val="00C94404"/>
    <w:rsid w:val="00C96497"/>
    <w:rsid w:val="00CA1C69"/>
    <w:rsid w:val="00CB1280"/>
    <w:rsid w:val="00CC6A99"/>
    <w:rsid w:val="00CC7F0A"/>
    <w:rsid w:val="00D24395"/>
    <w:rsid w:val="00D4329B"/>
    <w:rsid w:val="00D43BF2"/>
    <w:rsid w:val="00D45CFA"/>
    <w:rsid w:val="00D47A53"/>
    <w:rsid w:val="00D61E7A"/>
    <w:rsid w:val="00D70367"/>
    <w:rsid w:val="00DD1657"/>
    <w:rsid w:val="00DD4AD9"/>
    <w:rsid w:val="00DE3FC8"/>
    <w:rsid w:val="00E13B02"/>
    <w:rsid w:val="00E17C8B"/>
    <w:rsid w:val="00E24BF4"/>
    <w:rsid w:val="00E32F9C"/>
    <w:rsid w:val="00E40B78"/>
    <w:rsid w:val="00E4215D"/>
    <w:rsid w:val="00E5016B"/>
    <w:rsid w:val="00E83237"/>
    <w:rsid w:val="00E8323C"/>
    <w:rsid w:val="00EA2FF3"/>
    <w:rsid w:val="00EB36BE"/>
    <w:rsid w:val="00EB47C7"/>
    <w:rsid w:val="00EC2608"/>
    <w:rsid w:val="00EC79E5"/>
    <w:rsid w:val="00EF3823"/>
    <w:rsid w:val="00F02E27"/>
    <w:rsid w:val="00F14B1E"/>
    <w:rsid w:val="00F62883"/>
    <w:rsid w:val="00FA1757"/>
    <w:rsid w:val="00FB72B4"/>
    <w:rsid w:val="00FE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9F7"/>
  <w15:docId w15:val="{FDED49CC-4C08-41D8-AAE4-C75EC2BA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EC8"/>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C8"/>
    <w:pPr>
      <w:ind w:left="720"/>
      <w:contextualSpacing/>
    </w:pPr>
  </w:style>
  <w:style w:type="paragraph" w:styleId="Header">
    <w:name w:val="header"/>
    <w:basedOn w:val="Normal"/>
    <w:link w:val="HeaderChar"/>
    <w:uiPriority w:val="99"/>
    <w:unhideWhenUsed/>
    <w:rsid w:val="00A4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C8"/>
    <w:rPr>
      <w:rFonts w:asciiTheme="minorHAnsi" w:hAnsiTheme="minorHAnsi"/>
      <w:sz w:val="22"/>
    </w:rPr>
  </w:style>
  <w:style w:type="paragraph" w:styleId="Footer">
    <w:name w:val="footer"/>
    <w:basedOn w:val="Normal"/>
    <w:link w:val="FooterChar"/>
    <w:uiPriority w:val="99"/>
    <w:unhideWhenUsed/>
    <w:rsid w:val="00A4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C8"/>
    <w:rPr>
      <w:rFonts w:asciiTheme="minorHAnsi" w:hAnsiTheme="minorHAnsi"/>
      <w:sz w:val="22"/>
    </w:rPr>
  </w:style>
  <w:style w:type="paragraph" w:customStyle="1" w:styleId="Default">
    <w:name w:val="Default"/>
    <w:rsid w:val="00E13B02"/>
    <w:pPr>
      <w:autoSpaceDE w:val="0"/>
      <w:autoSpaceDN w:val="0"/>
      <w:adjustRightInd w:val="0"/>
    </w:pPr>
    <w:rPr>
      <w:rFonts w:cs="Times New Roman"/>
      <w:color w:val="000000"/>
      <w:szCs w:val="24"/>
    </w:rPr>
  </w:style>
  <w:style w:type="paragraph" w:styleId="FootnoteText">
    <w:name w:val="footnote text"/>
    <w:basedOn w:val="Normal"/>
    <w:link w:val="FootnoteTextChar"/>
    <w:uiPriority w:val="99"/>
    <w:unhideWhenUsed/>
    <w:rsid w:val="00C50C45"/>
    <w:pPr>
      <w:spacing w:after="0" w:line="240" w:lineRule="auto"/>
    </w:pPr>
    <w:rPr>
      <w:sz w:val="20"/>
      <w:szCs w:val="20"/>
    </w:rPr>
  </w:style>
  <w:style w:type="character" w:customStyle="1" w:styleId="FootnoteTextChar">
    <w:name w:val="Footnote Text Char"/>
    <w:basedOn w:val="DefaultParagraphFont"/>
    <w:link w:val="FootnoteText"/>
    <w:uiPriority w:val="99"/>
    <w:rsid w:val="00C50C45"/>
    <w:rPr>
      <w:rFonts w:asciiTheme="minorHAnsi" w:hAnsiTheme="minorHAnsi"/>
      <w:sz w:val="20"/>
      <w:szCs w:val="20"/>
    </w:rPr>
  </w:style>
  <w:style w:type="character" w:styleId="FootnoteReference">
    <w:name w:val="footnote reference"/>
    <w:basedOn w:val="DefaultParagraphFont"/>
    <w:uiPriority w:val="99"/>
    <w:unhideWhenUsed/>
    <w:rsid w:val="00C50C45"/>
    <w:rPr>
      <w:vertAlign w:val="superscript"/>
    </w:rPr>
  </w:style>
  <w:style w:type="character" w:styleId="Hyperlink">
    <w:name w:val="Hyperlink"/>
    <w:basedOn w:val="DefaultParagraphFont"/>
    <w:uiPriority w:val="99"/>
    <w:unhideWhenUsed/>
    <w:rsid w:val="00B56A7B"/>
    <w:rPr>
      <w:color w:val="0000FF" w:themeColor="hyperlink"/>
      <w:u w:val="single"/>
    </w:rPr>
  </w:style>
  <w:style w:type="character" w:styleId="Strong">
    <w:name w:val="Strong"/>
    <w:basedOn w:val="DefaultParagraphFont"/>
    <w:uiPriority w:val="22"/>
    <w:qFormat/>
    <w:rsid w:val="001729EF"/>
    <w:rPr>
      <w:b/>
      <w:bCs/>
    </w:rPr>
  </w:style>
  <w:style w:type="character" w:styleId="CommentReference">
    <w:name w:val="annotation reference"/>
    <w:basedOn w:val="DefaultParagraphFont"/>
    <w:uiPriority w:val="99"/>
    <w:semiHidden/>
    <w:unhideWhenUsed/>
    <w:rsid w:val="00D70367"/>
    <w:rPr>
      <w:sz w:val="16"/>
      <w:szCs w:val="16"/>
    </w:rPr>
  </w:style>
  <w:style w:type="paragraph" w:styleId="CommentText">
    <w:name w:val="annotation text"/>
    <w:basedOn w:val="Normal"/>
    <w:link w:val="CommentTextChar"/>
    <w:uiPriority w:val="99"/>
    <w:semiHidden/>
    <w:unhideWhenUsed/>
    <w:rsid w:val="00D70367"/>
    <w:pPr>
      <w:spacing w:line="240" w:lineRule="auto"/>
    </w:pPr>
    <w:rPr>
      <w:sz w:val="20"/>
      <w:szCs w:val="20"/>
    </w:rPr>
  </w:style>
  <w:style w:type="character" w:customStyle="1" w:styleId="CommentTextChar">
    <w:name w:val="Comment Text Char"/>
    <w:basedOn w:val="DefaultParagraphFont"/>
    <w:link w:val="CommentText"/>
    <w:uiPriority w:val="99"/>
    <w:semiHidden/>
    <w:rsid w:val="00D7036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0367"/>
    <w:rPr>
      <w:b/>
      <w:bCs/>
    </w:rPr>
  </w:style>
  <w:style w:type="character" w:customStyle="1" w:styleId="CommentSubjectChar">
    <w:name w:val="Comment Subject Char"/>
    <w:basedOn w:val="CommentTextChar"/>
    <w:link w:val="CommentSubject"/>
    <w:uiPriority w:val="99"/>
    <w:semiHidden/>
    <w:rsid w:val="00D70367"/>
    <w:rPr>
      <w:rFonts w:asciiTheme="minorHAnsi" w:hAnsiTheme="minorHAnsi"/>
      <w:b/>
      <w:bCs/>
      <w:sz w:val="20"/>
      <w:szCs w:val="20"/>
    </w:rPr>
  </w:style>
  <w:style w:type="paragraph" w:styleId="BalloonText">
    <w:name w:val="Balloon Text"/>
    <w:basedOn w:val="Normal"/>
    <w:link w:val="BalloonTextChar"/>
    <w:uiPriority w:val="99"/>
    <w:semiHidden/>
    <w:unhideWhenUsed/>
    <w:rsid w:val="00D7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anceNotice2019@cms.hhs.go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w.cornell.edu/cfr/text/45/part-16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cornell.edu/cfr/text/45/part-16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aw.cornell.edu/cfr/text/45/part-16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cornell.edu/cfr/text/45"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3"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7"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2"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1" Type="http://schemas.openxmlformats.org/officeDocument/2006/relationships/hyperlink" Target="https://www.mgma.com/getattachment/Government-Affairs/Issues-overview/Health-Information-Technology/Administrative-Simplification/Administrative-Simplification/Finalized-PA-consensus-statement-120717-logos.pdf" TargetMode="External"/><Relationship Id="rId6"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5"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 Id="rId4"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9"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AB54D-9CAA-4F2E-9C0B-AB7A5056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1925</Words>
  <Characters>11004</Characters>
  <Application>Microsoft Office Word</Application>
  <DocSecurity>0</DocSecurity>
  <PresentationFormat/>
  <Lines>194</Lines>
  <Paragraphs>42</Paragraphs>
  <ScaleCrop>false</ScaleCrop>
  <HeadingPairs>
    <vt:vector size="2" baseType="variant">
      <vt:variant>
        <vt:lpstr>Title</vt:lpstr>
      </vt:variant>
      <vt:variant>
        <vt:i4>1</vt:i4>
      </vt:variant>
    </vt:vector>
  </HeadingPairs>
  <TitlesOfParts>
    <vt:vector size="1" baseType="lpstr">
      <vt:lpstr>comments on draft call letter. (D0768719-6).DOCX</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on draft call letter. (D0768719-6).DOCX</dc:title>
  <dc:subject>D0768719.DOCX / 6 /font=8</dc:subject>
  <dc:creator>Millman, Diane</dc:creator>
  <cp:keywords/>
  <dc:description/>
  <cp:lastModifiedBy>Arthur Pignotti</cp:lastModifiedBy>
  <cp:revision>6</cp:revision>
  <dcterms:created xsi:type="dcterms:W3CDTF">2018-03-06T00:23:00Z</dcterms:created>
  <dcterms:modified xsi:type="dcterms:W3CDTF">2018-07-23T20:57:00Z</dcterms:modified>
</cp:coreProperties>
</file>