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08AA37" w14:textId="4706EDB9" w:rsidR="00013539" w:rsidRDefault="00013539" w:rsidP="00013539">
      <w:pPr>
        <w:pStyle w:val="NoSpacing"/>
        <w:jc w:val="center"/>
        <w:rPr>
          <w:rFonts w:ascii="Century Gothic" w:hAnsi="Century Gothic"/>
          <w:sz w:val="24"/>
          <w:szCs w:val="24"/>
          <w:lang w:val="en"/>
        </w:rPr>
      </w:pPr>
      <w:r>
        <w:rPr>
          <w:rFonts w:ascii="Century Gothic" w:hAnsi="Century Gothic"/>
          <w:sz w:val="24"/>
          <w:szCs w:val="24"/>
          <w:lang w:val="en"/>
        </w:rPr>
        <w:t>March 5, 2018</w:t>
      </w:r>
    </w:p>
    <w:p w14:paraId="68D9D651" w14:textId="77777777" w:rsidR="00013539" w:rsidRDefault="00013539" w:rsidP="00513316">
      <w:pPr>
        <w:pStyle w:val="NoSpacing"/>
        <w:rPr>
          <w:rFonts w:ascii="Century Gothic" w:hAnsi="Century Gothic"/>
          <w:sz w:val="24"/>
          <w:szCs w:val="24"/>
          <w:lang w:val="en"/>
        </w:rPr>
      </w:pPr>
    </w:p>
    <w:p w14:paraId="409C7D5A" w14:textId="2C057803" w:rsidR="00513316" w:rsidRPr="00513316" w:rsidRDefault="00513316" w:rsidP="00513316">
      <w:pPr>
        <w:pStyle w:val="NoSpacing"/>
        <w:rPr>
          <w:rFonts w:ascii="Century Gothic" w:hAnsi="Century Gothic"/>
          <w:sz w:val="24"/>
          <w:szCs w:val="24"/>
          <w:lang w:val="en"/>
        </w:rPr>
      </w:pPr>
      <w:r w:rsidRPr="00513316">
        <w:rPr>
          <w:rFonts w:ascii="Century Gothic" w:hAnsi="Century Gothic"/>
          <w:sz w:val="24"/>
          <w:szCs w:val="24"/>
          <w:lang w:val="en"/>
        </w:rPr>
        <w:t>Seema Verma</w:t>
      </w:r>
    </w:p>
    <w:p w14:paraId="2AC876B1" w14:textId="07F414E0" w:rsidR="00513316" w:rsidRPr="00513316" w:rsidRDefault="00513316" w:rsidP="00513316">
      <w:pPr>
        <w:pStyle w:val="NoSpacing"/>
        <w:rPr>
          <w:rFonts w:ascii="Century Gothic" w:hAnsi="Century Gothic"/>
          <w:sz w:val="24"/>
          <w:szCs w:val="24"/>
          <w:lang w:val="en"/>
        </w:rPr>
      </w:pPr>
      <w:r w:rsidRPr="00513316">
        <w:rPr>
          <w:rFonts w:ascii="Century Gothic" w:hAnsi="Century Gothic"/>
          <w:sz w:val="24"/>
          <w:szCs w:val="24"/>
          <w:lang w:val="en"/>
        </w:rPr>
        <w:t>Administrator</w:t>
      </w:r>
    </w:p>
    <w:p w14:paraId="39D1839B" w14:textId="488B12D8" w:rsidR="00513316" w:rsidRPr="00513316" w:rsidRDefault="00513316" w:rsidP="00513316">
      <w:pPr>
        <w:pStyle w:val="NoSpacing"/>
        <w:rPr>
          <w:rFonts w:ascii="Century Gothic" w:hAnsi="Century Gothic"/>
          <w:sz w:val="24"/>
          <w:szCs w:val="24"/>
          <w:lang w:val="en"/>
        </w:rPr>
      </w:pPr>
      <w:r w:rsidRPr="00513316">
        <w:rPr>
          <w:rFonts w:ascii="Century Gothic" w:hAnsi="Century Gothic"/>
          <w:sz w:val="24"/>
          <w:szCs w:val="24"/>
          <w:lang w:val="en"/>
        </w:rPr>
        <w:t>Centers for Medicare and Medicaid Services</w:t>
      </w:r>
    </w:p>
    <w:p w14:paraId="1A5EB93E" w14:textId="3A3B835D" w:rsidR="00513316" w:rsidRPr="00513316" w:rsidRDefault="00513316" w:rsidP="00513316">
      <w:pPr>
        <w:pStyle w:val="NoSpacing"/>
        <w:rPr>
          <w:rFonts w:ascii="Century Gothic" w:hAnsi="Century Gothic"/>
          <w:sz w:val="24"/>
          <w:szCs w:val="24"/>
          <w:lang w:val="en"/>
        </w:rPr>
      </w:pPr>
      <w:r w:rsidRPr="00513316">
        <w:rPr>
          <w:rFonts w:ascii="Century Gothic" w:hAnsi="Century Gothic"/>
          <w:sz w:val="24"/>
          <w:szCs w:val="24"/>
          <w:lang w:val="en"/>
        </w:rPr>
        <w:t>7500 Security Boulevard</w:t>
      </w:r>
    </w:p>
    <w:p w14:paraId="182B535D" w14:textId="60C5F412" w:rsidR="00513316" w:rsidRPr="00513316" w:rsidRDefault="00513316" w:rsidP="00513316">
      <w:pPr>
        <w:pStyle w:val="NoSpacing"/>
        <w:rPr>
          <w:rFonts w:ascii="Century Gothic" w:hAnsi="Century Gothic"/>
          <w:sz w:val="24"/>
          <w:szCs w:val="24"/>
          <w:lang w:val="en"/>
        </w:rPr>
      </w:pPr>
      <w:r w:rsidRPr="00513316">
        <w:rPr>
          <w:rFonts w:ascii="Century Gothic" w:hAnsi="Century Gothic"/>
          <w:sz w:val="24"/>
          <w:szCs w:val="24"/>
          <w:lang w:val="en"/>
        </w:rPr>
        <w:t>Baltimore, MD 21244</w:t>
      </w:r>
    </w:p>
    <w:p w14:paraId="2B17B913" w14:textId="77777777" w:rsidR="00513316" w:rsidRDefault="00513316" w:rsidP="00BC2BF2">
      <w:pPr>
        <w:rPr>
          <w:rFonts w:ascii="Century Gothic" w:hAnsi="Century Gothic" w:cs="Times New Roman"/>
          <w:b/>
          <w:bCs/>
          <w:sz w:val="24"/>
          <w:szCs w:val="24"/>
          <w:lang w:val="en"/>
        </w:rPr>
      </w:pPr>
    </w:p>
    <w:p w14:paraId="0D4E157E" w14:textId="326A1797" w:rsidR="00BC2BF2" w:rsidRPr="005B7A29" w:rsidRDefault="00BC2BF2" w:rsidP="00BC2BF2">
      <w:pPr>
        <w:rPr>
          <w:rFonts w:ascii="Century Gothic" w:hAnsi="Century Gothic" w:cs="Times New Roman"/>
          <w:b/>
          <w:bCs/>
          <w:sz w:val="24"/>
          <w:szCs w:val="24"/>
          <w:lang w:val="en"/>
        </w:rPr>
      </w:pPr>
      <w:r w:rsidRPr="005B7A29">
        <w:rPr>
          <w:rFonts w:ascii="Century Gothic" w:hAnsi="Century Gothic" w:cs="Times New Roman"/>
          <w:b/>
          <w:bCs/>
          <w:sz w:val="24"/>
          <w:szCs w:val="24"/>
          <w:lang w:val="en"/>
        </w:rPr>
        <w:t>RE: 201</w:t>
      </w:r>
      <w:r w:rsidR="00CB01FB" w:rsidRPr="005B7A29">
        <w:rPr>
          <w:rFonts w:ascii="Century Gothic" w:hAnsi="Century Gothic" w:cs="Times New Roman"/>
          <w:b/>
          <w:bCs/>
          <w:sz w:val="24"/>
          <w:szCs w:val="24"/>
          <w:lang w:val="en"/>
        </w:rPr>
        <w:t>9</w:t>
      </w:r>
      <w:r w:rsidRPr="005B7A29">
        <w:rPr>
          <w:rFonts w:ascii="Century Gothic" w:hAnsi="Century Gothic" w:cs="Times New Roman"/>
          <w:b/>
          <w:bCs/>
          <w:sz w:val="24"/>
          <w:szCs w:val="24"/>
          <w:lang w:val="en"/>
        </w:rPr>
        <w:t xml:space="preserve"> Medicare Advantage and Part D Advance Notice and Draft Call Letter</w:t>
      </w:r>
      <w:r w:rsidR="00CB01FB" w:rsidRPr="005B7A29">
        <w:rPr>
          <w:rFonts w:ascii="Century Gothic" w:hAnsi="Century Gothic" w:cs="Times New Roman"/>
          <w:b/>
          <w:bCs/>
          <w:sz w:val="24"/>
          <w:szCs w:val="24"/>
          <w:lang w:val="en"/>
        </w:rPr>
        <w:t xml:space="preserve"> (CMS-2017-0163)</w:t>
      </w:r>
    </w:p>
    <w:p w14:paraId="079B3F2B" w14:textId="408BF7E0" w:rsidR="00BC2BF2" w:rsidRPr="005B7A29" w:rsidRDefault="00BC2BF2" w:rsidP="00BC2BF2">
      <w:pPr>
        <w:spacing w:line="240" w:lineRule="auto"/>
        <w:jc w:val="both"/>
        <w:rPr>
          <w:rFonts w:ascii="Century Gothic" w:hAnsi="Century Gothic" w:cs="Times New Roman"/>
          <w:color w:val="222222"/>
          <w:sz w:val="24"/>
          <w:szCs w:val="24"/>
        </w:rPr>
      </w:pPr>
      <w:r w:rsidRPr="005B7A29">
        <w:rPr>
          <w:rFonts w:ascii="Century Gothic" w:hAnsi="Century Gothic" w:cs="Times New Roman"/>
          <w:color w:val="222222"/>
          <w:sz w:val="24"/>
          <w:szCs w:val="24"/>
        </w:rPr>
        <w:br/>
      </w:r>
      <w:r w:rsidR="00513316">
        <w:rPr>
          <w:rFonts w:ascii="Century Gothic" w:hAnsi="Century Gothic" w:cs="Times New Roman"/>
          <w:color w:val="222222"/>
          <w:sz w:val="24"/>
          <w:szCs w:val="24"/>
        </w:rPr>
        <w:t>Dear Administrator Verma</w:t>
      </w:r>
      <w:r w:rsidRPr="005B7A29">
        <w:rPr>
          <w:rFonts w:ascii="Century Gothic" w:hAnsi="Century Gothic" w:cs="Times New Roman"/>
          <w:color w:val="222222"/>
          <w:sz w:val="24"/>
          <w:szCs w:val="24"/>
        </w:rPr>
        <w:t xml:space="preserve">: </w:t>
      </w:r>
    </w:p>
    <w:p w14:paraId="69D31788" w14:textId="1B96B785" w:rsidR="00BC2BF2" w:rsidRPr="005B7A29" w:rsidRDefault="00BC2BF2" w:rsidP="00BC2BF2">
      <w:pPr>
        <w:spacing w:line="240" w:lineRule="auto"/>
        <w:jc w:val="both"/>
        <w:rPr>
          <w:rStyle w:val="apple-converted-space"/>
          <w:rFonts w:ascii="Century Gothic" w:hAnsi="Century Gothic"/>
          <w:sz w:val="24"/>
          <w:szCs w:val="24"/>
        </w:rPr>
      </w:pPr>
      <w:r w:rsidRPr="005B7A29">
        <w:rPr>
          <w:rFonts w:ascii="Century Gothic" w:hAnsi="Century Gothic" w:cs="Times New Roman"/>
          <w:color w:val="222222"/>
          <w:sz w:val="24"/>
          <w:szCs w:val="24"/>
        </w:rPr>
        <w:t>As participants in the Adult Vaccine Access Coalition (AVAC), we appreciate the opportunity to comment on the</w:t>
      </w:r>
      <w:r w:rsidRPr="005B7A29">
        <w:rPr>
          <w:rStyle w:val="apple-converted-space"/>
          <w:rFonts w:ascii="Century Gothic" w:hAnsi="Century Gothic" w:cs="Times New Roman"/>
          <w:color w:val="222222"/>
          <w:sz w:val="24"/>
          <w:szCs w:val="24"/>
        </w:rPr>
        <w:t> Centers for Medicare and Medicaid Services (CMS) 201</w:t>
      </w:r>
      <w:r w:rsidR="000103BB" w:rsidRPr="005B7A29">
        <w:rPr>
          <w:rStyle w:val="apple-converted-space"/>
          <w:rFonts w:ascii="Century Gothic" w:hAnsi="Century Gothic" w:cs="Times New Roman"/>
          <w:color w:val="222222"/>
          <w:sz w:val="24"/>
          <w:szCs w:val="24"/>
        </w:rPr>
        <w:t>9</w:t>
      </w:r>
      <w:r w:rsidRPr="005B7A29">
        <w:rPr>
          <w:rStyle w:val="apple-converted-space"/>
          <w:rFonts w:ascii="Century Gothic" w:hAnsi="Century Gothic" w:cs="Times New Roman"/>
          <w:color w:val="222222"/>
          <w:sz w:val="24"/>
          <w:szCs w:val="24"/>
        </w:rPr>
        <w:t xml:space="preserve"> Medicare Advantage and Part D Advance Notice and Draft Call Letter. Specifically:  </w:t>
      </w:r>
    </w:p>
    <w:p w14:paraId="0133C3A5" w14:textId="58FE690F" w:rsidR="00513316" w:rsidRDefault="00BC2BF2" w:rsidP="00513316">
      <w:pPr>
        <w:pStyle w:val="ListParagraph"/>
        <w:numPr>
          <w:ilvl w:val="0"/>
          <w:numId w:val="1"/>
        </w:numPr>
        <w:rPr>
          <w:rFonts w:ascii="Century Gothic" w:hAnsi="Century Gothic"/>
          <w:sz w:val="24"/>
          <w:szCs w:val="24"/>
        </w:rPr>
      </w:pPr>
      <w:r w:rsidRPr="00513316">
        <w:rPr>
          <w:rFonts w:ascii="Century Gothic" w:hAnsi="Century Gothic"/>
          <w:color w:val="222222"/>
          <w:sz w:val="24"/>
          <w:szCs w:val="24"/>
        </w:rPr>
        <w:t xml:space="preserve">AVAC </w:t>
      </w:r>
      <w:r w:rsidR="00513316" w:rsidRPr="00513316">
        <w:rPr>
          <w:rFonts w:ascii="Century Gothic" w:hAnsi="Century Gothic"/>
          <w:color w:val="222222"/>
          <w:sz w:val="24"/>
          <w:szCs w:val="24"/>
        </w:rPr>
        <w:t xml:space="preserve">greatly appreciates the inclusion of </w:t>
      </w:r>
      <w:r w:rsidRPr="00513316">
        <w:rPr>
          <w:rFonts w:ascii="Century Gothic" w:hAnsi="Century Gothic"/>
          <w:color w:val="222222"/>
          <w:sz w:val="24"/>
          <w:szCs w:val="24"/>
        </w:rPr>
        <w:t xml:space="preserve">language </w:t>
      </w:r>
      <w:r w:rsidR="00513316" w:rsidRPr="00513316">
        <w:rPr>
          <w:rFonts w:ascii="Century Gothic" w:hAnsi="Century Gothic"/>
          <w:color w:val="222222"/>
          <w:sz w:val="24"/>
          <w:szCs w:val="24"/>
        </w:rPr>
        <w:t xml:space="preserve">encouraging Part D sponsors to offer </w:t>
      </w:r>
      <w:r w:rsidR="00513316" w:rsidRPr="00513316">
        <w:rPr>
          <w:rFonts w:ascii="Century Gothic" w:hAnsi="Century Gothic"/>
          <w:b/>
          <w:sz w:val="24"/>
          <w:szCs w:val="24"/>
        </w:rPr>
        <w:t>either a $0 vaccine tier, or to place vaccines on a formulary tier with low cost-sharing</w:t>
      </w:r>
      <w:r w:rsidR="00CE24B1">
        <w:rPr>
          <w:rFonts w:ascii="Century Gothic" w:hAnsi="Century Gothic"/>
          <w:b/>
          <w:sz w:val="24"/>
          <w:szCs w:val="24"/>
        </w:rPr>
        <w:t xml:space="preserve"> and strongly urge maintaining it in the final letter</w:t>
      </w:r>
      <w:r w:rsidR="00513316" w:rsidRPr="00513316">
        <w:rPr>
          <w:rFonts w:ascii="Century Gothic" w:hAnsi="Century Gothic"/>
          <w:b/>
          <w:sz w:val="24"/>
          <w:szCs w:val="24"/>
        </w:rPr>
        <w:t>.</w:t>
      </w:r>
      <w:r w:rsidR="00513316">
        <w:rPr>
          <w:rFonts w:ascii="Century Gothic" w:hAnsi="Century Gothic"/>
          <w:b/>
          <w:sz w:val="24"/>
          <w:szCs w:val="24"/>
        </w:rPr>
        <w:t xml:space="preserve">  </w:t>
      </w:r>
      <w:r w:rsidR="00513316" w:rsidRPr="00CE24B1">
        <w:rPr>
          <w:rFonts w:ascii="Century Gothic" w:hAnsi="Century Gothic"/>
          <w:sz w:val="24"/>
          <w:szCs w:val="24"/>
        </w:rPr>
        <w:t>Studies have shown a direct correlation between high cost sharing and increased abandonment rates of vaccines.  Removing</w:t>
      </w:r>
      <w:r w:rsidR="00CE24B1" w:rsidRPr="00CE24B1">
        <w:rPr>
          <w:rFonts w:ascii="Century Gothic" w:hAnsi="Century Gothic"/>
          <w:sz w:val="24"/>
          <w:szCs w:val="24"/>
        </w:rPr>
        <w:t xml:space="preserve"> financial barriers will greatly improve beneficiary access, utilization and health outcomes. </w:t>
      </w:r>
    </w:p>
    <w:p w14:paraId="4908ACB5" w14:textId="77777777" w:rsidR="002E54B0" w:rsidRPr="00513316" w:rsidRDefault="002E54B0" w:rsidP="002E54B0">
      <w:pPr>
        <w:pStyle w:val="NormalWeb"/>
        <w:numPr>
          <w:ilvl w:val="0"/>
          <w:numId w:val="1"/>
        </w:numPr>
        <w:shd w:val="clear" w:color="auto" w:fill="FFFFFF"/>
        <w:spacing w:after="0" w:afterAutospacing="0"/>
        <w:rPr>
          <w:rFonts w:ascii="Century Gothic" w:hAnsi="Century Gothic"/>
          <w:color w:val="222222"/>
          <w:sz w:val="23"/>
          <w:szCs w:val="23"/>
        </w:rPr>
      </w:pPr>
      <w:r w:rsidRPr="00CE24B1">
        <w:rPr>
          <w:rFonts w:ascii="Century Gothic" w:hAnsi="Century Gothic"/>
          <w:b/>
          <w:color w:val="222222"/>
        </w:rPr>
        <w:t xml:space="preserve">AVAC strongly supports the future addition of an adult immunization composite measure on the display page and </w:t>
      </w:r>
      <w:r>
        <w:rPr>
          <w:rFonts w:ascii="Century Gothic" w:hAnsi="Century Gothic"/>
          <w:b/>
          <w:color w:val="222222"/>
        </w:rPr>
        <w:t xml:space="preserve">for </w:t>
      </w:r>
      <w:r w:rsidRPr="00CE24B1">
        <w:rPr>
          <w:rFonts w:ascii="Century Gothic" w:hAnsi="Century Gothic"/>
          <w:b/>
          <w:color w:val="222222"/>
        </w:rPr>
        <w:t>Star Ratings</w:t>
      </w:r>
      <w:r w:rsidRPr="00513316">
        <w:rPr>
          <w:rFonts w:ascii="Century Gothic" w:hAnsi="Century Gothic"/>
          <w:color w:val="222222"/>
        </w:rPr>
        <w:t xml:space="preserve">.  This HEDIS measure would </w:t>
      </w:r>
      <w:r w:rsidRPr="00513316">
        <w:rPr>
          <w:rFonts w:ascii="Century Gothic" w:hAnsi="Century Gothic"/>
        </w:rPr>
        <w:t xml:space="preserve">build off the </w:t>
      </w:r>
      <w:r>
        <w:rPr>
          <w:rFonts w:ascii="Century Gothic" w:hAnsi="Century Gothic"/>
        </w:rPr>
        <w:t xml:space="preserve">current </w:t>
      </w:r>
      <w:r w:rsidRPr="00513316">
        <w:rPr>
          <w:rFonts w:ascii="Century Gothic" w:hAnsi="Century Gothic"/>
        </w:rPr>
        <w:t xml:space="preserve">pneumococcal measure and provide a sound, reliable and comprehensive means to assesses the receipt of routine adult vaccinations recommended by the Advisory Committee on Immunization Practices (ACIP).  AVAC appreciates the work of NCQA, PQA and others to develop and test reliable measurement tools that will streamline the patchwork of existing adult immunization measures, reduce the reporting burden on providers and provide meaningful data to the Medicare program on access to this important preventive service.  </w:t>
      </w:r>
    </w:p>
    <w:p w14:paraId="45A375DC" w14:textId="0526C163" w:rsidR="00BC2BF2" w:rsidRPr="00F1466A" w:rsidRDefault="00BC2BF2" w:rsidP="00BC2BF2">
      <w:pPr>
        <w:pStyle w:val="NormalWeb"/>
        <w:shd w:val="clear" w:color="auto" w:fill="FFFFFF"/>
        <w:spacing w:after="0" w:afterAutospacing="0"/>
        <w:rPr>
          <w:rStyle w:val="apple-converted-space"/>
          <w:rFonts w:ascii="Century Gothic" w:hAnsi="Century Gothic"/>
          <w:color w:val="222222"/>
        </w:rPr>
      </w:pPr>
      <w:r w:rsidRPr="00CE24B1">
        <w:rPr>
          <w:rFonts w:ascii="Century Gothic" w:hAnsi="Century Gothic"/>
          <w:color w:val="222222"/>
        </w:rPr>
        <w:lastRenderedPageBreak/>
        <w:t xml:space="preserve">AVAC consists of </w:t>
      </w:r>
      <w:r w:rsidR="00CE24B1" w:rsidRPr="00CE24B1">
        <w:rPr>
          <w:rFonts w:ascii="Century Gothic" w:hAnsi="Century Gothic"/>
          <w:color w:val="222222"/>
        </w:rPr>
        <w:t>more than fifty</w:t>
      </w:r>
      <w:r w:rsidRPr="00CE24B1">
        <w:rPr>
          <w:rFonts w:ascii="Century Gothic" w:hAnsi="Century Gothic"/>
          <w:color w:val="222222"/>
        </w:rPr>
        <w:t xml:space="preserve"> organizational leaders in health and public health </w:t>
      </w:r>
      <w:r w:rsidR="00CE24B1" w:rsidRPr="00CE24B1">
        <w:rPr>
          <w:rFonts w:ascii="Century Gothic" w:hAnsi="Century Gothic"/>
          <w:color w:val="222222"/>
        </w:rPr>
        <w:t>who</w:t>
      </w:r>
      <w:r w:rsidRPr="00CE24B1">
        <w:rPr>
          <w:rFonts w:ascii="Century Gothic" w:hAnsi="Century Gothic"/>
          <w:color w:val="222222"/>
        </w:rPr>
        <w:t xml:space="preserve"> are committed to </w:t>
      </w:r>
      <w:r w:rsidR="00CE24B1" w:rsidRPr="00CE24B1">
        <w:rPr>
          <w:rFonts w:ascii="Century Gothic" w:hAnsi="Century Gothic"/>
          <w:color w:val="222222"/>
        </w:rPr>
        <w:t xml:space="preserve">raising awareness of the importance of adult immunization </w:t>
      </w:r>
      <w:r w:rsidR="00CE24B1">
        <w:rPr>
          <w:rFonts w:ascii="Century Gothic" w:hAnsi="Century Gothic"/>
          <w:color w:val="222222"/>
        </w:rPr>
        <w:t xml:space="preserve">with the ultimate goal of </w:t>
      </w:r>
      <w:r w:rsidRPr="00CE24B1">
        <w:rPr>
          <w:rFonts w:ascii="Century Gothic" w:hAnsi="Century Gothic"/>
          <w:color w:val="222222"/>
        </w:rPr>
        <w:t>addressing barriers to adult immunization.</w:t>
      </w:r>
      <w:r w:rsidRPr="004F557D">
        <w:rPr>
          <w:rFonts w:ascii="Century Gothic" w:hAnsi="Century Gothic"/>
          <w:color w:val="222222"/>
          <w:sz w:val="23"/>
          <w:szCs w:val="23"/>
        </w:rPr>
        <w:t> </w:t>
      </w:r>
      <w:r w:rsidR="00220E9F" w:rsidRPr="004F557D">
        <w:rPr>
          <w:rFonts w:ascii="Century Gothic" w:hAnsi="Century Gothic"/>
          <w:color w:val="222222"/>
          <w:sz w:val="23"/>
          <w:szCs w:val="23"/>
        </w:rPr>
        <w:t xml:space="preserve"> </w:t>
      </w:r>
      <w:r w:rsidRPr="00F1466A">
        <w:rPr>
          <w:rFonts w:ascii="Century Gothic" w:hAnsi="Century Gothic"/>
          <w:color w:val="222222"/>
        </w:rPr>
        <w:t xml:space="preserve">Our mission is informed by scientific and empirical evidence </w:t>
      </w:r>
      <w:r w:rsidR="00C01ABD" w:rsidRPr="00F1466A">
        <w:rPr>
          <w:rFonts w:ascii="Century Gothic" w:hAnsi="Century Gothic"/>
          <w:color w:val="222222"/>
        </w:rPr>
        <w:t>that shows</w:t>
      </w:r>
      <w:r w:rsidRPr="00F1466A">
        <w:rPr>
          <w:rFonts w:ascii="Century Gothic" w:hAnsi="Century Gothic"/>
          <w:color w:val="222222"/>
        </w:rPr>
        <w:t xml:space="preserve"> </w:t>
      </w:r>
      <w:r w:rsidR="00C01ABD" w:rsidRPr="00F1466A">
        <w:rPr>
          <w:rFonts w:ascii="Century Gothic" w:hAnsi="Century Gothic"/>
          <w:color w:val="222222"/>
        </w:rPr>
        <w:t xml:space="preserve">immunization </w:t>
      </w:r>
      <w:r w:rsidRPr="00F1466A">
        <w:rPr>
          <w:rFonts w:ascii="Century Gothic" w:hAnsi="Century Gothic"/>
          <w:color w:val="222222"/>
        </w:rPr>
        <w:t>improv</w:t>
      </w:r>
      <w:r w:rsidR="00C01ABD" w:rsidRPr="00F1466A">
        <w:rPr>
          <w:rFonts w:ascii="Century Gothic" w:hAnsi="Century Gothic"/>
          <w:color w:val="222222"/>
        </w:rPr>
        <w:t>es</w:t>
      </w:r>
      <w:r w:rsidRPr="00F1466A">
        <w:rPr>
          <w:rFonts w:ascii="Century Gothic" w:hAnsi="Century Gothic"/>
          <w:color w:val="222222"/>
        </w:rPr>
        <w:t xml:space="preserve"> health and protecting lives against a variety of debilitating and potentially deadly conditions, saving costs to the healthcare system and to society as a whole. AVAC priorities and objectives are driven by a consensus process with the goal of enabling the range of stakeholders to have a voice in the effort to improve access and utilization of adult immunizations. </w:t>
      </w:r>
      <w:r w:rsidRPr="00F1466A">
        <w:rPr>
          <w:rStyle w:val="apple-converted-space"/>
          <w:rFonts w:ascii="Century Gothic" w:hAnsi="Century Gothic"/>
          <w:color w:val="222222"/>
        </w:rPr>
        <w:t> </w:t>
      </w:r>
    </w:p>
    <w:p w14:paraId="0DB83927" w14:textId="77777777" w:rsidR="00117ADE" w:rsidRDefault="00BC2BF2" w:rsidP="00BC2BF2">
      <w:pPr>
        <w:pStyle w:val="NormalWeb"/>
        <w:shd w:val="clear" w:color="auto" w:fill="FFFFFF"/>
        <w:spacing w:after="0" w:afterAutospacing="0"/>
        <w:rPr>
          <w:rFonts w:ascii="Century Gothic" w:hAnsi="Century Gothic"/>
          <w:color w:val="000000"/>
        </w:rPr>
      </w:pPr>
      <w:r w:rsidRPr="00F1466A">
        <w:rPr>
          <w:rFonts w:ascii="Century Gothic" w:hAnsi="Century Gothic"/>
          <w:color w:val="000000"/>
        </w:rPr>
        <w:t>Immunizations are a cornerstone of our nation's disease prevention efforts and have a demonstrated track record of success as a cost-effective means of reducing disease burden and saving lives among pediatric populations. </w:t>
      </w:r>
      <w:r w:rsidR="006A75AC">
        <w:rPr>
          <w:rFonts w:ascii="Century Gothic" w:hAnsi="Century Gothic"/>
          <w:color w:val="000000"/>
        </w:rPr>
        <w:t>The CDC estimates that over 20 years</w:t>
      </w:r>
      <w:r w:rsidR="00117ADE">
        <w:rPr>
          <w:rFonts w:ascii="Century Gothic" w:hAnsi="Century Gothic"/>
          <w:color w:val="000000"/>
        </w:rPr>
        <w:t>,</w:t>
      </w:r>
      <w:r w:rsidR="006A75AC">
        <w:rPr>
          <w:rFonts w:ascii="Century Gothic" w:hAnsi="Century Gothic"/>
          <w:color w:val="000000"/>
        </w:rPr>
        <w:t xml:space="preserve"> </w:t>
      </w:r>
      <w:r w:rsidR="00117ADE">
        <w:rPr>
          <w:rFonts w:ascii="Century Gothic" w:hAnsi="Century Gothic"/>
          <w:color w:val="000000"/>
        </w:rPr>
        <w:t xml:space="preserve">childhood immunizations </w:t>
      </w:r>
      <w:r w:rsidR="006A75AC">
        <w:rPr>
          <w:rFonts w:ascii="Century Gothic" w:hAnsi="Century Gothic"/>
          <w:color w:val="000000"/>
        </w:rPr>
        <w:t>prevent 732,000 deaths and 21 million hospitalizations</w:t>
      </w:r>
      <w:r w:rsidR="00117ADE">
        <w:rPr>
          <w:rFonts w:ascii="Century Gothic" w:hAnsi="Century Gothic"/>
          <w:color w:val="000000"/>
        </w:rPr>
        <w:t>.</w:t>
      </w:r>
      <w:r w:rsidR="00117ADE">
        <w:rPr>
          <w:rStyle w:val="FootnoteReference"/>
          <w:rFonts w:ascii="Century Gothic" w:hAnsi="Century Gothic"/>
          <w:color w:val="000000"/>
        </w:rPr>
        <w:footnoteReference w:id="1"/>
      </w:r>
      <w:r w:rsidR="00117ADE">
        <w:rPr>
          <w:rFonts w:ascii="Century Gothic" w:hAnsi="Century Gothic"/>
          <w:color w:val="000000"/>
        </w:rPr>
        <w:t xml:space="preserve"> </w:t>
      </w:r>
    </w:p>
    <w:p w14:paraId="2AED4846" w14:textId="00CA3E87" w:rsidR="00BC2BF2" w:rsidRPr="00F1466A" w:rsidRDefault="00117ADE" w:rsidP="00BC2BF2">
      <w:pPr>
        <w:pStyle w:val="NormalWeb"/>
        <w:shd w:val="clear" w:color="auto" w:fill="FFFFFF"/>
        <w:spacing w:after="0" w:afterAutospacing="0"/>
        <w:rPr>
          <w:rFonts w:ascii="Century Gothic" w:hAnsi="Century Gothic"/>
          <w:color w:val="000000"/>
        </w:rPr>
      </w:pPr>
      <w:r w:rsidRPr="00117ADE">
        <w:rPr>
          <w:rFonts w:ascii="Century Gothic" w:hAnsi="Century Gothic"/>
        </w:rPr>
        <w:t>In the draft Strategic Plan FY 2018 –2022, the Department of Health and Human Services encourages the use of age appropriate vaccines to minimize the burden of vaccine-preventable diseases across the life span.</w:t>
      </w:r>
      <w:r w:rsidRPr="00117ADE">
        <w:rPr>
          <w:rStyle w:val="FootnoteReference"/>
          <w:rFonts w:ascii="Century Gothic" w:hAnsi="Century Gothic"/>
        </w:rPr>
        <w:footnoteReference w:id="2"/>
      </w:r>
      <w:r w:rsidRPr="00117ADE">
        <w:rPr>
          <w:rFonts w:ascii="Century Gothic" w:hAnsi="Century Gothic"/>
        </w:rPr>
        <w:t xml:space="preserve"> Unfortunately, access to vaccines is not equal across a person’s lifespan.</w:t>
      </w:r>
      <w:r w:rsidRPr="000409C1">
        <w:rPr>
          <w:rFonts w:ascii="Century Gothic" w:hAnsi="Century Gothic"/>
          <w:sz w:val="22"/>
          <w:szCs w:val="22"/>
        </w:rPr>
        <w:t xml:space="preserve"> </w:t>
      </w:r>
      <w:r>
        <w:rPr>
          <w:rFonts w:ascii="Century Gothic" w:hAnsi="Century Gothic"/>
          <w:color w:val="000000"/>
        </w:rPr>
        <w:t>D</w:t>
      </w:r>
      <w:r w:rsidR="00BC2BF2" w:rsidRPr="00F1466A">
        <w:rPr>
          <w:rFonts w:ascii="Century Gothic" w:hAnsi="Century Gothic"/>
          <w:color w:val="000000"/>
        </w:rPr>
        <w:t xml:space="preserve">espite the well-known benefits of immunizations, more than 50,000 adults die from vaccine-preventable diseases while adult coverage lags behind Healthy People 2020 targets for most commonly recommended vaccines: influenza, pneumococcal, tetanus, hepatitis B, herpes zoster, and HPV.  Millions more adults suffer from vaccine-preventable diseases, causing them to miss work and leaving some unable to care for those who depend on them.  </w:t>
      </w:r>
    </w:p>
    <w:p w14:paraId="2BF75CFC" w14:textId="77777777" w:rsidR="002E54B0" w:rsidRDefault="00117ADE" w:rsidP="00BC2BF2">
      <w:pPr>
        <w:pStyle w:val="NormalWeb"/>
        <w:shd w:val="clear" w:color="auto" w:fill="FFFFFF"/>
        <w:spacing w:after="0" w:afterAutospacing="0"/>
        <w:rPr>
          <w:rFonts w:ascii="Century Gothic" w:hAnsi="Century Gothic"/>
          <w:color w:val="222222"/>
        </w:rPr>
      </w:pPr>
      <w:r w:rsidRPr="00117ADE">
        <w:rPr>
          <w:rFonts w:ascii="Century Gothic" w:hAnsi="Century Gothic"/>
          <w:color w:val="222222"/>
        </w:rPr>
        <w:t xml:space="preserve">Adults seeking access to and coverage for vaccines encounter a confusing health care system that presents multiple barriers, including lack of awareness and information about recommended vaccines, financial hurdles, including high cost sharing, as well as technological and logistical obstacles.  Socioeconomic and linguistic barriers further challenge the ability of diverse and medically underserved communities from accessing needed immunizations.  </w:t>
      </w:r>
    </w:p>
    <w:p w14:paraId="6BFA669D" w14:textId="0F4D8516" w:rsidR="00BC2BF2" w:rsidRPr="00A3284F" w:rsidRDefault="00117ADE" w:rsidP="00BC2BF2">
      <w:pPr>
        <w:pStyle w:val="NormalWeb"/>
        <w:shd w:val="clear" w:color="auto" w:fill="FFFFFF"/>
        <w:spacing w:after="0" w:afterAutospacing="0"/>
        <w:rPr>
          <w:rFonts w:ascii="Century Gothic" w:hAnsi="Century Gothic"/>
        </w:rPr>
      </w:pPr>
      <w:r w:rsidRPr="00117ADE">
        <w:rPr>
          <w:rFonts w:ascii="Century Gothic" w:hAnsi="Century Gothic"/>
          <w:color w:val="222222"/>
        </w:rPr>
        <w:lastRenderedPageBreak/>
        <w:t xml:space="preserve">A growing body of research illustrates the direct and indirect cost attributable to vaccine preventable disease. </w:t>
      </w:r>
      <w:r w:rsidR="00BC2BF2" w:rsidRPr="00117ADE">
        <w:rPr>
          <w:rFonts w:ascii="Century Gothic" w:hAnsi="Century Gothic"/>
        </w:rPr>
        <w:t xml:space="preserve">A study published in </w:t>
      </w:r>
      <w:r w:rsidR="00BC2BF2" w:rsidRPr="00117ADE">
        <w:rPr>
          <w:rFonts w:ascii="Century Gothic" w:hAnsi="Century Gothic"/>
          <w:i/>
        </w:rPr>
        <w:t xml:space="preserve">The Journal of Primary Prevention </w:t>
      </w:r>
      <w:r w:rsidR="00BC2BF2" w:rsidRPr="00117ADE">
        <w:rPr>
          <w:rFonts w:ascii="Century Gothic" w:hAnsi="Century Gothic"/>
        </w:rPr>
        <w:t>found the estimated annual cost of just four major vaccine-preventable diseases among US adults 65 years and older was more than $15 billion in 2013.</w:t>
      </w:r>
      <w:r w:rsidR="00BC2BF2" w:rsidRPr="00117ADE">
        <w:rPr>
          <w:rStyle w:val="FootnoteReference"/>
          <w:rFonts w:ascii="Century Gothic" w:hAnsi="Century Gothic"/>
        </w:rPr>
        <w:footnoteReference w:id="3"/>
      </w:r>
      <w:r w:rsidR="00A3284F">
        <w:rPr>
          <w:rFonts w:ascii="Century Gothic" w:hAnsi="Century Gothic"/>
        </w:rPr>
        <w:t xml:space="preserve">  </w:t>
      </w:r>
      <w:r w:rsidR="00A3284F" w:rsidRPr="00A3284F">
        <w:rPr>
          <w:rFonts w:ascii="Century Gothic" w:hAnsi="Century Gothic"/>
          <w:color w:val="222222"/>
        </w:rPr>
        <w:t>Medical costs related to vaccine-preventable diseases (VPD) in older adults are expected to grow substantially in the coming years; one study forecasts U.S. medical costs for Americans ≥65 in the Medicare population to be $4.74 billion by 2030 for just one VPD.</w:t>
      </w:r>
      <w:r w:rsidR="00A3284F" w:rsidRPr="00A3284F">
        <w:rPr>
          <w:rStyle w:val="FootnoteReference"/>
          <w:rFonts w:ascii="Century Gothic" w:hAnsi="Century Gothic"/>
          <w:color w:val="222222"/>
        </w:rPr>
        <w:footnoteReference w:id="4"/>
      </w:r>
    </w:p>
    <w:p w14:paraId="003F964A" w14:textId="2B84C3D4" w:rsidR="00BC2BF2" w:rsidRDefault="00BC2BF2" w:rsidP="00BC2BF2">
      <w:pPr>
        <w:pStyle w:val="NormalWeb"/>
        <w:shd w:val="clear" w:color="auto" w:fill="FFFFFF"/>
        <w:spacing w:after="0" w:afterAutospacing="0"/>
        <w:rPr>
          <w:rFonts w:ascii="Century Gothic" w:hAnsi="Century Gothic"/>
          <w:color w:val="000000"/>
          <w:sz w:val="23"/>
          <w:szCs w:val="23"/>
        </w:rPr>
      </w:pPr>
      <w:r w:rsidRPr="00DF57A4">
        <w:rPr>
          <w:rFonts w:ascii="Century Gothic" w:hAnsi="Century Gothic"/>
          <w:color w:val="000000"/>
        </w:rPr>
        <w:t>Immunization coverage for Medicare beneficiaries is segmented between Medicare Part B, which covers vaccinations against influenza, pneumococcal and hepatitis B for at-risk patients and Medicare Part D, which covers all other commercially available vaccines when deemed medically necessary to prevent illness. While beneficiaries receive Part B-covered vaccines with no cost sharing, Part D vaccines are typically subject to cost sharing requirements.</w:t>
      </w:r>
      <w:r w:rsidRPr="004F557D">
        <w:rPr>
          <w:rFonts w:ascii="Century Gothic" w:hAnsi="Century Gothic"/>
          <w:color w:val="000000"/>
          <w:sz w:val="23"/>
          <w:szCs w:val="23"/>
        </w:rPr>
        <w:t xml:space="preserve"> </w:t>
      </w:r>
    </w:p>
    <w:p w14:paraId="2E32D2F9" w14:textId="0AA8AF77" w:rsidR="00DF57A4" w:rsidRPr="00DF57A4" w:rsidRDefault="00DF57A4" w:rsidP="00DF57A4">
      <w:pPr>
        <w:pStyle w:val="NormalWeb"/>
        <w:shd w:val="clear" w:color="auto" w:fill="FFFFFF"/>
        <w:spacing w:after="0"/>
        <w:rPr>
          <w:rFonts w:ascii="Century Gothic" w:hAnsi="Century Gothic"/>
          <w:color w:val="222222"/>
        </w:rPr>
      </w:pPr>
      <w:r w:rsidRPr="00DF57A4">
        <w:rPr>
          <w:rFonts w:ascii="Century Gothic" w:hAnsi="Century Gothic"/>
          <w:color w:val="222222"/>
        </w:rPr>
        <w:t>According to a February 2018 Manatt study, only 4 percent or less of Medicare Part D enrollees had access to vaccines with no cost sharing.</w:t>
      </w:r>
      <w:r w:rsidRPr="00DF57A4">
        <w:rPr>
          <w:rStyle w:val="FootnoteReference"/>
          <w:rFonts w:ascii="Century Gothic" w:hAnsi="Century Gothic"/>
          <w:color w:val="222222"/>
        </w:rPr>
        <w:footnoteReference w:id="5"/>
      </w:r>
      <w:r w:rsidRPr="00DF57A4">
        <w:rPr>
          <w:rFonts w:ascii="Century Gothic" w:hAnsi="Century Gothic"/>
          <w:color w:val="222222"/>
        </w:rPr>
        <w:t xml:space="preserve">  The variable cost sharing requirements currently imposed on the majority of Part D vaccines discourage immunization among elderly, disabled and chronically ill populations who account for a disproportionate percentage of the morbidity and mortality from vaccine preventable conditions. A 2015 report by the Alliance for Aging Research on vaccination rates among older adults found that cost sharing for vaccines under Part D varies depending on a beneficiary's prescription drug plan or Medicare Advantage plan formulary offerings.</w:t>
      </w:r>
      <w:r w:rsidRPr="00DF57A4">
        <w:rPr>
          <w:rStyle w:val="FootnoteReference"/>
          <w:rFonts w:ascii="Century Gothic" w:hAnsi="Century Gothic"/>
          <w:color w:val="222222"/>
        </w:rPr>
        <w:footnoteReference w:id="6"/>
      </w:r>
      <w:r w:rsidRPr="00DF57A4">
        <w:rPr>
          <w:rFonts w:ascii="Century Gothic" w:hAnsi="Century Gothic"/>
          <w:color w:val="222222"/>
        </w:rPr>
        <w:t xml:space="preserve">  Similarly, a 2017 report by Avalere Health found between 47 and 72 percent of the 24 million Medicare beneficiaries with Part D coverage had some level of cost sharing for vaccines, ranging from $35 to $70 in 2015.</w:t>
      </w:r>
      <w:r w:rsidRPr="00DF57A4">
        <w:rPr>
          <w:rStyle w:val="FootnoteReference"/>
          <w:rFonts w:ascii="Century Gothic" w:hAnsi="Century Gothic"/>
          <w:color w:val="222222"/>
        </w:rPr>
        <w:footnoteReference w:id="7"/>
      </w:r>
      <w:r w:rsidRPr="00DF57A4">
        <w:rPr>
          <w:rFonts w:ascii="Century Gothic" w:hAnsi="Century Gothic"/>
          <w:color w:val="222222"/>
        </w:rPr>
        <w:t xml:space="preserve"> </w:t>
      </w:r>
    </w:p>
    <w:p w14:paraId="22755519" w14:textId="3662F422" w:rsidR="00BC2BF2" w:rsidRPr="00DF57A4" w:rsidRDefault="00DF57A4" w:rsidP="00BC2BF2">
      <w:pPr>
        <w:shd w:val="clear" w:color="auto" w:fill="FFFFFF"/>
        <w:spacing w:before="100" w:beforeAutospacing="1" w:after="100" w:afterAutospacing="1" w:line="240" w:lineRule="auto"/>
        <w:jc w:val="both"/>
        <w:rPr>
          <w:rFonts w:ascii="Century Gothic" w:eastAsia="Times New Roman" w:hAnsi="Century Gothic" w:cs="Times New Roman"/>
          <w:color w:val="000000"/>
          <w:sz w:val="24"/>
          <w:szCs w:val="24"/>
        </w:rPr>
      </w:pPr>
      <w:r w:rsidRPr="00DF57A4">
        <w:rPr>
          <w:rFonts w:ascii="Century Gothic" w:eastAsia="Times New Roman" w:hAnsi="Century Gothic" w:cs="Times New Roman"/>
          <w:color w:val="000000"/>
          <w:sz w:val="24"/>
          <w:szCs w:val="24"/>
        </w:rPr>
        <w:t xml:space="preserve">The FY2019 draft call letter </w:t>
      </w:r>
      <w:r w:rsidR="00BC2BF2" w:rsidRPr="00DF57A4">
        <w:rPr>
          <w:rFonts w:ascii="Century Gothic" w:eastAsia="Times New Roman" w:hAnsi="Century Gothic" w:cs="Times New Roman"/>
          <w:color w:val="000000"/>
          <w:sz w:val="24"/>
          <w:szCs w:val="24"/>
        </w:rPr>
        <w:t>prioritize</w:t>
      </w:r>
      <w:r w:rsidRPr="00DF57A4">
        <w:rPr>
          <w:rFonts w:ascii="Century Gothic" w:eastAsia="Times New Roman" w:hAnsi="Century Gothic" w:cs="Times New Roman"/>
          <w:color w:val="000000"/>
          <w:sz w:val="24"/>
          <w:szCs w:val="24"/>
        </w:rPr>
        <w:t>s</w:t>
      </w:r>
      <w:r w:rsidR="00BC2BF2" w:rsidRPr="00DF57A4">
        <w:rPr>
          <w:rFonts w:ascii="Century Gothic" w:eastAsia="Times New Roman" w:hAnsi="Century Gothic" w:cs="Times New Roman"/>
          <w:color w:val="000000"/>
          <w:sz w:val="24"/>
          <w:szCs w:val="24"/>
        </w:rPr>
        <w:t xml:space="preserve"> and encourage</w:t>
      </w:r>
      <w:r w:rsidRPr="00DF57A4">
        <w:rPr>
          <w:rFonts w:ascii="Century Gothic" w:eastAsia="Times New Roman" w:hAnsi="Century Gothic" w:cs="Times New Roman"/>
          <w:color w:val="000000"/>
          <w:sz w:val="24"/>
          <w:szCs w:val="24"/>
        </w:rPr>
        <w:t>s</w:t>
      </w:r>
      <w:r w:rsidR="00BC2BF2" w:rsidRPr="00DF57A4">
        <w:rPr>
          <w:rFonts w:ascii="Century Gothic" w:eastAsia="Times New Roman" w:hAnsi="Century Gothic" w:cs="Times New Roman"/>
          <w:color w:val="000000"/>
          <w:sz w:val="24"/>
          <w:szCs w:val="24"/>
        </w:rPr>
        <w:t xml:space="preserve"> improved access to and utilization of adult immunization services for beneficiaries in Medicare Advantage and Prescription Drug Plans (PDP).  As such, AVAC wishes to offer </w:t>
      </w:r>
      <w:r w:rsidRPr="00DF57A4">
        <w:rPr>
          <w:rFonts w:ascii="Century Gothic" w:eastAsia="Times New Roman" w:hAnsi="Century Gothic" w:cs="Times New Roman"/>
          <w:color w:val="000000"/>
          <w:sz w:val="24"/>
          <w:szCs w:val="24"/>
        </w:rPr>
        <w:t xml:space="preserve">the following </w:t>
      </w:r>
      <w:r w:rsidR="00BC2BF2" w:rsidRPr="00DF57A4">
        <w:rPr>
          <w:rFonts w:ascii="Century Gothic" w:eastAsia="Times New Roman" w:hAnsi="Century Gothic" w:cs="Times New Roman"/>
          <w:color w:val="000000"/>
          <w:sz w:val="24"/>
          <w:szCs w:val="24"/>
        </w:rPr>
        <w:lastRenderedPageBreak/>
        <w:t xml:space="preserve">comments with the </w:t>
      </w:r>
      <w:r w:rsidRPr="00DF57A4">
        <w:rPr>
          <w:rFonts w:ascii="Century Gothic" w:eastAsia="Times New Roman" w:hAnsi="Century Gothic" w:cs="Times New Roman"/>
          <w:color w:val="000000"/>
          <w:sz w:val="24"/>
          <w:szCs w:val="24"/>
        </w:rPr>
        <w:t xml:space="preserve">strong </w:t>
      </w:r>
      <w:r w:rsidR="00BC2BF2" w:rsidRPr="00DF57A4">
        <w:rPr>
          <w:rFonts w:ascii="Century Gothic" w:eastAsia="Times New Roman" w:hAnsi="Century Gothic" w:cs="Times New Roman"/>
          <w:color w:val="000000"/>
          <w:sz w:val="24"/>
          <w:szCs w:val="24"/>
        </w:rPr>
        <w:t xml:space="preserve">hope that CMS will </w:t>
      </w:r>
      <w:r w:rsidRPr="00DF57A4">
        <w:rPr>
          <w:rFonts w:ascii="Century Gothic" w:eastAsia="Times New Roman" w:hAnsi="Century Gothic" w:cs="Times New Roman"/>
          <w:color w:val="000000"/>
          <w:sz w:val="24"/>
          <w:szCs w:val="24"/>
        </w:rPr>
        <w:t xml:space="preserve">maintain </w:t>
      </w:r>
      <w:r w:rsidR="002E54B0">
        <w:rPr>
          <w:rFonts w:ascii="Century Gothic" w:eastAsia="Times New Roman" w:hAnsi="Century Gothic" w:cs="Times New Roman"/>
          <w:color w:val="000000"/>
          <w:sz w:val="24"/>
          <w:szCs w:val="24"/>
        </w:rPr>
        <w:t xml:space="preserve">these </w:t>
      </w:r>
      <w:r w:rsidRPr="00DF57A4">
        <w:rPr>
          <w:rFonts w:ascii="Century Gothic" w:eastAsia="Times New Roman" w:hAnsi="Century Gothic" w:cs="Times New Roman"/>
          <w:color w:val="000000"/>
          <w:sz w:val="24"/>
          <w:szCs w:val="24"/>
        </w:rPr>
        <w:t xml:space="preserve">important </w:t>
      </w:r>
      <w:r w:rsidR="002E54B0">
        <w:rPr>
          <w:rFonts w:ascii="Century Gothic" w:eastAsia="Times New Roman" w:hAnsi="Century Gothic" w:cs="Times New Roman"/>
          <w:color w:val="000000"/>
          <w:sz w:val="24"/>
          <w:szCs w:val="24"/>
        </w:rPr>
        <w:t xml:space="preserve">immunization provisions in the final call letter: </w:t>
      </w:r>
    </w:p>
    <w:p w14:paraId="241ACF13" w14:textId="5E6A99E4" w:rsidR="00B147D8" w:rsidRPr="00AD5FCE" w:rsidRDefault="00436370">
      <w:pPr>
        <w:rPr>
          <w:rFonts w:ascii="Century Gothic" w:hAnsi="Century Gothic"/>
          <w:b/>
          <w:sz w:val="24"/>
          <w:szCs w:val="24"/>
        </w:rPr>
      </w:pPr>
      <w:r w:rsidRPr="00AD5FCE">
        <w:rPr>
          <w:rFonts w:ascii="Century Gothic" w:hAnsi="Century Gothic"/>
          <w:b/>
          <w:sz w:val="24"/>
          <w:szCs w:val="24"/>
        </w:rPr>
        <w:t>Potential New Measures for 2020 and Beyond (page 150-151)</w:t>
      </w:r>
    </w:p>
    <w:p w14:paraId="0028E013" w14:textId="11668683" w:rsidR="00436370" w:rsidRPr="00AD5FCE" w:rsidRDefault="00436370">
      <w:pPr>
        <w:rPr>
          <w:rFonts w:ascii="Century Gothic" w:hAnsi="Century Gothic"/>
          <w:b/>
          <w:i/>
          <w:sz w:val="24"/>
          <w:szCs w:val="24"/>
        </w:rPr>
      </w:pPr>
      <w:r w:rsidRPr="00AD5FCE">
        <w:rPr>
          <w:rFonts w:ascii="Century Gothic" w:hAnsi="Century Gothic"/>
          <w:b/>
          <w:i/>
          <w:sz w:val="24"/>
          <w:szCs w:val="24"/>
        </w:rPr>
        <w:t>Adult Immunization Measure (Part C)</w:t>
      </w:r>
      <w:r w:rsidRPr="00AD5FCE">
        <w:rPr>
          <w:rFonts w:ascii="Century Gothic" w:hAnsi="Century Gothic"/>
          <w:i/>
          <w:sz w:val="24"/>
          <w:szCs w:val="24"/>
        </w:rPr>
        <w:t xml:space="preserve">. For HEDIS 2018, NCQA added the Pneumococcal Vaccination Coverage for Older Adults measure to the ECDS reporting domain. Measures in the HEDIS ECDS domain are calculated using electronic data from administrative claims, electronic medical records, case management systems and registries. For HEDIS 2019, NCQA will build off the pneumococcal measure and evaluate the relevance, scientific soundness, and feasibility of a composite measure for HEDIS that 151 assesses the receipt of routine adult vaccinations. The measure developer is focusing on four specific vaccines: influenza vaccine; tetanus, diphtheria, and pertussis (Tdap) or tetanus and diphtheria (Td) booster vaccine; herpes zoster vaccine; and pneumococcal vaccine. If approved, the new measure would be included in HEDIS 2019. </w:t>
      </w:r>
      <w:r w:rsidRPr="00AD5FCE">
        <w:rPr>
          <w:rFonts w:ascii="Century Gothic" w:hAnsi="Century Gothic"/>
          <w:b/>
          <w:i/>
          <w:sz w:val="24"/>
          <w:szCs w:val="24"/>
        </w:rPr>
        <w:t>CMS would welcome feedback on the feasibility, value of, and burden/reduction in burden of this change in data source. Depending on results of implementation, CMS will determine the use of this new composite measure for the display page and Star Ratings for the future.</w:t>
      </w:r>
    </w:p>
    <w:p w14:paraId="0DED758A" w14:textId="1A5EF519" w:rsidR="00DB4EC8" w:rsidRDefault="00513316" w:rsidP="00DB4EC8">
      <w:pPr>
        <w:pStyle w:val="NormalWeb"/>
        <w:shd w:val="clear" w:color="auto" w:fill="FFFFFF"/>
        <w:spacing w:after="0" w:afterAutospacing="0"/>
        <w:rPr>
          <w:rFonts w:ascii="Century Gothic" w:hAnsi="Century Gothic"/>
          <w:color w:val="222222"/>
        </w:rPr>
      </w:pPr>
      <w:r w:rsidRPr="00AD5FCE">
        <w:rPr>
          <w:rFonts w:ascii="Century Gothic" w:hAnsi="Century Gothic"/>
          <w:color w:val="222222"/>
        </w:rPr>
        <w:t xml:space="preserve">AVAC strongly supports the future addition of an adult immunization composite measure on the display page and a Star Ratings measure.  This HEDIS measure would </w:t>
      </w:r>
      <w:r w:rsidRPr="00AD5FCE">
        <w:rPr>
          <w:rFonts w:ascii="Century Gothic" w:hAnsi="Century Gothic"/>
        </w:rPr>
        <w:t>build off the pneumococcal measure and provide a sound, reliable and comprehensive means to assesses the receipt of routine adult vaccinations recommended by the Advisory Committee on Immunization Practices (ACIP).  AVAC appreciates the work of NCQA, PQA and others to develop and test reliable measurement tools that will streamline the patchwork of existing adult immunization measures, reduce the reporting burden on providers</w:t>
      </w:r>
      <w:r w:rsidR="00DF57A4" w:rsidRPr="00AD5FCE">
        <w:rPr>
          <w:rFonts w:ascii="Century Gothic" w:hAnsi="Century Gothic"/>
        </w:rPr>
        <w:t>,</w:t>
      </w:r>
      <w:r w:rsidRPr="00AD5FCE">
        <w:rPr>
          <w:rFonts w:ascii="Century Gothic" w:hAnsi="Century Gothic"/>
        </w:rPr>
        <w:t xml:space="preserve"> and provide meaningful data to the Medicare program on access to this important preventive servi</w:t>
      </w:r>
      <w:r w:rsidR="004F4BCC">
        <w:rPr>
          <w:rFonts w:ascii="Century Gothic" w:hAnsi="Century Gothic"/>
        </w:rPr>
        <w:t>c</w:t>
      </w:r>
      <w:r w:rsidRPr="00AD5FCE">
        <w:rPr>
          <w:rFonts w:ascii="Century Gothic" w:hAnsi="Century Gothic"/>
        </w:rPr>
        <w:t xml:space="preserve">e.  </w:t>
      </w:r>
    </w:p>
    <w:p w14:paraId="5AB7399C" w14:textId="7EE15BDA" w:rsidR="00DB4EC8" w:rsidRPr="004F4BCC" w:rsidRDefault="004F4BCC" w:rsidP="004F4BCC">
      <w:pPr>
        <w:pStyle w:val="NormalWeb"/>
        <w:shd w:val="clear" w:color="auto" w:fill="FFFFFF"/>
        <w:spacing w:after="0"/>
        <w:rPr>
          <w:rFonts w:ascii="Century Gothic" w:hAnsi="Century Gothic"/>
        </w:rPr>
      </w:pPr>
      <w:r>
        <w:rPr>
          <w:rFonts w:ascii="Century Gothic" w:hAnsi="Century Gothic"/>
          <w:color w:val="222222"/>
        </w:rPr>
        <w:t>In t</w:t>
      </w:r>
      <w:r w:rsidRPr="004F4BCC">
        <w:rPr>
          <w:rFonts w:ascii="Century Gothic" w:hAnsi="Century Gothic"/>
          <w:color w:val="222222"/>
        </w:rPr>
        <w:t>he Value and Imperative of Quality Measures for Adult Vaccines</w:t>
      </w:r>
      <w:r>
        <w:rPr>
          <w:rStyle w:val="FootnoteReference"/>
          <w:rFonts w:ascii="Century Gothic" w:hAnsi="Century Gothic"/>
          <w:color w:val="222222"/>
        </w:rPr>
        <w:footnoteReference w:id="8"/>
      </w:r>
      <w:r w:rsidRPr="004F4BCC">
        <w:rPr>
          <w:rFonts w:ascii="Century Gothic" w:hAnsi="Century Gothic"/>
          <w:color w:val="222222"/>
        </w:rPr>
        <w:t xml:space="preserve">, renowned vaccine experts explain how quality measures </w:t>
      </w:r>
      <w:r>
        <w:rPr>
          <w:rFonts w:ascii="Century Gothic" w:hAnsi="Century Gothic"/>
          <w:color w:val="222222"/>
        </w:rPr>
        <w:t xml:space="preserve">that capture and create incentives for appropriate adult vaccinations </w:t>
      </w:r>
      <w:r w:rsidRPr="004F4BCC">
        <w:rPr>
          <w:rFonts w:ascii="Century Gothic" w:hAnsi="Century Gothic"/>
          <w:color w:val="222222"/>
        </w:rPr>
        <w:t xml:space="preserve">can prevent illness and death, reduce caregiving demands, save unnecessary healthcare spending, and set </w:t>
      </w:r>
      <w:r w:rsidRPr="004F4BCC">
        <w:rPr>
          <w:rFonts w:ascii="Century Gothic" w:hAnsi="Century Gothic"/>
          <w:color w:val="222222"/>
        </w:rPr>
        <w:lastRenderedPageBreak/>
        <w:t>the foundation for healthy aging.</w:t>
      </w:r>
      <w:r>
        <w:rPr>
          <w:rFonts w:ascii="Century Gothic" w:hAnsi="Century Gothic"/>
          <w:color w:val="222222"/>
        </w:rPr>
        <w:t xml:space="preserve"> </w:t>
      </w:r>
      <w:r w:rsidRPr="004F4BCC">
        <w:rPr>
          <w:rFonts w:ascii="Century Gothic" w:hAnsi="Century Gothic"/>
        </w:rPr>
        <w:t>There is evidence that a composite measure of the adult patient cohort’s vaccination schedule–such as those demonstrated by the Northwest Tribal Epidemiology Center</w:t>
      </w:r>
      <w:r w:rsidRPr="004F4BCC">
        <w:rPr>
          <w:rStyle w:val="FootnoteReference"/>
          <w:rFonts w:ascii="Century Gothic" w:hAnsi="Century Gothic"/>
        </w:rPr>
        <w:footnoteReference w:id="9"/>
      </w:r>
      <w:r w:rsidRPr="004F4BCC">
        <w:rPr>
          <w:rFonts w:ascii="Century Gothic" w:hAnsi="Century Gothic"/>
        </w:rPr>
        <w:t xml:space="preserve"> and by the National Nursing Home Quality Care Collaborative–can improve outcomes. Such a measure would put vaccination coverage rates into a larger context and encourage a more systematic approach for all vaccines.</w:t>
      </w:r>
    </w:p>
    <w:p w14:paraId="1863FBEA" w14:textId="70530872" w:rsidR="00436370" w:rsidRPr="00AD5FCE" w:rsidRDefault="00436370">
      <w:pPr>
        <w:rPr>
          <w:rFonts w:ascii="Century Gothic" w:hAnsi="Century Gothic"/>
          <w:b/>
          <w:i/>
          <w:sz w:val="24"/>
          <w:szCs w:val="24"/>
        </w:rPr>
      </w:pPr>
      <w:r w:rsidRPr="00AD5FCE">
        <w:rPr>
          <w:rFonts w:ascii="Century Gothic" w:hAnsi="Century Gothic"/>
          <w:b/>
          <w:i/>
          <w:sz w:val="24"/>
          <w:szCs w:val="24"/>
        </w:rPr>
        <w:t>Improving Access to Part D Vaccines (page 199)</w:t>
      </w:r>
    </w:p>
    <w:p w14:paraId="6B09DD06" w14:textId="5FF667EE" w:rsidR="00436370" w:rsidRPr="00AD5FCE" w:rsidRDefault="00436370">
      <w:pPr>
        <w:rPr>
          <w:rFonts w:ascii="Century Gothic" w:hAnsi="Century Gothic"/>
          <w:i/>
          <w:sz w:val="24"/>
          <w:szCs w:val="24"/>
        </w:rPr>
      </w:pPr>
      <w:r w:rsidRPr="00AD5FCE">
        <w:rPr>
          <w:rFonts w:ascii="Century Gothic" w:hAnsi="Century Gothic"/>
          <w:i/>
          <w:sz w:val="24"/>
          <w:szCs w:val="24"/>
        </w:rPr>
        <w:t>According to the Center for Disease Control and Prevention’s (CDC) Surveillance of Vaccination Coverage among Adult Populations — United States, 2015, vaccination rates remain low for tetanus and diphtheria with acellular pertussis (Tdap</w:t>
      </w:r>
      <w:r w:rsidR="002442C4">
        <w:rPr>
          <w:rFonts w:ascii="Century Gothic" w:hAnsi="Century Gothic"/>
          <w:i/>
          <w:sz w:val="24"/>
          <w:szCs w:val="24"/>
        </w:rPr>
        <w:t>)</w:t>
      </w:r>
      <w:r w:rsidRPr="00AD5FCE">
        <w:rPr>
          <w:rFonts w:ascii="Century Gothic" w:hAnsi="Century Gothic"/>
          <w:i/>
          <w:sz w:val="24"/>
          <w:szCs w:val="24"/>
        </w:rPr>
        <w:t>. While the Healthy People 2020 herpes zoster target vaccination rate has been achieved, approximately 70% of adults for whom the vaccine is recommended remain unprotected. In an effort to improve access to these and other Part D vaccines, we encourage Part D sponsors to either offer a $0 vaccine tier, or to place vaccines on a formulary tier with low cost-sharing.</w:t>
      </w:r>
    </w:p>
    <w:p w14:paraId="3B5E546B" w14:textId="77777777" w:rsidR="00A3284F" w:rsidRPr="00AD5FCE" w:rsidRDefault="00CE24B1" w:rsidP="00DF57A4">
      <w:pPr>
        <w:rPr>
          <w:rFonts w:ascii="Century Gothic" w:hAnsi="Century Gothic"/>
          <w:sz w:val="24"/>
          <w:szCs w:val="24"/>
        </w:rPr>
      </w:pPr>
      <w:r w:rsidRPr="00AD5FCE">
        <w:rPr>
          <w:rFonts w:ascii="Century Gothic" w:hAnsi="Century Gothic"/>
          <w:color w:val="222222"/>
          <w:sz w:val="24"/>
          <w:szCs w:val="24"/>
        </w:rPr>
        <w:t xml:space="preserve">AVAC greatly appreciates the inclusion of language encouraging Part D sponsors to offer </w:t>
      </w:r>
      <w:r w:rsidRPr="00AD5FCE">
        <w:rPr>
          <w:rFonts w:ascii="Century Gothic" w:hAnsi="Century Gothic"/>
          <w:b/>
          <w:sz w:val="24"/>
          <w:szCs w:val="24"/>
        </w:rPr>
        <w:t xml:space="preserve">either a $0 vaccine tier, or to place vaccines on a formulary tier with low cost-sharing and strongly urge maintaining it in the final letter.  </w:t>
      </w:r>
      <w:r w:rsidR="00DF57A4" w:rsidRPr="00AD5FCE">
        <w:rPr>
          <w:rFonts w:ascii="Century Gothic" w:hAnsi="Century Gothic"/>
          <w:sz w:val="24"/>
          <w:szCs w:val="24"/>
        </w:rPr>
        <w:t>While not mandatory, this language sends an important signal to Me</w:t>
      </w:r>
      <w:r w:rsidR="00A3284F" w:rsidRPr="00AD5FCE">
        <w:rPr>
          <w:rFonts w:ascii="Century Gothic" w:hAnsi="Century Gothic"/>
          <w:sz w:val="24"/>
          <w:szCs w:val="24"/>
        </w:rPr>
        <w:t xml:space="preserve">dicare Advantage and Prescription Drug Plans that access to Part D vaccines should be a high priority as they develop formulary and cost sharing tiers.  </w:t>
      </w:r>
    </w:p>
    <w:p w14:paraId="6B6D7707" w14:textId="77777777" w:rsidR="002442C4" w:rsidRDefault="00CE24B1" w:rsidP="00BC2BF2">
      <w:pPr>
        <w:pStyle w:val="NormalWeb"/>
        <w:shd w:val="clear" w:color="auto" w:fill="FFFFFF"/>
        <w:spacing w:after="0"/>
        <w:rPr>
          <w:rFonts w:ascii="Century Gothic" w:hAnsi="Century Gothic"/>
          <w:color w:val="222222"/>
        </w:rPr>
      </w:pPr>
      <w:r w:rsidRPr="00AD5FCE">
        <w:rPr>
          <w:rFonts w:ascii="Century Gothic" w:hAnsi="Century Gothic"/>
        </w:rPr>
        <w:t xml:space="preserve">Studies have shown a direct correlation between high cost sharing and increased abandonment rates of vaccines.  </w:t>
      </w:r>
      <w:r w:rsidR="00A3284F" w:rsidRPr="00AD5FCE">
        <w:rPr>
          <w:rFonts w:ascii="Century Gothic" w:hAnsi="Century Gothic"/>
          <w:color w:val="222222"/>
        </w:rPr>
        <w:t>A study evaluating the relationship between vaccine co-pays for Part D beneficiaries and Tdap and Zoster vaccination claims in their doctor’s office showed that, compared with no co-pay, beneficiaries who had to pay a co-pay amount of $26–50, $51–75 or $76–100, respectively, are 1.39, 1.66 or 2.07 times as likely to cancel their zoster vaccination.</w:t>
      </w:r>
      <w:r w:rsidR="00A3284F" w:rsidRPr="00AD5FCE">
        <w:rPr>
          <w:rStyle w:val="FootnoteReference"/>
          <w:rFonts w:ascii="Century Gothic" w:hAnsi="Century Gothic"/>
          <w:color w:val="222222"/>
        </w:rPr>
        <w:footnoteReference w:id="10"/>
      </w:r>
      <w:r w:rsidR="00A3284F" w:rsidRPr="00AD5FCE">
        <w:rPr>
          <w:rFonts w:ascii="Century Gothic" w:hAnsi="Century Gothic"/>
          <w:color w:val="222222"/>
        </w:rPr>
        <w:t xml:space="preserve">  </w:t>
      </w:r>
    </w:p>
    <w:p w14:paraId="2A03F15F" w14:textId="36BC2894" w:rsidR="00BC2BF2" w:rsidRPr="00AD5FCE" w:rsidRDefault="00A3284F" w:rsidP="00BC2BF2">
      <w:pPr>
        <w:pStyle w:val="NormalWeb"/>
        <w:shd w:val="clear" w:color="auto" w:fill="FFFFFF"/>
        <w:spacing w:after="0"/>
        <w:rPr>
          <w:rFonts w:ascii="Century Gothic" w:hAnsi="Century Gothic"/>
        </w:rPr>
      </w:pPr>
      <w:r w:rsidRPr="00AD5FCE">
        <w:rPr>
          <w:rFonts w:ascii="Century Gothic" w:hAnsi="Century Gothic"/>
          <w:color w:val="222222"/>
        </w:rPr>
        <w:t xml:space="preserve">Another study found that patient out-of-pocket (OOP) cost is one of the most significant predictors of vaccine abandonment, after adjusting for other </w:t>
      </w:r>
      <w:r w:rsidRPr="00AD5FCE">
        <w:rPr>
          <w:rFonts w:ascii="Century Gothic" w:hAnsi="Century Gothic"/>
          <w:color w:val="222222"/>
        </w:rPr>
        <w:lastRenderedPageBreak/>
        <w:t>factors.</w:t>
      </w:r>
      <w:r w:rsidRPr="00AD5FCE">
        <w:rPr>
          <w:rStyle w:val="FootnoteReference"/>
          <w:rFonts w:ascii="Century Gothic" w:hAnsi="Century Gothic"/>
          <w:color w:val="222222"/>
        </w:rPr>
        <w:footnoteReference w:id="11"/>
      </w:r>
      <w:r w:rsidRPr="00AD5FCE">
        <w:rPr>
          <w:rFonts w:ascii="Century Gothic" w:hAnsi="Century Gothic"/>
          <w:color w:val="222222"/>
        </w:rPr>
        <w:t xml:space="preserve"> </w:t>
      </w:r>
      <w:r w:rsidR="00CE24B1" w:rsidRPr="00AD5FCE">
        <w:rPr>
          <w:rFonts w:ascii="Century Gothic" w:hAnsi="Century Gothic"/>
        </w:rPr>
        <w:t>Removing financial barriers will greatly improve beneficiary access, utilization and health outcomes</w:t>
      </w:r>
      <w:r w:rsidR="00AD5FCE" w:rsidRPr="00AD5FCE">
        <w:rPr>
          <w:rFonts w:ascii="Century Gothic" w:hAnsi="Century Gothic"/>
        </w:rPr>
        <w:t xml:space="preserve"> </w:t>
      </w:r>
      <w:r w:rsidR="00BC2BF2" w:rsidRPr="00AD5FCE">
        <w:rPr>
          <w:rFonts w:ascii="Century Gothic" w:hAnsi="Century Gothic"/>
          <w:bCs/>
          <w:color w:val="222222"/>
          <w:shd w:val="clear" w:color="auto" w:fill="FFFFFF"/>
        </w:rPr>
        <w:t xml:space="preserve">among </w:t>
      </w:r>
      <w:r w:rsidR="00AD5FCE" w:rsidRPr="00AD5FCE">
        <w:rPr>
          <w:rFonts w:ascii="Century Gothic" w:hAnsi="Century Gothic"/>
          <w:bCs/>
          <w:color w:val="222222"/>
          <w:shd w:val="clear" w:color="auto" w:fill="FFFFFF"/>
        </w:rPr>
        <w:t xml:space="preserve">at-risk </w:t>
      </w:r>
      <w:r w:rsidR="00BC2BF2" w:rsidRPr="00AD5FCE">
        <w:rPr>
          <w:rFonts w:ascii="Century Gothic" w:hAnsi="Century Gothic"/>
          <w:bCs/>
          <w:color w:val="222222"/>
          <w:shd w:val="clear" w:color="auto" w:fill="FFFFFF"/>
        </w:rPr>
        <w:t>elderly</w:t>
      </w:r>
      <w:r w:rsidR="00AD5FCE" w:rsidRPr="00AD5FCE">
        <w:rPr>
          <w:rFonts w:ascii="Century Gothic" w:hAnsi="Century Gothic"/>
          <w:bCs/>
          <w:color w:val="222222"/>
          <w:shd w:val="clear" w:color="auto" w:fill="FFFFFF"/>
        </w:rPr>
        <w:t xml:space="preserve"> </w:t>
      </w:r>
      <w:r w:rsidR="00BC2BF2" w:rsidRPr="00AD5FCE">
        <w:rPr>
          <w:rFonts w:ascii="Century Gothic" w:hAnsi="Century Gothic"/>
          <w:bCs/>
          <w:color w:val="222222"/>
          <w:shd w:val="clear" w:color="auto" w:fill="FFFFFF"/>
        </w:rPr>
        <w:t xml:space="preserve">and chronically ill populations who account for a disproportionate percentage of the morbidity and mortality from vaccine preventable conditions. </w:t>
      </w:r>
    </w:p>
    <w:p w14:paraId="2BB98235" w14:textId="2FBE9383" w:rsidR="00BC2BF2" w:rsidRPr="00AD5FCE" w:rsidRDefault="00BC2BF2" w:rsidP="00BC2BF2">
      <w:pPr>
        <w:shd w:val="clear" w:color="auto" w:fill="FFFFFF"/>
        <w:spacing w:after="0" w:line="240" w:lineRule="auto"/>
        <w:rPr>
          <w:rFonts w:ascii="Century Gothic" w:eastAsia="Times New Roman" w:hAnsi="Century Gothic" w:cs="Times New Roman"/>
          <w:color w:val="000000"/>
          <w:sz w:val="24"/>
          <w:szCs w:val="24"/>
        </w:rPr>
      </w:pPr>
      <w:r w:rsidRPr="00AD5FCE">
        <w:rPr>
          <w:rFonts w:ascii="Century Gothic" w:eastAsia="Times New Roman" w:hAnsi="Century Gothic" w:cs="Times New Roman"/>
          <w:color w:val="000000"/>
          <w:sz w:val="24"/>
          <w:szCs w:val="24"/>
        </w:rPr>
        <w:t xml:space="preserve">Thank you for the opportunity to offer our perspective on the </w:t>
      </w:r>
      <w:r w:rsidRPr="00AD5FCE">
        <w:rPr>
          <w:rStyle w:val="apple-converted-space"/>
          <w:rFonts w:ascii="Century Gothic" w:hAnsi="Century Gothic" w:cs="Times New Roman"/>
          <w:color w:val="222222"/>
          <w:sz w:val="24"/>
          <w:szCs w:val="24"/>
        </w:rPr>
        <w:t>201</w:t>
      </w:r>
      <w:r w:rsidR="00AD5FCE" w:rsidRPr="00AD5FCE">
        <w:rPr>
          <w:rStyle w:val="apple-converted-space"/>
          <w:rFonts w:ascii="Century Gothic" w:hAnsi="Century Gothic" w:cs="Times New Roman"/>
          <w:color w:val="222222"/>
          <w:sz w:val="24"/>
          <w:szCs w:val="24"/>
        </w:rPr>
        <w:t>9</w:t>
      </w:r>
      <w:r w:rsidRPr="00AD5FCE">
        <w:rPr>
          <w:rStyle w:val="apple-converted-space"/>
          <w:rFonts w:ascii="Century Gothic" w:hAnsi="Century Gothic" w:cs="Times New Roman"/>
          <w:color w:val="222222"/>
          <w:sz w:val="24"/>
          <w:szCs w:val="24"/>
        </w:rPr>
        <w:t xml:space="preserve"> Medicare Advantage and Part D Advance Notice and Draft Call Letter</w:t>
      </w:r>
      <w:r w:rsidRPr="00AD5FCE">
        <w:rPr>
          <w:rFonts w:ascii="Century Gothic" w:eastAsia="Times New Roman" w:hAnsi="Century Gothic" w:cs="Times New Roman"/>
          <w:color w:val="000000"/>
          <w:sz w:val="24"/>
          <w:szCs w:val="24"/>
        </w:rPr>
        <w:t xml:space="preserve">. We hope CMS will </w:t>
      </w:r>
      <w:r w:rsidR="00AD5FCE" w:rsidRPr="00AD5FCE">
        <w:rPr>
          <w:rFonts w:ascii="Century Gothic" w:eastAsia="Times New Roman" w:hAnsi="Century Gothic" w:cs="Times New Roman"/>
          <w:color w:val="000000"/>
          <w:sz w:val="24"/>
          <w:szCs w:val="24"/>
        </w:rPr>
        <w:t xml:space="preserve">maintain strong language in the final letter encouraging </w:t>
      </w:r>
      <w:r w:rsidRPr="00AD5FCE">
        <w:rPr>
          <w:rFonts w:ascii="Century Gothic" w:eastAsia="Times New Roman" w:hAnsi="Century Gothic" w:cs="Times New Roman"/>
          <w:color w:val="000000"/>
          <w:sz w:val="24"/>
          <w:szCs w:val="24"/>
        </w:rPr>
        <w:t xml:space="preserve">Part D plans to include vaccines in the $0 </w:t>
      </w:r>
      <w:r w:rsidR="00AD5FCE" w:rsidRPr="00AD5FCE">
        <w:rPr>
          <w:rFonts w:ascii="Century Gothic" w:eastAsia="Times New Roman" w:hAnsi="Century Gothic" w:cs="Times New Roman"/>
          <w:color w:val="000000"/>
          <w:sz w:val="24"/>
          <w:szCs w:val="24"/>
        </w:rPr>
        <w:t>vaccine tier or low-</w:t>
      </w:r>
      <w:r w:rsidRPr="00AD5FCE">
        <w:rPr>
          <w:rFonts w:ascii="Century Gothic" w:eastAsia="Times New Roman" w:hAnsi="Century Gothic" w:cs="Times New Roman"/>
          <w:color w:val="000000"/>
          <w:sz w:val="24"/>
          <w:szCs w:val="24"/>
        </w:rPr>
        <w:t xml:space="preserve">cost sharing tier in the final letter and </w:t>
      </w:r>
      <w:r w:rsidR="00AD5FCE" w:rsidRPr="00AD5FCE">
        <w:rPr>
          <w:rFonts w:ascii="Century Gothic" w:eastAsia="Times New Roman" w:hAnsi="Century Gothic" w:cs="Times New Roman"/>
          <w:color w:val="000000"/>
          <w:sz w:val="24"/>
          <w:szCs w:val="24"/>
        </w:rPr>
        <w:t xml:space="preserve">language supporting efforts to develop and implement a composite quality measure for adult immunizations.  We greatly appreciate CMS’ efforts to </w:t>
      </w:r>
      <w:r w:rsidRPr="00AD5FCE">
        <w:rPr>
          <w:rFonts w:ascii="Century Gothic" w:eastAsia="Times New Roman" w:hAnsi="Century Gothic" w:cs="Times New Roman"/>
          <w:color w:val="000000"/>
          <w:sz w:val="24"/>
          <w:szCs w:val="24"/>
        </w:rPr>
        <w:t xml:space="preserve">balance plans’ fiduciary responsibilities and beneficiary access to </w:t>
      </w:r>
      <w:r w:rsidR="00AD5FCE" w:rsidRPr="00AD5FCE">
        <w:rPr>
          <w:rFonts w:ascii="Century Gothic" w:eastAsia="Times New Roman" w:hAnsi="Century Gothic" w:cs="Times New Roman"/>
          <w:color w:val="000000"/>
          <w:sz w:val="24"/>
          <w:szCs w:val="24"/>
        </w:rPr>
        <w:t xml:space="preserve">this </w:t>
      </w:r>
      <w:r w:rsidRPr="00AD5FCE">
        <w:rPr>
          <w:rFonts w:ascii="Century Gothic" w:eastAsia="Times New Roman" w:hAnsi="Century Gothic" w:cs="Times New Roman"/>
          <w:color w:val="000000"/>
          <w:sz w:val="24"/>
          <w:szCs w:val="24"/>
        </w:rPr>
        <w:t xml:space="preserve">important preventive health service.  </w:t>
      </w:r>
    </w:p>
    <w:p w14:paraId="06C50300" w14:textId="77777777" w:rsidR="00BC2BF2" w:rsidRPr="00AD5FCE" w:rsidRDefault="00BC2BF2" w:rsidP="00BC2BF2">
      <w:pPr>
        <w:shd w:val="clear" w:color="auto" w:fill="FFFFFF"/>
        <w:spacing w:after="0" w:line="240" w:lineRule="auto"/>
        <w:rPr>
          <w:rFonts w:ascii="Century Gothic" w:eastAsia="Times New Roman" w:hAnsi="Century Gothic" w:cs="Times New Roman"/>
          <w:color w:val="000000"/>
          <w:sz w:val="24"/>
          <w:szCs w:val="24"/>
        </w:rPr>
      </w:pPr>
    </w:p>
    <w:p w14:paraId="4F10BF03" w14:textId="56218AC2" w:rsidR="00BC2BF2" w:rsidRPr="00861136" w:rsidRDefault="00BC2BF2" w:rsidP="00861136">
      <w:pPr>
        <w:rPr>
          <w:rFonts w:ascii="Century Gothic" w:hAnsi="Century Gothic"/>
          <w:sz w:val="24"/>
          <w:szCs w:val="24"/>
        </w:rPr>
      </w:pPr>
      <w:r w:rsidRPr="00861136">
        <w:rPr>
          <w:rFonts w:ascii="Century Gothic" w:hAnsi="Century Gothic"/>
          <w:sz w:val="24"/>
          <w:szCs w:val="24"/>
        </w:rPr>
        <w:t>Please contact an AVAC manager at </w:t>
      </w:r>
      <w:hyperlink r:id="rId11" w:history="1">
        <w:r w:rsidR="00861136" w:rsidRPr="00861136">
          <w:rPr>
            <w:rStyle w:val="Hyperlink"/>
            <w:rFonts w:ascii="Century Gothic" w:eastAsia="Times New Roman" w:hAnsi="Century Gothic" w:cs="Times New Roman"/>
            <w:sz w:val="24"/>
            <w:szCs w:val="24"/>
          </w:rPr>
          <w:t>(202) 540-1070</w:t>
        </w:r>
      </w:hyperlink>
      <w:r w:rsidRPr="00861136">
        <w:rPr>
          <w:rFonts w:ascii="Century Gothic" w:hAnsi="Century Gothic"/>
          <w:sz w:val="24"/>
          <w:szCs w:val="24"/>
        </w:rPr>
        <w:t> or </w:t>
      </w:r>
      <w:hyperlink r:id="rId12" w:tgtFrame="_blank" w:history="1">
        <w:r w:rsidRPr="00861136">
          <w:rPr>
            <w:rStyle w:val="Hyperlink"/>
            <w:rFonts w:ascii="Century Gothic" w:eastAsia="Times New Roman" w:hAnsi="Century Gothic" w:cs="Times New Roman"/>
            <w:color w:val="1155CC"/>
            <w:sz w:val="24"/>
            <w:szCs w:val="24"/>
          </w:rPr>
          <w:t>info@adultvaccinesnow.org</w:t>
        </w:r>
      </w:hyperlink>
      <w:r w:rsidRPr="00861136">
        <w:rPr>
          <w:rFonts w:ascii="Century Gothic" w:hAnsi="Century Gothic"/>
          <w:sz w:val="24"/>
          <w:szCs w:val="24"/>
        </w:rPr>
        <w:t xml:space="preserve"> if you wish to discuss our comments or adult immunization access and coverage.</w:t>
      </w:r>
    </w:p>
    <w:p w14:paraId="2FA2445A" w14:textId="545743A1" w:rsidR="002E54B0" w:rsidRPr="00861136" w:rsidRDefault="00BC2BF2" w:rsidP="00BC2BF2">
      <w:pPr>
        <w:rPr>
          <w:rFonts w:ascii="Century Gothic" w:hAnsi="Century Gothic"/>
          <w:sz w:val="24"/>
          <w:szCs w:val="24"/>
        </w:rPr>
      </w:pPr>
      <w:r w:rsidRPr="00861136">
        <w:rPr>
          <w:rFonts w:ascii="Century Gothic" w:hAnsi="Century Gothic"/>
          <w:sz w:val="24"/>
          <w:szCs w:val="24"/>
        </w:rPr>
        <w:t xml:space="preserve">Sincerely, </w:t>
      </w:r>
    </w:p>
    <w:p w14:paraId="5A704F64" w14:textId="68261756" w:rsidR="00BC2BF2" w:rsidRPr="00DA1A7A" w:rsidRDefault="00BC2BF2" w:rsidP="00BC2BF2">
      <w:pPr>
        <w:rPr>
          <w:rFonts w:ascii="Century Gothic" w:hAnsi="Century Gothic"/>
          <w:b/>
          <w:sz w:val="24"/>
          <w:szCs w:val="24"/>
        </w:rPr>
      </w:pPr>
    </w:p>
    <w:tbl>
      <w:tblPr>
        <w:tblW w:w="8240" w:type="dxa"/>
        <w:tblLook w:val="04A0" w:firstRow="1" w:lastRow="0" w:firstColumn="1" w:lastColumn="0" w:noHBand="0" w:noVBand="1"/>
      </w:tblPr>
      <w:tblGrid>
        <w:gridCol w:w="8240"/>
      </w:tblGrid>
      <w:tr w:rsidR="00BC2BF2" w:rsidRPr="00DA1A7A" w14:paraId="749FFAD7" w14:textId="77777777" w:rsidTr="00701AB2">
        <w:trPr>
          <w:trHeight w:val="345"/>
        </w:trPr>
        <w:tc>
          <w:tcPr>
            <w:tcW w:w="8240" w:type="dxa"/>
            <w:tcBorders>
              <w:top w:val="nil"/>
              <w:left w:val="nil"/>
              <w:bottom w:val="nil"/>
              <w:right w:val="nil"/>
            </w:tcBorders>
            <w:shd w:val="clear" w:color="auto" w:fill="auto"/>
            <w:noWrap/>
            <w:vAlign w:val="bottom"/>
            <w:hideMark/>
          </w:tcPr>
          <w:p w14:paraId="21A290F6" w14:textId="77777777" w:rsidR="00BC2BF2" w:rsidRPr="00DA1A7A" w:rsidRDefault="00BC2BF2" w:rsidP="00701AB2">
            <w:pPr>
              <w:spacing w:after="0" w:line="240" w:lineRule="auto"/>
              <w:rPr>
                <w:rFonts w:ascii="Century Gothic" w:eastAsia="Times New Roman" w:hAnsi="Century Gothic" w:cs="Calibri"/>
                <w:sz w:val="24"/>
                <w:szCs w:val="24"/>
              </w:rPr>
            </w:pPr>
            <w:r w:rsidRPr="00DA1A7A">
              <w:rPr>
                <w:rFonts w:ascii="Century Gothic" w:eastAsia="Times New Roman" w:hAnsi="Century Gothic" w:cs="Calibri"/>
                <w:sz w:val="24"/>
                <w:szCs w:val="24"/>
              </w:rPr>
              <w:t xml:space="preserve">Alliance for Aging Research </w:t>
            </w:r>
          </w:p>
        </w:tc>
      </w:tr>
      <w:tr w:rsidR="00BC2BF2" w:rsidRPr="00DA1A7A" w14:paraId="62F5169A" w14:textId="77777777" w:rsidTr="00701AB2">
        <w:trPr>
          <w:trHeight w:val="345"/>
        </w:trPr>
        <w:tc>
          <w:tcPr>
            <w:tcW w:w="8240" w:type="dxa"/>
            <w:tcBorders>
              <w:top w:val="nil"/>
              <w:left w:val="nil"/>
              <w:bottom w:val="nil"/>
              <w:right w:val="nil"/>
            </w:tcBorders>
            <w:shd w:val="clear" w:color="auto" w:fill="auto"/>
            <w:noWrap/>
            <w:vAlign w:val="bottom"/>
            <w:hideMark/>
          </w:tcPr>
          <w:p w14:paraId="38670344" w14:textId="77777777" w:rsidR="00BC2BF2" w:rsidRPr="00DA1A7A" w:rsidRDefault="00BC2BF2" w:rsidP="00701AB2">
            <w:pPr>
              <w:spacing w:after="0" w:line="240" w:lineRule="auto"/>
              <w:rPr>
                <w:rFonts w:ascii="Century Gothic" w:eastAsia="Times New Roman" w:hAnsi="Century Gothic" w:cs="Calibri"/>
                <w:sz w:val="24"/>
                <w:szCs w:val="24"/>
              </w:rPr>
            </w:pPr>
            <w:r w:rsidRPr="00DA1A7A">
              <w:rPr>
                <w:rFonts w:ascii="Century Gothic" w:eastAsia="Times New Roman" w:hAnsi="Century Gothic" w:cs="Calibri"/>
                <w:sz w:val="24"/>
                <w:szCs w:val="24"/>
              </w:rPr>
              <w:t>American College of Preventive Medicine</w:t>
            </w:r>
          </w:p>
        </w:tc>
      </w:tr>
      <w:tr w:rsidR="00BC2BF2" w:rsidRPr="00DA1A7A" w14:paraId="5B9C1DF9" w14:textId="77777777" w:rsidTr="00701AB2">
        <w:trPr>
          <w:trHeight w:val="345"/>
        </w:trPr>
        <w:tc>
          <w:tcPr>
            <w:tcW w:w="8240" w:type="dxa"/>
            <w:tcBorders>
              <w:top w:val="nil"/>
              <w:left w:val="nil"/>
              <w:bottom w:val="nil"/>
              <w:right w:val="nil"/>
            </w:tcBorders>
            <w:shd w:val="clear" w:color="auto" w:fill="auto"/>
            <w:noWrap/>
            <w:vAlign w:val="bottom"/>
            <w:hideMark/>
          </w:tcPr>
          <w:p w14:paraId="6F70F60C" w14:textId="77777777" w:rsidR="00BC2BF2" w:rsidRPr="00DA1A7A" w:rsidRDefault="00BC2BF2" w:rsidP="00701AB2">
            <w:pPr>
              <w:spacing w:after="0" w:line="240" w:lineRule="auto"/>
              <w:rPr>
                <w:rFonts w:ascii="Century Gothic" w:eastAsia="Times New Roman" w:hAnsi="Century Gothic" w:cs="Calibri"/>
                <w:sz w:val="24"/>
                <w:szCs w:val="24"/>
              </w:rPr>
            </w:pPr>
            <w:r w:rsidRPr="00DA1A7A">
              <w:rPr>
                <w:rFonts w:ascii="Century Gothic" w:eastAsia="Times New Roman" w:hAnsi="Century Gothic" w:cs="Calibri"/>
                <w:sz w:val="24"/>
                <w:szCs w:val="24"/>
              </w:rPr>
              <w:t>American Immunization Registry Association (AIRA)</w:t>
            </w:r>
          </w:p>
        </w:tc>
      </w:tr>
      <w:tr w:rsidR="00BC2BF2" w:rsidRPr="00DA1A7A" w14:paraId="421BAA2D" w14:textId="77777777" w:rsidTr="00701AB2">
        <w:trPr>
          <w:trHeight w:val="345"/>
        </w:trPr>
        <w:tc>
          <w:tcPr>
            <w:tcW w:w="8240" w:type="dxa"/>
            <w:tcBorders>
              <w:top w:val="nil"/>
              <w:left w:val="nil"/>
              <w:bottom w:val="nil"/>
              <w:right w:val="nil"/>
            </w:tcBorders>
            <w:shd w:val="clear" w:color="auto" w:fill="auto"/>
            <w:noWrap/>
            <w:vAlign w:val="bottom"/>
            <w:hideMark/>
          </w:tcPr>
          <w:p w14:paraId="0F36BDCA" w14:textId="77777777" w:rsidR="00BC2BF2" w:rsidRPr="00DA1A7A" w:rsidRDefault="00BC2BF2" w:rsidP="00701AB2">
            <w:pPr>
              <w:spacing w:after="0" w:line="240" w:lineRule="auto"/>
              <w:rPr>
                <w:rFonts w:ascii="Century Gothic" w:eastAsia="Times New Roman" w:hAnsi="Century Gothic" w:cs="Calibri"/>
                <w:sz w:val="24"/>
                <w:szCs w:val="24"/>
              </w:rPr>
            </w:pPr>
            <w:r w:rsidRPr="00DA1A7A">
              <w:rPr>
                <w:rFonts w:ascii="Century Gothic" w:eastAsia="Times New Roman" w:hAnsi="Century Gothic" w:cs="Calibri"/>
                <w:sz w:val="24"/>
                <w:szCs w:val="24"/>
              </w:rPr>
              <w:t>Asian &amp; Pacific Islander American Health Forum (APIAHF)</w:t>
            </w:r>
          </w:p>
        </w:tc>
      </w:tr>
      <w:tr w:rsidR="00BC2BF2" w:rsidRPr="00DA1A7A" w14:paraId="03B1F87A" w14:textId="77777777" w:rsidTr="00701AB2">
        <w:trPr>
          <w:trHeight w:val="345"/>
        </w:trPr>
        <w:tc>
          <w:tcPr>
            <w:tcW w:w="8240" w:type="dxa"/>
            <w:tcBorders>
              <w:top w:val="nil"/>
              <w:left w:val="nil"/>
              <w:bottom w:val="nil"/>
              <w:right w:val="nil"/>
            </w:tcBorders>
            <w:shd w:val="clear" w:color="auto" w:fill="auto"/>
            <w:noWrap/>
            <w:vAlign w:val="bottom"/>
            <w:hideMark/>
          </w:tcPr>
          <w:p w14:paraId="3A5C583D" w14:textId="77777777" w:rsidR="00BC2BF2" w:rsidRPr="00DA1A7A" w:rsidRDefault="00BC2BF2" w:rsidP="00701AB2">
            <w:pPr>
              <w:spacing w:after="0" w:line="240" w:lineRule="auto"/>
              <w:rPr>
                <w:rFonts w:ascii="Century Gothic" w:eastAsia="Times New Roman" w:hAnsi="Century Gothic" w:cs="Calibri"/>
                <w:sz w:val="24"/>
                <w:szCs w:val="24"/>
              </w:rPr>
            </w:pPr>
            <w:r w:rsidRPr="00DA1A7A">
              <w:rPr>
                <w:rFonts w:ascii="Century Gothic" w:eastAsia="Times New Roman" w:hAnsi="Century Gothic" w:cs="Calibri"/>
                <w:sz w:val="24"/>
                <w:szCs w:val="24"/>
              </w:rPr>
              <w:t>Association of Immunization Managers (AIM)</w:t>
            </w:r>
          </w:p>
        </w:tc>
      </w:tr>
      <w:tr w:rsidR="00BC2BF2" w:rsidRPr="00DA1A7A" w14:paraId="60405944" w14:textId="77777777" w:rsidTr="00701AB2">
        <w:trPr>
          <w:trHeight w:val="345"/>
        </w:trPr>
        <w:tc>
          <w:tcPr>
            <w:tcW w:w="8240" w:type="dxa"/>
            <w:tcBorders>
              <w:top w:val="nil"/>
              <w:left w:val="nil"/>
              <w:bottom w:val="nil"/>
              <w:right w:val="nil"/>
            </w:tcBorders>
            <w:shd w:val="clear" w:color="auto" w:fill="auto"/>
            <w:noWrap/>
            <w:vAlign w:val="bottom"/>
            <w:hideMark/>
          </w:tcPr>
          <w:p w14:paraId="5D960B67" w14:textId="77777777" w:rsidR="00BC2BF2" w:rsidRPr="00DA1A7A" w:rsidRDefault="00BC2BF2" w:rsidP="00701AB2">
            <w:pPr>
              <w:spacing w:after="0" w:line="240" w:lineRule="auto"/>
              <w:rPr>
                <w:rFonts w:ascii="Century Gothic" w:eastAsia="Times New Roman" w:hAnsi="Century Gothic" w:cs="Calibri"/>
                <w:sz w:val="24"/>
                <w:szCs w:val="24"/>
              </w:rPr>
            </w:pPr>
            <w:r w:rsidRPr="00DA1A7A">
              <w:rPr>
                <w:rFonts w:ascii="Century Gothic" w:eastAsia="Times New Roman" w:hAnsi="Century Gothic" w:cs="Calibri"/>
                <w:sz w:val="24"/>
                <w:szCs w:val="24"/>
              </w:rPr>
              <w:t>Biotechnology Innovation Organization (BIO)</w:t>
            </w:r>
          </w:p>
        </w:tc>
      </w:tr>
      <w:tr w:rsidR="00BC2BF2" w:rsidRPr="00DA1A7A" w14:paraId="4BC0D358" w14:textId="77777777" w:rsidTr="00701AB2">
        <w:trPr>
          <w:trHeight w:val="345"/>
        </w:trPr>
        <w:tc>
          <w:tcPr>
            <w:tcW w:w="8240" w:type="dxa"/>
            <w:tcBorders>
              <w:top w:val="nil"/>
              <w:left w:val="nil"/>
              <w:bottom w:val="nil"/>
              <w:right w:val="nil"/>
            </w:tcBorders>
            <w:shd w:val="clear" w:color="auto" w:fill="auto"/>
            <w:noWrap/>
            <w:vAlign w:val="bottom"/>
            <w:hideMark/>
          </w:tcPr>
          <w:p w14:paraId="46CF1711" w14:textId="4E7E3834" w:rsidR="00C21E46" w:rsidRDefault="00C21E46" w:rsidP="00701AB2">
            <w:pPr>
              <w:spacing w:after="0" w:line="240" w:lineRule="auto"/>
              <w:rPr>
                <w:rFonts w:ascii="Century Gothic" w:eastAsia="Times New Roman" w:hAnsi="Century Gothic" w:cs="Calibri"/>
                <w:sz w:val="24"/>
                <w:szCs w:val="24"/>
              </w:rPr>
            </w:pPr>
            <w:r w:rsidRPr="00C21E46">
              <w:rPr>
                <w:rFonts w:ascii="Century Gothic" w:eastAsia="Times New Roman" w:hAnsi="Century Gothic" w:cs="Calibri"/>
                <w:sz w:val="24"/>
                <w:szCs w:val="24"/>
              </w:rPr>
              <w:t>Dynavax</w:t>
            </w:r>
          </w:p>
          <w:p w14:paraId="02F352EC" w14:textId="4E2D9C39" w:rsidR="00BC2BF2" w:rsidRPr="00DA1A7A" w:rsidRDefault="00BC2BF2" w:rsidP="00701AB2">
            <w:pPr>
              <w:spacing w:after="0" w:line="240" w:lineRule="auto"/>
              <w:rPr>
                <w:rFonts w:ascii="Century Gothic" w:eastAsia="Times New Roman" w:hAnsi="Century Gothic" w:cs="Calibri"/>
                <w:sz w:val="24"/>
                <w:szCs w:val="24"/>
              </w:rPr>
            </w:pPr>
            <w:r w:rsidRPr="00DA1A7A">
              <w:rPr>
                <w:rFonts w:ascii="Century Gothic" w:eastAsia="Times New Roman" w:hAnsi="Century Gothic" w:cs="Calibri"/>
                <w:sz w:val="24"/>
                <w:szCs w:val="24"/>
              </w:rPr>
              <w:t>GSK</w:t>
            </w:r>
          </w:p>
        </w:tc>
      </w:tr>
      <w:tr w:rsidR="00BC2BF2" w:rsidRPr="00DA1A7A" w14:paraId="128030C2" w14:textId="77777777" w:rsidTr="00701AB2">
        <w:trPr>
          <w:trHeight w:val="345"/>
        </w:trPr>
        <w:tc>
          <w:tcPr>
            <w:tcW w:w="8240" w:type="dxa"/>
            <w:tcBorders>
              <w:top w:val="nil"/>
              <w:left w:val="nil"/>
              <w:bottom w:val="nil"/>
              <w:right w:val="nil"/>
            </w:tcBorders>
            <w:shd w:val="clear" w:color="auto" w:fill="auto"/>
            <w:noWrap/>
            <w:vAlign w:val="bottom"/>
            <w:hideMark/>
          </w:tcPr>
          <w:p w14:paraId="3F78A5DF" w14:textId="77777777" w:rsidR="00BC2BF2" w:rsidRPr="00DA1A7A" w:rsidRDefault="00BC2BF2" w:rsidP="00701AB2">
            <w:pPr>
              <w:spacing w:after="0" w:line="240" w:lineRule="auto"/>
              <w:rPr>
                <w:rFonts w:ascii="Century Gothic" w:eastAsia="Times New Roman" w:hAnsi="Century Gothic" w:cs="Calibri"/>
                <w:sz w:val="24"/>
                <w:szCs w:val="24"/>
              </w:rPr>
            </w:pPr>
            <w:r w:rsidRPr="00DA1A7A">
              <w:rPr>
                <w:rFonts w:ascii="Century Gothic" w:eastAsia="Times New Roman" w:hAnsi="Century Gothic" w:cs="Calibri"/>
                <w:sz w:val="24"/>
                <w:szCs w:val="24"/>
              </w:rPr>
              <w:t>Hep B United</w:t>
            </w:r>
          </w:p>
        </w:tc>
      </w:tr>
      <w:tr w:rsidR="00BC2BF2" w:rsidRPr="00DA1A7A" w14:paraId="2932A679" w14:textId="77777777" w:rsidTr="00701AB2">
        <w:trPr>
          <w:trHeight w:val="345"/>
        </w:trPr>
        <w:tc>
          <w:tcPr>
            <w:tcW w:w="8240" w:type="dxa"/>
            <w:tcBorders>
              <w:top w:val="nil"/>
              <w:left w:val="nil"/>
              <w:bottom w:val="nil"/>
              <w:right w:val="nil"/>
            </w:tcBorders>
            <w:shd w:val="clear" w:color="auto" w:fill="auto"/>
            <w:noWrap/>
            <w:vAlign w:val="center"/>
            <w:hideMark/>
          </w:tcPr>
          <w:p w14:paraId="5ADB46A9" w14:textId="77777777" w:rsidR="00BC2BF2" w:rsidRPr="00DA1A7A" w:rsidRDefault="00BC2BF2" w:rsidP="00701AB2">
            <w:pPr>
              <w:spacing w:after="0" w:line="240" w:lineRule="auto"/>
              <w:rPr>
                <w:rFonts w:ascii="Century Gothic" w:eastAsia="Times New Roman" w:hAnsi="Century Gothic" w:cs="Calibri"/>
                <w:sz w:val="24"/>
                <w:szCs w:val="24"/>
              </w:rPr>
            </w:pPr>
            <w:r w:rsidRPr="00DA1A7A">
              <w:rPr>
                <w:rFonts w:ascii="Century Gothic" w:eastAsia="Times New Roman" w:hAnsi="Century Gothic" w:cs="Calibri"/>
                <w:sz w:val="24"/>
                <w:szCs w:val="24"/>
              </w:rPr>
              <w:t>Hepatitis B Foundation</w:t>
            </w:r>
          </w:p>
        </w:tc>
      </w:tr>
      <w:tr w:rsidR="00BC2BF2" w:rsidRPr="00DA1A7A" w14:paraId="2631C696" w14:textId="77777777" w:rsidTr="00701AB2">
        <w:trPr>
          <w:trHeight w:val="345"/>
        </w:trPr>
        <w:tc>
          <w:tcPr>
            <w:tcW w:w="8240" w:type="dxa"/>
            <w:tcBorders>
              <w:top w:val="nil"/>
              <w:left w:val="nil"/>
              <w:bottom w:val="nil"/>
              <w:right w:val="nil"/>
            </w:tcBorders>
            <w:shd w:val="clear" w:color="auto" w:fill="auto"/>
            <w:noWrap/>
            <w:vAlign w:val="bottom"/>
            <w:hideMark/>
          </w:tcPr>
          <w:p w14:paraId="17294B13" w14:textId="77777777" w:rsidR="00BC2BF2" w:rsidRPr="00DA1A7A" w:rsidRDefault="00BC2BF2" w:rsidP="00701AB2">
            <w:pPr>
              <w:spacing w:after="0" w:line="240" w:lineRule="auto"/>
              <w:rPr>
                <w:rFonts w:ascii="Century Gothic" w:eastAsia="Times New Roman" w:hAnsi="Century Gothic" w:cs="Calibri"/>
                <w:sz w:val="24"/>
                <w:szCs w:val="24"/>
              </w:rPr>
            </w:pPr>
            <w:r w:rsidRPr="00DA1A7A">
              <w:rPr>
                <w:rFonts w:ascii="Century Gothic" w:eastAsia="Times New Roman" w:hAnsi="Century Gothic" w:cs="Calibri"/>
                <w:sz w:val="24"/>
                <w:szCs w:val="24"/>
              </w:rPr>
              <w:t>Immunization Action Coalition (IAC)</w:t>
            </w:r>
          </w:p>
        </w:tc>
      </w:tr>
      <w:tr w:rsidR="00BC2BF2" w:rsidRPr="00DA1A7A" w14:paraId="26D86009" w14:textId="77777777" w:rsidTr="00701AB2">
        <w:trPr>
          <w:trHeight w:val="345"/>
        </w:trPr>
        <w:tc>
          <w:tcPr>
            <w:tcW w:w="8240" w:type="dxa"/>
            <w:tcBorders>
              <w:top w:val="nil"/>
              <w:left w:val="nil"/>
              <w:bottom w:val="nil"/>
              <w:right w:val="nil"/>
            </w:tcBorders>
            <w:shd w:val="clear" w:color="auto" w:fill="auto"/>
            <w:noWrap/>
            <w:vAlign w:val="bottom"/>
            <w:hideMark/>
          </w:tcPr>
          <w:p w14:paraId="5E9C222F" w14:textId="77777777" w:rsidR="00BC2BF2" w:rsidRPr="00DA1A7A" w:rsidRDefault="00BC2BF2" w:rsidP="00701AB2">
            <w:pPr>
              <w:spacing w:after="0" w:line="240" w:lineRule="auto"/>
              <w:rPr>
                <w:rFonts w:ascii="Century Gothic" w:eastAsia="Times New Roman" w:hAnsi="Century Gothic" w:cs="Calibri"/>
                <w:sz w:val="24"/>
                <w:szCs w:val="24"/>
              </w:rPr>
            </w:pPr>
            <w:r w:rsidRPr="00DA1A7A">
              <w:rPr>
                <w:rFonts w:ascii="Century Gothic" w:eastAsia="Times New Roman" w:hAnsi="Century Gothic" w:cs="Calibri"/>
                <w:sz w:val="24"/>
                <w:szCs w:val="24"/>
              </w:rPr>
              <w:t xml:space="preserve">Medicago </w:t>
            </w:r>
          </w:p>
        </w:tc>
      </w:tr>
      <w:tr w:rsidR="00BC2BF2" w:rsidRPr="00DA1A7A" w14:paraId="0C23AAD6" w14:textId="77777777" w:rsidTr="00701AB2">
        <w:trPr>
          <w:trHeight w:val="345"/>
        </w:trPr>
        <w:tc>
          <w:tcPr>
            <w:tcW w:w="8240" w:type="dxa"/>
            <w:tcBorders>
              <w:top w:val="nil"/>
              <w:left w:val="nil"/>
              <w:bottom w:val="nil"/>
              <w:right w:val="nil"/>
            </w:tcBorders>
            <w:shd w:val="clear" w:color="auto" w:fill="auto"/>
            <w:noWrap/>
            <w:vAlign w:val="bottom"/>
            <w:hideMark/>
          </w:tcPr>
          <w:p w14:paraId="0E2DBFCC" w14:textId="77777777" w:rsidR="00BC2BF2" w:rsidRPr="00DA1A7A" w:rsidRDefault="00BC2BF2" w:rsidP="00701AB2">
            <w:pPr>
              <w:spacing w:after="0" w:line="240" w:lineRule="auto"/>
              <w:rPr>
                <w:rFonts w:ascii="Century Gothic" w:eastAsia="Times New Roman" w:hAnsi="Century Gothic" w:cs="Calibri"/>
                <w:sz w:val="24"/>
                <w:szCs w:val="24"/>
              </w:rPr>
            </w:pPr>
            <w:r w:rsidRPr="00DA1A7A">
              <w:rPr>
                <w:rFonts w:ascii="Century Gothic" w:eastAsia="Times New Roman" w:hAnsi="Century Gothic" w:cs="Calibri"/>
                <w:sz w:val="24"/>
                <w:szCs w:val="24"/>
              </w:rPr>
              <w:t>National Association of Chain Drug Stores (NACDS)</w:t>
            </w:r>
          </w:p>
        </w:tc>
      </w:tr>
      <w:tr w:rsidR="00BC2BF2" w:rsidRPr="00DA1A7A" w14:paraId="5375115E" w14:textId="77777777" w:rsidTr="00701AB2">
        <w:trPr>
          <w:trHeight w:val="345"/>
        </w:trPr>
        <w:tc>
          <w:tcPr>
            <w:tcW w:w="8240" w:type="dxa"/>
            <w:tcBorders>
              <w:top w:val="nil"/>
              <w:left w:val="nil"/>
              <w:bottom w:val="nil"/>
              <w:right w:val="nil"/>
            </w:tcBorders>
            <w:shd w:val="clear" w:color="auto" w:fill="auto"/>
            <w:noWrap/>
            <w:vAlign w:val="bottom"/>
            <w:hideMark/>
          </w:tcPr>
          <w:p w14:paraId="4F5D9049" w14:textId="77777777" w:rsidR="00BC2BF2" w:rsidRPr="00DA1A7A" w:rsidRDefault="00BC2BF2" w:rsidP="00701AB2">
            <w:pPr>
              <w:spacing w:after="0" w:line="240" w:lineRule="auto"/>
              <w:rPr>
                <w:rFonts w:ascii="Century Gothic" w:eastAsia="Times New Roman" w:hAnsi="Century Gothic" w:cs="Calibri"/>
                <w:sz w:val="24"/>
                <w:szCs w:val="24"/>
              </w:rPr>
            </w:pPr>
            <w:bookmarkStart w:id="0" w:name="_GoBack"/>
            <w:r w:rsidRPr="00DA1A7A">
              <w:rPr>
                <w:rFonts w:ascii="Century Gothic" w:eastAsia="Times New Roman" w:hAnsi="Century Gothic" w:cs="Calibri"/>
                <w:sz w:val="24"/>
                <w:szCs w:val="24"/>
              </w:rPr>
              <w:lastRenderedPageBreak/>
              <w:t>National Association of City and County Health Officials (NACCHO)</w:t>
            </w:r>
          </w:p>
        </w:tc>
      </w:tr>
      <w:tr w:rsidR="00BC2BF2" w:rsidRPr="00DA1A7A" w14:paraId="16DE883B" w14:textId="77777777" w:rsidTr="00701AB2">
        <w:trPr>
          <w:trHeight w:val="345"/>
        </w:trPr>
        <w:tc>
          <w:tcPr>
            <w:tcW w:w="8240" w:type="dxa"/>
            <w:tcBorders>
              <w:top w:val="nil"/>
              <w:left w:val="nil"/>
              <w:bottom w:val="nil"/>
              <w:right w:val="nil"/>
            </w:tcBorders>
            <w:shd w:val="clear" w:color="auto" w:fill="auto"/>
            <w:noWrap/>
            <w:vAlign w:val="center"/>
            <w:hideMark/>
          </w:tcPr>
          <w:p w14:paraId="3E5E1E0E" w14:textId="37E96376" w:rsidR="00C21E46" w:rsidRDefault="00C21E46" w:rsidP="00701AB2">
            <w:pPr>
              <w:spacing w:after="0" w:line="240" w:lineRule="auto"/>
              <w:rPr>
                <w:rFonts w:ascii="Century Gothic" w:eastAsia="Times New Roman" w:hAnsi="Century Gothic" w:cs="Calibri"/>
                <w:sz w:val="24"/>
                <w:szCs w:val="24"/>
              </w:rPr>
            </w:pPr>
            <w:r w:rsidRPr="00C21E46">
              <w:rPr>
                <w:rFonts w:ascii="Century Gothic" w:eastAsia="Times New Roman" w:hAnsi="Century Gothic" w:cs="Calibri"/>
                <w:sz w:val="24"/>
                <w:szCs w:val="24"/>
              </w:rPr>
              <w:t>National Black Nurses Association</w:t>
            </w:r>
          </w:p>
          <w:p w14:paraId="4D281C9D" w14:textId="72298848" w:rsidR="00BC2BF2" w:rsidRPr="00DA1A7A" w:rsidRDefault="00BC2BF2" w:rsidP="00701AB2">
            <w:pPr>
              <w:spacing w:after="0" w:line="240" w:lineRule="auto"/>
              <w:rPr>
                <w:rFonts w:ascii="Century Gothic" w:eastAsia="Times New Roman" w:hAnsi="Century Gothic" w:cs="Calibri"/>
                <w:sz w:val="24"/>
                <w:szCs w:val="24"/>
              </w:rPr>
            </w:pPr>
            <w:r w:rsidRPr="00DA1A7A">
              <w:rPr>
                <w:rFonts w:ascii="Century Gothic" w:eastAsia="Times New Roman" w:hAnsi="Century Gothic" w:cs="Calibri"/>
                <w:sz w:val="24"/>
                <w:szCs w:val="24"/>
              </w:rPr>
              <w:t>National Foundation for Infectious Diseases (NFID)</w:t>
            </w:r>
          </w:p>
        </w:tc>
      </w:tr>
      <w:tr w:rsidR="00BC2BF2" w:rsidRPr="00DA1A7A" w14:paraId="5EA4E387" w14:textId="77777777" w:rsidTr="00701AB2">
        <w:trPr>
          <w:trHeight w:val="345"/>
        </w:trPr>
        <w:tc>
          <w:tcPr>
            <w:tcW w:w="8240" w:type="dxa"/>
            <w:tcBorders>
              <w:top w:val="nil"/>
              <w:left w:val="nil"/>
              <w:bottom w:val="nil"/>
              <w:right w:val="nil"/>
            </w:tcBorders>
            <w:shd w:val="clear" w:color="auto" w:fill="auto"/>
            <w:noWrap/>
            <w:vAlign w:val="center"/>
            <w:hideMark/>
          </w:tcPr>
          <w:p w14:paraId="721D0710" w14:textId="77777777" w:rsidR="00BC2BF2" w:rsidRPr="00DA1A7A" w:rsidRDefault="00BC2BF2" w:rsidP="00701AB2">
            <w:pPr>
              <w:spacing w:after="0" w:line="240" w:lineRule="auto"/>
              <w:rPr>
                <w:rFonts w:ascii="Century Gothic" w:eastAsia="Times New Roman" w:hAnsi="Century Gothic" w:cs="Calibri"/>
                <w:sz w:val="24"/>
                <w:szCs w:val="24"/>
              </w:rPr>
            </w:pPr>
            <w:r w:rsidRPr="00DA1A7A">
              <w:rPr>
                <w:rFonts w:ascii="Century Gothic" w:eastAsia="Times New Roman" w:hAnsi="Century Gothic" w:cs="Calibri"/>
                <w:sz w:val="24"/>
                <w:szCs w:val="24"/>
              </w:rPr>
              <w:t xml:space="preserve">National Hispanic Medical Association </w:t>
            </w:r>
          </w:p>
        </w:tc>
      </w:tr>
      <w:tr w:rsidR="00BC2BF2" w:rsidRPr="00DA1A7A" w14:paraId="47C22891" w14:textId="77777777" w:rsidTr="00701AB2">
        <w:trPr>
          <w:trHeight w:val="345"/>
        </w:trPr>
        <w:tc>
          <w:tcPr>
            <w:tcW w:w="8240" w:type="dxa"/>
            <w:tcBorders>
              <w:top w:val="nil"/>
              <w:left w:val="nil"/>
              <w:bottom w:val="nil"/>
              <w:right w:val="nil"/>
            </w:tcBorders>
            <w:shd w:val="clear" w:color="auto" w:fill="auto"/>
            <w:noWrap/>
            <w:vAlign w:val="bottom"/>
            <w:hideMark/>
          </w:tcPr>
          <w:p w14:paraId="505D1F2C" w14:textId="19100F48" w:rsidR="00C21E46" w:rsidRDefault="00C21E46" w:rsidP="00701AB2">
            <w:pPr>
              <w:spacing w:after="0" w:line="240" w:lineRule="auto"/>
              <w:rPr>
                <w:rFonts w:ascii="Century Gothic" w:eastAsia="Times New Roman" w:hAnsi="Century Gothic" w:cs="Calibri"/>
                <w:sz w:val="24"/>
                <w:szCs w:val="24"/>
              </w:rPr>
            </w:pPr>
            <w:r w:rsidRPr="00C21E46">
              <w:rPr>
                <w:rFonts w:ascii="Century Gothic" w:eastAsia="Times New Roman" w:hAnsi="Century Gothic" w:cs="Calibri"/>
                <w:sz w:val="24"/>
                <w:szCs w:val="24"/>
              </w:rPr>
              <w:t>Novavax</w:t>
            </w:r>
          </w:p>
          <w:p w14:paraId="76B98F7A" w14:textId="77B40628" w:rsidR="00BC2BF2" w:rsidRPr="00DA1A7A" w:rsidRDefault="00BC2BF2" w:rsidP="00701AB2">
            <w:pPr>
              <w:spacing w:after="0" w:line="240" w:lineRule="auto"/>
              <w:rPr>
                <w:rFonts w:ascii="Century Gothic" w:eastAsia="Times New Roman" w:hAnsi="Century Gothic" w:cs="Calibri"/>
                <w:sz w:val="24"/>
                <w:szCs w:val="24"/>
              </w:rPr>
            </w:pPr>
            <w:r w:rsidRPr="00DA1A7A">
              <w:rPr>
                <w:rFonts w:ascii="Century Gothic" w:eastAsia="Times New Roman" w:hAnsi="Century Gothic" w:cs="Calibri"/>
                <w:sz w:val="24"/>
                <w:szCs w:val="24"/>
              </w:rPr>
              <w:t>Pfizer</w:t>
            </w:r>
          </w:p>
        </w:tc>
      </w:tr>
      <w:tr w:rsidR="00BC2BF2" w:rsidRPr="00DA1A7A" w14:paraId="1EB0507E" w14:textId="77777777" w:rsidTr="00701AB2">
        <w:trPr>
          <w:trHeight w:val="345"/>
        </w:trPr>
        <w:tc>
          <w:tcPr>
            <w:tcW w:w="8240" w:type="dxa"/>
            <w:tcBorders>
              <w:top w:val="nil"/>
              <w:left w:val="nil"/>
              <w:bottom w:val="nil"/>
              <w:right w:val="nil"/>
            </w:tcBorders>
            <w:shd w:val="clear" w:color="auto" w:fill="auto"/>
            <w:noWrap/>
            <w:vAlign w:val="center"/>
            <w:hideMark/>
          </w:tcPr>
          <w:p w14:paraId="7E9B1638" w14:textId="77777777" w:rsidR="00BC2BF2" w:rsidRPr="00DA1A7A" w:rsidRDefault="00BC2BF2" w:rsidP="00701AB2">
            <w:pPr>
              <w:spacing w:after="0" w:line="240" w:lineRule="auto"/>
              <w:rPr>
                <w:rFonts w:ascii="Century Gothic" w:eastAsia="Times New Roman" w:hAnsi="Century Gothic" w:cs="Calibri"/>
                <w:sz w:val="24"/>
                <w:szCs w:val="24"/>
              </w:rPr>
            </w:pPr>
            <w:r w:rsidRPr="00DA1A7A">
              <w:rPr>
                <w:rFonts w:ascii="Century Gothic" w:eastAsia="Times New Roman" w:hAnsi="Century Gothic" w:cs="Calibri"/>
                <w:sz w:val="24"/>
                <w:szCs w:val="24"/>
              </w:rPr>
              <w:t>Pharmacy Quality Alliance</w:t>
            </w:r>
          </w:p>
        </w:tc>
      </w:tr>
      <w:tr w:rsidR="00BC2BF2" w:rsidRPr="00DA1A7A" w14:paraId="194358E4" w14:textId="77777777" w:rsidTr="00701AB2">
        <w:trPr>
          <w:trHeight w:val="80"/>
        </w:trPr>
        <w:tc>
          <w:tcPr>
            <w:tcW w:w="8240" w:type="dxa"/>
            <w:tcBorders>
              <w:top w:val="nil"/>
              <w:left w:val="nil"/>
              <w:bottom w:val="nil"/>
              <w:right w:val="nil"/>
            </w:tcBorders>
            <w:shd w:val="clear" w:color="auto" w:fill="auto"/>
            <w:noWrap/>
            <w:vAlign w:val="bottom"/>
            <w:hideMark/>
          </w:tcPr>
          <w:p w14:paraId="1BF7989F" w14:textId="7BC516B7" w:rsidR="00C21E46" w:rsidRDefault="00C21E46" w:rsidP="00701AB2">
            <w:pPr>
              <w:spacing w:after="0" w:line="240" w:lineRule="auto"/>
              <w:rPr>
                <w:rFonts w:ascii="Century Gothic" w:eastAsia="Times New Roman" w:hAnsi="Century Gothic" w:cs="Calibri"/>
                <w:sz w:val="24"/>
                <w:szCs w:val="24"/>
              </w:rPr>
            </w:pPr>
            <w:r w:rsidRPr="00C21E46">
              <w:rPr>
                <w:rFonts w:ascii="Century Gothic" w:eastAsia="Times New Roman" w:hAnsi="Century Gothic" w:cs="Calibri"/>
                <w:sz w:val="24"/>
                <w:szCs w:val="24"/>
              </w:rPr>
              <w:t>PhRMA</w:t>
            </w:r>
          </w:p>
          <w:p w14:paraId="51B8C5A5" w14:textId="6D3B6DFE" w:rsidR="00BC2BF2" w:rsidRPr="00DA1A7A" w:rsidRDefault="00BC2BF2" w:rsidP="00701AB2">
            <w:pPr>
              <w:spacing w:after="0" w:line="240" w:lineRule="auto"/>
              <w:rPr>
                <w:rFonts w:ascii="Century Gothic" w:eastAsia="Times New Roman" w:hAnsi="Century Gothic" w:cs="Calibri"/>
                <w:sz w:val="24"/>
                <w:szCs w:val="24"/>
              </w:rPr>
            </w:pPr>
            <w:r w:rsidRPr="00DA1A7A">
              <w:rPr>
                <w:rFonts w:ascii="Century Gothic" w:eastAsia="Times New Roman" w:hAnsi="Century Gothic" w:cs="Calibri"/>
                <w:sz w:val="24"/>
                <w:szCs w:val="24"/>
              </w:rPr>
              <w:t>Sanofi</w:t>
            </w:r>
          </w:p>
          <w:p w14:paraId="6D0CA5D9" w14:textId="3636AA1D" w:rsidR="00E6537A" w:rsidRPr="00DA1A7A" w:rsidRDefault="00E6537A" w:rsidP="00701AB2">
            <w:pPr>
              <w:spacing w:after="0" w:line="240" w:lineRule="auto"/>
              <w:rPr>
                <w:rFonts w:ascii="Century Gothic" w:eastAsia="Times New Roman" w:hAnsi="Century Gothic" w:cs="Calibri"/>
                <w:sz w:val="24"/>
                <w:szCs w:val="24"/>
              </w:rPr>
            </w:pPr>
            <w:r w:rsidRPr="00DA1A7A">
              <w:rPr>
                <w:rFonts w:ascii="Century Gothic" w:eastAsia="Times New Roman" w:hAnsi="Century Gothic" w:cs="Calibri"/>
                <w:sz w:val="24"/>
                <w:szCs w:val="24"/>
              </w:rPr>
              <w:t>The Gerontological Society of America</w:t>
            </w:r>
          </w:p>
        </w:tc>
      </w:tr>
      <w:tr w:rsidR="00BC2BF2" w:rsidRPr="00AD5FCE" w14:paraId="26AEB737" w14:textId="77777777" w:rsidTr="00701AB2">
        <w:trPr>
          <w:trHeight w:val="345"/>
        </w:trPr>
        <w:tc>
          <w:tcPr>
            <w:tcW w:w="8240" w:type="dxa"/>
            <w:tcBorders>
              <w:top w:val="nil"/>
              <w:left w:val="nil"/>
              <w:bottom w:val="nil"/>
              <w:right w:val="nil"/>
            </w:tcBorders>
            <w:shd w:val="clear" w:color="auto" w:fill="auto"/>
            <w:noWrap/>
            <w:vAlign w:val="bottom"/>
            <w:hideMark/>
          </w:tcPr>
          <w:p w14:paraId="47B5DB66" w14:textId="77777777" w:rsidR="00BC2BF2" w:rsidRPr="00AD5FCE" w:rsidRDefault="00BC2BF2" w:rsidP="00701AB2">
            <w:pPr>
              <w:spacing w:after="0" w:line="240" w:lineRule="auto"/>
              <w:rPr>
                <w:rFonts w:ascii="Century Gothic" w:eastAsia="Times New Roman" w:hAnsi="Century Gothic" w:cs="Calibri"/>
                <w:sz w:val="24"/>
                <w:szCs w:val="24"/>
              </w:rPr>
            </w:pPr>
            <w:r w:rsidRPr="00DA1A7A">
              <w:rPr>
                <w:rFonts w:ascii="Century Gothic" w:eastAsia="Times New Roman" w:hAnsi="Century Gothic" w:cs="Calibri"/>
                <w:sz w:val="24"/>
                <w:szCs w:val="24"/>
              </w:rPr>
              <w:t>Trust for America's Health (TFAH)</w:t>
            </w:r>
            <w:r w:rsidRPr="00AD5FCE">
              <w:rPr>
                <w:rFonts w:ascii="Century Gothic" w:eastAsia="Times New Roman" w:hAnsi="Century Gothic" w:cs="Calibri"/>
                <w:sz w:val="24"/>
                <w:szCs w:val="24"/>
              </w:rPr>
              <w:t xml:space="preserve"> </w:t>
            </w:r>
          </w:p>
        </w:tc>
      </w:tr>
    </w:tbl>
    <w:p w14:paraId="3FA4A2BD" w14:textId="77777777" w:rsidR="00BC2BF2" w:rsidRPr="00436370" w:rsidRDefault="00BC2BF2">
      <w:pPr>
        <w:rPr>
          <w:b/>
        </w:rPr>
      </w:pPr>
    </w:p>
    <w:p w14:paraId="4FAA1645" w14:textId="12BC8EFC" w:rsidR="00436370" w:rsidRDefault="00436370"/>
    <w:p w14:paraId="66C60AFF" w14:textId="56A0D458" w:rsidR="00CB01FB" w:rsidRDefault="00CB01FB"/>
    <w:p w14:paraId="72FF0989" w14:textId="3D1DB73E" w:rsidR="00CB01FB" w:rsidRDefault="00CB01FB"/>
    <w:p w14:paraId="65565E00" w14:textId="77777777" w:rsidR="008664FF" w:rsidRPr="00DA1A7A" w:rsidRDefault="008664FF">
      <w:pPr>
        <w:rPr>
          <w:rFonts w:ascii="Century Gothic" w:hAnsi="Century Gothic"/>
          <w:i/>
        </w:rPr>
      </w:pPr>
    </w:p>
    <w:p w14:paraId="380BA3B6" w14:textId="12B261A8" w:rsidR="00CB01FB" w:rsidRPr="00DA1A7A" w:rsidRDefault="00CB01FB">
      <w:pPr>
        <w:rPr>
          <w:rFonts w:ascii="Century Gothic" w:hAnsi="Century Gothic"/>
          <w:i/>
          <w:sz w:val="20"/>
          <w:szCs w:val="20"/>
        </w:rPr>
      </w:pPr>
      <w:r w:rsidRPr="00DA1A7A">
        <w:rPr>
          <w:rFonts w:ascii="Century Gothic" w:hAnsi="Century Gothic"/>
          <w:i/>
          <w:sz w:val="20"/>
          <w:szCs w:val="20"/>
        </w:rPr>
        <w:t>CC: Demetrios Kouzoukas, Principal Deputy Administrator and Director, Center for Medicare</w:t>
      </w:r>
      <w:bookmarkEnd w:id="0"/>
    </w:p>
    <w:sectPr w:rsidR="00CB01FB" w:rsidRPr="00DA1A7A">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413577" w14:textId="77777777" w:rsidR="00BC2BF2" w:rsidRDefault="00BC2BF2" w:rsidP="00BC2BF2">
      <w:pPr>
        <w:spacing w:after="0" w:line="240" w:lineRule="auto"/>
      </w:pPr>
      <w:r>
        <w:separator/>
      </w:r>
    </w:p>
  </w:endnote>
  <w:endnote w:type="continuationSeparator" w:id="0">
    <w:p w14:paraId="392CF8B5" w14:textId="77777777" w:rsidR="00BC2BF2" w:rsidRDefault="00BC2BF2" w:rsidP="00BC2B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C2A67C" w14:textId="77777777" w:rsidR="00013539" w:rsidRDefault="0001353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37734518"/>
      <w:docPartObj>
        <w:docPartGallery w:val="Page Numbers (Bottom of Page)"/>
        <w:docPartUnique/>
      </w:docPartObj>
    </w:sdtPr>
    <w:sdtEndPr>
      <w:rPr>
        <w:noProof/>
      </w:rPr>
    </w:sdtEndPr>
    <w:sdtContent>
      <w:p w14:paraId="0D165691" w14:textId="1B19FA4D" w:rsidR="001809B8" w:rsidRDefault="001809B8">
        <w:pPr>
          <w:pStyle w:val="Footer"/>
          <w:jc w:val="right"/>
        </w:pPr>
        <w:r>
          <w:fldChar w:fldCharType="begin"/>
        </w:r>
        <w:r>
          <w:instrText xml:space="preserve"> PAGE   \* MERGEFORMAT </w:instrText>
        </w:r>
        <w:r>
          <w:fldChar w:fldCharType="separate"/>
        </w:r>
        <w:r w:rsidR="00D2200C">
          <w:rPr>
            <w:noProof/>
          </w:rPr>
          <w:t>7</w:t>
        </w:r>
        <w:r>
          <w:rPr>
            <w:noProof/>
          </w:rPr>
          <w:fldChar w:fldCharType="end"/>
        </w:r>
      </w:p>
    </w:sdtContent>
  </w:sdt>
  <w:p w14:paraId="0770222F" w14:textId="77777777" w:rsidR="001809B8" w:rsidRDefault="001809B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BF90FD" w14:textId="77777777" w:rsidR="00013539" w:rsidRDefault="0001353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447D23" w14:textId="77777777" w:rsidR="00BC2BF2" w:rsidRDefault="00BC2BF2" w:rsidP="00BC2BF2">
      <w:pPr>
        <w:spacing w:after="0" w:line="240" w:lineRule="auto"/>
      </w:pPr>
      <w:r>
        <w:separator/>
      </w:r>
    </w:p>
  </w:footnote>
  <w:footnote w:type="continuationSeparator" w:id="0">
    <w:p w14:paraId="0C7DC7D1" w14:textId="77777777" w:rsidR="00BC2BF2" w:rsidRDefault="00BC2BF2" w:rsidP="00BC2BF2">
      <w:pPr>
        <w:spacing w:after="0" w:line="240" w:lineRule="auto"/>
      </w:pPr>
      <w:r>
        <w:continuationSeparator/>
      </w:r>
    </w:p>
  </w:footnote>
  <w:footnote w:id="1">
    <w:p w14:paraId="00D28ED1" w14:textId="4EA1B281" w:rsidR="00117ADE" w:rsidRPr="00117ADE" w:rsidRDefault="00117ADE">
      <w:pPr>
        <w:pStyle w:val="FootnoteText"/>
        <w:rPr>
          <w:sz w:val="18"/>
          <w:szCs w:val="18"/>
        </w:rPr>
      </w:pPr>
      <w:r>
        <w:rPr>
          <w:rStyle w:val="FootnoteReference"/>
        </w:rPr>
        <w:footnoteRef/>
      </w:r>
      <w:r>
        <w:t xml:space="preserve"> </w:t>
      </w:r>
      <w:r w:rsidRPr="00117ADE">
        <w:rPr>
          <w:sz w:val="18"/>
          <w:szCs w:val="18"/>
        </w:rPr>
        <w:t>https://www.cdc.gov/mmwr/preview/mmwrhtml/mm6316a4.htm</w:t>
      </w:r>
    </w:p>
  </w:footnote>
  <w:footnote w:id="2">
    <w:p w14:paraId="7F12D90F" w14:textId="77777777" w:rsidR="00117ADE" w:rsidRPr="00117ADE" w:rsidRDefault="00117ADE" w:rsidP="00117ADE">
      <w:pPr>
        <w:pStyle w:val="FootnoteText"/>
        <w:rPr>
          <w:sz w:val="18"/>
          <w:szCs w:val="18"/>
        </w:rPr>
      </w:pPr>
      <w:r w:rsidRPr="00117ADE">
        <w:rPr>
          <w:rStyle w:val="FootnoteReference"/>
          <w:sz w:val="18"/>
          <w:szCs w:val="18"/>
        </w:rPr>
        <w:footnoteRef/>
      </w:r>
      <w:r w:rsidRPr="00117ADE">
        <w:rPr>
          <w:sz w:val="18"/>
          <w:szCs w:val="18"/>
        </w:rPr>
        <w:t xml:space="preserve"> HHS Strategic Plan, FY 2018 –2022, Draft, September 2017, page 51</w:t>
      </w:r>
    </w:p>
  </w:footnote>
  <w:footnote w:id="3">
    <w:p w14:paraId="0A4E6D1D" w14:textId="77777777" w:rsidR="00BC2BF2" w:rsidRDefault="00BC2BF2" w:rsidP="00BC2BF2">
      <w:pPr>
        <w:pStyle w:val="FootnoteText"/>
      </w:pPr>
      <w:r w:rsidRPr="00117ADE">
        <w:rPr>
          <w:rStyle w:val="FootnoteReference"/>
          <w:sz w:val="18"/>
          <w:szCs w:val="18"/>
        </w:rPr>
        <w:footnoteRef/>
      </w:r>
      <w:r w:rsidRPr="00117ADE">
        <w:rPr>
          <w:sz w:val="18"/>
          <w:szCs w:val="18"/>
        </w:rPr>
        <w:t xml:space="preserve"> https://www.ncbi.nlm.nih.gov/pubmed/26032932</w:t>
      </w:r>
    </w:p>
  </w:footnote>
  <w:footnote w:id="4">
    <w:p w14:paraId="637DD36D" w14:textId="77777777" w:rsidR="00A3284F" w:rsidRPr="000409C1" w:rsidRDefault="00A3284F" w:rsidP="00A3284F">
      <w:pPr>
        <w:pStyle w:val="FootnoteText"/>
        <w:rPr>
          <w:sz w:val="16"/>
          <w:szCs w:val="16"/>
        </w:rPr>
      </w:pPr>
      <w:r w:rsidRPr="000409C1">
        <w:rPr>
          <w:rStyle w:val="FootnoteReference"/>
          <w:sz w:val="16"/>
          <w:szCs w:val="16"/>
        </w:rPr>
        <w:footnoteRef/>
      </w:r>
      <w:r w:rsidRPr="000409C1">
        <w:rPr>
          <w:sz w:val="16"/>
          <w:szCs w:val="16"/>
        </w:rPr>
        <w:t xml:space="preserve">   Varghese L et al. The temporal impact of aging on the burden of herpes zoster. BMC Geriatrics (2017) 17:30.</w:t>
      </w:r>
    </w:p>
  </w:footnote>
  <w:footnote w:id="5">
    <w:p w14:paraId="53E83D37" w14:textId="16C6EA8B" w:rsidR="00DF57A4" w:rsidRPr="00DF57A4" w:rsidRDefault="00DF57A4">
      <w:pPr>
        <w:pStyle w:val="FootnoteText"/>
        <w:rPr>
          <w:sz w:val="18"/>
          <w:szCs w:val="18"/>
        </w:rPr>
      </w:pPr>
      <w:r>
        <w:rPr>
          <w:rStyle w:val="FootnoteReference"/>
        </w:rPr>
        <w:footnoteRef/>
      </w:r>
      <w:r>
        <w:t xml:space="preserve"> </w:t>
      </w:r>
      <w:r w:rsidRPr="00DF57A4">
        <w:rPr>
          <w:sz w:val="18"/>
          <w:szCs w:val="18"/>
        </w:rPr>
        <w:t>https://www.manatt.com/getattachment/495e2566-3821-4037-bf16-9b207bd968ff/attachment.aspx</w:t>
      </w:r>
    </w:p>
  </w:footnote>
  <w:footnote w:id="6">
    <w:p w14:paraId="6ED46250" w14:textId="77777777" w:rsidR="00DF57A4" w:rsidRPr="00243762" w:rsidRDefault="00DF57A4" w:rsidP="00DF57A4">
      <w:pPr>
        <w:pStyle w:val="FootnoteText"/>
        <w:rPr>
          <w:sz w:val="16"/>
          <w:szCs w:val="16"/>
        </w:rPr>
      </w:pPr>
      <w:r w:rsidRPr="00243762">
        <w:rPr>
          <w:rStyle w:val="FootnoteReference"/>
          <w:sz w:val="16"/>
          <w:szCs w:val="16"/>
        </w:rPr>
        <w:footnoteRef/>
      </w:r>
      <w:r w:rsidRPr="00243762">
        <w:rPr>
          <w:sz w:val="16"/>
          <w:szCs w:val="16"/>
        </w:rPr>
        <w:t xml:space="preserve"> http://www.agingresearch.org/app/webroot/kcfinder_files/files/AAR_Vaccine_White_Paper_12_22_15_final.pdf</w:t>
      </w:r>
    </w:p>
  </w:footnote>
  <w:footnote w:id="7">
    <w:p w14:paraId="64CC7851" w14:textId="77777777" w:rsidR="00DF57A4" w:rsidRPr="00243762" w:rsidRDefault="00DF57A4" w:rsidP="00DF57A4">
      <w:pPr>
        <w:pStyle w:val="FootnoteText"/>
        <w:rPr>
          <w:sz w:val="16"/>
          <w:szCs w:val="16"/>
        </w:rPr>
      </w:pPr>
      <w:r w:rsidRPr="00243762">
        <w:rPr>
          <w:rStyle w:val="FootnoteReference"/>
          <w:sz w:val="16"/>
          <w:szCs w:val="16"/>
        </w:rPr>
        <w:footnoteRef/>
      </w:r>
      <w:r w:rsidRPr="00243762">
        <w:rPr>
          <w:sz w:val="16"/>
          <w:szCs w:val="16"/>
        </w:rPr>
        <w:t xml:space="preserve"> http://avalere.com/expertise/managed-care/insights/medicare-has-the-potential-to-avoid-preventable-illnesses-by-encouraging-br</w:t>
      </w:r>
    </w:p>
  </w:footnote>
  <w:footnote w:id="8">
    <w:p w14:paraId="330C0FE2" w14:textId="061D5A51" w:rsidR="004F4BCC" w:rsidRDefault="004F4BCC">
      <w:pPr>
        <w:pStyle w:val="FootnoteText"/>
      </w:pPr>
      <w:r>
        <w:rPr>
          <w:rStyle w:val="FootnoteReference"/>
        </w:rPr>
        <w:footnoteRef/>
      </w:r>
      <w:r>
        <w:t xml:space="preserve"> </w:t>
      </w:r>
      <w:hyperlink r:id="rId1" w:history="1">
        <w:r w:rsidRPr="001C173D">
          <w:rPr>
            <w:rStyle w:val="Hyperlink"/>
          </w:rPr>
          <w:t>https://dev-adultvaccinesnow.pantheonsite.io/wp-content/uploads/2016/07/AVN-White-Paper-FINAL.pdf</w:t>
        </w:r>
      </w:hyperlink>
      <w:r>
        <w:t xml:space="preserve"> </w:t>
      </w:r>
    </w:p>
  </w:footnote>
  <w:footnote w:id="9">
    <w:p w14:paraId="268DA7EE" w14:textId="3AA9AC78" w:rsidR="004F4BCC" w:rsidRDefault="004F4BCC" w:rsidP="004F4BCC">
      <w:pPr>
        <w:pStyle w:val="FootnoteText"/>
      </w:pPr>
      <w:r>
        <w:rPr>
          <w:rStyle w:val="FootnoteReference"/>
        </w:rPr>
        <w:footnoteRef/>
      </w:r>
      <w:r>
        <w:t xml:space="preserve"> </w:t>
      </w:r>
      <w:hyperlink r:id="rId2" w:history="1">
        <w:r w:rsidRPr="001C173D">
          <w:rPr>
            <w:rStyle w:val="Hyperlink"/>
          </w:rPr>
          <w:t>https://www.hhs.gov/sites/default/files/tab_10.05_weiser_adult_iz_composite-measures.pdf</w:t>
        </w:r>
      </w:hyperlink>
      <w:r>
        <w:t xml:space="preserve"> </w:t>
      </w:r>
    </w:p>
  </w:footnote>
  <w:footnote w:id="10">
    <w:p w14:paraId="0AEEC5A0" w14:textId="77777777" w:rsidR="00A3284F" w:rsidRPr="002E54B0" w:rsidRDefault="00A3284F" w:rsidP="00A3284F">
      <w:pPr>
        <w:pStyle w:val="FootnoteText"/>
        <w:rPr>
          <w:rFonts w:ascii="Century Gothic" w:hAnsi="Century Gothic"/>
          <w:sz w:val="16"/>
          <w:szCs w:val="16"/>
        </w:rPr>
      </w:pPr>
      <w:r w:rsidRPr="002E54B0">
        <w:rPr>
          <w:rStyle w:val="FootnoteReference"/>
          <w:rFonts w:ascii="Century Gothic" w:hAnsi="Century Gothic"/>
          <w:sz w:val="16"/>
          <w:szCs w:val="16"/>
        </w:rPr>
        <w:footnoteRef/>
      </w:r>
      <w:r w:rsidRPr="002E54B0">
        <w:rPr>
          <w:rFonts w:ascii="Century Gothic" w:hAnsi="Century Gothic"/>
          <w:sz w:val="16"/>
          <w:szCs w:val="16"/>
        </w:rPr>
        <w:t xml:space="preserve">   Akinbosoye OE et al. Factors Associated with Zostavax Abandonment. AJPB. 2016;8(4):84-89.</w:t>
      </w:r>
    </w:p>
  </w:footnote>
  <w:footnote w:id="11">
    <w:p w14:paraId="05204905" w14:textId="77777777" w:rsidR="00A3284F" w:rsidRPr="000409C1" w:rsidRDefault="00A3284F" w:rsidP="00A3284F">
      <w:pPr>
        <w:pStyle w:val="FootnoteText"/>
        <w:rPr>
          <w:sz w:val="16"/>
          <w:szCs w:val="16"/>
        </w:rPr>
      </w:pPr>
      <w:r w:rsidRPr="002E54B0">
        <w:rPr>
          <w:rStyle w:val="FootnoteReference"/>
          <w:rFonts w:ascii="Century Gothic" w:hAnsi="Century Gothic"/>
          <w:sz w:val="16"/>
          <w:szCs w:val="16"/>
        </w:rPr>
        <w:footnoteRef/>
      </w:r>
      <w:r w:rsidRPr="002E54B0">
        <w:rPr>
          <w:rFonts w:ascii="Century Gothic" w:hAnsi="Century Gothic"/>
          <w:sz w:val="16"/>
          <w:szCs w:val="16"/>
        </w:rPr>
        <w:t xml:space="preserve">   Varghese L et al. The temporal impact of aging on the burden of herpes zoster. BMC Geriatrics (2017) 17:30.</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455675" w14:textId="77777777" w:rsidR="00013539" w:rsidRDefault="0001353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A2F6B9" w14:textId="619FAA7A" w:rsidR="00BC2BF2" w:rsidRDefault="00BC2BF2">
    <w:pPr>
      <w:pStyle w:val="Header"/>
    </w:pPr>
    <w:r w:rsidRPr="004F557D">
      <w:rPr>
        <w:noProof/>
        <w:sz w:val="23"/>
        <w:szCs w:val="23"/>
      </w:rPr>
      <w:drawing>
        <wp:anchor distT="0" distB="457200" distL="114300" distR="114300" simplePos="0" relativeHeight="251657216" behindDoc="0" locked="0" layoutInCell="1" allowOverlap="1" wp14:anchorId="2145815C" wp14:editId="0280654A">
          <wp:simplePos x="0" y="0"/>
          <wp:positionH relativeFrom="margin">
            <wp:posOffset>0</wp:posOffset>
          </wp:positionH>
          <wp:positionV relativeFrom="paragraph">
            <wp:posOffset>171450</wp:posOffset>
          </wp:positionV>
          <wp:extent cx="1962785" cy="854244"/>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962785" cy="854244"/>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250414" w14:textId="77777777" w:rsidR="00013539" w:rsidRDefault="0001353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924B17"/>
    <w:multiLevelType w:val="hybridMultilevel"/>
    <w:tmpl w:val="CB46D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4D321BD"/>
    <w:multiLevelType w:val="hybridMultilevel"/>
    <w:tmpl w:val="73C85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6370"/>
    <w:rsid w:val="000103BB"/>
    <w:rsid w:val="00013539"/>
    <w:rsid w:val="00117ADE"/>
    <w:rsid w:val="00175AC8"/>
    <w:rsid w:val="001809B8"/>
    <w:rsid w:val="00220E9F"/>
    <w:rsid w:val="002442C4"/>
    <w:rsid w:val="0026357E"/>
    <w:rsid w:val="002E54B0"/>
    <w:rsid w:val="00435586"/>
    <w:rsid w:val="00436370"/>
    <w:rsid w:val="004F4BCC"/>
    <w:rsid w:val="00513316"/>
    <w:rsid w:val="005B7A29"/>
    <w:rsid w:val="006A75AC"/>
    <w:rsid w:val="007A7204"/>
    <w:rsid w:val="00861136"/>
    <w:rsid w:val="008664FF"/>
    <w:rsid w:val="00936F7D"/>
    <w:rsid w:val="00A3284F"/>
    <w:rsid w:val="00AD5FCE"/>
    <w:rsid w:val="00B2552E"/>
    <w:rsid w:val="00BC2BF2"/>
    <w:rsid w:val="00BF47F4"/>
    <w:rsid w:val="00C01ABD"/>
    <w:rsid w:val="00C21E46"/>
    <w:rsid w:val="00C66603"/>
    <w:rsid w:val="00CB01FB"/>
    <w:rsid w:val="00CE24B1"/>
    <w:rsid w:val="00D11EAB"/>
    <w:rsid w:val="00D2200C"/>
    <w:rsid w:val="00D303A7"/>
    <w:rsid w:val="00DA1A7A"/>
    <w:rsid w:val="00DB4EC8"/>
    <w:rsid w:val="00DF57A4"/>
    <w:rsid w:val="00E54ACC"/>
    <w:rsid w:val="00E6537A"/>
    <w:rsid w:val="00E7274D"/>
    <w:rsid w:val="00EF2257"/>
    <w:rsid w:val="00F1270C"/>
    <w:rsid w:val="00F1466A"/>
    <w:rsid w:val="00F44D4E"/>
    <w:rsid w:val="00F71AD5"/>
    <w:rsid w:val="00FA2331"/>
    <w:rsid w:val="00FD2055"/>
    <w:rsid w:val="00FF5B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5696394F"/>
  <w15:chartTrackingRefBased/>
  <w15:docId w15:val="{E5E9365A-9A27-4EBC-A339-AB58A31AC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C2BF2"/>
    <w:pPr>
      <w:spacing w:before="100" w:beforeAutospacing="1" w:after="100" w:afterAutospacing="1" w:line="240" w:lineRule="auto"/>
    </w:pPr>
    <w:rPr>
      <w:rFonts w:ascii="Times New Roman" w:eastAsia="Times New Roman" w:hAnsi="Times New Roman" w:cs="Times New Roman"/>
      <w:sz w:val="24"/>
      <w:szCs w:val="24"/>
    </w:rPr>
  </w:style>
  <w:style w:type="paragraph" w:styleId="FootnoteText">
    <w:name w:val="footnote text"/>
    <w:aliases w:val="Footnote Text Char2,Footnote Text Char Char1,Footnote Text Char1 Char Char,Footnote Text Char Char1 Char Char1,Footnote Text Char2 Char Char1 Char Char,Footnote Text Char1 Char Char Char1 Char Char,Car,ft,fn,fn Char"/>
    <w:basedOn w:val="Normal"/>
    <w:link w:val="FootnoteTextChar"/>
    <w:uiPriority w:val="99"/>
    <w:semiHidden/>
    <w:unhideWhenUsed/>
    <w:qFormat/>
    <w:rsid w:val="00BC2BF2"/>
    <w:pPr>
      <w:spacing w:after="0" w:line="240" w:lineRule="auto"/>
    </w:pPr>
    <w:rPr>
      <w:sz w:val="20"/>
      <w:szCs w:val="20"/>
    </w:rPr>
  </w:style>
  <w:style w:type="character" w:customStyle="1" w:styleId="FootnoteTextChar">
    <w:name w:val="Footnote Text Char"/>
    <w:aliases w:val="Footnote Text Char2 Char,Footnote Text Char Char1 Char,Footnote Text Char1 Char Char Char,Footnote Text Char Char1 Char Char1 Char,Footnote Text Char2 Char Char1 Char Char Char,Footnote Text Char1 Char Char Char1 Char Char Char"/>
    <w:basedOn w:val="DefaultParagraphFont"/>
    <w:link w:val="FootnoteText"/>
    <w:uiPriority w:val="99"/>
    <w:semiHidden/>
    <w:rsid w:val="00BC2BF2"/>
    <w:rPr>
      <w:sz w:val="20"/>
      <w:szCs w:val="20"/>
    </w:rPr>
  </w:style>
  <w:style w:type="character" w:styleId="FootnoteReference">
    <w:name w:val="footnote reference"/>
    <w:aliases w:val="Style 6,fr,Style 8,Style 4"/>
    <w:basedOn w:val="DefaultParagraphFont"/>
    <w:uiPriority w:val="99"/>
    <w:semiHidden/>
    <w:unhideWhenUsed/>
    <w:rsid w:val="00BC2BF2"/>
    <w:rPr>
      <w:vertAlign w:val="superscript"/>
    </w:rPr>
  </w:style>
  <w:style w:type="character" w:customStyle="1" w:styleId="apple-converted-space">
    <w:name w:val="apple-converted-space"/>
    <w:basedOn w:val="DefaultParagraphFont"/>
    <w:rsid w:val="00BC2BF2"/>
  </w:style>
  <w:style w:type="character" w:styleId="Hyperlink">
    <w:name w:val="Hyperlink"/>
    <w:basedOn w:val="DefaultParagraphFont"/>
    <w:uiPriority w:val="99"/>
    <w:unhideWhenUsed/>
    <w:rsid w:val="00BC2BF2"/>
    <w:rPr>
      <w:color w:val="0563C1" w:themeColor="hyperlink"/>
      <w:u w:val="single"/>
    </w:rPr>
  </w:style>
  <w:style w:type="paragraph" w:styleId="Header">
    <w:name w:val="header"/>
    <w:basedOn w:val="Normal"/>
    <w:link w:val="HeaderChar"/>
    <w:uiPriority w:val="99"/>
    <w:unhideWhenUsed/>
    <w:rsid w:val="00BC2B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2BF2"/>
  </w:style>
  <w:style w:type="paragraph" w:styleId="Footer">
    <w:name w:val="footer"/>
    <w:basedOn w:val="Normal"/>
    <w:link w:val="FooterChar"/>
    <w:uiPriority w:val="99"/>
    <w:unhideWhenUsed/>
    <w:rsid w:val="00BC2B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2BF2"/>
  </w:style>
  <w:style w:type="paragraph" w:styleId="NoSpacing">
    <w:name w:val="No Spacing"/>
    <w:uiPriority w:val="1"/>
    <w:qFormat/>
    <w:rsid w:val="00513316"/>
    <w:pPr>
      <w:spacing w:after="0" w:line="240" w:lineRule="auto"/>
    </w:pPr>
  </w:style>
  <w:style w:type="paragraph" w:styleId="ListParagraph">
    <w:name w:val="List Paragraph"/>
    <w:basedOn w:val="Normal"/>
    <w:uiPriority w:val="34"/>
    <w:qFormat/>
    <w:rsid w:val="00513316"/>
    <w:pPr>
      <w:ind w:left="720"/>
      <w:contextualSpacing/>
    </w:pPr>
  </w:style>
  <w:style w:type="character" w:customStyle="1" w:styleId="UnresolvedMention">
    <w:name w:val="Unresolved Mention"/>
    <w:basedOn w:val="DefaultParagraphFont"/>
    <w:uiPriority w:val="99"/>
    <w:semiHidden/>
    <w:unhideWhenUsed/>
    <w:rsid w:val="002E54B0"/>
    <w:rPr>
      <w:color w:val="808080"/>
      <w:shd w:val="clear" w:color="auto" w:fill="E6E6E6"/>
    </w:rPr>
  </w:style>
  <w:style w:type="paragraph" w:styleId="BalloonText">
    <w:name w:val="Balloon Text"/>
    <w:basedOn w:val="Normal"/>
    <w:link w:val="BalloonTextChar"/>
    <w:uiPriority w:val="99"/>
    <w:semiHidden/>
    <w:unhideWhenUsed/>
    <w:rsid w:val="00E6537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537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info@adultvaccinesnow.org"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202)%20540-1070"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footnotes.xml.rels><?xml version="1.0" encoding="UTF-8" standalone="yes"?>
<Relationships xmlns="http://schemas.openxmlformats.org/package/2006/relationships"><Relationship Id="rId2" Type="http://schemas.openxmlformats.org/officeDocument/2006/relationships/hyperlink" Target="https://www.hhs.gov/sites/default/files/tab_10.05_weiser_adult_iz_composite-measures.pdf" TargetMode="External"/><Relationship Id="rId1" Type="http://schemas.openxmlformats.org/officeDocument/2006/relationships/hyperlink" Target="https://dev-adultvaccinesnow.pantheonsite.io/wp-content/uploads/2016/07/AVN-White-Paper-FINAL.pdf"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2E991882C19D64796137286E6CA896A" ma:contentTypeVersion="6" ma:contentTypeDescription="Create a new document." ma:contentTypeScope="" ma:versionID="c38162ff6c74b15ad70adc247b7cb8da">
  <xsd:schema xmlns:xsd="http://www.w3.org/2001/XMLSchema" xmlns:xs="http://www.w3.org/2001/XMLSchema" xmlns:p="http://schemas.microsoft.com/office/2006/metadata/properties" xmlns:ns2="f12219e5-4edf-4590-bf77-d01abc93b2ef" xmlns:ns3="164ce9ca-66df-432b-bd38-c552723f2473" targetNamespace="http://schemas.microsoft.com/office/2006/metadata/properties" ma:root="true" ma:fieldsID="50febc4a2a3c5cac44235a2bf15b9cec" ns2:_="" ns3:_="">
    <xsd:import namespace="f12219e5-4edf-4590-bf77-d01abc93b2ef"/>
    <xsd:import namespace="164ce9ca-66df-432b-bd38-c552723f2473"/>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2219e5-4edf-4590-bf77-d01abc93b2ef"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4ce9ca-66df-432b-bd38-c552723f2473" elementFormDefault="qualified">
    <xsd:import namespace="http://schemas.microsoft.com/office/2006/documentManagement/types"/>
    <xsd:import namespace="http://schemas.microsoft.com/office/infopath/2007/PartnerControls"/>
    <xsd:element name="SharedWithUsers" ma:index="12"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FD88C3-75B6-49DC-B248-6D52CD617D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12219e5-4edf-4590-bf77-d01abc93b2ef"/>
    <ds:schemaRef ds:uri="164ce9ca-66df-432b-bd38-c552723f247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DBC5556-4EB4-42D3-BDC9-C81E88EB8856}">
  <ds:schemaRefs>
    <ds:schemaRef ds:uri="http://schemas.microsoft.com/sharepoint/v3/contenttype/forms"/>
  </ds:schemaRefs>
</ds:datastoreItem>
</file>

<file path=customXml/itemProps3.xml><?xml version="1.0" encoding="utf-8"?>
<ds:datastoreItem xmlns:ds="http://schemas.openxmlformats.org/officeDocument/2006/customXml" ds:itemID="{39F55B6F-6044-4FC6-9487-AAC429373389}">
  <ds:schemaRefs>
    <ds:schemaRef ds:uri="164ce9ca-66df-432b-bd38-c552723f2473"/>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f12219e5-4edf-4590-bf77-d01abc93b2ef"/>
    <ds:schemaRef ds:uri="http://purl.org/dc/elements/1.1/"/>
    <ds:schemaRef ds:uri="http://schemas.microsoft.com/office/2006/metadata/properties"/>
    <ds:schemaRef ds:uri="http://www.w3.org/XML/1998/namespace"/>
    <ds:schemaRef ds:uri="http://purl.org/dc/dcmitype/"/>
  </ds:schemaRefs>
</ds:datastoreItem>
</file>

<file path=customXml/itemProps4.xml><?xml version="1.0" encoding="utf-8"?>
<ds:datastoreItem xmlns:ds="http://schemas.openxmlformats.org/officeDocument/2006/customXml" ds:itemID="{358D5FC3-80A5-477D-9FBF-48C4FC96D6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Pages>
  <Words>1799</Words>
  <Characters>10417</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Foster</dc:creator>
  <cp:keywords/>
  <dc:description/>
  <cp:lastModifiedBy>Arthur Pignotti</cp:lastModifiedBy>
  <cp:revision>6</cp:revision>
  <dcterms:created xsi:type="dcterms:W3CDTF">2018-03-05T19:30:00Z</dcterms:created>
  <dcterms:modified xsi:type="dcterms:W3CDTF">2018-06-14T16:18:00Z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0x010100A2E991882C19D64796137286E6CA896A</vt:lpwstr>
  </property>
</Properties>
</file>