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8AA37" w14:textId="4706EDB9" w:rsidR="00013539" w:rsidRDefault="00013539" w:rsidP="00013539">
      <w:pPr>
        <w:pStyle w:val="NoSpacing"/>
        <w:jc w:val="center"/>
        <w:rPr>
          <w:rFonts w:ascii="Century Gothic" w:hAnsi="Century Gothic"/>
          <w:sz w:val="24"/>
          <w:szCs w:val="24"/>
          <w:lang w:val="en"/>
        </w:rPr>
      </w:pPr>
      <w:r>
        <w:rPr>
          <w:rFonts w:ascii="Century Gothic" w:hAnsi="Century Gothic"/>
          <w:sz w:val="24"/>
          <w:szCs w:val="24"/>
          <w:lang w:val="en"/>
        </w:rPr>
        <w:t>March 5, 2018</w:t>
      </w:r>
    </w:p>
    <w:p w14:paraId="68D9D651" w14:textId="77777777" w:rsidR="00013539" w:rsidRDefault="00013539" w:rsidP="00513316">
      <w:pPr>
        <w:pStyle w:val="NoSpacing"/>
        <w:rPr>
          <w:rFonts w:ascii="Century Gothic" w:hAnsi="Century Gothic"/>
          <w:sz w:val="24"/>
          <w:szCs w:val="24"/>
          <w:lang w:val="en"/>
        </w:rPr>
      </w:pPr>
    </w:p>
    <w:p w14:paraId="409C7D5A" w14:textId="2C057803"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Seema Verma</w:t>
      </w:r>
    </w:p>
    <w:p w14:paraId="2AC876B1" w14:textId="07F414E0"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Administrator</w:t>
      </w:r>
    </w:p>
    <w:p w14:paraId="39D1839B" w14:textId="488B12D8"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Centers for Medicare and Medicaid Services</w:t>
      </w:r>
    </w:p>
    <w:p w14:paraId="1A5EB93E" w14:textId="3A3B835D"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7500 Security Boulevard</w:t>
      </w:r>
    </w:p>
    <w:p w14:paraId="182B535D" w14:textId="60C5F412"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Baltimore, MD 21244</w:t>
      </w:r>
    </w:p>
    <w:p w14:paraId="2B17B913" w14:textId="77777777" w:rsidR="00513316" w:rsidRDefault="00513316" w:rsidP="00BC2BF2">
      <w:pPr>
        <w:rPr>
          <w:rFonts w:ascii="Century Gothic" w:hAnsi="Century Gothic" w:cs="Times New Roman"/>
          <w:b/>
          <w:bCs/>
          <w:sz w:val="24"/>
          <w:szCs w:val="24"/>
          <w:lang w:val="en"/>
        </w:rPr>
      </w:pPr>
    </w:p>
    <w:p w14:paraId="0D4E157E" w14:textId="326A1797" w:rsidR="00BC2BF2" w:rsidRPr="005B7A29" w:rsidRDefault="00BC2BF2" w:rsidP="00BC2BF2">
      <w:pPr>
        <w:rPr>
          <w:rFonts w:ascii="Century Gothic" w:hAnsi="Century Gothic" w:cs="Times New Roman"/>
          <w:b/>
          <w:bCs/>
          <w:sz w:val="24"/>
          <w:szCs w:val="24"/>
          <w:lang w:val="en"/>
        </w:rPr>
      </w:pPr>
      <w:r w:rsidRPr="005B7A29">
        <w:rPr>
          <w:rFonts w:ascii="Century Gothic" w:hAnsi="Century Gothic" w:cs="Times New Roman"/>
          <w:b/>
          <w:bCs/>
          <w:sz w:val="24"/>
          <w:szCs w:val="24"/>
          <w:lang w:val="en"/>
        </w:rPr>
        <w:t>RE: 201</w:t>
      </w:r>
      <w:r w:rsidR="00CB01FB" w:rsidRPr="005B7A29">
        <w:rPr>
          <w:rFonts w:ascii="Century Gothic" w:hAnsi="Century Gothic" w:cs="Times New Roman"/>
          <w:b/>
          <w:bCs/>
          <w:sz w:val="24"/>
          <w:szCs w:val="24"/>
          <w:lang w:val="en"/>
        </w:rPr>
        <w:t>9</w:t>
      </w:r>
      <w:r w:rsidRPr="005B7A29">
        <w:rPr>
          <w:rFonts w:ascii="Century Gothic" w:hAnsi="Century Gothic" w:cs="Times New Roman"/>
          <w:b/>
          <w:bCs/>
          <w:sz w:val="24"/>
          <w:szCs w:val="24"/>
          <w:lang w:val="en"/>
        </w:rPr>
        <w:t xml:space="preserve"> Medicare Advantage and Part D Advance Notice and Draft Call Letter</w:t>
      </w:r>
      <w:r w:rsidR="00CB01FB" w:rsidRPr="005B7A29">
        <w:rPr>
          <w:rFonts w:ascii="Century Gothic" w:hAnsi="Century Gothic" w:cs="Times New Roman"/>
          <w:b/>
          <w:bCs/>
          <w:sz w:val="24"/>
          <w:szCs w:val="24"/>
          <w:lang w:val="en"/>
        </w:rPr>
        <w:t xml:space="preserve"> (CMS-2017-0163)</w:t>
      </w:r>
    </w:p>
    <w:p w14:paraId="079B3F2B" w14:textId="408BF7E0" w:rsidR="00BC2BF2" w:rsidRPr="005B7A29" w:rsidRDefault="00BC2BF2" w:rsidP="00BC2BF2">
      <w:pPr>
        <w:spacing w:line="240" w:lineRule="auto"/>
        <w:jc w:val="both"/>
        <w:rPr>
          <w:rFonts w:ascii="Century Gothic" w:hAnsi="Century Gothic" w:cs="Times New Roman"/>
          <w:color w:val="222222"/>
          <w:sz w:val="24"/>
          <w:szCs w:val="24"/>
        </w:rPr>
      </w:pPr>
      <w:r w:rsidRPr="005B7A29">
        <w:rPr>
          <w:rFonts w:ascii="Century Gothic" w:hAnsi="Century Gothic" w:cs="Times New Roman"/>
          <w:color w:val="222222"/>
          <w:sz w:val="24"/>
          <w:szCs w:val="24"/>
        </w:rPr>
        <w:br/>
      </w:r>
      <w:r w:rsidR="00513316">
        <w:rPr>
          <w:rFonts w:ascii="Century Gothic" w:hAnsi="Century Gothic" w:cs="Times New Roman"/>
          <w:color w:val="222222"/>
          <w:sz w:val="24"/>
          <w:szCs w:val="24"/>
        </w:rPr>
        <w:t>Dear Administrator Verma</w:t>
      </w:r>
      <w:r w:rsidRPr="005B7A29">
        <w:rPr>
          <w:rFonts w:ascii="Century Gothic" w:hAnsi="Century Gothic" w:cs="Times New Roman"/>
          <w:color w:val="222222"/>
          <w:sz w:val="24"/>
          <w:szCs w:val="24"/>
        </w:rPr>
        <w:t xml:space="preserve">: </w:t>
      </w:r>
    </w:p>
    <w:p w14:paraId="69D31788" w14:textId="1B96B785" w:rsidR="00BC2BF2" w:rsidRPr="005B7A29" w:rsidRDefault="00BC2BF2" w:rsidP="00BC2BF2">
      <w:pPr>
        <w:spacing w:line="240" w:lineRule="auto"/>
        <w:jc w:val="both"/>
        <w:rPr>
          <w:rStyle w:val="apple-converted-space"/>
          <w:rFonts w:ascii="Century Gothic" w:hAnsi="Century Gothic"/>
          <w:sz w:val="24"/>
          <w:szCs w:val="24"/>
        </w:rPr>
      </w:pPr>
      <w:r w:rsidRPr="005B7A29">
        <w:rPr>
          <w:rFonts w:ascii="Century Gothic" w:hAnsi="Century Gothic" w:cs="Times New Roman"/>
          <w:color w:val="222222"/>
          <w:sz w:val="24"/>
          <w:szCs w:val="24"/>
        </w:rPr>
        <w:t>As participants in the Adult Vaccine Access Coalition (AVAC), we appreciate the opportunity to comment on the</w:t>
      </w:r>
      <w:r w:rsidRPr="005B7A29">
        <w:rPr>
          <w:rStyle w:val="apple-converted-space"/>
          <w:rFonts w:ascii="Century Gothic" w:hAnsi="Century Gothic" w:cs="Times New Roman"/>
          <w:color w:val="222222"/>
          <w:sz w:val="24"/>
          <w:szCs w:val="24"/>
        </w:rPr>
        <w:t> Centers for Medicare and Medicaid Services (CMS) 201</w:t>
      </w:r>
      <w:r w:rsidR="000103BB" w:rsidRPr="005B7A29">
        <w:rPr>
          <w:rStyle w:val="apple-converted-space"/>
          <w:rFonts w:ascii="Century Gothic" w:hAnsi="Century Gothic" w:cs="Times New Roman"/>
          <w:color w:val="222222"/>
          <w:sz w:val="24"/>
          <w:szCs w:val="24"/>
        </w:rPr>
        <w:t>9</w:t>
      </w:r>
      <w:r w:rsidRPr="005B7A29">
        <w:rPr>
          <w:rStyle w:val="apple-converted-space"/>
          <w:rFonts w:ascii="Century Gothic" w:hAnsi="Century Gothic" w:cs="Times New Roman"/>
          <w:color w:val="222222"/>
          <w:sz w:val="24"/>
          <w:szCs w:val="24"/>
        </w:rPr>
        <w:t xml:space="preserve"> Medicare Advantage and Part D Advance Notice and Draft Call Letter. Specifically:  </w:t>
      </w:r>
    </w:p>
    <w:p w14:paraId="0133C3A5" w14:textId="58FE690F" w:rsidR="00513316" w:rsidRDefault="00BC2BF2" w:rsidP="00513316">
      <w:pPr>
        <w:pStyle w:val="ListParagraph"/>
        <w:numPr>
          <w:ilvl w:val="0"/>
          <w:numId w:val="1"/>
        </w:numPr>
        <w:rPr>
          <w:rFonts w:ascii="Century Gothic" w:hAnsi="Century Gothic"/>
          <w:sz w:val="24"/>
          <w:szCs w:val="24"/>
        </w:rPr>
      </w:pPr>
      <w:r w:rsidRPr="00513316">
        <w:rPr>
          <w:rFonts w:ascii="Century Gothic" w:hAnsi="Century Gothic"/>
          <w:color w:val="222222"/>
          <w:sz w:val="24"/>
          <w:szCs w:val="24"/>
        </w:rPr>
        <w:t xml:space="preserve">AVAC </w:t>
      </w:r>
      <w:r w:rsidR="00513316" w:rsidRPr="00513316">
        <w:rPr>
          <w:rFonts w:ascii="Century Gothic" w:hAnsi="Century Gothic"/>
          <w:color w:val="222222"/>
          <w:sz w:val="24"/>
          <w:szCs w:val="24"/>
        </w:rPr>
        <w:t xml:space="preserve">greatly appreciates the inclusion of </w:t>
      </w:r>
      <w:r w:rsidRPr="00513316">
        <w:rPr>
          <w:rFonts w:ascii="Century Gothic" w:hAnsi="Century Gothic"/>
          <w:color w:val="222222"/>
          <w:sz w:val="24"/>
          <w:szCs w:val="24"/>
        </w:rPr>
        <w:t xml:space="preserve">language </w:t>
      </w:r>
      <w:r w:rsidR="00513316" w:rsidRPr="00513316">
        <w:rPr>
          <w:rFonts w:ascii="Century Gothic" w:hAnsi="Century Gothic"/>
          <w:color w:val="222222"/>
          <w:sz w:val="24"/>
          <w:szCs w:val="24"/>
        </w:rPr>
        <w:t xml:space="preserve">encouraging Part D sponsors to offer </w:t>
      </w:r>
      <w:r w:rsidR="00513316" w:rsidRPr="00513316">
        <w:rPr>
          <w:rFonts w:ascii="Century Gothic" w:hAnsi="Century Gothic"/>
          <w:b/>
          <w:sz w:val="24"/>
          <w:szCs w:val="24"/>
        </w:rPr>
        <w:t>either a $0 vaccine tier, or to place vaccines on a formulary tier with low cost-sharing</w:t>
      </w:r>
      <w:r w:rsidR="00CE24B1">
        <w:rPr>
          <w:rFonts w:ascii="Century Gothic" w:hAnsi="Century Gothic"/>
          <w:b/>
          <w:sz w:val="24"/>
          <w:szCs w:val="24"/>
        </w:rPr>
        <w:t xml:space="preserve"> and strongly urge maintaining it in the final letter</w:t>
      </w:r>
      <w:r w:rsidR="00513316" w:rsidRPr="00513316">
        <w:rPr>
          <w:rFonts w:ascii="Century Gothic" w:hAnsi="Century Gothic"/>
          <w:b/>
          <w:sz w:val="24"/>
          <w:szCs w:val="24"/>
        </w:rPr>
        <w:t>.</w:t>
      </w:r>
      <w:r w:rsidR="00513316">
        <w:rPr>
          <w:rFonts w:ascii="Century Gothic" w:hAnsi="Century Gothic"/>
          <w:b/>
          <w:sz w:val="24"/>
          <w:szCs w:val="24"/>
        </w:rPr>
        <w:t xml:space="preserve">  </w:t>
      </w:r>
      <w:r w:rsidR="00513316" w:rsidRPr="00CE24B1">
        <w:rPr>
          <w:rFonts w:ascii="Century Gothic" w:hAnsi="Century Gothic"/>
          <w:sz w:val="24"/>
          <w:szCs w:val="24"/>
        </w:rPr>
        <w:t>Studies have shown a direct correlation between high cost sharing and increased abandonment rates of vaccines.  Removing</w:t>
      </w:r>
      <w:r w:rsidR="00CE24B1" w:rsidRPr="00CE24B1">
        <w:rPr>
          <w:rFonts w:ascii="Century Gothic" w:hAnsi="Century Gothic"/>
          <w:sz w:val="24"/>
          <w:szCs w:val="24"/>
        </w:rPr>
        <w:t xml:space="preserve"> financial barriers will greatly improve beneficiary access, utilization and health outcomes. </w:t>
      </w:r>
    </w:p>
    <w:p w14:paraId="4908ACB5" w14:textId="77777777" w:rsidR="002E54B0" w:rsidRPr="00513316" w:rsidRDefault="002E54B0" w:rsidP="002E54B0">
      <w:pPr>
        <w:pStyle w:val="NormalWeb"/>
        <w:numPr>
          <w:ilvl w:val="0"/>
          <w:numId w:val="1"/>
        </w:numPr>
        <w:shd w:val="clear" w:color="auto" w:fill="FFFFFF"/>
        <w:spacing w:after="0" w:afterAutospacing="0"/>
        <w:rPr>
          <w:rFonts w:ascii="Century Gothic" w:hAnsi="Century Gothic"/>
          <w:color w:val="222222"/>
          <w:sz w:val="23"/>
          <w:szCs w:val="23"/>
        </w:rPr>
      </w:pPr>
      <w:r w:rsidRPr="00CE24B1">
        <w:rPr>
          <w:rFonts w:ascii="Century Gothic" w:hAnsi="Century Gothic"/>
          <w:b/>
          <w:color w:val="222222"/>
        </w:rPr>
        <w:t xml:space="preserve">AVAC strongly supports the future addition of an adult immunization composite measure on the display page and </w:t>
      </w:r>
      <w:r>
        <w:rPr>
          <w:rFonts w:ascii="Century Gothic" w:hAnsi="Century Gothic"/>
          <w:b/>
          <w:color w:val="222222"/>
        </w:rPr>
        <w:t xml:space="preserve">for </w:t>
      </w:r>
      <w:r w:rsidRPr="00CE24B1">
        <w:rPr>
          <w:rFonts w:ascii="Century Gothic" w:hAnsi="Century Gothic"/>
          <w:b/>
          <w:color w:val="222222"/>
        </w:rPr>
        <w:t>Star Ratings</w:t>
      </w:r>
      <w:r w:rsidRPr="00513316">
        <w:rPr>
          <w:rFonts w:ascii="Century Gothic" w:hAnsi="Century Gothic"/>
          <w:color w:val="222222"/>
        </w:rPr>
        <w:t xml:space="preserve">.  This HEDIS measure would </w:t>
      </w:r>
      <w:r w:rsidRPr="00513316">
        <w:rPr>
          <w:rFonts w:ascii="Century Gothic" w:hAnsi="Century Gothic"/>
        </w:rPr>
        <w:t xml:space="preserve">build off the </w:t>
      </w:r>
      <w:r>
        <w:rPr>
          <w:rFonts w:ascii="Century Gothic" w:hAnsi="Century Gothic"/>
        </w:rPr>
        <w:t xml:space="preserve">current </w:t>
      </w:r>
      <w:r w:rsidRPr="00513316">
        <w:rPr>
          <w:rFonts w:ascii="Century Gothic" w:hAnsi="Century Gothic"/>
        </w:rPr>
        <w:t xml:space="preserve">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 and provide meaningful data to the Medicare program on access to this important preventive service.  </w:t>
      </w:r>
    </w:p>
    <w:p w14:paraId="45A375DC" w14:textId="0526C163" w:rsidR="00BC2BF2" w:rsidRPr="00F1466A" w:rsidRDefault="00BC2BF2" w:rsidP="00BC2BF2">
      <w:pPr>
        <w:pStyle w:val="NormalWeb"/>
        <w:shd w:val="clear" w:color="auto" w:fill="FFFFFF"/>
        <w:spacing w:after="0" w:afterAutospacing="0"/>
        <w:rPr>
          <w:rStyle w:val="apple-converted-space"/>
          <w:rFonts w:ascii="Century Gothic" w:hAnsi="Century Gothic"/>
          <w:color w:val="222222"/>
        </w:rPr>
      </w:pPr>
      <w:r w:rsidRPr="00CE24B1">
        <w:rPr>
          <w:rFonts w:ascii="Century Gothic" w:hAnsi="Century Gothic"/>
          <w:color w:val="222222"/>
        </w:rPr>
        <w:lastRenderedPageBreak/>
        <w:t xml:space="preserve">AVAC consists of </w:t>
      </w:r>
      <w:r w:rsidR="00CE24B1" w:rsidRPr="00CE24B1">
        <w:rPr>
          <w:rFonts w:ascii="Century Gothic" w:hAnsi="Century Gothic"/>
          <w:color w:val="222222"/>
        </w:rPr>
        <w:t>more than fifty</w:t>
      </w:r>
      <w:r w:rsidRPr="00CE24B1">
        <w:rPr>
          <w:rFonts w:ascii="Century Gothic" w:hAnsi="Century Gothic"/>
          <w:color w:val="222222"/>
        </w:rPr>
        <w:t xml:space="preserve"> organizational leaders in health and public health </w:t>
      </w:r>
      <w:r w:rsidR="00CE24B1" w:rsidRPr="00CE24B1">
        <w:rPr>
          <w:rFonts w:ascii="Century Gothic" w:hAnsi="Century Gothic"/>
          <w:color w:val="222222"/>
        </w:rPr>
        <w:t>who</w:t>
      </w:r>
      <w:r w:rsidRPr="00CE24B1">
        <w:rPr>
          <w:rFonts w:ascii="Century Gothic" w:hAnsi="Century Gothic"/>
          <w:color w:val="222222"/>
        </w:rPr>
        <w:t xml:space="preserve"> are committed to </w:t>
      </w:r>
      <w:r w:rsidR="00CE24B1" w:rsidRPr="00CE24B1">
        <w:rPr>
          <w:rFonts w:ascii="Century Gothic" w:hAnsi="Century Gothic"/>
          <w:color w:val="222222"/>
        </w:rPr>
        <w:t xml:space="preserve">raising awareness of the importance of adult immunization </w:t>
      </w:r>
      <w:r w:rsidR="00CE24B1">
        <w:rPr>
          <w:rFonts w:ascii="Century Gothic" w:hAnsi="Century Gothic"/>
          <w:color w:val="222222"/>
        </w:rPr>
        <w:t xml:space="preserve">with the ultimate goal of </w:t>
      </w:r>
      <w:r w:rsidRPr="00CE24B1">
        <w:rPr>
          <w:rFonts w:ascii="Century Gothic" w:hAnsi="Century Gothic"/>
          <w:color w:val="222222"/>
        </w:rPr>
        <w:t>addressing barriers to adult immunization.</w:t>
      </w:r>
      <w:r w:rsidRPr="004F557D">
        <w:rPr>
          <w:rFonts w:ascii="Century Gothic" w:hAnsi="Century Gothic"/>
          <w:color w:val="222222"/>
          <w:sz w:val="23"/>
          <w:szCs w:val="23"/>
        </w:rPr>
        <w:t> </w:t>
      </w:r>
      <w:r w:rsidR="00220E9F" w:rsidRPr="004F557D">
        <w:rPr>
          <w:rFonts w:ascii="Century Gothic" w:hAnsi="Century Gothic"/>
          <w:color w:val="222222"/>
          <w:sz w:val="23"/>
          <w:szCs w:val="23"/>
        </w:rPr>
        <w:t xml:space="preserve"> </w:t>
      </w:r>
      <w:r w:rsidRPr="00F1466A">
        <w:rPr>
          <w:rFonts w:ascii="Century Gothic" w:hAnsi="Century Gothic"/>
          <w:color w:val="222222"/>
        </w:rPr>
        <w:t xml:space="preserve">Our mission is informed by scientific and empirical evidence </w:t>
      </w:r>
      <w:r w:rsidR="00C01ABD" w:rsidRPr="00F1466A">
        <w:rPr>
          <w:rFonts w:ascii="Century Gothic" w:hAnsi="Century Gothic"/>
          <w:color w:val="222222"/>
        </w:rPr>
        <w:t>that shows</w:t>
      </w:r>
      <w:r w:rsidRPr="00F1466A">
        <w:rPr>
          <w:rFonts w:ascii="Century Gothic" w:hAnsi="Century Gothic"/>
          <w:color w:val="222222"/>
        </w:rPr>
        <w:t xml:space="preserve"> </w:t>
      </w:r>
      <w:r w:rsidR="00C01ABD" w:rsidRPr="00F1466A">
        <w:rPr>
          <w:rFonts w:ascii="Century Gothic" w:hAnsi="Century Gothic"/>
          <w:color w:val="222222"/>
        </w:rPr>
        <w:t xml:space="preserve">immunization </w:t>
      </w:r>
      <w:r w:rsidRPr="00F1466A">
        <w:rPr>
          <w:rFonts w:ascii="Century Gothic" w:hAnsi="Century Gothic"/>
          <w:color w:val="222222"/>
        </w:rPr>
        <w:t>improv</w:t>
      </w:r>
      <w:r w:rsidR="00C01ABD" w:rsidRPr="00F1466A">
        <w:rPr>
          <w:rFonts w:ascii="Century Gothic" w:hAnsi="Century Gothic"/>
          <w:color w:val="222222"/>
        </w:rPr>
        <w:t>es</w:t>
      </w:r>
      <w:r w:rsidRPr="00F1466A">
        <w:rPr>
          <w:rFonts w:ascii="Century Gothic" w:hAnsi="Century Gothic"/>
          <w:color w:val="222222"/>
        </w:rPr>
        <w:t xml:space="preserve"> health and protecting lives against a variety of debilitating and potentially deadly conditions, saving costs to the healthcare system and to society as a whole. AVAC priorities and objectives are driven by a consensus process with the goal of enabling the range of stakeholders to have a voice in the effort to improve access and utilization of adult immunizations. </w:t>
      </w:r>
      <w:r w:rsidRPr="00F1466A">
        <w:rPr>
          <w:rStyle w:val="apple-converted-space"/>
          <w:rFonts w:ascii="Century Gothic" w:hAnsi="Century Gothic"/>
          <w:color w:val="222222"/>
        </w:rPr>
        <w:t> </w:t>
      </w:r>
    </w:p>
    <w:p w14:paraId="0DB83927" w14:textId="77777777" w:rsidR="00117ADE" w:rsidRDefault="00BC2BF2" w:rsidP="00BC2BF2">
      <w:pPr>
        <w:pStyle w:val="NormalWeb"/>
        <w:shd w:val="clear" w:color="auto" w:fill="FFFFFF"/>
        <w:spacing w:after="0" w:afterAutospacing="0"/>
        <w:rPr>
          <w:rFonts w:ascii="Century Gothic" w:hAnsi="Century Gothic"/>
          <w:color w:val="000000"/>
        </w:rPr>
      </w:pPr>
      <w:r w:rsidRPr="00F1466A">
        <w:rPr>
          <w:rFonts w:ascii="Century Gothic" w:hAnsi="Century Gothic"/>
          <w:color w:val="000000"/>
        </w:rPr>
        <w:t>Immunizations are a cornerstone of our nation's disease prevention efforts and have a demonstrated track record of success as a cost-effective means of reducing disease burden and saving lives among pediatric populations. </w:t>
      </w:r>
      <w:r w:rsidR="006A75AC">
        <w:rPr>
          <w:rFonts w:ascii="Century Gothic" w:hAnsi="Century Gothic"/>
          <w:color w:val="000000"/>
        </w:rPr>
        <w:t>The CDC estimates that over 20 years</w:t>
      </w:r>
      <w:r w:rsidR="00117ADE">
        <w:rPr>
          <w:rFonts w:ascii="Century Gothic" w:hAnsi="Century Gothic"/>
          <w:color w:val="000000"/>
        </w:rPr>
        <w:t>,</w:t>
      </w:r>
      <w:r w:rsidR="006A75AC">
        <w:rPr>
          <w:rFonts w:ascii="Century Gothic" w:hAnsi="Century Gothic"/>
          <w:color w:val="000000"/>
        </w:rPr>
        <w:t xml:space="preserve"> </w:t>
      </w:r>
      <w:r w:rsidR="00117ADE">
        <w:rPr>
          <w:rFonts w:ascii="Century Gothic" w:hAnsi="Century Gothic"/>
          <w:color w:val="000000"/>
        </w:rPr>
        <w:t xml:space="preserve">childhood immunizations </w:t>
      </w:r>
      <w:r w:rsidR="006A75AC">
        <w:rPr>
          <w:rFonts w:ascii="Century Gothic" w:hAnsi="Century Gothic"/>
          <w:color w:val="000000"/>
        </w:rPr>
        <w:t>prevent 732,000 deaths and 21 million hospitalizations</w:t>
      </w:r>
      <w:r w:rsidR="00117ADE">
        <w:rPr>
          <w:rFonts w:ascii="Century Gothic" w:hAnsi="Century Gothic"/>
          <w:color w:val="000000"/>
        </w:rPr>
        <w:t>.</w:t>
      </w:r>
      <w:r w:rsidR="00117ADE">
        <w:rPr>
          <w:rStyle w:val="FootnoteReference"/>
          <w:rFonts w:ascii="Century Gothic" w:hAnsi="Century Gothic"/>
          <w:color w:val="000000"/>
        </w:rPr>
        <w:footnoteReference w:id="1"/>
      </w:r>
      <w:r w:rsidR="00117ADE">
        <w:rPr>
          <w:rFonts w:ascii="Century Gothic" w:hAnsi="Century Gothic"/>
          <w:color w:val="000000"/>
        </w:rPr>
        <w:t xml:space="preserve"> </w:t>
      </w:r>
    </w:p>
    <w:p w14:paraId="2AED4846" w14:textId="00CA3E87" w:rsidR="00BC2BF2" w:rsidRPr="00F1466A" w:rsidRDefault="00117ADE" w:rsidP="00BC2BF2">
      <w:pPr>
        <w:pStyle w:val="NormalWeb"/>
        <w:shd w:val="clear" w:color="auto" w:fill="FFFFFF"/>
        <w:spacing w:after="0" w:afterAutospacing="0"/>
        <w:rPr>
          <w:rFonts w:ascii="Century Gothic" w:hAnsi="Century Gothic"/>
          <w:color w:val="000000"/>
        </w:rPr>
      </w:pPr>
      <w:r w:rsidRPr="00117ADE">
        <w:rPr>
          <w:rFonts w:ascii="Century Gothic" w:hAnsi="Century Gothic"/>
        </w:rPr>
        <w:t>In the draft Strategic Plan FY 2018 –2022, the Department of Health and Human Services encourages the use of age appropriate vaccines to minimize the burden of vaccine-preventable diseases across the life span.</w:t>
      </w:r>
      <w:r w:rsidRPr="00117ADE">
        <w:rPr>
          <w:rStyle w:val="FootnoteReference"/>
          <w:rFonts w:ascii="Century Gothic" w:hAnsi="Century Gothic"/>
        </w:rPr>
        <w:footnoteReference w:id="2"/>
      </w:r>
      <w:r w:rsidRPr="00117ADE">
        <w:rPr>
          <w:rFonts w:ascii="Century Gothic" w:hAnsi="Century Gothic"/>
        </w:rPr>
        <w:t xml:space="preserve"> Unfortunately, access to vaccines is not equal across a person’s lifespan.</w:t>
      </w:r>
      <w:r w:rsidRPr="000409C1">
        <w:rPr>
          <w:rFonts w:ascii="Century Gothic" w:hAnsi="Century Gothic"/>
          <w:sz w:val="22"/>
          <w:szCs w:val="22"/>
        </w:rPr>
        <w:t xml:space="preserve"> </w:t>
      </w:r>
      <w:r>
        <w:rPr>
          <w:rFonts w:ascii="Century Gothic" w:hAnsi="Century Gothic"/>
          <w:color w:val="000000"/>
        </w:rPr>
        <w:t>D</w:t>
      </w:r>
      <w:r w:rsidR="00BC2BF2" w:rsidRPr="00F1466A">
        <w:rPr>
          <w:rFonts w:ascii="Century Gothic" w:hAnsi="Century Gothic"/>
          <w:color w:val="000000"/>
        </w:rPr>
        <w:t xml:space="preserve">espite the well-known benefits of immunizations, more than 50,000 adults die from vaccine-preventable diseases while adult coverage lags behind Healthy People 2020 targets for most commonly recommended vaccines: influenza, pneumococcal, tetanus, hepatitis B, herpes zoster, and HPV.  Millions more adults suffer from vaccine-preventable diseases, causing them to miss work and leaving some unable to care for those who depend on them.  </w:t>
      </w:r>
    </w:p>
    <w:p w14:paraId="2BF75CFC" w14:textId="77777777" w:rsidR="002E54B0" w:rsidRDefault="00117ADE" w:rsidP="00BC2BF2">
      <w:pPr>
        <w:pStyle w:val="NormalWeb"/>
        <w:shd w:val="clear" w:color="auto" w:fill="FFFFFF"/>
        <w:spacing w:after="0" w:afterAutospacing="0"/>
        <w:rPr>
          <w:rFonts w:ascii="Century Gothic" w:hAnsi="Century Gothic"/>
          <w:color w:val="222222"/>
        </w:rPr>
      </w:pPr>
      <w:r w:rsidRPr="00117ADE">
        <w:rPr>
          <w:rFonts w:ascii="Century Gothic" w:hAnsi="Century Gothic"/>
          <w:color w:val="222222"/>
        </w:rPr>
        <w:t xml:space="preserve">Adults seeking access to and coverage for vaccines encounter a confusing health care system that presents multiple barriers, including lack of awareness and information about recommended vaccines, financial hurdles, including high cost sharing, as well as technological and logistical obstacles.  Socioeconomic and linguistic barriers further challenge the ability of diverse and medically underserved communities from accessing needed immunizations.  </w:t>
      </w:r>
    </w:p>
    <w:p w14:paraId="6BFA669D" w14:textId="0F4D8516" w:rsidR="00BC2BF2" w:rsidRPr="00A3284F" w:rsidRDefault="00117ADE" w:rsidP="00BC2BF2">
      <w:pPr>
        <w:pStyle w:val="NormalWeb"/>
        <w:shd w:val="clear" w:color="auto" w:fill="FFFFFF"/>
        <w:spacing w:after="0" w:afterAutospacing="0"/>
        <w:rPr>
          <w:rFonts w:ascii="Century Gothic" w:hAnsi="Century Gothic"/>
        </w:rPr>
      </w:pPr>
      <w:r w:rsidRPr="00117ADE">
        <w:rPr>
          <w:rFonts w:ascii="Century Gothic" w:hAnsi="Century Gothic"/>
          <w:color w:val="222222"/>
        </w:rPr>
        <w:lastRenderedPageBreak/>
        <w:t xml:space="preserve">A growing body of research illustrates the direct and indirect cost attributable to vaccine preventable disease. </w:t>
      </w:r>
      <w:r w:rsidR="00BC2BF2" w:rsidRPr="00117ADE">
        <w:rPr>
          <w:rFonts w:ascii="Century Gothic" w:hAnsi="Century Gothic"/>
        </w:rPr>
        <w:t xml:space="preserve">A study published in </w:t>
      </w:r>
      <w:r w:rsidR="00BC2BF2" w:rsidRPr="00117ADE">
        <w:rPr>
          <w:rFonts w:ascii="Century Gothic" w:hAnsi="Century Gothic"/>
          <w:i/>
        </w:rPr>
        <w:t xml:space="preserve">The Journal of Primary Prevention </w:t>
      </w:r>
      <w:r w:rsidR="00BC2BF2" w:rsidRPr="00117ADE">
        <w:rPr>
          <w:rFonts w:ascii="Century Gothic" w:hAnsi="Century Gothic"/>
        </w:rPr>
        <w:t>found the estimated annual cost of just four major vaccine-preventable diseases among US adults 65 years and older was more than $15 billion in 2013.</w:t>
      </w:r>
      <w:r w:rsidR="00BC2BF2" w:rsidRPr="00117ADE">
        <w:rPr>
          <w:rStyle w:val="FootnoteReference"/>
          <w:rFonts w:ascii="Century Gothic" w:hAnsi="Century Gothic"/>
        </w:rPr>
        <w:footnoteReference w:id="3"/>
      </w:r>
      <w:r w:rsidR="00A3284F">
        <w:rPr>
          <w:rFonts w:ascii="Century Gothic" w:hAnsi="Century Gothic"/>
        </w:rPr>
        <w:t xml:space="preserve">  </w:t>
      </w:r>
      <w:r w:rsidR="00A3284F" w:rsidRPr="00A3284F">
        <w:rPr>
          <w:rFonts w:ascii="Century Gothic" w:hAnsi="Century Gothic"/>
          <w:color w:val="222222"/>
        </w:rPr>
        <w:t>Medical costs related to vaccine-preventable diseases (VPD) in older adults are expected to grow substantially in the coming years; one study forecasts U.S. medical costs for Americans ≥65 in the Medicare population to be $4.74 billion by 2030 for just one VPD.</w:t>
      </w:r>
      <w:r w:rsidR="00A3284F" w:rsidRPr="00A3284F">
        <w:rPr>
          <w:rStyle w:val="FootnoteReference"/>
          <w:rFonts w:ascii="Century Gothic" w:hAnsi="Century Gothic"/>
          <w:color w:val="222222"/>
        </w:rPr>
        <w:footnoteReference w:id="4"/>
      </w:r>
    </w:p>
    <w:p w14:paraId="003F964A" w14:textId="2B84C3D4" w:rsidR="00BC2BF2" w:rsidRDefault="00BC2BF2" w:rsidP="00BC2BF2">
      <w:pPr>
        <w:pStyle w:val="NormalWeb"/>
        <w:shd w:val="clear" w:color="auto" w:fill="FFFFFF"/>
        <w:spacing w:after="0" w:afterAutospacing="0"/>
        <w:rPr>
          <w:rFonts w:ascii="Century Gothic" w:hAnsi="Century Gothic"/>
          <w:color w:val="000000"/>
          <w:sz w:val="23"/>
          <w:szCs w:val="23"/>
        </w:rPr>
      </w:pPr>
      <w:r w:rsidRPr="00DF57A4">
        <w:rPr>
          <w:rFonts w:ascii="Century Gothic" w:hAnsi="Century Gothic"/>
          <w:color w:val="000000"/>
        </w:rPr>
        <w:t>Immunization coverage for Medicare beneficiaries is segmented between Medicare Part B, which covers vaccinations against influenza, pneumococcal and hepatitis B for at-risk patients and Medicare Part D, which covers all other commercially available vaccines when deemed medically necessary to prevent illness. While beneficiaries receive Part B-covered vaccines with no cost sharing, Part D vaccines are typically subject to cost sharing requirements.</w:t>
      </w:r>
      <w:r w:rsidRPr="004F557D">
        <w:rPr>
          <w:rFonts w:ascii="Century Gothic" w:hAnsi="Century Gothic"/>
          <w:color w:val="000000"/>
          <w:sz w:val="23"/>
          <w:szCs w:val="23"/>
        </w:rPr>
        <w:t xml:space="preserve"> </w:t>
      </w:r>
    </w:p>
    <w:p w14:paraId="2E32D2F9" w14:textId="0AA8AF77" w:rsidR="00DF57A4" w:rsidRPr="00DF57A4" w:rsidRDefault="00DF57A4" w:rsidP="00DF57A4">
      <w:pPr>
        <w:pStyle w:val="NormalWeb"/>
        <w:shd w:val="clear" w:color="auto" w:fill="FFFFFF"/>
        <w:spacing w:after="0"/>
        <w:rPr>
          <w:rFonts w:ascii="Century Gothic" w:hAnsi="Century Gothic"/>
          <w:color w:val="222222"/>
        </w:rPr>
      </w:pPr>
      <w:r w:rsidRPr="00DF57A4">
        <w:rPr>
          <w:rFonts w:ascii="Century Gothic" w:hAnsi="Century Gothic"/>
          <w:color w:val="222222"/>
        </w:rPr>
        <w:t>According to a February 2018 Manatt study, only 4 percent or less of Medicare Part D enrollees had access to vaccines with no cost sharing.</w:t>
      </w:r>
      <w:r w:rsidRPr="00DF57A4">
        <w:rPr>
          <w:rStyle w:val="FootnoteReference"/>
          <w:rFonts w:ascii="Century Gothic" w:hAnsi="Century Gothic"/>
          <w:color w:val="222222"/>
        </w:rPr>
        <w:footnoteReference w:id="5"/>
      </w:r>
      <w:r w:rsidRPr="00DF57A4">
        <w:rPr>
          <w:rFonts w:ascii="Century Gothic" w:hAnsi="Century Gothic"/>
          <w:color w:val="222222"/>
        </w:rPr>
        <w:t xml:space="preserve">  The variable cost sharing requirements currently imposed on the majority of Part D vaccines discourage immunization among elderly, disabled and chronically ill populations who account for a disproportionate percentage of the morbidity and mortality from vaccine preventable conditions. A 2015 report by the Alliance for Aging Research on vaccination rates among older adults found that cost sharing for vaccines under Part D varies depending on a beneficiary's prescription drug plan or Medicare Advantage plan formulary offerings.</w:t>
      </w:r>
      <w:r w:rsidRPr="00DF57A4">
        <w:rPr>
          <w:rStyle w:val="FootnoteReference"/>
          <w:rFonts w:ascii="Century Gothic" w:hAnsi="Century Gothic"/>
          <w:color w:val="222222"/>
        </w:rPr>
        <w:footnoteReference w:id="6"/>
      </w:r>
      <w:r w:rsidRPr="00DF57A4">
        <w:rPr>
          <w:rFonts w:ascii="Century Gothic" w:hAnsi="Century Gothic"/>
          <w:color w:val="222222"/>
        </w:rPr>
        <w:t xml:space="preserve">  Similarly, a 2017 report by Avalere Health found between 47 and 72 percent of the 24 million Medicare beneficiaries with Part D coverage had some level of cost sharing for vaccines, ranging from $35 to $70 in 2015.</w:t>
      </w:r>
      <w:r w:rsidRPr="00DF57A4">
        <w:rPr>
          <w:rStyle w:val="FootnoteReference"/>
          <w:rFonts w:ascii="Century Gothic" w:hAnsi="Century Gothic"/>
          <w:color w:val="222222"/>
        </w:rPr>
        <w:footnoteReference w:id="7"/>
      </w:r>
      <w:r w:rsidRPr="00DF57A4">
        <w:rPr>
          <w:rFonts w:ascii="Century Gothic" w:hAnsi="Century Gothic"/>
          <w:color w:val="222222"/>
        </w:rPr>
        <w:t xml:space="preserve"> </w:t>
      </w:r>
    </w:p>
    <w:p w14:paraId="22755519" w14:textId="3662F422" w:rsidR="00BC2BF2" w:rsidRPr="00DF57A4" w:rsidRDefault="00DF57A4" w:rsidP="00BC2BF2">
      <w:pPr>
        <w:shd w:val="clear" w:color="auto" w:fill="FFFFFF"/>
        <w:spacing w:before="100" w:beforeAutospacing="1" w:after="100" w:afterAutospacing="1" w:line="240" w:lineRule="auto"/>
        <w:jc w:val="both"/>
        <w:rPr>
          <w:rFonts w:ascii="Century Gothic" w:eastAsia="Times New Roman" w:hAnsi="Century Gothic" w:cs="Times New Roman"/>
          <w:color w:val="000000"/>
          <w:sz w:val="24"/>
          <w:szCs w:val="24"/>
        </w:rPr>
      </w:pPr>
      <w:r w:rsidRPr="00DF57A4">
        <w:rPr>
          <w:rFonts w:ascii="Century Gothic" w:eastAsia="Times New Roman" w:hAnsi="Century Gothic" w:cs="Times New Roman"/>
          <w:color w:val="000000"/>
          <w:sz w:val="24"/>
          <w:szCs w:val="24"/>
        </w:rPr>
        <w:t xml:space="preserve">The FY2019 draft call letter </w:t>
      </w:r>
      <w:r w:rsidR="00BC2BF2" w:rsidRPr="00DF57A4">
        <w:rPr>
          <w:rFonts w:ascii="Century Gothic" w:eastAsia="Times New Roman" w:hAnsi="Century Gothic" w:cs="Times New Roman"/>
          <w:color w:val="000000"/>
          <w:sz w:val="24"/>
          <w:szCs w:val="24"/>
        </w:rPr>
        <w:t>prioritize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and encourage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improved access to and utilization of adult immunization services for beneficiaries in Medicare Advantage and Prescription Drug Plans (PDP).  As such, AVAC wishes to offer </w:t>
      </w:r>
      <w:r w:rsidRPr="00DF57A4">
        <w:rPr>
          <w:rFonts w:ascii="Century Gothic" w:eastAsia="Times New Roman" w:hAnsi="Century Gothic" w:cs="Times New Roman"/>
          <w:color w:val="000000"/>
          <w:sz w:val="24"/>
          <w:szCs w:val="24"/>
        </w:rPr>
        <w:t xml:space="preserve">the following </w:t>
      </w:r>
      <w:r w:rsidR="00BC2BF2" w:rsidRPr="00DF57A4">
        <w:rPr>
          <w:rFonts w:ascii="Century Gothic" w:eastAsia="Times New Roman" w:hAnsi="Century Gothic" w:cs="Times New Roman"/>
          <w:color w:val="000000"/>
          <w:sz w:val="24"/>
          <w:szCs w:val="24"/>
        </w:rPr>
        <w:lastRenderedPageBreak/>
        <w:t xml:space="preserve">comments with the </w:t>
      </w:r>
      <w:r w:rsidRPr="00DF57A4">
        <w:rPr>
          <w:rFonts w:ascii="Century Gothic" w:eastAsia="Times New Roman" w:hAnsi="Century Gothic" w:cs="Times New Roman"/>
          <w:color w:val="000000"/>
          <w:sz w:val="24"/>
          <w:szCs w:val="24"/>
        </w:rPr>
        <w:t xml:space="preserve">strong </w:t>
      </w:r>
      <w:r w:rsidR="00BC2BF2" w:rsidRPr="00DF57A4">
        <w:rPr>
          <w:rFonts w:ascii="Century Gothic" w:eastAsia="Times New Roman" w:hAnsi="Century Gothic" w:cs="Times New Roman"/>
          <w:color w:val="000000"/>
          <w:sz w:val="24"/>
          <w:szCs w:val="24"/>
        </w:rPr>
        <w:t xml:space="preserve">hope that CMS will </w:t>
      </w:r>
      <w:r w:rsidRPr="00DF57A4">
        <w:rPr>
          <w:rFonts w:ascii="Century Gothic" w:eastAsia="Times New Roman" w:hAnsi="Century Gothic" w:cs="Times New Roman"/>
          <w:color w:val="000000"/>
          <w:sz w:val="24"/>
          <w:szCs w:val="24"/>
        </w:rPr>
        <w:t xml:space="preserve">maintain </w:t>
      </w:r>
      <w:r w:rsidR="002E54B0">
        <w:rPr>
          <w:rFonts w:ascii="Century Gothic" w:eastAsia="Times New Roman" w:hAnsi="Century Gothic" w:cs="Times New Roman"/>
          <w:color w:val="000000"/>
          <w:sz w:val="24"/>
          <w:szCs w:val="24"/>
        </w:rPr>
        <w:t xml:space="preserve">these </w:t>
      </w:r>
      <w:r w:rsidRPr="00DF57A4">
        <w:rPr>
          <w:rFonts w:ascii="Century Gothic" w:eastAsia="Times New Roman" w:hAnsi="Century Gothic" w:cs="Times New Roman"/>
          <w:color w:val="000000"/>
          <w:sz w:val="24"/>
          <w:szCs w:val="24"/>
        </w:rPr>
        <w:t xml:space="preserve">important </w:t>
      </w:r>
      <w:r w:rsidR="002E54B0">
        <w:rPr>
          <w:rFonts w:ascii="Century Gothic" w:eastAsia="Times New Roman" w:hAnsi="Century Gothic" w:cs="Times New Roman"/>
          <w:color w:val="000000"/>
          <w:sz w:val="24"/>
          <w:szCs w:val="24"/>
        </w:rPr>
        <w:t xml:space="preserve">immunization provisions in the final call letter: </w:t>
      </w:r>
    </w:p>
    <w:p w14:paraId="241ACF13" w14:textId="5E6A99E4" w:rsidR="00B147D8" w:rsidRPr="00AD5FCE" w:rsidRDefault="00436370">
      <w:pPr>
        <w:rPr>
          <w:rFonts w:ascii="Century Gothic" w:hAnsi="Century Gothic"/>
          <w:b/>
          <w:sz w:val="24"/>
          <w:szCs w:val="24"/>
        </w:rPr>
      </w:pPr>
      <w:r w:rsidRPr="00AD5FCE">
        <w:rPr>
          <w:rFonts w:ascii="Century Gothic" w:hAnsi="Century Gothic"/>
          <w:b/>
          <w:sz w:val="24"/>
          <w:szCs w:val="24"/>
        </w:rPr>
        <w:t>Potential New Measures for 2020 and Beyond (page 150-151)</w:t>
      </w:r>
    </w:p>
    <w:p w14:paraId="0028E013" w14:textId="11668683" w:rsidR="00436370" w:rsidRPr="00AD5FCE" w:rsidRDefault="00436370">
      <w:pPr>
        <w:rPr>
          <w:rFonts w:ascii="Century Gothic" w:hAnsi="Century Gothic"/>
          <w:b/>
          <w:i/>
          <w:sz w:val="24"/>
          <w:szCs w:val="24"/>
        </w:rPr>
      </w:pPr>
      <w:r w:rsidRPr="00AD5FCE">
        <w:rPr>
          <w:rFonts w:ascii="Century Gothic" w:hAnsi="Century Gothic"/>
          <w:b/>
          <w:i/>
          <w:sz w:val="24"/>
          <w:szCs w:val="24"/>
        </w:rPr>
        <w:t>Adult Immunization Measure (Part C)</w:t>
      </w:r>
      <w:r w:rsidRPr="00AD5FCE">
        <w:rPr>
          <w:rFonts w:ascii="Century Gothic" w:hAnsi="Century Gothic"/>
          <w:i/>
          <w:sz w:val="24"/>
          <w:szCs w:val="24"/>
        </w:rPr>
        <w:t xml:space="preserve">. 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151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w:t>
      </w:r>
      <w:r w:rsidRPr="00AD5FCE">
        <w:rPr>
          <w:rFonts w:ascii="Century Gothic" w:hAnsi="Century Gothic"/>
          <w:b/>
          <w:i/>
          <w:sz w:val="24"/>
          <w:szCs w:val="24"/>
        </w:rPr>
        <w:t>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0DED758A" w14:textId="1A5EF519" w:rsidR="00DB4EC8" w:rsidRDefault="00513316" w:rsidP="00DB4EC8">
      <w:pPr>
        <w:pStyle w:val="NormalWeb"/>
        <w:shd w:val="clear" w:color="auto" w:fill="FFFFFF"/>
        <w:spacing w:after="0" w:afterAutospacing="0"/>
        <w:rPr>
          <w:rFonts w:ascii="Century Gothic" w:hAnsi="Century Gothic"/>
          <w:color w:val="222222"/>
        </w:rPr>
      </w:pPr>
      <w:r w:rsidRPr="00AD5FCE">
        <w:rPr>
          <w:rFonts w:ascii="Century Gothic" w:hAnsi="Century Gothic"/>
          <w:color w:val="222222"/>
        </w:rPr>
        <w:t xml:space="preserve">AVAC strongly supports the future addition of an adult immunization composite measure on the display page and a Star Ratings measure.  This HEDIS measure would </w:t>
      </w:r>
      <w:r w:rsidRPr="00AD5FCE">
        <w:rPr>
          <w:rFonts w:ascii="Century Gothic" w:hAnsi="Century Gothic"/>
        </w:rPr>
        <w:t>build off the 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w:t>
      </w:r>
      <w:r w:rsidR="00DF57A4" w:rsidRPr="00AD5FCE">
        <w:rPr>
          <w:rFonts w:ascii="Century Gothic" w:hAnsi="Century Gothic"/>
        </w:rPr>
        <w:t>,</w:t>
      </w:r>
      <w:r w:rsidRPr="00AD5FCE">
        <w:rPr>
          <w:rFonts w:ascii="Century Gothic" w:hAnsi="Century Gothic"/>
        </w:rPr>
        <w:t xml:space="preserve"> and provide meaningful data to the Medicare program on access to this important preventive servi</w:t>
      </w:r>
      <w:r w:rsidR="004F4BCC">
        <w:rPr>
          <w:rFonts w:ascii="Century Gothic" w:hAnsi="Century Gothic"/>
        </w:rPr>
        <w:t>c</w:t>
      </w:r>
      <w:r w:rsidRPr="00AD5FCE">
        <w:rPr>
          <w:rFonts w:ascii="Century Gothic" w:hAnsi="Century Gothic"/>
        </w:rPr>
        <w:t xml:space="preserve">e.  </w:t>
      </w:r>
    </w:p>
    <w:p w14:paraId="5AB7399C" w14:textId="7EE15BDA" w:rsidR="00DB4EC8" w:rsidRPr="004F4BCC" w:rsidRDefault="004F4BCC" w:rsidP="004F4BCC">
      <w:pPr>
        <w:pStyle w:val="NormalWeb"/>
        <w:shd w:val="clear" w:color="auto" w:fill="FFFFFF"/>
        <w:spacing w:after="0"/>
        <w:rPr>
          <w:rFonts w:ascii="Century Gothic" w:hAnsi="Century Gothic"/>
        </w:rPr>
      </w:pPr>
      <w:r>
        <w:rPr>
          <w:rFonts w:ascii="Century Gothic" w:hAnsi="Century Gothic"/>
          <w:color w:val="222222"/>
        </w:rPr>
        <w:t>In t</w:t>
      </w:r>
      <w:r w:rsidRPr="004F4BCC">
        <w:rPr>
          <w:rFonts w:ascii="Century Gothic" w:hAnsi="Century Gothic"/>
          <w:color w:val="222222"/>
        </w:rPr>
        <w:t>he Value and Imperative of Quality Measures for Adult Vaccines</w:t>
      </w:r>
      <w:r>
        <w:rPr>
          <w:rStyle w:val="FootnoteReference"/>
          <w:rFonts w:ascii="Century Gothic" w:hAnsi="Century Gothic"/>
          <w:color w:val="222222"/>
        </w:rPr>
        <w:footnoteReference w:id="8"/>
      </w:r>
      <w:r w:rsidRPr="004F4BCC">
        <w:rPr>
          <w:rFonts w:ascii="Century Gothic" w:hAnsi="Century Gothic"/>
          <w:color w:val="222222"/>
        </w:rPr>
        <w:t xml:space="preserve">, renowned vaccine experts explain how quality measures </w:t>
      </w:r>
      <w:r>
        <w:rPr>
          <w:rFonts w:ascii="Century Gothic" w:hAnsi="Century Gothic"/>
          <w:color w:val="222222"/>
        </w:rPr>
        <w:t xml:space="preserve">that capture and create incentives for appropriate adult vaccinations </w:t>
      </w:r>
      <w:r w:rsidRPr="004F4BCC">
        <w:rPr>
          <w:rFonts w:ascii="Century Gothic" w:hAnsi="Century Gothic"/>
          <w:color w:val="222222"/>
        </w:rPr>
        <w:t xml:space="preserve">can prevent illness and death, reduce caregiving demands, save unnecessary healthcare spending, and set </w:t>
      </w:r>
      <w:r w:rsidRPr="004F4BCC">
        <w:rPr>
          <w:rFonts w:ascii="Century Gothic" w:hAnsi="Century Gothic"/>
          <w:color w:val="222222"/>
        </w:rPr>
        <w:lastRenderedPageBreak/>
        <w:t>the foundation for healthy aging.</w:t>
      </w:r>
      <w:r>
        <w:rPr>
          <w:rFonts w:ascii="Century Gothic" w:hAnsi="Century Gothic"/>
          <w:color w:val="222222"/>
        </w:rPr>
        <w:t xml:space="preserve"> </w:t>
      </w:r>
      <w:r w:rsidRPr="004F4BCC">
        <w:rPr>
          <w:rFonts w:ascii="Century Gothic" w:hAnsi="Century Gothic"/>
        </w:rPr>
        <w:t>There is evidence that a composite measure of the adult patient cohort’s vaccination schedule–such as those demonstrated by the Northwest Tribal Epidemiology Center</w:t>
      </w:r>
      <w:r w:rsidRPr="004F4BCC">
        <w:rPr>
          <w:rStyle w:val="FootnoteReference"/>
          <w:rFonts w:ascii="Century Gothic" w:hAnsi="Century Gothic"/>
        </w:rPr>
        <w:footnoteReference w:id="9"/>
      </w:r>
      <w:r w:rsidRPr="004F4BCC">
        <w:rPr>
          <w:rFonts w:ascii="Century Gothic" w:hAnsi="Century Gothic"/>
        </w:rPr>
        <w:t xml:space="preserve"> and by the National Nursing Home Quality Care Collaborative–can improve outcomes. Such a measure would put vaccination coverage rates into a larger context and encourage a more systematic approach for all vaccines.</w:t>
      </w:r>
    </w:p>
    <w:p w14:paraId="1863FBEA" w14:textId="70530872" w:rsidR="00436370" w:rsidRPr="00AD5FCE" w:rsidRDefault="00436370">
      <w:pPr>
        <w:rPr>
          <w:rFonts w:ascii="Century Gothic" w:hAnsi="Century Gothic"/>
          <w:b/>
          <w:i/>
          <w:sz w:val="24"/>
          <w:szCs w:val="24"/>
        </w:rPr>
      </w:pPr>
      <w:r w:rsidRPr="00AD5FCE">
        <w:rPr>
          <w:rFonts w:ascii="Century Gothic" w:hAnsi="Century Gothic"/>
          <w:b/>
          <w:i/>
          <w:sz w:val="24"/>
          <w:szCs w:val="24"/>
        </w:rPr>
        <w:t>Improving Access to Part D Vaccines (page 199)</w:t>
      </w:r>
    </w:p>
    <w:p w14:paraId="6B09DD06" w14:textId="5FF667EE" w:rsidR="00436370" w:rsidRPr="00AD5FCE" w:rsidRDefault="00436370">
      <w:pPr>
        <w:rPr>
          <w:rFonts w:ascii="Century Gothic" w:hAnsi="Century Gothic"/>
          <w:i/>
          <w:sz w:val="24"/>
          <w:szCs w:val="24"/>
        </w:rPr>
      </w:pPr>
      <w:r w:rsidRPr="00AD5FCE">
        <w:rPr>
          <w:rFonts w:ascii="Century Gothic" w:hAnsi="Century Gothic"/>
          <w:i/>
          <w:sz w:val="24"/>
          <w:szCs w:val="24"/>
        </w:rPr>
        <w:t>According to the Center for Disease Control and Prevention’s (CDC) Surveillance of Vaccination Coverage among Adult Populations — United States, 2015, vaccination rates remain low for tetanus and diphtheria with acellular pertussis (Tdap</w:t>
      </w:r>
      <w:r w:rsidR="002442C4">
        <w:rPr>
          <w:rFonts w:ascii="Century Gothic" w:hAnsi="Century Gothic"/>
          <w:i/>
          <w:sz w:val="24"/>
          <w:szCs w:val="24"/>
        </w:rPr>
        <w:t>)</w:t>
      </w:r>
      <w:r w:rsidRPr="00AD5FCE">
        <w:rPr>
          <w:rFonts w:ascii="Century Gothic" w:hAnsi="Century Gothic"/>
          <w:i/>
          <w:sz w:val="24"/>
          <w:szCs w:val="24"/>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3B5E546B" w14:textId="77777777" w:rsidR="00A3284F" w:rsidRPr="00AD5FCE" w:rsidRDefault="00CE24B1" w:rsidP="00DF57A4">
      <w:pPr>
        <w:rPr>
          <w:rFonts w:ascii="Century Gothic" w:hAnsi="Century Gothic"/>
          <w:sz w:val="24"/>
          <w:szCs w:val="24"/>
        </w:rPr>
      </w:pPr>
      <w:r w:rsidRPr="00AD5FCE">
        <w:rPr>
          <w:rFonts w:ascii="Century Gothic" w:hAnsi="Century Gothic"/>
          <w:color w:val="222222"/>
          <w:sz w:val="24"/>
          <w:szCs w:val="24"/>
        </w:rPr>
        <w:t xml:space="preserve">AVAC greatly appreciates the inclusion of language encouraging Part D sponsors to offer </w:t>
      </w:r>
      <w:r w:rsidRPr="00AD5FCE">
        <w:rPr>
          <w:rFonts w:ascii="Century Gothic" w:hAnsi="Century Gothic"/>
          <w:b/>
          <w:sz w:val="24"/>
          <w:szCs w:val="24"/>
        </w:rPr>
        <w:t xml:space="preserve">either a $0 vaccine tier, or to place vaccines on a formulary tier with low cost-sharing and strongly urge maintaining it in the final letter.  </w:t>
      </w:r>
      <w:r w:rsidR="00DF57A4" w:rsidRPr="00AD5FCE">
        <w:rPr>
          <w:rFonts w:ascii="Century Gothic" w:hAnsi="Century Gothic"/>
          <w:sz w:val="24"/>
          <w:szCs w:val="24"/>
        </w:rPr>
        <w:t>While not mandatory, this language sends an important signal to Me</w:t>
      </w:r>
      <w:r w:rsidR="00A3284F" w:rsidRPr="00AD5FCE">
        <w:rPr>
          <w:rFonts w:ascii="Century Gothic" w:hAnsi="Century Gothic"/>
          <w:sz w:val="24"/>
          <w:szCs w:val="24"/>
        </w:rPr>
        <w:t xml:space="preserve">dicare Advantage and Prescription Drug Plans that access to Part D vaccines should be a high priority as they develop formulary and cost sharing tiers.  </w:t>
      </w:r>
    </w:p>
    <w:p w14:paraId="6B6D7707" w14:textId="77777777" w:rsidR="002442C4" w:rsidRDefault="00CE24B1" w:rsidP="00BC2BF2">
      <w:pPr>
        <w:pStyle w:val="NormalWeb"/>
        <w:shd w:val="clear" w:color="auto" w:fill="FFFFFF"/>
        <w:spacing w:after="0"/>
        <w:rPr>
          <w:rFonts w:ascii="Century Gothic" w:hAnsi="Century Gothic"/>
          <w:color w:val="222222"/>
        </w:rPr>
      </w:pPr>
      <w:r w:rsidRPr="00AD5FCE">
        <w:rPr>
          <w:rFonts w:ascii="Century Gothic" w:hAnsi="Century Gothic"/>
        </w:rPr>
        <w:t xml:space="preserve">Studies have shown a direct correlation between high cost sharing and increased abandonment rates of vaccines.  </w:t>
      </w:r>
      <w:r w:rsidR="00A3284F" w:rsidRPr="00AD5FCE">
        <w:rPr>
          <w:rFonts w:ascii="Century Gothic" w:hAnsi="Century Gothic"/>
          <w:color w:val="222222"/>
        </w:rPr>
        <w:t>A study evaluating the relationship between vaccine co-pays for Part D beneficiaries and Tdap and Zoster vaccination claims in their doctor’s office showed that, compared with no co-pay, beneficiaries who had to pay a co-pay amount of $26–50, $51–75 or $76–100, respectively, are 1.39, 1.66 or 2.07 times as likely to cancel their zoster vaccination.</w:t>
      </w:r>
      <w:r w:rsidR="00A3284F" w:rsidRPr="00AD5FCE">
        <w:rPr>
          <w:rStyle w:val="FootnoteReference"/>
          <w:rFonts w:ascii="Century Gothic" w:hAnsi="Century Gothic"/>
          <w:color w:val="222222"/>
        </w:rPr>
        <w:footnoteReference w:id="10"/>
      </w:r>
      <w:r w:rsidR="00A3284F" w:rsidRPr="00AD5FCE">
        <w:rPr>
          <w:rFonts w:ascii="Century Gothic" w:hAnsi="Century Gothic"/>
          <w:color w:val="222222"/>
        </w:rPr>
        <w:t xml:space="preserve">  </w:t>
      </w:r>
    </w:p>
    <w:p w14:paraId="2A03F15F" w14:textId="36BC2894" w:rsidR="00BC2BF2" w:rsidRPr="00AD5FCE" w:rsidRDefault="00A3284F" w:rsidP="00BC2BF2">
      <w:pPr>
        <w:pStyle w:val="NormalWeb"/>
        <w:shd w:val="clear" w:color="auto" w:fill="FFFFFF"/>
        <w:spacing w:after="0"/>
        <w:rPr>
          <w:rFonts w:ascii="Century Gothic" w:hAnsi="Century Gothic"/>
        </w:rPr>
      </w:pPr>
      <w:r w:rsidRPr="00AD5FCE">
        <w:rPr>
          <w:rFonts w:ascii="Century Gothic" w:hAnsi="Century Gothic"/>
          <w:color w:val="222222"/>
        </w:rPr>
        <w:t xml:space="preserve">Another study found that patient out-of-pocket (OOP) cost is one of the most significant predictors of vaccine abandonment, after adjusting for other </w:t>
      </w:r>
      <w:r w:rsidRPr="00AD5FCE">
        <w:rPr>
          <w:rFonts w:ascii="Century Gothic" w:hAnsi="Century Gothic"/>
          <w:color w:val="222222"/>
        </w:rPr>
        <w:lastRenderedPageBreak/>
        <w:t>factors.</w:t>
      </w:r>
      <w:r w:rsidRPr="00AD5FCE">
        <w:rPr>
          <w:rStyle w:val="FootnoteReference"/>
          <w:rFonts w:ascii="Century Gothic" w:hAnsi="Century Gothic"/>
          <w:color w:val="222222"/>
        </w:rPr>
        <w:footnoteReference w:id="11"/>
      </w:r>
      <w:r w:rsidRPr="00AD5FCE">
        <w:rPr>
          <w:rFonts w:ascii="Century Gothic" w:hAnsi="Century Gothic"/>
          <w:color w:val="222222"/>
        </w:rPr>
        <w:t xml:space="preserve"> </w:t>
      </w:r>
      <w:r w:rsidR="00CE24B1" w:rsidRPr="00AD5FCE">
        <w:rPr>
          <w:rFonts w:ascii="Century Gothic" w:hAnsi="Century Gothic"/>
        </w:rPr>
        <w:t>Removing financial barriers will greatly improve beneficiary access, utilization and health outcomes</w:t>
      </w:r>
      <w:r w:rsidR="00AD5FCE" w:rsidRPr="00AD5FCE">
        <w:rPr>
          <w:rFonts w:ascii="Century Gothic" w:hAnsi="Century Gothic"/>
        </w:rPr>
        <w:t xml:space="preserve"> </w:t>
      </w:r>
      <w:r w:rsidR="00BC2BF2" w:rsidRPr="00AD5FCE">
        <w:rPr>
          <w:rFonts w:ascii="Century Gothic" w:hAnsi="Century Gothic"/>
          <w:bCs/>
          <w:color w:val="222222"/>
          <w:shd w:val="clear" w:color="auto" w:fill="FFFFFF"/>
        </w:rPr>
        <w:t xml:space="preserve">among </w:t>
      </w:r>
      <w:r w:rsidR="00AD5FCE" w:rsidRPr="00AD5FCE">
        <w:rPr>
          <w:rFonts w:ascii="Century Gothic" w:hAnsi="Century Gothic"/>
          <w:bCs/>
          <w:color w:val="222222"/>
          <w:shd w:val="clear" w:color="auto" w:fill="FFFFFF"/>
        </w:rPr>
        <w:t xml:space="preserve">at-risk </w:t>
      </w:r>
      <w:r w:rsidR="00BC2BF2" w:rsidRPr="00AD5FCE">
        <w:rPr>
          <w:rFonts w:ascii="Century Gothic" w:hAnsi="Century Gothic"/>
          <w:bCs/>
          <w:color w:val="222222"/>
          <w:shd w:val="clear" w:color="auto" w:fill="FFFFFF"/>
        </w:rPr>
        <w:t>elderly</w:t>
      </w:r>
      <w:r w:rsidR="00AD5FCE" w:rsidRPr="00AD5FCE">
        <w:rPr>
          <w:rFonts w:ascii="Century Gothic" w:hAnsi="Century Gothic"/>
          <w:bCs/>
          <w:color w:val="222222"/>
          <w:shd w:val="clear" w:color="auto" w:fill="FFFFFF"/>
        </w:rPr>
        <w:t xml:space="preserve"> </w:t>
      </w:r>
      <w:r w:rsidR="00BC2BF2" w:rsidRPr="00AD5FCE">
        <w:rPr>
          <w:rFonts w:ascii="Century Gothic" w:hAnsi="Century Gothic"/>
          <w:bCs/>
          <w:color w:val="222222"/>
          <w:shd w:val="clear" w:color="auto" w:fill="FFFFFF"/>
        </w:rPr>
        <w:t xml:space="preserve">and chronically ill populations who account for a disproportionate percentage of the morbidity and mortality from vaccine preventable conditions. </w:t>
      </w:r>
    </w:p>
    <w:p w14:paraId="2BB98235" w14:textId="2FBE9383"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r w:rsidRPr="00AD5FCE">
        <w:rPr>
          <w:rFonts w:ascii="Century Gothic" w:eastAsia="Times New Roman" w:hAnsi="Century Gothic" w:cs="Times New Roman"/>
          <w:color w:val="000000"/>
          <w:sz w:val="24"/>
          <w:szCs w:val="24"/>
        </w:rPr>
        <w:t xml:space="preserve">Thank you for the opportunity to offer our perspective on the </w:t>
      </w:r>
      <w:r w:rsidRPr="00AD5FCE">
        <w:rPr>
          <w:rStyle w:val="apple-converted-space"/>
          <w:rFonts w:ascii="Century Gothic" w:hAnsi="Century Gothic" w:cs="Times New Roman"/>
          <w:color w:val="222222"/>
          <w:sz w:val="24"/>
          <w:szCs w:val="24"/>
        </w:rPr>
        <w:t>201</w:t>
      </w:r>
      <w:r w:rsidR="00AD5FCE" w:rsidRPr="00AD5FCE">
        <w:rPr>
          <w:rStyle w:val="apple-converted-space"/>
          <w:rFonts w:ascii="Century Gothic" w:hAnsi="Century Gothic" w:cs="Times New Roman"/>
          <w:color w:val="222222"/>
          <w:sz w:val="24"/>
          <w:szCs w:val="24"/>
        </w:rPr>
        <w:t>9</w:t>
      </w:r>
      <w:r w:rsidRPr="00AD5FCE">
        <w:rPr>
          <w:rStyle w:val="apple-converted-space"/>
          <w:rFonts w:ascii="Century Gothic" w:hAnsi="Century Gothic" w:cs="Times New Roman"/>
          <w:color w:val="222222"/>
          <w:sz w:val="24"/>
          <w:szCs w:val="24"/>
        </w:rPr>
        <w:t xml:space="preserve"> Medicare Advantage and Part D Advance Notice and Draft Call Letter</w:t>
      </w:r>
      <w:r w:rsidRPr="00AD5FCE">
        <w:rPr>
          <w:rFonts w:ascii="Century Gothic" w:eastAsia="Times New Roman" w:hAnsi="Century Gothic" w:cs="Times New Roman"/>
          <w:color w:val="000000"/>
          <w:sz w:val="24"/>
          <w:szCs w:val="24"/>
        </w:rPr>
        <w:t xml:space="preserve">. We hope CMS will </w:t>
      </w:r>
      <w:r w:rsidR="00AD5FCE" w:rsidRPr="00AD5FCE">
        <w:rPr>
          <w:rFonts w:ascii="Century Gothic" w:eastAsia="Times New Roman" w:hAnsi="Century Gothic" w:cs="Times New Roman"/>
          <w:color w:val="000000"/>
          <w:sz w:val="24"/>
          <w:szCs w:val="24"/>
        </w:rPr>
        <w:t xml:space="preserve">maintain strong language in the final letter encouraging </w:t>
      </w:r>
      <w:r w:rsidRPr="00AD5FCE">
        <w:rPr>
          <w:rFonts w:ascii="Century Gothic" w:eastAsia="Times New Roman" w:hAnsi="Century Gothic" w:cs="Times New Roman"/>
          <w:color w:val="000000"/>
          <w:sz w:val="24"/>
          <w:szCs w:val="24"/>
        </w:rPr>
        <w:t xml:space="preserve">Part D plans to include vaccines in the $0 </w:t>
      </w:r>
      <w:r w:rsidR="00AD5FCE" w:rsidRPr="00AD5FCE">
        <w:rPr>
          <w:rFonts w:ascii="Century Gothic" w:eastAsia="Times New Roman" w:hAnsi="Century Gothic" w:cs="Times New Roman"/>
          <w:color w:val="000000"/>
          <w:sz w:val="24"/>
          <w:szCs w:val="24"/>
        </w:rPr>
        <w:t>vaccine tier or low-</w:t>
      </w:r>
      <w:r w:rsidRPr="00AD5FCE">
        <w:rPr>
          <w:rFonts w:ascii="Century Gothic" w:eastAsia="Times New Roman" w:hAnsi="Century Gothic" w:cs="Times New Roman"/>
          <w:color w:val="000000"/>
          <w:sz w:val="24"/>
          <w:szCs w:val="24"/>
        </w:rPr>
        <w:t xml:space="preserve">cost sharing tier in the final letter and </w:t>
      </w:r>
      <w:r w:rsidR="00AD5FCE" w:rsidRPr="00AD5FCE">
        <w:rPr>
          <w:rFonts w:ascii="Century Gothic" w:eastAsia="Times New Roman" w:hAnsi="Century Gothic" w:cs="Times New Roman"/>
          <w:color w:val="000000"/>
          <w:sz w:val="24"/>
          <w:szCs w:val="24"/>
        </w:rPr>
        <w:t xml:space="preserve">language supporting efforts to develop and implement a composite quality measure for adult immunizations.  We greatly appreciate CMS’ efforts to </w:t>
      </w:r>
      <w:r w:rsidRPr="00AD5FCE">
        <w:rPr>
          <w:rFonts w:ascii="Century Gothic" w:eastAsia="Times New Roman" w:hAnsi="Century Gothic" w:cs="Times New Roman"/>
          <w:color w:val="000000"/>
          <w:sz w:val="24"/>
          <w:szCs w:val="24"/>
        </w:rPr>
        <w:t xml:space="preserve">balance plans’ fiduciary responsibilities and beneficiary access to </w:t>
      </w:r>
      <w:r w:rsidR="00AD5FCE" w:rsidRPr="00AD5FCE">
        <w:rPr>
          <w:rFonts w:ascii="Century Gothic" w:eastAsia="Times New Roman" w:hAnsi="Century Gothic" w:cs="Times New Roman"/>
          <w:color w:val="000000"/>
          <w:sz w:val="24"/>
          <w:szCs w:val="24"/>
        </w:rPr>
        <w:t xml:space="preserve">this </w:t>
      </w:r>
      <w:r w:rsidRPr="00AD5FCE">
        <w:rPr>
          <w:rFonts w:ascii="Century Gothic" w:eastAsia="Times New Roman" w:hAnsi="Century Gothic" w:cs="Times New Roman"/>
          <w:color w:val="000000"/>
          <w:sz w:val="24"/>
          <w:szCs w:val="24"/>
        </w:rPr>
        <w:t xml:space="preserve">important preventive health service.  </w:t>
      </w:r>
    </w:p>
    <w:p w14:paraId="06C50300" w14:textId="77777777"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p>
    <w:p w14:paraId="4F10BF03" w14:textId="56218AC2" w:rsidR="00BC2BF2" w:rsidRPr="00861136" w:rsidRDefault="00BC2BF2" w:rsidP="00861136">
      <w:pPr>
        <w:rPr>
          <w:rFonts w:ascii="Century Gothic" w:hAnsi="Century Gothic"/>
          <w:sz w:val="24"/>
          <w:szCs w:val="24"/>
        </w:rPr>
      </w:pPr>
      <w:r w:rsidRPr="00861136">
        <w:rPr>
          <w:rFonts w:ascii="Century Gothic" w:hAnsi="Century Gothic"/>
          <w:sz w:val="24"/>
          <w:szCs w:val="24"/>
        </w:rPr>
        <w:t>Please contact an AVAC manager at </w:t>
      </w:r>
      <w:hyperlink r:id="rId11" w:history="1">
        <w:r w:rsidR="00861136" w:rsidRPr="00861136">
          <w:rPr>
            <w:rStyle w:val="Hyperlink"/>
            <w:rFonts w:ascii="Century Gothic" w:eastAsia="Times New Roman" w:hAnsi="Century Gothic" w:cs="Times New Roman"/>
            <w:sz w:val="24"/>
            <w:szCs w:val="24"/>
          </w:rPr>
          <w:t>(202) 540-1070</w:t>
        </w:r>
      </w:hyperlink>
      <w:r w:rsidRPr="00861136">
        <w:rPr>
          <w:rFonts w:ascii="Century Gothic" w:hAnsi="Century Gothic"/>
          <w:sz w:val="24"/>
          <w:szCs w:val="24"/>
        </w:rPr>
        <w:t> or </w:t>
      </w:r>
      <w:hyperlink r:id="rId12" w:tgtFrame="_blank" w:history="1">
        <w:r w:rsidRPr="00861136">
          <w:rPr>
            <w:rStyle w:val="Hyperlink"/>
            <w:rFonts w:ascii="Century Gothic" w:eastAsia="Times New Roman" w:hAnsi="Century Gothic" w:cs="Times New Roman"/>
            <w:color w:val="1155CC"/>
            <w:sz w:val="24"/>
            <w:szCs w:val="24"/>
          </w:rPr>
          <w:t>info@adultvaccinesnow.org</w:t>
        </w:r>
      </w:hyperlink>
      <w:r w:rsidRPr="00861136">
        <w:rPr>
          <w:rFonts w:ascii="Century Gothic" w:hAnsi="Century Gothic"/>
          <w:sz w:val="24"/>
          <w:szCs w:val="24"/>
        </w:rPr>
        <w:t xml:space="preserve"> if you wish to discuss our comments or adult immunization access and coverage.</w:t>
      </w:r>
    </w:p>
    <w:p w14:paraId="2FA2445A" w14:textId="545743A1" w:rsidR="002E54B0" w:rsidRPr="00861136" w:rsidRDefault="00BC2BF2" w:rsidP="00BC2BF2">
      <w:pPr>
        <w:rPr>
          <w:rFonts w:ascii="Century Gothic" w:hAnsi="Century Gothic"/>
          <w:sz w:val="24"/>
          <w:szCs w:val="24"/>
        </w:rPr>
      </w:pPr>
      <w:r w:rsidRPr="00861136">
        <w:rPr>
          <w:rFonts w:ascii="Century Gothic" w:hAnsi="Century Gothic"/>
          <w:sz w:val="24"/>
          <w:szCs w:val="24"/>
        </w:rPr>
        <w:t xml:space="preserve">Sincerely, </w:t>
      </w:r>
    </w:p>
    <w:p w14:paraId="5A704F64" w14:textId="68261756" w:rsidR="00BC2BF2" w:rsidRPr="00DA1A7A" w:rsidRDefault="00BC2BF2" w:rsidP="00BC2BF2">
      <w:pPr>
        <w:rPr>
          <w:rFonts w:ascii="Century Gothic" w:hAnsi="Century Gothic"/>
          <w:b/>
          <w:sz w:val="24"/>
          <w:szCs w:val="24"/>
        </w:rPr>
      </w:pPr>
    </w:p>
    <w:tbl>
      <w:tblPr>
        <w:tblW w:w="8240" w:type="dxa"/>
        <w:tblLook w:val="04A0" w:firstRow="1" w:lastRow="0" w:firstColumn="1" w:lastColumn="0" w:noHBand="0" w:noVBand="1"/>
      </w:tblPr>
      <w:tblGrid>
        <w:gridCol w:w="8240"/>
      </w:tblGrid>
      <w:tr w:rsidR="00BC2BF2" w:rsidRPr="00DA1A7A" w14:paraId="749FFAD7" w14:textId="77777777" w:rsidTr="00701AB2">
        <w:trPr>
          <w:trHeight w:val="345"/>
        </w:trPr>
        <w:tc>
          <w:tcPr>
            <w:tcW w:w="8240" w:type="dxa"/>
            <w:tcBorders>
              <w:top w:val="nil"/>
              <w:left w:val="nil"/>
              <w:bottom w:val="nil"/>
              <w:right w:val="nil"/>
            </w:tcBorders>
            <w:shd w:val="clear" w:color="auto" w:fill="auto"/>
            <w:noWrap/>
            <w:vAlign w:val="bottom"/>
            <w:hideMark/>
          </w:tcPr>
          <w:p w14:paraId="21A290F6"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Alliance for Aging Research </w:t>
            </w:r>
          </w:p>
        </w:tc>
      </w:tr>
      <w:tr w:rsidR="00BC2BF2" w:rsidRPr="00DA1A7A" w14:paraId="62F5169A" w14:textId="77777777" w:rsidTr="00701AB2">
        <w:trPr>
          <w:trHeight w:val="345"/>
        </w:trPr>
        <w:tc>
          <w:tcPr>
            <w:tcW w:w="8240" w:type="dxa"/>
            <w:tcBorders>
              <w:top w:val="nil"/>
              <w:left w:val="nil"/>
              <w:bottom w:val="nil"/>
              <w:right w:val="nil"/>
            </w:tcBorders>
            <w:shd w:val="clear" w:color="auto" w:fill="auto"/>
            <w:noWrap/>
            <w:vAlign w:val="bottom"/>
            <w:hideMark/>
          </w:tcPr>
          <w:p w14:paraId="38670344"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College of Preventive Medicine</w:t>
            </w:r>
          </w:p>
        </w:tc>
      </w:tr>
      <w:tr w:rsidR="00BC2BF2" w:rsidRPr="00DA1A7A" w14:paraId="5B9C1DF9" w14:textId="77777777" w:rsidTr="00701AB2">
        <w:trPr>
          <w:trHeight w:val="345"/>
        </w:trPr>
        <w:tc>
          <w:tcPr>
            <w:tcW w:w="8240" w:type="dxa"/>
            <w:tcBorders>
              <w:top w:val="nil"/>
              <w:left w:val="nil"/>
              <w:bottom w:val="nil"/>
              <w:right w:val="nil"/>
            </w:tcBorders>
            <w:shd w:val="clear" w:color="auto" w:fill="auto"/>
            <w:noWrap/>
            <w:vAlign w:val="bottom"/>
            <w:hideMark/>
          </w:tcPr>
          <w:p w14:paraId="6F70F60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Immunization Registry Association (AIRA)</w:t>
            </w:r>
          </w:p>
        </w:tc>
      </w:tr>
      <w:tr w:rsidR="00BC2BF2" w:rsidRPr="00DA1A7A" w14:paraId="421BAA2D" w14:textId="77777777" w:rsidTr="00701AB2">
        <w:trPr>
          <w:trHeight w:val="345"/>
        </w:trPr>
        <w:tc>
          <w:tcPr>
            <w:tcW w:w="8240" w:type="dxa"/>
            <w:tcBorders>
              <w:top w:val="nil"/>
              <w:left w:val="nil"/>
              <w:bottom w:val="nil"/>
              <w:right w:val="nil"/>
            </w:tcBorders>
            <w:shd w:val="clear" w:color="auto" w:fill="auto"/>
            <w:noWrap/>
            <w:vAlign w:val="bottom"/>
            <w:hideMark/>
          </w:tcPr>
          <w:p w14:paraId="0F36BDCA"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Asian &amp; Pacific Islander American Health Forum (APIAHF)</w:t>
            </w:r>
          </w:p>
        </w:tc>
      </w:tr>
      <w:tr w:rsidR="00BC2BF2" w:rsidRPr="00DA1A7A" w14:paraId="03B1F87A" w14:textId="77777777" w:rsidTr="00701AB2">
        <w:trPr>
          <w:trHeight w:val="345"/>
        </w:trPr>
        <w:tc>
          <w:tcPr>
            <w:tcW w:w="8240" w:type="dxa"/>
            <w:tcBorders>
              <w:top w:val="nil"/>
              <w:left w:val="nil"/>
              <w:bottom w:val="nil"/>
              <w:right w:val="nil"/>
            </w:tcBorders>
            <w:shd w:val="clear" w:color="auto" w:fill="auto"/>
            <w:noWrap/>
            <w:vAlign w:val="bottom"/>
            <w:hideMark/>
          </w:tcPr>
          <w:p w14:paraId="3A5C583D"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Association of Immunization Managers (AIM)</w:t>
            </w:r>
          </w:p>
        </w:tc>
      </w:tr>
      <w:tr w:rsidR="00BC2BF2" w:rsidRPr="00DA1A7A" w14:paraId="60405944" w14:textId="77777777" w:rsidTr="00701AB2">
        <w:trPr>
          <w:trHeight w:val="345"/>
        </w:trPr>
        <w:tc>
          <w:tcPr>
            <w:tcW w:w="8240" w:type="dxa"/>
            <w:tcBorders>
              <w:top w:val="nil"/>
              <w:left w:val="nil"/>
              <w:bottom w:val="nil"/>
              <w:right w:val="nil"/>
            </w:tcBorders>
            <w:shd w:val="clear" w:color="auto" w:fill="auto"/>
            <w:noWrap/>
            <w:vAlign w:val="bottom"/>
            <w:hideMark/>
          </w:tcPr>
          <w:p w14:paraId="5D960B67"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Biotechnology Innovation Organization (BIO)</w:t>
            </w:r>
          </w:p>
        </w:tc>
      </w:tr>
      <w:tr w:rsidR="00BC2BF2" w:rsidRPr="00DA1A7A" w14:paraId="4BC0D358" w14:textId="77777777" w:rsidTr="00701AB2">
        <w:trPr>
          <w:trHeight w:val="345"/>
        </w:trPr>
        <w:tc>
          <w:tcPr>
            <w:tcW w:w="8240" w:type="dxa"/>
            <w:tcBorders>
              <w:top w:val="nil"/>
              <w:left w:val="nil"/>
              <w:bottom w:val="nil"/>
              <w:right w:val="nil"/>
            </w:tcBorders>
            <w:shd w:val="clear" w:color="auto" w:fill="auto"/>
            <w:noWrap/>
            <w:vAlign w:val="bottom"/>
            <w:hideMark/>
          </w:tcPr>
          <w:p w14:paraId="46CF1711" w14:textId="4E7E3834"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Dynavax</w:t>
            </w:r>
          </w:p>
          <w:p w14:paraId="02F352EC" w14:textId="4E2D9C39"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GSK</w:t>
            </w:r>
          </w:p>
        </w:tc>
      </w:tr>
      <w:tr w:rsidR="00BC2BF2" w:rsidRPr="00DA1A7A" w14:paraId="128030C2" w14:textId="77777777" w:rsidTr="00701AB2">
        <w:trPr>
          <w:trHeight w:val="345"/>
        </w:trPr>
        <w:tc>
          <w:tcPr>
            <w:tcW w:w="8240" w:type="dxa"/>
            <w:tcBorders>
              <w:top w:val="nil"/>
              <w:left w:val="nil"/>
              <w:bottom w:val="nil"/>
              <w:right w:val="nil"/>
            </w:tcBorders>
            <w:shd w:val="clear" w:color="auto" w:fill="auto"/>
            <w:noWrap/>
            <w:vAlign w:val="bottom"/>
            <w:hideMark/>
          </w:tcPr>
          <w:p w14:paraId="3F78A5D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 B United</w:t>
            </w:r>
          </w:p>
        </w:tc>
      </w:tr>
      <w:tr w:rsidR="00BC2BF2" w:rsidRPr="00DA1A7A" w14:paraId="2932A679" w14:textId="77777777" w:rsidTr="00701AB2">
        <w:trPr>
          <w:trHeight w:val="345"/>
        </w:trPr>
        <w:tc>
          <w:tcPr>
            <w:tcW w:w="8240" w:type="dxa"/>
            <w:tcBorders>
              <w:top w:val="nil"/>
              <w:left w:val="nil"/>
              <w:bottom w:val="nil"/>
              <w:right w:val="nil"/>
            </w:tcBorders>
            <w:shd w:val="clear" w:color="auto" w:fill="auto"/>
            <w:noWrap/>
            <w:vAlign w:val="center"/>
            <w:hideMark/>
          </w:tcPr>
          <w:p w14:paraId="5ADB46A9"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Hepatitis B Foundation</w:t>
            </w:r>
          </w:p>
        </w:tc>
      </w:tr>
      <w:tr w:rsidR="00BC2BF2" w:rsidRPr="00DA1A7A" w14:paraId="2631C696" w14:textId="77777777" w:rsidTr="00701AB2">
        <w:trPr>
          <w:trHeight w:val="345"/>
        </w:trPr>
        <w:tc>
          <w:tcPr>
            <w:tcW w:w="8240" w:type="dxa"/>
            <w:tcBorders>
              <w:top w:val="nil"/>
              <w:left w:val="nil"/>
              <w:bottom w:val="nil"/>
              <w:right w:val="nil"/>
            </w:tcBorders>
            <w:shd w:val="clear" w:color="auto" w:fill="auto"/>
            <w:noWrap/>
            <w:vAlign w:val="bottom"/>
            <w:hideMark/>
          </w:tcPr>
          <w:p w14:paraId="17294B13"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Immunization Action Coalition (IAC)</w:t>
            </w:r>
          </w:p>
        </w:tc>
      </w:tr>
      <w:tr w:rsidR="00BC2BF2" w:rsidRPr="00DA1A7A" w14:paraId="26D86009" w14:textId="77777777" w:rsidTr="00701AB2">
        <w:trPr>
          <w:trHeight w:val="345"/>
        </w:trPr>
        <w:tc>
          <w:tcPr>
            <w:tcW w:w="8240" w:type="dxa"/>
            <w:tcBorders>
              <w:top w:val="nil"/>
              <w:left w:val="nil"/>
              <w:bottom w:val="nil"/>
              <w:right w:val="nil"/>
            </w:tcBorders>
            <w:shd w:val="clear" w:color="auto" w:fill="auto"/>
            <w:noWrap/>
            <w:vAlign w:val="bottom"/>
            <w:hideMark/>
          </w:tcPr>
          <w:p w14:paraId="5E9C222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Medicago </w:t>
            </w:r>
          </w:p>
        </w:tc>
      </w:tr>
      <w:tr w:rsidR="00BC2BF2" w:rsidRPr="00DA1A7A" w14:paraId="0C23AAD6" w14:textId="77777777" w:rsidTr="00701AB2">
        <w:trPr>
          <w:trHeight w:val="345"/>
        </w:trPr>
        <w:tc>
          <w:tcPr>
            <w:tcW w:w="8240" w:type="dxa"/>
            <w:tcBorders>
              <w:top w:val="nil"/>
              <w:left w:val="nil"/>
              <w:bottom w:val="nil"/>
              <w:right w:val="nil"/>
            </w:tcBorders>
            <w:shd w:val="clear" w:color="auto" w:fill="auto"/>
            <w:noWrap/>
            <w:vAlign w:val="bottom"/>
            <w:hideMark/>
          </w:tcPr>
          <w:p w14:paraId="0E2DBFC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Association of Chain Drug Stores (NACDS)</w:t>
            </w:r>
          </w:p>
        </w:tc>
      </w:tr>
      <w:tr w:rsidR="00BC2BF2" w:rsidRPr="00DA1A7A" w14:paraId="5375115E" w14:textId="77777777" w:rsidTr="00701AB2">
        <w:trPr>
          <w:trHeight w:val="345"/>
        </w:trPr>
        <w:tc>
          <w:tcPr>
            <w:tcW w:w="8240" w:type="dxa"/>
            <w:tcBorders>
              <w:top w:val="nil"/>
              <w:left w:val="nil"/>
              <w:bottom w:val="nil"/>
              <w:right w:val="nil"/>
            </w:tcBorders>
            <w:shd w:val="clear" w:color="auto" w:fill="auto"/>
            <w:noWrap/>
            <w:vAlign w:val="bottom"/>
            <w:hideMark/>
          </w:tcPr>
          <w:p w14:paraId="4F5D9049" w14:textId="77777777" w:rsidR="00BC2BF2" w:rsidRPr="00DA1A7A" w:rsidRDefault="00BC2BF2" w:rsidP="00701AB2">
            <w:pPr>
              <w:spacing w:after="0" w:line="240" w:lineRule="auto"/>
              <w:rPr>
                <w:rFonts w:ascii="Century Gothic" w:eastAsia="Times New Roman" w:hAnsi="Century Gothic" w:cs="Calibri"/>
                <w:sz w:val="24"/>
                <w:szCs w:val="24"/>
              </w:rPr>
            </w:pPr>
            <w:bookmarkStart w:id="0" w:name="_GoBack"/>
            <w:r w:rsidRPr="00DA1A7A">
              <w:rPr>
                <w:rFonts w:ascii="Century Gothic" w:eastAsia="Times New Roman" w:hAnsi="Century Gothic" w:cs="Calibri"/>
                <w:sz w:val="24"/>
                <w:szCs w:val="24"/>
              </w:rPr>
              <w:lastRenderedPageBreak/>
              <w:t>National Association of City and County Health Officials (NACCHO)</w:t>
            </w:r>
          </w:p>
        </w:tc>
      </w:tr>
      <w:tr w:rsidR="00BC2BF2" w:rsidRPr="00DA1A7A" w14:paraId="16DE883B" w14:textId="77777777" w:rsidTr="00701AB2">
        <w:trPr>
          <w:trHeight w:val="345"/>
        </w:trPr>
        <w:tc>
          <w:tcPr>
            <w:tcW w:w="8240" w:type="dxa"/>
            <w:tcBorders>
              <w:top w:val="nil"/>
              <w:left w:val="nil"/>
              <w:bottom w:val="nil"/>
              <w:right w:val="nil"/>
            </w:tcBorders>
            <w:shd w:val="clear" w:color="auto" w:fill="auto"/>
            <w:noWrap/>
            <w:vAlign w:val="center"/>
            <w:hideMark/>
          </w:tcPr>
          <w:p w14:paraId="3E5E1E0E" w14:textId="37E96376"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National Black Nurses Association</w:t>
            </w:r>
          </w:p>
          <w:p w14:paraId="4D281C9D" w14:textId="7229884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Foundation for Infectious Diseases (NFID)</w:t>
            </w:r>
          </w:p>
        </w:tc>
      </w:tr>
      <w:tr w:rsidR="00BC2BF2" w:rsidRPr="00DA1A7A" w14:paraId="5EA4E387" w14:textId="77777777" w:rsidTr="00701AB2">
        <w:trPr>
          <w:trHeight w:val="345"/>
        </w:trPr>
        <w:tc>
          <w:tcPr>
            <w:tcW w:w="8240" w:type="dxa"/>
            <w:tcBorders>
              <w:top w:val="nil"/>
              <w:left w:val="nil"/>
              <w:bottom w:val="nil"/>
              <w:right w:val="nil"/>
            </w:tcBorders>
            <w:shd w:val="clear" w:color="auto" w:fill="auto"/>
            <w:noWrap/>
            <w:vAlign w:val="center"/>
            <w:hideMark/>
          </w:tcPr>
          <w:p w14:paraId="721D0710"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National Hispanic Medical Association </w:t>
            </w:r>
          </w:p>
        </w:tc>
      </w:tr>
      <w:tr w:rsidR="00BC2BF2" w:rsidRPr="00DA1A7A" w14:paraId="47C22891" w14:textId="77777777" w:rsidTr="00701AB2">
        <w:trPr>
          <w:trHeight w:val="345"/>
        </w:trPr>
        <w:tc>
          <w:tcPr>
            <w:tcW w:w="8240" w:type="dxa"/>
            <w:tcBorders>
              <w:top w:val="nil"/>
              <w:left w:val="nil"/>
              <w:bottom w:val="nil"/>
              <w:right w:val="nil"/>
            </w:tcBorders>
            <w:shd w:val="clear" w:color="auto" w:fill="auto"/>
            <w:noWrap/>
            <w:vAlign w:val="bottom"/>
            <w:hideMark/>
          </w:tcPr>
          <w:p w14:paraId="505D1F2C" w14:textId="19100F48"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Novavax</w:t>
            </w:r>
          </w:p>
          <w:p w14:paraId="76B98F7A" w14:textId="77B4062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Pfizer</w:t>
            </w:r>
          </w:p>
        </w:tc>
      </w:tr>
      <w:tr w:rsidR="00BC2BF2" w:rsidRPr="00DA1A7A" w14:paraId="1EB0507E" w14:textId="77777777" w:rsidTr="00701AB2">
        <w:trPr>
          <w:trHeight w:val="345"/>
        </w:trPr>
        <w:tc>
          <w:tcPr>
            <w:tcW w:w="8240" w:type="dxa"/>
            <w:tcBorders>
              <w:top w:val="nil"/>
              <w:left w:val="nil"/>
              <w:bottom w:val="nil"/>
              <w:right w:val="nil"/>
            </w:tcBorders>
            <w:shd w:val="clear" w:color="auto" w:fill="auto"/>
            <w:noWrap/>
            <w:vAlign w:val="center"/>
            <w:hideMark/>
          </w:tcPr>
          <w:p w14:paraId="7E9B1638"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Pharmacy Quality Alliance</w:t>
            </w:r>
          </w:p>
        </w:tc>
      </w:tr>
      <w:tr w:rsidR="00BC2BF2" w:rsidRPr="00DA1A7A" w14:paraId="194358E4" w14:textId="77777777" w:rsidTr="00701AB2">
        <w:trPr>
          <w:trHeight w:val="80"/>
        </w:trPr>
        <w:tc>
          <w:tcPr>
            <w:tcW w:w="8240" w:type="dxa"/>
            <w:tcBorders>
              <w:top w:val="nil"/>
              <w:left w:val="nil"/>
              <w:bottom w:val="nil"/>
              <w:right w:val="nil"/>
            </w:tcBorders>
            <w:shd w:val="clear" w:color="auto" w:fill="auto"/>
            <w:noWrap/>
            <w:vAlign w:val="bottom"/>
            <w:hideMark/>
          </w:tcPr>
          <w:p w14:paraId="1BF7989F" w14:textId="7BC516B7"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PhRMA</w:t>
            </w:r>
          </w:p>
          <w:p w14:paraId="51B8C5A5" w14:textId="6D3B6DFE"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Sanofi</w:t>
            </w:r>
          </w:p>
          <w:p w14:paraId="6D0CA5D9" w14:textId="3636AA1D" w:rsidR="00E6537A" w:rsidRPr="00DA1A7A" w:rsidRDefault="00E6537A"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The Gerontological Society of America</w:t>
            </w:r>
          </w:p>
        </w:tc>
      </w:tr>
      <w:tr w:rsidR="00BC2BF2" w:rsidRPr="00AD5FCE" w14:paraId="26AEB737" w14:textId="77777777" w:rsidTr="00701AB2">
        <w:trPr>
          <w:trHeight w:val="345"/>
        </w:trPr>
        <w:tc>
          <w:tcPr>
            <w:tcW w:w="8240" w:type="dxa"/>
            <w:tcBorders>
              <w:top w:val="nil"/>
              <w:left w:val="nil"/>
              <w:bottom w:val="nil"/>
              <w:right w:val="nil"/>
            </w:tcBorders>
            <w:shd w:val="clear" w:color="auto" w:fill="auto"/>
            <w:noWrap/>
            <w:vAlign w:val="bottom"/>
            <w:hideMark/>
          </w:tcPr>
          <w:p w14:paraId="47B5DB66" w14:textId="77777777" w:rsidR="00BC2BF2" w:rsidRPr="00AD5FCE"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Trust for America's Health (TFAH)</w:t>
            </w:r>
            <w:r w:rsidRPr="00AD5FCE">
              <w:rPr>
                <w:rFonts w:ascii="Century Gothic" w:eastAsia="Times New Roman" w:hAnsi="Century Gothic" w:cs="Calibri"/>
                <w:sz w:val="24"/>
                <w:szCs w:val="24"/>
              </w:rPr>
              <w:t xml:space="preserve"> </w:t>
            </w:r>
          </w:p>
        </w:tc>
      </w:tr>
    </w:tbl>
    <w:p w14:paraId="3FA4A2BD" w14:textId="77777777" w:rsidR="00BC2BF2" w:rsidRPr="00436370" w:rsidRDefault="00BC2BF2">
      <w:pPr>
        <w:rPr>
          <w:b/>
        </w:rPr>
      </w:pPr>
    </w:p>
    <w:p w14:paraId="4FAA1645" w14:textId="12BC8EFC" w:rsidR="00436370" w:rsidRDefault="00436370"/>
    <w:p w14:paraId="66C60AFF" w14:textId="56A0D458" w:rsidR="00CB01FB" w:rsidRDefault="00CB01FB"/>
    <w:p w14:paraId="72FF0989" w14:textId="3D1DB73E" w:rsidR="00CB01FB" w:rsidRDefault="00CB01FB"/>
    <w:p w14:paraId="65565E00" w14:textId="77777777" w:rsidR="008664FF" w:rsidRPr="00DA1A7A" w:rsidRDefault="008664FF">
      <w:pPr>
        <w:rPr>
          <w:rFonts w:ascii="Century Gothic" w:hAnsi="Century Gothic"/>
          <w:i/>
        </w:rPr>
      </w:pPr>
    </w:p>
    <w:p w14:paraId="380BA3B6" w14:textId="12B261A8" w:rsidR="00CB01FB" w:rsidRPr="00DA1A7A" w:rsidRDefault="00CB01FB">
      <w:pPr>
        <w:rPr>
          <w:rFonts w:ascii="Century Gothic" w:hAnsi="Century Gothic"/>
          <w:i/>
          <w:sz w:val="20"/>
          <w:szCs w:val="20"/>
        </w:rPr>
      </w:pPr>
      <w:r w:rsidRPr="00DA1A7A">
        <w:rPr>
          <w:rFonts w:ascii="Century Gothic" w:hAnsi="Century Gothic"/>
          <w:i/>
          <w:sz w:val="20"/>
          <w:szCs w:val="20"/>
        </w:rPr>
        <w:t>CC: Demetrios Kouzoukas, Principal Deputy Administrator and Director, Center for Medicare</w:t>
      </w:r>
      <w:bookmarkEnd w:id="0"/>
    </w:p>
    <w:sectPr w:rsidR="00CB01FB" w:rsidRPr="00DA1A7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13577" w14:textId="77777777" w:rsidR="00BC2BF2" w:rsidRDefault="00BC2BF2" w:rsidP="00BC2BF2">
      <w:pPr>
        <w:spacing w:after="0" w:line="240" w:lineRule="auto"/>
      </w:pPr>
      <w:r>
        <w:separator/>
      </w:r>
    </w:p>
  </w:endnote>
  <w:endnote w:type="continuationSeparator" w:id="0">
    <w:p w14:paraId="392CF8B5" w14:textId="77777777" w:rsidR="00BC2BF2" w:rsidRDefault="00BC2BF2" w:rsidP="00BC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2A67C" w14:textId="77777777" w:rsidR="00013539" w:rsidRDefault="000135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734518"/>
      <w:docPartObj>
        <w:docPartGallery w:val="Page Numbers (Bottom of Page)"/>
        <w:docPartUnique/>
      </w:docPartObj>
    </w:sdtPr>
    <w:sdtEndPr>
      <w:rPr>
        <w:noProof/>
      </w:rPr>
    </w:sdtEndPr>
    <w:sdtContent>
      <w:p w14:paraId="0D165691" w14:textId="1B19FA4D" w:rsidR="001809B8" w:rsidRDefault="001809B8">
        <w:pPr>
          <w:pStyle w:val="Footer"/>
          <w:jc w:val="right"/>
        </w:pPr>
        <w:r>
          <w:fldChar w:fldCharType="begin"/>
        </w:r>
        <w:r>
          <w:instrText xml:space="preserve"> PAGE   \* MERGEFORMAT </w:instrText>
        </w:r>
        <w:r>
          <w:fldChar w:fldCharType="separate"/>
        </w:r>
        <w:r w:rsidR="003E5218">
          <w:rPr>
            <w:noProof/>
          </w:rPr>
          <w:t>7</w:t>
        </w:r>
        <w:r>
          <w:rPr>
            <w:noProof/>
          </w:rPr>
          <w:fldChar w:fldCharType="end"/>
        </w:r>
      </w:p>
    </w:sdtContent>
  </w:sdt>
  <w:p w14:paraId="0770222F" w14:textId="77777777" w:rsidR="001809B8" w:rsidRDefault="001809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90FD" w14:textId="77777777" w:rsidR="00013539" w:rsidRDefault="0001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7D23" w14:textId="77777777" w:rsidR="00BC2BF2" w:rsidRDefault="00BC2BF2" w:rsidP="00BC2BF2">
      <w:pPr>
        <w:spacing w:after="0" w:line="240" w:lineRule="auto"/>
      </w:pPr>
      <w:r>
        <w:separator/>
      </w:r>
    </w:p>
  </w:footnote>
  <w:footnote w:type="continuationSeparator" w:id="0">
    <w:p w14:paraId="0C7DC7D1" w14:textId="77777777" w:rsidR="00BC2BF2" w:rsidRDefault="00BC2BF2" w:rsidP="00BC2BF2">
      <w:pPr>
        <w:spacing w:after="0" w:line="240" w:lineRule="auto"/>
      </w:pPr>
      <w:r>
        <w:continuationSeparator/>
      </w:r>
    </w:p>
  </w:footnote>
  <w:footnote w:id="1">
    <w:p w14:paraId="00D28ED1" w14:textId="4EA1B281" w:rsidR="00117ADE" w:rsidRPr="00117ADE" w:rsidRDefault="00117ADE">
      <w:pPr>
        <w:pStyle w:val="FootnoteText"/>
        <w:rPr>
          <w:sz w:val="18"/>
          <w:szCs w:val="18"/>
        </w:rPr>
      </w:pPr>
      <w:r>
        <w:rPr>
          <w:rStyle w:val="FootnoteReference"/>
        </w:rPr>
        <w:footnoteRef/>
      </w:r>
      <w:r>
        <w:t xml:space="preserve"> </w:t>
      </w:r>
      <w:r w:rsidRPr="00117ADE">
        <w:rPr>
          <w:sz w:val="18"/>
          <w:szCs w:val="18"/>
        </w:rPr>
        <w:t>https://www.cdc.gov/mmwr/preview/mmwrhtml/mm6316a4.htm</w:t>
      </w:r>
    </w:p>
  </w:footnote>
  <w:footnote w:id="2">
    <w:p w14:paraId="7F12D90F" w14:textId="77777777" w:rsidR="00117ADE" w:rsidRPr="00117ADE" w:rsidRDefault="00117ADE" w:rsidP="00117ADE">
      <w:pPr>
        <w:pStyle w:val="FootnoteText"/>
        <w:rPr>
          <w:sz w:val="18"/>
          <w:szCs w:val="18"/>
        </w:rPr>
      </w:pPr>
      <w:r w:rsidRPr="00117ADE">
        <w:rPr>
          <w:rStyle w:val="FootnoteReference"/>
          <w:sz w:val="18"/>
          <w:szCs w:val="18"/>
        </w:rPr>
        <w:footnoteRef/>
      </w:r>
      <w:r w:rsidRPr="00117ADE">
        <w:rPr>
          <w:sz w:val="18"/>
          <w:szCs w:val="18"/>
        </w:rPr>
        <w:t xml:space="preserve"> HHS Strategic Plan, FY 2018 –2022, Draft, September 2017, page 51</w:t>
      </w:r>
    </w:p>
  </w:footnote>
  <w:footnote w:id="3">
    <w:p w14:paraId="0A4E6D1D" w14:textId="77777777" w:rsidR="00BC2BF2" w:rsidRDefault="00BC2BF2" w:rsidP="00BC2BF2">
      <w:pPr>
        <w:pStyle w:val="FootnoteText"/>
      </w:pPr>
      <w:r w:rsidRPr="00117ADE">
        <w:rPr>
          <w:rStyle w:val="FootnoteReference"/>
          <w:sz w:val="18"/>
          <w:szCs w:val="18"/>
        </w:rPr>
        <w:footnoteRef/>
      </w:r>
      <w:r w:rsidRPr="00117ADE">
        <w:rPr>
          <w:sz w:val="18"/>
          <w:szCs w:val="18"/>
        </w:rPr>
        <w:t xml:space="preserve"> https://www.ncbi.nlm.nih.gov/pubmed/26032932</w:t>
      </w:r>
    </w:p>
  </w:footnote>
  <w:footnote w:id="4">
    <w:p w14:paraId="637DD36D" w14:textId="77777777" w:rsidR="00A3284F" w:rsidRPr="000409C1" w:rsidRDefault="00A3284F" w:rsidP="00A3284F">
      <w:pPr>
        <w:pStyle w:val="FootnoteText"/>
        <w:rPr>
          <w:sz w:val="16"/>
          <w:szCs w:val="16"/>
        </w:rPr>
      </w:pPr>
      <w:r w:rsidRPr="000409C1">
        <w:rPr>
          <w:rStyle w:val="FootnoteReference"/>
          <w:sz w:val="16"/>
          <w:szCs w:val="16"/>
        </w:rPr>
        <w:footnoteRef/>
      </w:r>
      <w:r w:rsidRPr="000409C1">
        <w:rPr>
          <w:sz w:val="16"/>
          <w:szCs w:val="16"/>
        </w:rPr>
        <w:t xml:space="preserve">   Varghese L et al. The temporal impact of aging on the burden of herpes zoster. BMC Geriatrics (2017) 17:30.</w:t>
      </w:r>
    </w:p>
  </w:footnote>
  <w:footnote w:id="5">
    <w:p w14:paraId="53E83D37" w14:textId="16C6EA8B" w:rsidR="00DF57A4" w:rsidRPr="00DF57A4" w:rsidRDefault="00DF57A4">
      <w:pPr>
        <w:pStyle w:val="FootnoteText"/>
        <w:rPr>
          <w:sz w:val="18"/>
          <w:szCs w:val="18"/>
        </w:rPr>
      </w:pPr>
      <w:r>
        <w:rPr>
          <w:rStyle w:val="FootnoteReference"/>
        </w:rPr>
        <w:footnoteRef/>
      </w:r>
      <w:r>
        <w:t xml:space="preserve"> </w:t>
      </w:r>
      <w:r w:rsidRPr="00DF57A4">
        <w:rPr>
          <w:sz w:val="18"/>
          <w:szCs w:val="18"/>
        </w:rPr>
        <w:t>https://www.manatt.com/getattachment/495e2566-3821-4037-bf16-9b207bd968ff/attachment.aspx</w:t>
      </w:r>
    </w:p>
  </w:footnote>
  <w:footnote w:id="6">
    <w:p w14:paraId="6ED46250"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http://www.agingresearch.org/app/webroot/kcfinder_files/files/AAR_Vaccine_White_Paper_12_22_15_final.pdf</w:t>
      </w:r>
    </w:p>
  </w:footnote>
  <w:footnote w:id="7">
    <w:p w14:paraId="64CC7851"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http://avalere.com/expertise/managed-care/insights/medicare-has-the-potential-to-avoid-preventable-illnesses-by-encouraging-br</w:t>
      </w:r>
    </w:p>
  </w:footnote>
  <w:footnote w:id="8">
    <w:p w14:paraId="330C0FE2" w14:textId="061D5A51" w:rsidR="004F4BCC" w:rsidRDefault="004F4BCC">
      <w:pPr>
        <w:pStyle w:val="FootnoteText"/>
      </w:pPr>
      <w:r>
        <w:rPr>
          <w:rStyle w:val="FootnoteReference"/>
        </w:rPr>
        <w:footnoteRef/>
      </w:r>
      <w:r>
        <w:t xml:space="preserve"> </w:t>
      </w:r>
      <w:hyperlink r:id="rId1" w:history="1">
        <w:r w:rsidRPr="001C173D">
          <w:rPr>
            <w:rStyle w:val="Hyperlink"/>
          </w:rPr>
          <w:t>https://dev-adultvaccinesnow.pantheonsite.io/wp-content/uploads/2016/07/AVN-White-Paper-FINAL.pdf</w:t>
        </w:r>
      </w:hyperlink>
      <w:r>
        <w:t xml:space="preserve"> </w:t>
      </w:r>
    </w:p>
  </w:footnote>
  <w:footnote w:id="9">
    <w:p w14:paraId="268DA7EE" w14:textId="3AA9AC78" w:rsidR="004F4BCC" w:rsidRDefault="004F4BCC" w:rsidP="004F4BCC">
      <w:pPr>
        <w:pStyle w:val="FootnoteText"/>
      </w:pPr>
      <w:r>
        <w:rPr>
          <w:rStyle w:val="FootnoteReference"/>
        </w:rPr>
        <w:footnoteRef/>
      </w:r>
      <w:r>
        <w:t xml:space="preserve"> </w:t>
      </w:r>
      <w:hyperlink r:id="rId2" w:history="1">
        <w:r w:rsidRPr="001C173D">
          <w:rPr>
            <w:rStyle w:val="Hyperlink"/>
          </w:rPr>
          <w:t>https://www.hhs.gov/sites/default/files/tab_10.05_weiser_adult_iz_composite-measures.pdf</w:t>
        </w:r>
      </w:hyperlink>
      <w:r>
        <w:t xml:space="preserve"> </w:t>
      </w:r>
    </w:p>
  </w:footnote>
  <w:footnote w:id="10">
    <w:p w14:paraId="0AEEC5A0" w14:textId="77777777" w:rsidR="00A3284F" w:rsidRPr="002E54B0" w:rsidRDefault="00A3284F" w:rsidP="00A3284F">
      <w:pPr>
        <w:pStyle w:val="FootnoteText"/>
        <w:rPr>
          <w:rFonts w:ascii="Century Gothic" w:hAnsi="Century Gothic"/>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Akinbosoye OE et al. Factors Associated with Zostavax Abandonment. AJPB. 2016;8(4):84-89.</w:t>
      </w:r>
    </w:p>
  </w:footnote>
  <w:footnote w:id="11">
    <w:p w14:paraId="05204905" w14:textId="77777777" w:rsidR="00A3284F" w:rsidRPr="000409C1" w:rsidRDefault="00A3284F" w:rsidP="00A3284F">
      <w:pPr>
        <w:pStyle w:val="FootnoteText"/>
        <w:rPr>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Varghese L et al. The temporal impact of aging on the burden of herpes zoster. BMC Geriatrics (2017) 17:30.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5675" w14:textId="77777777" w:rsidR="00013539" w:rsidRDefault="000135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2F6B9" w14:textId="619FAA7A" w:rsidR="00BC2BF2" w:rsidRDefault="00BC2BF2">
    <w:pPr>
      <w:pStyle w:val="Header"/>
    </w:pPr>
    <w:r w:rsidRPr="004F557D">
      <w:rPr>
        <w:noProof/>
        <w:sz w:val="23"/>
        <w:szCs w:val="23"/>
      </w:rPr>
      <w:drawing>
        <wp:anchor distT="0" distB="457200" distL="114300" distR="114300" simplePos="0" relativeHeight="251657216" behindDoc="0" locked="0" layoutInCell="1" allowOverlap="1" wp14:anchorId="2145815C" wp14:editId="0280654A">
          <wp:simplePos x="0" y="0"/>
          <wp:positionH relativeFrom="margin">
            <wp:posOffset>0</wp:posOffset>
          </wp:positionH>
          <wp:positionV relativeFrom="paragraph">
            <wp:posOffset>171450</wp:posOffset>
          </wp:positionV>
          <wp:extent cx="1962785" cy="854244"/>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785" cy="8542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50414" w14:textId="77777777" w:rsidR="00013539" w:rsidRDefault="00013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24B17"/>
    <w:multiLevelType w:val="hybridMultilevel"/>
    <w:tmpl w:val="CB46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321BD"/>
    <w:multiLevelType w:val="hybridMultilevel"/>
    <w:tmpl w:val="73C8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70"/>
    <w:rsid w:val="000103BB"/>
    <w:rsid w:val="00013539"/>
    <w:rsid w:val="00117ADE"/>
    <w:rsid w:val="00175AC8"/>
    <w:rsid w:val="001809B8"/>
    <w:rsid w:val="00220E9F"/>
    <w:rsid w:val="002442C4"/>
    <w:rsid w:val="0026357E"/>
    <w:rsid w:val="002E54B0"/>
    <w:rsid w:val="003E5218"/>
    <w:rsid w:val="00435586"/>
    <w:rsid w:val="00436370"/>
    <w:rsid w:val="004F4BCC"/>
    <w:rsid w:val="00513316"/>
    <w:rsid w:val="005B7A29"/>
    <w:rsid w:val="006A75AC"/>
    <w:rsid w:val="007A7204"/>
    <w:rsid w:val="00861136"/>
    <w:rsid w:val="008664FF"/>
    <w:rsid w:val="00936F7D"/>
    <w:rsid w:val="00A3284F"/>
    <w:rsid w:val="00AD5FCE"/>
    <w:rsid w:val="00B2552E"/>
    <w:rsid w:val="00BC2BF2"/>
    <w:rsid w:val="00BF47F4"/>
    <w:rsid w:val="00C01ABD"/>
    <w:rsid w:val="00C21E46"/>
    <w:rsid w:val="00C66603"/>
    <w:rsid w:val="00CB01FB"/>
    <w:rsid w:val="00CE24B1"/>
    <w:rsid w:val="00D11EAB"/>
    <w:rsid w:val="00D303A7"/>
    <w:rsid w:val="00DA1A7A"/>
    <w:rsid w:val="00DB4EC8"/>
    <w:rsid w:val="00DF57A4"/>
    <w:rsid w:val="00E54ACC"/>
    <w:rsid w:val="00E6537A"/>
    <w:rsid w:val="00E7274D"/>
    <w:rsid w:val="00EF2257"/>
    <w:rsid w:val="00F1270C"/>
    <w:rsid w:val="00F1466A"/>
    <w:rsid w:val="00F44D4E"/>
    <w:rsid w:val="00F71AD5"/>
    <w:rsid w:val="00FA2331"/>
    <w:rsid w:val="00FD2055"/>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96394F"/>
  <w15:chartTrackingRefBased/>
  <w15:docId w15:val="{E5E9365A-9A27-4EBC-A339-AB58A31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B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ootnote Text Char2,Footnote Text Char Char1,Footnote Text Char1 Char Char,Footnote Text Char Char1 Char Char1,Footnote Text Char2 Char Char1 Char Char,Footnote Text Char1 Char Char Char1 Char Char,Car,ft,fn,fn Char"/>
    <w:basedOn w:val="Normal"/>
    <w:link w:val="FootnoteTextChar"/>
    <w:uiPriority w:val="99"/>
    <w:semiHidden/>
    <w:unhideWhenUsed/>
    <w:qFormat/>
    <w:rsid w:val="00BC2BF2"/>
    <w:pPr>
      <w:spacing w:after="0" w:line="240" w:lineRule="auto"/>
    </w:pPr>
    <w:rPr>
      <w:sz w:val="20"/>
      <w:szCs w:val="20"/>
    </w:rPr>
  </w:style>
  <w:style w:type="character" w:customStyle="1" w:styleId="FootnoteTextChar">
    <w:name w:val="Footnote Text Char"/>
    <w:aliases w:val="Footnote Text Char2 Char,Footnote Text Char Char1 Char,Footnote Text Char1 Char Char Char,Footnote Text Char Char1 Char Char1 Char,Footnote Text Char2 Char Char1 Char Char Char,Footnote Text Char1 Char Char Char1 Char Char Char"/>
    <w:basedOn w:val="DefaultParagraphFont"/>
    <w:link w:val="FootnoteText"/>
    <w:uiPriority w:val="99"/>
    <w:semiHidden/>
    <w:rsid w:val="00BC2BF2"/>
    <w:rPr>
      <w:sz w:val="20"/>
      <w:szCs w:val="20"/>
    </w:rPr>
  </w:style>
  <w:style w:type="character" w:styleId="FootnoteReference">
    <w:name w:val="footnote reference"/>
    <w:aliases w:val="Style 6,fr,Style 8,Style 4"/>
    <w:basedOn w:val="DefaultParagraphFont"/>
    <w:uiPriority w:val="99"/>
    <w:semiHidden/>
    <w:unhideWhenUsed/>
    <w:rsid w:val="00BC2BF2"/>
    <w:rPr>
      <w:vertAlign w:val="superscript"/>
    </w:rPr>
  </w:style>
  <w:style w:type="character" w:customStyle="1" w:styleId="apple-converted-space">
    <w:name w:val="apple-converted-space"/>
    <w:basedOn w:val="DefaultParagraphFont"/>
    <w:rsid w:val="00BC2BF2"/>
  </w:style>
  <w:style w:type="character" w:styleId="Hyperlink">
    <w:name w:val="Hyperlink"/>
    <w:basedOn w:val="DefaultParagraphFont"/>
    <w:uiPriority w:val="99"/>
    <w:unhideWhenUsed/>
    <w:rsid w:val="00BC2BF2"/>
    <w:rPr>
      <w:color w:val="0563C1" w:themeColor="hyperlink"/>
      <w:u w:val="single"/>
    </w:rPr>
  </w:style>
  <w:style w:type="paragraph" w:styleId="Header">
    <w:name w:val="header"/>
    <w:basedOn w:val="Normal"/>
    <w:link w:val="HeaderChar"/>
    <w:uiPriority w:val="99"/>
    <w:unhideWhenUsed/>
    <w:rsid w:val="00BC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F2"/>
  </w:style>
  <w:style w:type="paragraph" w:styleId="Footer">
    <w:name w:val="footer"/>
    <w:basedOn w:val="Normal"/>
    <w:link w:val="FooterChar"/>
    <w:uiPriority w:val="99"/>
    <w:unhideWhenUsed/>
    <w:rsid w:val="00BC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F2"/>
  </w:style>
  <w:style w:type="paragraph" w:styleId="NoSpacing">
    <w:name w:val="No Spacing"/>
    <w:uiPriority w:val="1"/>
    <w:qFormat/>
    <w:rsid w:val="00513316"/>
    <w:pPr>
      <w:spacing w:after="0" w:line="240" w:lineRule="auto"/>
    </w:pPr>
  </w:style>
  <w:style w:type="paragraph" w:styleId="ListParagraph">
    <w:name w:val="List Paragraph"/>
    <w:basedOn w:val="Normal"/>
    <w:uiPriority w:val="34"/>
    <w:qFormat/>
    <w:rsid w:val="00513316"/>
    <w:pPr>
      <w:ind w:left="720"/>
      <w:contextualSpacing/>
    </w:pPr>
  </w:style>
  <w:style w:type="character" w:customStyle="1" w:styleId="UnresolvedMention">
    <w:name w:val="Unresolved Mention"/>
    <w:basedOn w:val="DefaultParagraphFont"/>
    <w:uiPriority w:val="99"/>
    <w:semiHidden/>
    <w:unhideWhenUsed/>
    <w:rsid w:val="002E54B0"/>
    <w:rPr>
      <w:color w:val="808080"/>
      <w:shd w:val="clear" w:color="auto" w:fill="E6E6E6"/>
    </w:rPr>
  </w:style>
  <w:style w:type="paragraph" w:styleId="BalloonText">
    <w:name w:val="Balloon Text"/>
    <w:basedOn w:val="Normal"/>
    <w:link w:val="BalloonTextChar"/>
    <w:uiPriority w:val="99"/>
    <w:semiHidden/>
    <w:unhideWhenUsed/>
    <w:rsid w:val="00E6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adultvaccinesnow.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2)%20540-107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hhs.gov/sites/default/files/tab_10.05_weiser_adult_iz_composite-measures.pdf" TargetMode="External"/><Relationship Id="rId1" Type="http://schemas.openxmlformats.org/officeDocument/2006/relationships/hyperlink" Target="https://dev-adultvaccinesnow.pantheonsite.io/wp-content/uploads/2016/07/AVN-White-Paper-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E991882C19D64796137286E6CA896A" ma:contentTypeVersion="6" ma:contentTypeDescription="Create a new document." ma:contentTypeScope="" ma:versionID="c38162ff6c74b15ad70adc247b7cb8da">
  <xsd:schema xmlns:xsd="http://www.w3.org/2001/XMLSchema" xmlns:xs="http://www.w3.org/2001/XMLSchema" xmlns:p="http://schemas.microsoft.com/office/2006/metadata/properties" xmlns:ns2="f12219e5-4edf-4590-bf77-d01abc93b2ef" xmlns:ns3="164ce9ca-66df-432b-bd38-c552723f2473" targetNamespace="http://schemas.microsoft.com/office/2006/metadata/properties" ma:root="true" ma:fieldsID="50febc4a2a3c5cac44235a2bf15b9cec" ns2:_="" ns3:_="">
    <xsd:import namespace="f12219e5-4edf-4590-bf77-d01abc93b2ef"/>
    <xsd:import namespace="164ce9ca-66df-432b-bd38-c552723f24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219e5-4edf-4590-bf77-d01abc93b2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ce9ca-66df-432b-bd38-c552723f247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5B6F-6044-4FC6-9487-AAC429373389}">
  <ds:schemaRefs>
    <ds:schemaRef ds:uri="164ce9ca-66df-432b-bd38-c552723f247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12219e5-4edf-4590-bf77-d01abc93b2ef"/>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EFD88C3-75B6-49DC-B248-6D52CD61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219e5-4edf-4590-bf77-d01abc93b2ef"/>
    <ds:schemaRef ds:uri="164ce9ca-66df-432b-bd38-c552723f2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C5556-4EB4-42D3-BDC9-C81E88EB8856}">
  <ds:schemaRefs>
    <ds:schemaRef ds:uri="http://schemas.microsoft.com/sharepoint/v3/contenttype/forms"/>
  </ds:schemaRefs>
</ds:datastoreItem>
</file>

<file path=customXml/itemProps4.xml><?xml version="1.0" encoding="utf-8"?>
<ds:datastoreItem xmlns:ds="http://schemas.openxmlformats.org/officeDocument/2006/customXml" ds:itemID="{B56B9FD6-9649-4DBE-A8F7-DCF81E9D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1799</Words>
  <Characters>10417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Foster</dc:creator>
  <cp:keywords/>
  <dc:description/>
  <cp:lastModifiedBy>Arthur Pignotti</cp:lastModifiedBy>
  <cp:revision>6</cp:revision>
  <dcterms:created xsi:type="dcterms:W3CDTF">2018-03-05T19:30:00Z</dcterms:created>
  <dcterms:modified xsi:type="dcterms:W3CDTF">2018-07-23T20:58:00Z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0x010100A2E991882C19D64796137286E6CA896A</vt:lpwstr>
  </property>
</Properties>
</file>