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F9" w:rsidRDefault="009E24F9">
      <w:pPr>
        <w:pStyle w:val="BodyText"/>
        <w:rPr>
          <w:rFonts w:ascii="Times New Roman"/>
          <w:sz w:val="20"/>
        </w:rPr>
      </w:pPr>
    </w:p>
    <w:p w:rsidR="009E24F9" w:rsidRDefault="009E24F9">
      <w:pPr>
        <w:pStyle w:val="BodyText"/>
        <w:rPr>
          <w:rFonts w:ascii="Times New Roman"/>
          <w:sz w:val="20"/>
        </w:rPr>
      </w:pPr>
    </w:p>
    <w:p w:rsidR="009E24F9" w:rsidRDefault="009E24F9">
      <w:pPr>
        <w:pStyle w:val="BodyText"/>
        <w:rPr>
          <w:rFonts w:ascii="Times New Roman"/>
          <w:sz w:val="20"/>
        </w:rPr>
      </w:pPr>
    </w:p>
    <w:p w:rsidR="009E24F9" w:rsidRDefault="009E24F9">
      <w:pPr>
        <w:pStyle w:val="BodyText"/>
        <w:rPr>
          <w:rFonts w:ascii="Times New Roman"/>
          <w:sz w:val="20"/>
        </w:rPr>
      </w:pPr>
    </w:p>
    <w:p w:rsidR="009E24F9" w:rsidRDefault="009E24F9">
      <w:pPr>
        <w:pStyle w:val="BodyText"/>
        <w:rPr>
          <w:rFonts w:ascii="Times New Roman"/>
          <w:sz w:val="20"/>
        </w:rPr>
      </w:pPr>
    </w:p>
    <w:p w:rsidR="009E24F9" w:rsidRDefault="009E24F9">
      <w:pPr>
        <w:pStyle w:val="BodyText"/>
        <w:rPr>
          <w:rFonts w:ascii="Times New Roman"/>
          <w:sz w:val="20"/>
        </w:rPr>
      </w:pPr>
    </w:p>
    <w:p w:rsidR="009E24F9" w:rsidRDefault="009E24F9">
      <w:pPr>
        <w:pStyle w:val="BodyText"/>
        <w:spacing w:before="10"/>
        <w:rPr>
          <w:rFonts w:ascii="Times New Roman"/>
          <w:sz w:val="19"/>
        </w:rPr>
      </w:pPr>
    </w:p>
    <w:p w:rsidR="009E24F9" w:rsidRDefault="00D15B02">
      <w:pPr>
        <w:ind w:left="5868"/>
        <w:rPr>
          <w:i/>
        </w:rPr>
      </w:pPr>
      <w:r>
        <w:pict>
          <v:shapetype id="_x0000_t202" coordsize="21600,21600" o:spt="202" path="m,l,21600r21600,l21600,xe">
            <v:stroke joinstyle="miter"/>
            <v:path gradientshapeok="t" o:connecttype="rect"/>
          </v:shapetype>
          <v:shape id="_x0000_s1029" type="#_x0000_t202" style="position:absolute;left:0;text-align:left;margin-left:67.6pt;margin-top:-80.8pt;width:475.65pt;height:61.55pt;z-index:251657728;mso-position-horizontal-relative:page" filled="f" strokeweight=".99731mm">
            <v:stroke linestyle="thickBetweenThin"/>
            <v:textbox inset="0,0,0,0">
              <w:txbxContent>
                <w:p w:rsidR="009E24F9" w:rsidRDefault="00D15B02">
                  <w:pPr>
                    <w:spacing w:before="26" w:line="344" w:lineRule="exact"/>
                    <w:ind w:left="578" w:right="578"/>
                    <w:jc w:val="center"/>
                    <w:rPr>
                      <w:b/>
                      <w:sz w:val="30"/>
                    </w:rPr>
                  </w:pPr>
                  <w:r>
                    <w:rPr>
                      <w:b/>
                      <w:sz w:val="30"/>
                    </w:rPr>
                    <w:t>IHS TRIBAL SELF-GOVERNANCE ADVISORY COMMITTEE</w:t>
                  </w:r>
                </w:p>
                <w:p w:rsidR="009E24F9" w:rsidRDefault="00D15B02">
                  <w:pPr>
                    <w:spacing w:line="172" w:lineRule="exact"/>
                    <w:ind w:left="578" w:right="572"/>
                    <w:jc w:val="center"/>
                    <w:rPr>
                      <w:b/>
                      <w:sz w:val="15"/>
                    </w:rPr>
                  </w:pPr>
                  <w:r>
                    <w:rPr>
                      <w:b/>
                      <w:sz w:val="15"/>
                    </w:rPr>
                    <w:t>c/o Self-Governance Communication and Education</w:t>
                  </w:r>
                </w:p>
                <w:p w:rsidR="009E24F9" w:rsidRDefault="00D15B02">
                  <w:pPr>
                    <w:spacing w:before="1"/>
                    <w:ind w:left="3440"/>
                    <w:rPr>
                      <w:b/>
                      <w:sz w:val="15"/>
                    </w:rPr>
                  </w:pPr>
                  <w:r>
                    <w:rPr>
                      <w:b/>
                      <w:sz w:val="15"/>
                    </w:rPr>
                    <w:t>P.O. Box 1734, McAlester, OK 74501</w:t>
                  </w:r>
                </w:p>
                <w:p w:rsidR="009E24F9" w:rsidRDefault="00D15B02">
                  <w:pPr>
                    <w:spacing w:before="9"/>
                    <w:ind w:left="578" w:right="575"/>
                    <w:jc w:val="center"/>
                    <w:rPr>
                      <w:rFonts w:ascii="Calibri"/>
                      <w:b/>
                      <w:sz w:val="20"/>
                    </w:rPr>
                  </w:pPr>
                  <w:r>
                    <w:rPr>
                      <w:rFonts w:ascii="Calibri"/>
                      <w:b/>
                      <w:sz w:val="15"/>
                    </w:rPr>
                    <w:t xml:space="preserve">Telephone (918) 302-0252 ~ Facsimile (918) 423-7639  ~ Website:  </w:t>
                  </w:r>
                  <w:hyperlink r:id="rId7">
                    <w:r>
                      <w:rPr>
                        <w:rFonts w:ascii="Calibri"/>
                        <w:b/>
                        <w:color w:val="0000FF"/>
                        <w:sz w:val="20"/>
                        <w:u w:val="single" w:color="0000FF"/>
                      </w:rPr>
                      <w:t>www.Tribalselfgov.org</w:t>
                    </w:r>
                  </w:hyperlink>
                </w:p>
              </w:txbxContent>
            </v:textbox>
            <w10:wrap anchorx="page"/>
          </v:shape>
        </w:pict>
      </w:r>
      <w:r>
        <w:rPr>
          <w:i/>
        </w:rPr>
        <w:t>Submitted via:</w:t>
      </w:r>
      <w:r>
        <w:rPr>
          <w:i/>
          <w:spacing w:val="50"/>
        </w:rPr>
        <w:t xml:space="preserve"> </w:t>
      </w:r>
      <w:hyperlink r:id="rId8">
        <w:r>
          <w:rPr>
            <w:i/>
            <w:color w:val="0000FF"/>
            <w:u w:val="single" w:color="0000FF"/>
          </w:rPr>
          <w:t>www.regulations.gov</w:t>
        </w:r>
      </w:hyperlink>
    </w:p>
    <w:p w:rsidR="009E24F9" w:rsidRDefault="009E24F9">
      <w:pPr>
        <w:pStyle w:val="BodyText"/>
        <w:spacing w:before="4"/>
        <w:rPr>
          <w:i/>
          <w:sz w:val="20"/>
        </w:rPr>
      </w:pPr>
    </w:p>
    <w:p w:rsidR="009E24F9" w:rsidRDefault="00D15B02">
      <w:pPr>
        <w:pStyle w:val="BodyText"/>
        <w:spacing w:before="93"/>
        <w:ind w:left="107"/>
      </w:pPr>
      <w:r>
        <w:t>January 8, 2018</w:t>
      </w:r>
    </w:p>
    <w:p w:rsidR="009E24F9" w:rsidRDefault="009E24F9">
      <w:pPr>
        <w:pStyle w:val="BodyText"/>
        <w:spacing w:before="7"/>
        <w:rPr>
          <w:sz w:val="28"/>
        </w:rPr>
      </w:pPr>
    </w:p>
    <w:p w:rsidR="009E24F9" w:rsidRDefault="00D15B02">
      <w:pPr>
        <w:pStyle w:val="BodyText"/>
        <w:spacing w:line="276" w:lineRule="auto"/>
        <w:ind w:left="107" w:right="4908"/>
      </w:pPr>
      <w:r>
        <w:t>Centers for Medicare &amp; Medicaid Services (CMS) Department of Health and Human Services</w:t>
      </w:r>
    </w:p>
    <w:p w:rsidR="009E24F9" w:rsidRDefault="00D15B02">
      <w:pPr>
        <w:pStyle w:val="BodyText"/>
        <w:ind w:left="107"/>
      </w:pPr>
      <w:r>
        <w:t>P.O. Box 8013</w:t>
      </w:r>
    </w:p>
    <w:p w:rsidR="009E24F9" w:rsidRDefault="00D15B02">
      <w:pPr>
        <w:pStyle w:val="BodyText"/>
        <w:spacing w:before="38"/>
        <w:ind w:left="107"/>
      </w:pPr>
      <w:r>
        <w:t>Baltimore, MD</w:t>
      </w:r>
      <w:r>
        <w:rPr>
          <w:spacing w:val="52"/>
        </w:rPr>
        <w:t xml:space="preserve"> </w:t>
      </w:r>
      <w:r>
        <w:t>21244-8013</w:t>
      </w:r>
    </w:p>
    <w:p w:rsidR="009E24F9" w:rsidRDefault="009E24F9">
      <w:pPr>
        <w:pStyle w:val="BodyText"/>
        <w:spacing w:before="5"/>
        <w:rPr>
          <w:sz w:val="28"/>
        </w:rPr>
      </w:pPr>
    </w:p>
    <w:p w:rsidR="009E24F9" w:rsidRDefault="00D15B02">
      <w:pPr>
        <w:pStyle w:val="Heading1"/>
        <w:spacing w:line="276" w:lineRule="auto"/>
      </w:pPr>
      <w:r>
        <w:t>RE: Comments on Medicare Program; Contract Year 2019 Policy and Technical Changes to the Medicare Advantage, Medicare Cost Plan, Medicare Fee-for-Service, the Medicare Prescription Drug Benefit Programs, and the PACE Program (CMS-4182-P)</w:t>
      </w:r>
    </w:p>
    <w:p w:rsidR="009E24F9" w:rsidRDefault="009E24F9">
      <w:pPr>
        <w:pStyle w:val="BodyText"/>
        <w:spacing w:before="8"/>
        <w:rPr>
          <w:b/>
          <w:sz w:val="25"/>
        </w:rPr>
      </w:pPr>
    </w:p>
    <w:p w:rsidR="009E24F9" w:rsidRDefault="00D15B02">
      <w:pPr>
        <w:pStyle w:val="BodyText"/>
        <w:ind w:left="107"/>
      </w:pPr>
      <w:r>
        <w:t>Dear CMS Official:</w:t>
      </w:r>
    </w:p>
    <w:p w:rsidR="009E24F9" w:rsidRDefault="009E24F9">
      <w:pPr>
        <w:pStyle w:val="BodyText"/>
        <w:spacing w:before="5"/>
        <w:rPr>
          <w:sz w:val="28"/>
        </w:rPr>
      </w:pPr>
    </w:p>
    <w:p w:rsidR="009E24F9" w:rsidRDefault="00D15B02">
      <w:pPr>
        <w:pStyle w:val="BodyText"/>
        <w:spacing w:line="276" w:lineRule="auto"/>
        <w:ind w:left="107" w:right="200"/>
      </w:pPr>
      <w:r>
        <w:t>I write on behalf of the Indian Health Service (IHS) Tribal Self-Governance Advisory Committee (TSGAC) to comment on the Proposed Rule titled, “Medicare Program; Contract Year 2019 Policy and Technical Changes to the Medicare Advantage,</w:t>
      </w:r>
      <w:r>
        <w:t xml:space="preserve"> Medicare Cost Plan, Medicare Fee-for- Service, the Medicare Prescription Drug Benefit Programs, and the PACE Program”.</w:t>
      </w:r>
    </w:p>
    <w:p w:rsidR="009E24F9" w:rsidRDefault="009E24F9">
      <w:pPr>
        <w:pStyle w:val="BodyText"/>
        <w:spacing w:before="3"/>
        <w:rPr>
          <w:sz w:val="25"/>
        </w:rPr>
      </w:pPr>
    </w:p>
    <w:p w:rsidR="009E24F9" w:rsidRDefault="00D15B02">
      <w:pPr>
        <w:pStyle w:val="BodyText"/>
        <w:spacing w:line="276" w:lineRule="auto"/>
        <w:ind w:left="107" w:right="89"/>
      </w:pPr>
      <w:r>
        <w:t>The Proposed Rule would revise Medicare Part C and Part D regulations to implement certain provisions of the Comprehensive Addiction an</w:t>
      </w:r>
      <w:r>
        <w:t>d Recovery Act (CARA) and the 21st Century Cures Act. In addition, the Proposed Rule seeks to improve program quality, accessibility, and affordability; improve the CMS customer experience; and address program integrity policies related to payments based o</w:t>
      </w:r>
      <w:r>
        <w:t>n prescriber, provider, and supplier status. The Proposed Rule also would update the official Part D electronic prescribing standards, as well as clarify program requirements and certain technical changes regarding treatment of Part A and Part B appeal rig</w:t>
      </w:r>
      <w:r>
        <w:t>hts related to premium adjustments.</w:t>
      </w:r>
    </w:p>
    <w:p w:rsidR="009E24F9" w:rsidRDefault="009E24F9">
      <w:pPr>
        <w:pStyle w:val="BodyText"/>
        <w:spacing w:before="3"/>
        <w:rPr>
          <w:sz w:val="25"/>
        </w:rPr>
      </w:pPr>
    </w:p>
    <w:p w:rsidR="009E24F9" w:rsidRDefault="00D15B02">
      <w:pPr>
        <w:pStyle w:val="BodyText"/>
        <w:spacing w:line="273" w:lineRule="auto"/>
        <w:ind w:left="107" w:right="110"/>
      </w:pPr>
      <w:r>
        <w:t>The TSGAC has concerns about the effect of the Proposed Rule on low-income American Indian and Alaska Native (AI/AN) Medicare beneficiaries. Under current Medicare Part D regulations, individuals dually eligible for Med</w:t>
      </w:r>
      <w:r>
        <w:t>icare and Medicaid or eligible for the Low-Income Subsidy (LIS) program qualify for a special enrollment period (SEP) that allows them to enroll in, switch, or disenroll from prescription drug plans (PDPs) at any time.</w:t>
      </w:r>
      <w:r>
        <w:rPr>
          <w:position w:val="10"/>
          <w:sz w:val="14"/>
        </w:rPr>
        <w:t xml:space="preserve">1 </w:t>
      </w:r>
      <w:r>
        <w:t>The Proposed Rule would limit the us</w:t>
      </w:r>
      <w:r>
        <w:t>e of this Part D SEP for dual-eligible and LIS-eligible Medicare beneficiaries. For AI/AN Medicare beneficiaries, this could have the effect of blocking access to critically needed pharmaceuticals or, at a minimum, denying eligibility for reimbursement for</w:t>
      </w:r>
      <w:r>
        <w:t xml:space="preserve"> these pharmaceuticals for a period of time.</w:t>
      </w:r>
    </w:p>
    <w:p w:rsidR="009E24F9" w:rsidRDefault="009E24F9">
      <w:pPr>
        <w:pStyle w:val="BodyText"/>
        <w:rPr>
          <w:sz w:val="20"/>
        </w:rPr>
      </w:pPr>
    </w:p>
    <w:p w:rsidR="009E24F9" w:rsidRDefault="00D15B02">
      <w:pPr>
        <w:pStyle w:val="BodyText"/>
        <w:rPr>
          <w:sz w:val="25"/>
        </w:rPr>
      </w:pPr>
      <w:r>
        <w:pict>
          <v:line id="_x0000_s1028" style="position:absolute;z-index:251656704;mso-wrap-distance-left:0;mso-wrap-distance-right:0;mso-position-horizontal-relative:page" from="63.35pt,16.7pt" to="207.4pt,16.7pt" strokeweight=".72pt">
            <w10:wrap type="topAndBottom" anchorx="page"/>
          </v:line>
        </w:pict>
      </w:r>
    </w:p>
    <w:p w:rsidR="009E24F9" w:rsidRDefault="00D15B02">
      <w:pPr>
        <w:spacing w:before="45"/>
        <w:ind w:left="107"/>
        <w:rPr>
          <w:rFonts w:ascii="Times New Roman"/>
          <w:sz w:val="20"/>
        </w:rPr>
      </w:pPr>
      <w:r>
        <w:rPr>
          <w:rFonts w:ascii="Times New Roman"/>
          <w:position w:val="9"/>
          <w:sz w:val="13"/>
        </w:rPr>
        <w:t xml:space="preserve">1 </w:t>
      </w:r>
      <w:r>
        <w:rPr>
          <w:rFonts w:ascii="Times New Roman"/>
          <w:sz w:val="20"/>
        </w:rPr>
        <w:t>See 42 CFR 423.38(c)(4).</w:t>
      </w:r>
    </w:p>
    <w:p w:rsidR="009E24F9" w:rsidRDefault="009E24F9">
      <w:pPr>
        <w:rPr>
          <w:rFonts w:ascii="Times New Roman"/>
          <w:sz w:val="20"/>
        </w:rPr>
        <w:sectPr w:rsidR="009E24F9">
          <w:type w:val="continuous"/>
          <w:pgSz w:w="12240" w:h="15840"/>
          <w:pgMar w:top="1320" w:right="1240" w:bottom="280" w:left="1160" w:header="720" w:footer="720" w:gutter="0"/>
          <w:cols w:space="720"/>
        </w:sectPr>
      </w:pPr>
    </w:p>
    <w:p w:rsidR="009E24F9" w:rsidRDefault="009E24F9">
      <w:pPr>
        <w:pStyle w:val="BodyText"/>
        <w:rPr>
          <w:rFonts w:ascii="Times New Roman"/>
          <w:sz w:val="15"/>
        </w:rPr>
      </w:pPr>
    </w:p>
    <w:p w:rsidR="009E24F9" w:rsidRDefault="00D15B02">
      <w:pPr>
        <w:pStyle w:val="BodyText"/>
        <w:spacing w:before="94"/>
        <w:ind w:left="147"/>
      </w:pPr>
      <w:r>
        <w:rPr>
          <w:u w:val="single"/>
        </w:rPr>
        <w:t>Discussion</w:t>
      </w:r>
    </w:p>
    <w:p w:rsidR="009E24F9" w:rsidRDefault="00D15B02">
      <w:pPr>
        <w:pStyle w:val="BodyText"/>
        <w:spacing w:before="37" w:line="276" w:lineRule="auto"/>
        <w:ind w:left="147" w:right="271"/>
      </w:pPr>
      <w:r>
        <w:t>Under the Proposed Rule, CMS would revise 42 CFR 423.38(c) to limit use of the Medicare Part D SEP for dual-eligible or LIS-eligible beneficiaries as follows:</w:t>
      </w:r>
    </w:p>
    <w:p w:rsidR="009E24F9" w:rsidRDefault="009E24F9">
      <w:pPr>
        <w:pStyle w:val="BodyText"/>
        <w:spacing w:before="5"/>
        <w:rPr>
          <w:sz w:val="25"/>
        </w:rPr>
      </w:pPr>
    </w:p>
    <w:p w:rsidR="009E24F9" w:rsidRDefault="00D15B02">
      <w:pPr>
        <w:pStyle w:val="ListParagraph"/>
        <w:numPr>
          <w:ilvl w:val="0"/>
          <w:numId w:val="1"/>
        </w:numPr>
        <w:tabs>
          <w:tab w:val="left" w:pos="867"/>
          <w:tab w:val="left" w:pos="868"/>
        </w:tabs>
        <w:spacing w:line="271" w:lineRule="auto"/>
      </w:pPr>
      <w:r>
        <w:t>Add a new paragraph (c)(4)(i), under which most dual-eligible or LIS-eligible beneficiaries coul</w:t>
      </w:r>
      <w:r>
        <w:t>d use the Part D SEP only once per calendar year;</w:t>
      </w:r>
      <w:r>
        <w:rPr>
          <w:spacing w:val="-15"/>
        </w:rPr>
        <w:t xml:space="preserve"> </w:t>
      </w:r>
      <w:r>
        <w:t>and,</w:t>
      </w:r>
    </w:p>
    <w:p w:rsidR="009E24F9" w:rsidRDefault="009E24F9">
      <w:pPr>
        <w:pStyle w:val="BodyText"/>
        <w:spacing w:before="10"/>
        <w:rPr>
          <w:sz w:val="25"/>
        </w:rPr>
      </w:pPr>
    </w:p>
    <w:p w:rsidR="009E24F9" w:rsidRDefault="00D15B02">
      <w:pPr>
        <w:pStyle w:val="ListParagraph"/>
        <w:numPr>
          <w:ilvl w:val="0"/>
          <w:numId w:val="1"/>
        </w:numPr>
        <w:tabs>
          <w:tab w:val="left" w:pos="867"/>
          <w:tab w:val="left" w:pos="868"/>
        </w:tabs>
        <w:spacing w:line="261" w:lineRule="auto"/>
        <w:ind w:right="530"/>
        <w:rPr>
          <w:sz w:val="14"/>
        </w:rPr>
      </w:pPr>
      <w:r>
        <w:t xml:space="preserve">Add a new paragraph (c)(4)(ii), under which dual-eligible or LIS-eligible beneficiaries assigned to a PDP by </w:t>
      </w:r>
      <w:r>
        <w:rPr>
          <w:spacing w:val="-2"/>
        </w:rPr>
        <w:t xml:space="preserve">CMS </w:t>
      </w:r>
      <w:r>
        <w:t>or a state could only use the Part D SEP before that election becomes effective or with</w:t>
      </w:r>
      <w:r>
        <w:t>in 2 months of their enrollment in the</w:t>
      </w:r>
      <w:r>
        <w:rPr>
          <w:spacing w:val="-19"/>
        </w:rPr>
        <w:t xml:space="preserve"> </w:t>
      </w:r>
      <w:r>
        <w:t>plan.</w:t>
      </w:r>
      <w:r>
        <w:rPr>
          <w:position w:val="10"/>
          <w:sz w:val="14"/>
        </w:rPr>
        <w:t>2</w:t>
      </w:r>
    </w:p>
    <w:p w:rsidR="009E24F9" w:rsidRDefault="009E24F9">
      <w:pPr>
        <w:pStyle w:val="BodyText"/>
        <w:spacing w:before="7"/>
        <w:rPr>
          <w:sz w:val="26"/>
        </w:rPr>
      </w:pPr>
    </w:p>
    <w:p w:rsidR="009E24F9" w:rsidRDefault="00D15B02">
      <w:pPr>
        <w:pStyle w:val="BodyText"/>
        <w:spacing w:line="273" w:lineRule="auto"/>
        <w:ind w:left="147" w:right="257"/>
      </w:pPr>
      <w:r>
        <w:t>Further, the Proposed Rule would make the Part D SEP unavailable for dual-eligible or LIS-eligible beneficiaries if their current PDP labels them as “at-risk” or “potentially at-risk” for substance abuse,</w:t>
      </w:r>
      <w:r>
        <w:rPr>
          <w:position w:val="10"/>
          <w:sz w:val="14"/>
        </w:rPr>
        <w:t xml:space="preserve">3 </w:t>
      </w:r>
      <w:r>
        <w:t>mea</w:t>
      </w:r>
      <w:r>
        <w:t>ning that they could not switch plans or disenroll from the plan.  This restriction on using the Part D SEP would remain in place until the plan removed the “at-risk” or “potentially at- risk” designation. If the plan identifies a dual-eligible or LIS-elig</w:t>
      </w:r>
      <w:r>
        <w:t>ible beneficiary as “potentially at- risk,” that designation would expire in 90 days if the plan does not subsequently designate the beneficiary as “at-risk.” If the plan does subsequently designate the beneficiary as “at-risk,” that designation would rema</w:t>
      </w:r>
      <w:r>
        <w:t>in in place until: 1) the plan removes the designation based on a future determination; or, 2) after 12 months; whichever is sooner.</w:t>
      </w:r>
    </w:p>
    <w:p w:rsidR="009E24F9" w:rsidRDefault="009E24F9">
      <w:pPr>
        <w:pStyle w:val="BodyText"/>
        <w:spacing w:before="8"/>
        <w:rPr>
          <w:sz w:val="25"/>
        </w:rPr>
      </w:pPr>
    </w:p>
    <w:p w:rsidR="009E24F9" w:rsidRDefault="00D15B02">
      <w:pPr>
        <w:pStyle w:val="BodyText"/>
        <w:spacing w:line="276" w:lineRule="auto"/>
        <w:ind w:left="147" w:right="417"/>
      </w:pPr>
      <w:r>
        <w:t>In contrast to the arguments made in putting forth the Proposed Rule, maintaining maximum flexibility regarding enrollment</w:t>
      </w:r>
      <w:r>
        <w:t xml:space="preserve"> in Medicare Part D and the ability to change PDPs best serves the interests of low-income beneficiaries, especially AI/AN beneficiaries.</w:t>
      </w:r>
    </w:p>
    <w:p w:rsidR="009E24F9" w:rsidRDefault="009E24F9">
      <w:pPr>
        <w:pStyle w:val="BodyText"/>
        <w:spacing w:before="5"/>
        <w:rPr>
          <w:sz w:val="25"/>
        </w:rPr>
      </w:pPr>
    </w:p>
    <w:p w:rsidR="009E24F9" w:rsidRDefault="00D15B02">
      <w:pPr>
        <w:pStyle w:val="BodyText"/>
        <w:spacing w:before="1" w:line="276" w:lineRule="auto"/>
        <w:ind w:left="147" w:right="159"/>
      </w:pPr>
      <w:r>
        <w:t>In the Proposed Rule, CMS noted that it supports the “underlying principle that LIS beneficiaries should have the abi</w:t>
      </w:r>
      <w:r>
        <w:t xml:space="preserve">lity to make an active choice” in electing PDPs. Yet, the proposed limits on the use of the Part D SEP would severely curtail this ability for dual-eligible or LIS-eligible Medicare beneficiaries who might have otherwise benefited from switching plans. In </w:t>
      </w:r>
      <w:r>
        <w:t>addition, as only a small subset of dual-eligible or LIS-eligible Medicare beneficiaries opt to use the Part D SEP each year (fewer than 10 percent in 2016, per CMS), the concerns cited in the Proposed Rule about allowing the current policy to continue see</w:t>
      </w:r>
      <w:r>
        <w:t>m unwarranted.</w:t>
      </w:r>
    </w:p>
    <w:p w:rsidR="009E24F9" w:rsidRDefault="009E24F9">
      <w:pPr>
        <w:pStyle w:val="BodyText"/>
        <w:rPr>
          <w:sz w:val="20"/>
        </w:rPr>
      </w:pPr>
    </w:p>
    <w:p w:rsidR="009E24F9" w:rsidRDefault="009E24F9">
      <w:pPr>
        <w:pStyle w:val="BodyText"/>
        <w:rPr>
          <w:sz w:val="20"/>
        </w:rPr>
      </w:pPr>
    </w:p>
    <w:p w:rsidR="009E24F9" w:rsidRDefault="009E24F9">
      <w:pPr>
        <w:pStyle w:val="BodyText"/>
        <w:rPr>
          <w:sz w:val="20"/>
        </w:rPr>
      </w:pPr>
    </w:p>
    <w:p w:rsidR="009E24F9" w:rsidRDefault="00D15B02">
      <w:pPr>
        <w:pStyle w:val="BodyText"/>
        <w:spacing w:before="1"/>
        <w:rPr>
          <w:sz w:val="15"/>
        </w:rPr>
      </w:pPr>
      <w:r>
        <w:pict>
          <v:line id="_x0000_s1027" style="position:absolute;z-index:251658752;mso-wrap-distance-left:0;mso-wrap-distance-right:0;mso-position-horizontal-relative:page" from="63.35pt,11.05pt" to="207.4pt,11.05pt" strokeweight=".72pt">
            <w10:wrap type="topAndBottom" anchorx="page"/>
          </v:line>
        </w:pict>
      </w:r>
    </w:p>
    <w:p w:rsidR="009E24F9" w:rsidRDefault="00D15B02">
      <w:pPr>
        <w:spacing w:before="42"/>
        <w:ind w:left="147" w:right="345"/>
        <w:rPr>
          <w:rFonts w:ascii="Times New Roman"/>
          <w:sz w:val="20"/>
        </w:rPr>
      </w:pPr>
      <w:r>
        <w:rPr>
          <w:rFonts w:ascii="Times New Roman"/>
          <w:position w:val="9"/>
          <w:sz w:val="13"/>
        </w:rPr>
        <w:t xml:space="preserve">2 </w:t>
      </w:r>
      <w:r>
        <w:rPr>
          <w:rFonts w:ascii="Times New Roman"/>
          <w:sz w:val="20"/>
        </w:rPr>
        <w:t>The proposed rule also would add a new paragraph (c)(9), under which all Medicare beneficiaries who have a change in their Medicaid or LIS-eligible status could use a new SEP to make an election within 2 months of the change, or of receiving notification o</w:t>
      </w:r>
      <w:r>
        <w:rPr>
          <w:rFonts w:ascii="Times New Roman"/>
          <w:sz w:val="20"/>
        </w:rPr>
        <w:t>f the change, whichever is later.</w:t>
      </w:r>
    </w:p>
    <w:p w:rsidR="009E24F9" w:rsidRDefault="00D15B02">
      <w:pPr>
        <w:spacing w:before="54"/>
        <w:ind w:left="147" w:right="164"/>
        <w:rPr>
          <w:rFonts w:ascii="Times New Roman" w:hAnsi="Times New Roman"/>
          <w:sz w:val="20"/>
        </w:rPr>
      </w:pPr>
      <w:r>
        <w:rPr>
          <w:rFonts w:ascii="Times New Roman" w:hAnsi="Times New Roman"/>
          <w:position w:val="9"/>
          <w:sz w:val="13"/>
        </w:rPr>
        <w:t xml:space="preserve">3  </w:t>
      </w:r>
      <w:r>
        <w:rPr>
          <w:rFonts w:ascii="Times New Roman" w:hAnsi="Times New Roman"/>
          <w:sz w:val="20"/>
        </w:rPr>
        <w:t>The Proposed Rule would define an “at-risk beneficiary” as an individual who is eligible for Medicare Part D, identified by clinical guidelines, and determined “to be at-risk for misuse or abuse of such frequently abuse</w:t>
      </w:r>
      <w:r>
        <w:rPr>
          <w:rFonts w:ascii="Times New Roman" w:hAnsi="Times New Roman"/>
          <w:sz w:val="20"/>
        </w:rPr>
        <w:t>d drugs under a Part D plan sponsor’s drug management program.” The Proposed Rule would define a “potentially at-risk beneficiary” as an individual who is eligible for Part D, identified by clinical guidelines, and with respect to whom a “Part D plan spons</w:t>
      </w:r>
      <w:r>
        <w:rPr>
          <w:rFonts w:ascii="Times New Roman" w:hAnsi="Times New Roman"/>
          <w:sz w:val="20"/>
        </w:rPr>
        <w:t xml:space="preserve">or receives a notice upon the beneficiary’s enrollment in such sponsor’s plan that the beneficiary was identified as a potential at-risk beneficiary (as defined in paragraph (1) of this definition) under the prescription </w:t>
      </w:r>
      <w:r>
        <w:rPr>
          <w:rFonts w:ascii="Times New Roman" w:hAnsi="Times New Roman"/>
          <w:spacing w:val="2"/>
          <w:sz w:val="20"/>
        </w:rPr>
        <w:t xml:space="preserve">drug </w:t>
      </w:r>
      <w:r>
        <w:rPr>
          <w:rFonts w:ascii="Times New Roman" w:hAnsi="Times New Roman"/>
          <w:sz w:val="20"/>
        </w:rPr>
        <w:t xml:space="preserve">plan in which the beneficiary </w:t>
      </w:r>
      <w:r>
        <w:rPr>
          <w:rFonts w:ascii="Times New Roman" w:hAnsi="Times New Roman"/>
          <w:sz w:val="20"/>
        </w:rPr>
        <w:t>was most recently enrolled, such identification had not been terminated upon disenrollment, and the new plan has adopted the identification.”  See proposed 42 CFR</w:t>
      </w:r>
      <w:r>
        <w:rPr>
          <w:rFonts w:ascii="Times New Roman" w:hAnsi="Times New Roman"/>
          <w:spacing w:val="-18"/>
          <w:sz w:val="20"/>
        </w:rPr>
        <w:t xml:space="preserve"> </w:t>
      </w:r>
      <w:r>
        <w:rPr>
          <w:rFonts w:ascii="Times New Roman" w:hAnsi="Times New Roman"/>
          <w:sz w:val="20"/>
        </w:rPr>
        <w:t>423.100.</w:t>
      </w:r>
    </w:p>
    <w:p w:rsidR="009E24F9" w:rsidRDefault="009E24F9">
      <w:pPr>
        <w:rPr>
          <w:rFonts w:ascii="Times New Roman" w:hAnsi="Times New Roman"/>
          <w:sz w:val="20"/>
        </w:rPr>
        <w:sectPr w:rsidR="009E24F9">
          <w:headerReference w:type="default" r:id="rId9"/>
          <w:pgSz w:w="12240" w:h="15840"/>
          <w:pgMar w:top="1440" w:right="1120" w:bottom="280" w:left="1120" w:header="722" w:footer="0" w:gutter="0"/>
          <w:pgNumType w:start="2"/>
          <w:cols w:space="720"/>
        </w:sectPr>
      </w:pPr>
    </w:p>
    <w:p w:rsidR="009E24F9" w:rsidRDefault="009E24F9">
      <w:pPr>
        <w:pStyle w:val="BodyText"/>
        <w:rPr>
          <w:rFonts w:ascii="Times New Roman"/>
          <w:sz w:val="15"/>
        </w:rPr>
      </w:pPr>
      <w:bookmarkStart w:id="0" w:name="_GoBack"/>
    </w:p>
    <w:p w:rsidR="009E24F9" w:rsidRDefault="00D15B02">
      <w:pPr>
        <w:pStyle w:val="BodyText"/>
        <w:spacing w:before="94" w:line="276" w:lineRule="auto"/>
        <w:ind w:left="147" w:right="159"/>
      </w:pPr>
      <w:r>
        <w:t xml:space="preserve">With regard to Indian Health Service (IHS) beneficiaries in particular, inserting the Medicare Part D drug plans into the relationship between Medicare/IHS beneficiaries and their </w:t>
      </w:r>
      <w:r>
        <w:t>IHS/Tribal providers is not helpful.  IHS and Tribal health programs assist IHS beneficiaries in coordinating the delivery of needed health care services, including the provision of pharmaceutical services.  Inserting the Part D drug plans into the decisio</w:t>
      </w:r>
      <w:r>
        <w:t>n-making process as to whether a low-income IHS beneficiary can switch plans—a decision often made in order to access a specific prescription drug or access the prescription drug at a more affordable cost—is unnecessary and would disrupt the patient-provid</w:t>
      </w:r>
      <w:r>
        <w:t>er relationship.</w:t>
      </w:r>
    </w:p>
    <w:p w:rsidR="009E24F9" w:rsidRDefault="009E24F9">
      <w:pPr>
        <w:pStyle w:val="BodyText"/>
        <w:spacing w:before="5"/>
        <w:rPr>
          <w:sz w:val="25"/>
        </w:rPr>
      </w:pPr>
    </w:p>
    <w:p w:rsidR="009E24F9" w:rsidRDefault="00D15B02">
      <w:pPr>
        <w:pStyle w:val="BodyText"/>
        <w:spacing w:line="276" w:lineRule="auto"/>
        <w:ind w:left="147" w:right="200"/>
        <w:jc w:val="both"/>
      </w:pPr>
      <w:r>
        <w:t>To best meet the needs of low-income Medicare beneficiaries and the needs of IHS beneficiaries in particular, CMS should continue to allow these beneficiaries to have the ability to enroll in or switch plans based on their individual needs as provided unde</w:t>
      </w:r>
      <w:r>
        <w:t>r current law.</w:t>
      </w:r>
    </w:p>
    <w:p w:rsidR="009E24F9" w:rsidRDefault="009E24F9">
      <w:pPr>
        <w:pStyle w:val="BodyText"/>
        <w:spacing w:before="5"/>
        <w:rPr>
          <w:sz w:val="25"/>
        </w:rPr>
      </w:pPr>
    </w:p>
    <w:p w:rsidR="009E24F9" w:rsidRDefault="00D15B02">
      <w:pPr>
        <w:pStyle w:val="BodyText"/>
        <w:spacing w:before="1"/>
        <w:ind w:left="147"/>
      </w:pPr>
      <w:r>
        <w:rPr>
          <w:u w:val="single"/>
        </w:rPr>
        <w:t>Recommendation</w:t>
      </w:r>
    </w:p>
    <w:p w:rsidR="009E24F9" w:rsidRDefault="00D15B02">
      <w:pPr>
        <w:pStyle w:val="Heading1"/>
        <w:spacing w:before="35" w:line="271" w:lineRule="auto"/>
        <w:ind w:left="147" w:right="626"/>
        <w:rPr>
          <w:sz w:val="14"/>
        </w:rPr>
      </w:pPr>
      <w:r>
        <w:rPr>
          <w:b w:val="0"/>
        </w:rPr>
        <w:t xml:space="preserve">In response to the concerns outlined above, </w:t>
      </w:r>
      <w:r>
        <w:t>the TSGAC requests that CMS, in finalizing the Proposed Rule, drop the proposals to limit the use of the Medicare Part D SEP for dual- eligible and LIS-eligible beneficiaries. Alter</w:t>
      </w:r>
      <w:r>
        <w:t>natively, if CMS intends to retain these provisions, the TSGAC requests that the agency specify an exemption for IHS-eligible persons.</w:t>
      </w:r>
      <w:r>
        <w:rPr>
          <w:position w:val="10"/>
          <w:sz w:val="14"/>
        </w:rPr>
        <w:t>4</w:t>
      </w:r>
    </w:p>
    <w:p w:rsidR="009E24F9" w:rsidRDefault="009E24F9">
      <w:pPr>
        <w:pStyle w:val="BodyText"/>
        <w:spacing w:before="7"/>
        <w:rPr>
          <w:b/>
          <w:sz w:val="25"/>
        </w:rPr>
      </w:pPr>
    </w:p>
    <w:p w:rsidR="009E24F9" w:rsidRDefault="00D15B02">
      <w:pPr>
        <w:pStyle w:val="BodyText"/>
        <w:ind w:left="147"/>
      </w:pPr>
      <w:r>
        <w:rPr>
          <w:u w:val="single"/>
        </w:rPr>
        <w:t>Conclusion</w:t>
      </w:r>
    </w:p>
    <w:p w:rsidR="009E24F9" w:rsidRDefault="00D15B02">
      <w:pPr>
        <w:pStyle w:val="BodyText"/>
        <w:spacing w:before="37" w:line="276" w:lineRule="auto"/>
        <w:ind w:left="147" w:right="271"/>
      </w:pPr>
      <w:r>
        <w:t>Thank you for the opportunity to provide these comments on the Proposed Rule. In the future, we encourage CMS to engage with Tribes prior to the release of proposed rules, such as this one, which would have a significant impact on AI/ANs. If you have any q</w:t>
      </w:r>
      <w:r>
        <w:t xml:space="preserve">uestions or wish to discuss these comments further, please contact me at (860) 862-6192 or via email at </w:t>
      </w:r>
      <w:hyperlink r:id="rId10">
        <w:r>
          <w:rPr>
            <w:color w:val="0000FF"/>
            <w:u w:val="single" w:color="0000FF"/>
          </w:rPr>
          <w:t>lmalerba@moheganmail.com</w:t>
        </w:r>
      </w:hyperlink>
      <w:r>
        <w:t>.</w:t>
      </w:r>
    </w:p>
    <w:p w:rsidR="009E24F9" w:rsidRDefault="009E24F9">
      <w:pPr>
        <w:pStyle w:val="BodyText"/>
        <w:spacing w:before="4"/>
        <w:rPr>
          <w:sz w:val="17"/>
        </w:rPr>
      </w:pPr>
    </w:p>
    <w:p w:rsidR="009E24F9" w:rsidRDefault="00D15B02">
      <w:pPr>
        <w:pStyle w:val="BodyText"/>
        <w:spacing w:before="93"/>
        <w:ind w:left="147"/>
      </w:pPr>
      <w:r>
        <w:t>Sincerely,</w:t>
      </w:r>
    </w:p>
    <w:p w:rsidR="009E24F9" w:rsidRDefault="00D15B02">
      <w:pPr>
        <w:pStyle w:val="BodyText"/>
        <w:spacing w:before="2"/>
        <w:rPr>
          <w:sz w:val="25"/>
        </w:rPr>
      </w:pPr>
      <w:r>
        <w:rPr>
          <w:noProof/>
        </w:rPr>
        <w:drawing>
          <wp:anchor distT="0" distB="0" distL="0" distR="0" simplePos="0" relativeHeight="251655680" behindDoc="0" locked="0" layoutInCell="1" allowOverlap="1">
            <wp:simplePos x="0" y="0"/>
            <wp:positionH relativeFrom="page">
              <wp:posOffset>804544</wp:posOffset>
            </wp:positionH>
            <wp:positionV relativeFrom="paragraph">
              <wp:posOffset>208778</wp:posOffset>
            </wp:positionV>
            <wp:extent cx="1966685" cy="3367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966685" cy="336708"/>
                    </a:xfrm>
                    <a:prstGeom prst="rect">
                      <a:avLst/>
                    </a:prstGeom>
                  </pic:spPr>
                </pic:pic>
              </a:graphicData>
            </a:graphic>
          </wp:anchor>
        </w:drawing>
      </w:r>
    </w:p>
    <w:p w:rsidR="009E24F9" w:rsidRDefault="009E24F9">
      <w:pPr>
        <w:pStyle w:val="BodyText"/>
        <w:spacing w:before="9"/>
        <w:rPr>
          <w:sz w:val="26"/>
        </w:rPr>
      </w:pPr>
    </w:p>
    <w:p w:rsidR="009E24F9" w:rsidRDefault="00D15B02">
      <w:pPr>
        <w:pStyle w:val="BodyText"/>
        <w:ind w:left="147"/>
      </w:pPr>
      <w:r>
        <w:t>Marilynn “Lynn” Malerba</w:t>
      </w:r>
    </w:p>
    <w:p w:rsidR="009E24F9" w:rsidRDefault="00D15B02">
      <w:pPr>
        <w:pStyle w:val="BodyText"/>
        <w:spacing w:before="40"/>
        <w:ind w:left="147"/>
      </w:pPr>
      <w:r>
        <w:t>Chief, The Mohegan Tribe of Connecti</w:t>
      </w:r>
      <w:r>
        <w:t>cut</w:t>
      </w:r>
    </w:p>
    <w:p w:rsidR="009E24F9" w:rsidRDefault="00D15B02">
      <w:pPr>
        <w:pStyle w:val="BodyText"/>
        <w:spacing w:before="37"/>
        <w:ind w:left="147"/>
      </w:pPr>
      <w:r>
        <w:t>Chairwoman, Tribal Self-Governance Advisory Committee</w:t>
      </w:r>
    </w:p>
    <w:p w:rsidR="009E24F9" w:rsidRDefault="009E24F9">
      <w:pPr>
        <w:pStyle w:val="BodyText"/>
        <w:spacing w:before="3"/>
        <w:rPr>
          <w:sz w:val="28"/>
        </w:rPr>
      </w:pPr>
    </w:p>
    <w:p w:rsidR="009E24F9" w:rsidRDefault="00D15B02">
      <w:pPr>
        <w:pStyle w:val="BodyText"/>
        <w:tabs>
          <w:tab w:val="left" w:pos="867"/>
        </w:tabs>
        <w:spacing w:before="1"/>
        <w:ind w:left="147"/>
      </w:pPr>
      <w:r>
        <w:rPr>
          <w:sz w:val="24"/>
        </w:rPr>
        <w:t>cc:</w:t>
      </w:r>
      <w:r>
        <w:rPr>
          <w:sz w:val="24"/>
        </w:rPr>
        <w:tab/>
      </w:r>
      <w:r>
        <w:t>Kitty Marx, Director, Division of Tribal</w:t>
      </w:r>
      <w:r>
        <w:rPr>
          <w:spacing w:val="-28"/>
        </w:rPr>
        <w:t xml:space="preserve"> </w:t>
      </w:r>
      <w:r>
        <w:t>Affairs/IEAG/CMCS</w:t>
      </w:r>
    </w:p>
    <w:p w:rsidR="009E24F9" w:rsidRDefault="00D15B02">
      <w:pPr>
        <w:pStyle w:val="BodyText"/>
        <w:spacing w:before="2"/>
        <w:ind w:left="867" w:right="2229"/>
      </w:pPr>
      <w:r>
        <w:t>Jennifer Cooper, Acting Director, Office of Tribal Self-Governance, IHS TSGAC Members and Technical Workgroup</w:t>
      </w:r>
    </w:p>
    <w:p w:rsidR="009E24F9" w:rsidRDefault="009E24F9">
      <w:pPr>
        <w:pStyle w:val="BodyText"/>
        <w:rPr>
          <w:sz w:val="20"/>
        </w:rPr>
      </w:pPr>
    </w:p>
    <w:p w:rsidR="009E24F9" w:rsidRDefault="009E24F9">
      <w:pPr>
        <w:pStyle w:val="BodyText"/>
        <w:rPr>
          <w:sz w:val="20"/>
        </w:rPr>
      </w:pPr>
    </w:p>
    <w:p w:rsidR="009E24F9" w:rsidRDefault="009E24F9">
      <w:pPr>
        <w:pStyle w:val="BodyText"/>
        <w:rPr>
          <w:sz w:val="20"/>
        </w:rPr>
      </w:pPr>
    </w:p>
    <w:p w:rsidR="009E24F9" w:rsidRDefault="00D15B02">
      <w:pPr>
        <w:pStyle w:val="BodyText"/>
        <w:spacing w:before="6"/>
        <w:rPr>
          <w:sz w:val="15"/>
        </w:rPr>
      </w:pPr>
      <w:r>
        <w:pict>
          <v:line id="_x0000_s1026" style="position:absolute;z-index:251659776;mso-wrap-distance-left:0;mso-wrap-distance-right:0;mso-position-horizontal-relative:page" from="63.35pt,11.3pt" to="207.4pt,11.3pt" strokeweight=".72pt">
            <w10:wrap type="topAndBottom" anchorx="page"/>
          </v:line>
        </w:pict>
      </w:r>
    </w:p>
    <w:p w:rsidR="009E24F9" w:rsidRDefault="00D15B02">
      <w:pPr>
        <w:spacing w:before="42"/>
        <w:ind w:left="147"/>
        <w:rPr>
          <w:rFonts w:ascii="Times New Roman"/>
          <w:sz w:val="20"/>
        </w:rPr>
      </w:pPr>
      <w:r>
        <w:rPr>
          <w:rFonts w:ascii="Times New Roman"/>
          <w:position w:val="9"/>
          <w:sz w:val="13"/>
        </w:rPr>
        <w:t xml:space="preserve">4 </w:t>
      </w:r>
      <w:r>
        <w:rPr>
          <w:rFonts w:ascii="Times New Roman"/>
          <w:sz w:val="20"/>
        </w:rPr>
        <w:t>Under section 1311(c)(6)(D) of the Affordable Care Act, certain IHS-eligible persons enrolled in health insurance coverage through a Marketplace likewise are able to enroll in, switch, or disenroll from plans at any time throughout the year.</w:t>
      </w:r>
      <w:bookmarkEnd w:id="0"/>
    </w:p>
    <w:sectPr w:rsidR="009E24F9">
      <w:pgSz w:w="12240" w:h="15840"/>
      <w:pgMar w:top="1440" w:right="1120" w:bottom="280" w:left="11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15B02">
      <w:r>
        <w:separator/>
      </w:r>
    </w:p>
  </w:endnote>
  <w:endnote w:type="continuationSeparator" w:id="0">
    <w:p w:rsidR="00000000" w:rsidRDefault="00D15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15B02">
      <w:r>
        <w:separator/>
      </w:r>
    </w:p>
  </w:footnote>
  <w:footnote w:type="continuationSeparator" w:id="0">
    <w:p w:rsidR="00000000" w:rsidRDefault="00D15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4F9" w:rsidRDefault="00D15B02">
    <w:pPr>
      <w:pStyle w:val="BodyText"/>
      <w:spacing w:line="14" w:lineRule="auto"/>
      <w:rPr>
        <w:sz w:val="20"/>
      </w:rPr>
    </w:pPr>
    <w:r>
      <w:pict>
        <v:line id="_x0000_s2051" style="position:absolute;z-index:-4168;mso-position-horizontal-relative:page;mso-position-vertical-relative:page" from="61.9pt,71.75pt" to="550.2pt,71.75pt" strokeweight=".48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62.35pt;margin-top:35.1pt;width:167pt;height:24.65pt;z-index:-4144;mso-position-horizontal-relative:page;mso-position-vertical-relative:page" filled="f" stroked="f">
          <v:textbox inset="0,0,0,0">
            <w:txbxContent>
              <w:p w:rsidR="009E24F9" w:rsidRDefault="00D15B02">
                <w:pPr>
                  <w:spacing w:before="12"/>
                  <w:ind w:left="20" w:right="-1"/>
                  <w:rPr>
                    <w:b/>
                    <w:sz w:val="20"/>
                  </w:rPr>
                </w:pPr>
                <w:r>
                  <w:rPr>
                    <w:b/>
                    <w:sz w:val="20"/>
                  </w:rPr>
                  <w:t>TSGAC Com</w:t>
                </w:r>
                <w:r>
                  <w:rPr>
                    <w:b/>
                    <w:sz w:val="20"/>
                  </w:rPr>
                  <w:t>ments on CMS-4182-P January 8, 2018</w:t>
                </w:r>
              </w:p>
            </w:txbxContent>
          </v:textbox>
          <w10:wrap anchorx="page" anchory="page"/>
        </v:shape>
      </w:pict>
    </w:r>
    <w:r>
      <w:pict>
        <v:shape id="_x0000_s2049" type="#_x0000_t202" style="position:absolute;margin-left:498.2pt;margin-top:46.6pt;width:35.2pt;height:13.15pt;z-index:-4120;mso-position-horizontal-relative:page;mso-position-vertical-relative:page" filled="f" stroked="f">
          <v:textbox inset="0,0,0,0">
            <w:txbxContent>
              <w:p w:rsidR="009E24F9" w:rsidRDefault="00D15B02">
                <w:pPr>
                  <w:spacing w:before="12"/>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D09"/>
    <w:multiLevelType w:val="hybridMultilevel"/>
    <w:tmpl w:val="0846C8C0"/>
    <w:lvl w:ilvl="0" w:tplc="0B0E8636">
      <w:numFmt w:val="bullet"/>
      <w:lvlText w:val=""/>
      <w:lvlJc w:val="left"/>
      <w:pPr>
        <w:ind w:left="867" w:hanging="360"/>
      </w:pPr>
      <w:rPr>
        <w:rFonts w:ascii="Symbol" w:eastAsia="Symbol" w:hAnsi="Symbol" w:cs="Symbol" w:hint="default"/>
        <w:w w:val="100"/>
        <w:sz w:val="22"/>
        <w:szCs w:val="22"/>
      </w:rPr>
    </w:lvl>
    <w:lvl w:ilvl="1" w:tplc="4E86E4E0">
      <w:numFmt w:val="bullet"/>
      <w:lvlText w:val="•"/>
      <w:lvlJc w:val="left"/>
      <w:pPr>
        <w:ind w:left="1774" w:hanging="360"/>
      </w:pPr>
      <w:rPr>
        <w:rFonts w:hint="default"/>
      </w:rPr>
    </w:lvl>
    <w:lvl w:ilvl="2" w:tplc="F2487ADA">
      <w:numFmt w:val="bullet"/>
      <w:lvlText w:val="•"/>
      <w:lvlJc w:val="left"/>
      <w:pPr>
        <w:ind w:left="2688" w:hanging="360"/>
      </w:pPr>
      <w:rPr>
        <w:rFonts w:hint="default"/>
      </w:rPr>
    </w:lvl>
    <w:lvl w:ilvl="3" w:tplc="A2AACDDE">
      <w:numFmt w:val="bullet"/>
      <w:lvlText w:val="•"/>
      <w:lvlJc w:val="left"/>
      <w:pPr>
        <w:ind w:left="3602" w:hanging="360"/>
      </w:pPr>
      <w:rPr>
        <w:rFonts w:hint="default"/>
      </w:rPr>
    </w:lvl>
    <w:lvl w:ilvl="4" w:tplc="41FA7EC4">
      <w:numFmt w:val="bullet"/>
      <w:lvlText w:val="•"/>
      <w:lvlJc w:val="left"/>
      <w:pPr>
        <w:ind w:left="4516" w:hanging="360"/>
      </w:pPr>
      <w:rPr>
        <w:rFonts w:hint="default"/>
      </w:rPr>
    </w:lvl>
    <w:lvl w:ilvl="5" w:tplc="975E744C">
      <w:numFmt w:val="bullet"/>
      <w:lvlText w:val="•"/>
      <w:lvlJc w:val="left"/>
      <w:pPr>
        <w:ind w:left="5430" w:hanging="360"/>
      </w:pPr>
      <w:rPr>
        <w:rFonts w:hint="default"/>
      </w:rPr>
    </w:lvl>
    <w:lvl w:ilvl="6" w:tplc="04E057F2">
      <w:numFmt w:val="bullet"/>
      <w:lvlText w:val="•"/>
      <w:lvlJc w:val="left"/>
      <w:pPr>
        <w:ind w:left="6344" w:hanging="360"/>
      </w:pPr>
      <w:rPr>
        <w:rFonts w:hint="default"/>
      </w:rPr>
    </w:lvl>
    <w:lvl w:ilvl="7" w:tplc="6BC85B2A">
      <w:numFmt w:val="bullet"/>
      <w:lvlText w:val="•"/>
      <w:lvlJc w:val="left"/>
      <w:pPr>
        <w:ind w:left="7258" w:hanging="360"/>
      </w:pPr>
      <w:rPr>
        <w:rFonts w:hint="default"/>
      </w:rPr>
    </w:lvl>
    <w:lvl w:ilvl="8" w:tplc="E1787EA8">
      <w:numFmt w:val="bullet"/>
      <w:lvlText w:val="•"/>
      <w:lvlJc w:val="left"/>
      <w:pPr>
        <w:ind w:left="817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E24F9"/>
    <w:rsid w:val="009E24F9"/>
    <w:rsid w:val="00D1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62D1065E-C09D-4D9B-AD8F-633D35A9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7" w:right="45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ibalselfgov.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lmalerba@moheganmail.com"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6863</Characters>
  <Application>Microsoft Office Word</Application>
  <DocSecurity>0</DocSecurity>
  <Lines>142</Lines>
  <Paragraphs>33</Paragraphs>
  <ScaleCrop>false</ScaleCrop>
  <Company>CMS</Company>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Doneg</dc:creator>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2018-01-08T00:00:00Z</vt:filetime>
  </property>
  <property fmtid="{D5CDD505-2E9C-101B-9397-08002B2CF9AE}" pid="3" name="Creator">
    <vt:lpwstr>Microsoft® Word 2010</vt:lpwstr>
  </property>
  <property fmtid="{D5CDD505-2E9C-101B-9397-08002B2CF9AE}" pid="4" name="LastSaved">
    <vt:filetime>2018-06-15T00:00:00Z</vt:filetime>
  </property>
</Properties>
</file>