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C4F" w:rsidRDefault="005F38F9">
      <w:pPr>
        <w:pStyle w:val="BodyText"/>
        <w:ind w:left="101"/>
        <w:rPr>
          <w:rFonts w:ascii="Times New Roman"/>
          <w:sz w:val="20"/>
        </w:rPr>
      </w:pPr>
      <w:r>
        <w:rPr>
          <w:rFonts w:ascii="Times New Roman"/>
          <w:noProof/>
          <w:sz w:val="20"/>
        </w:rPr>
        <w:drawing>
          <wp:inline distT="0" distB="0" distL="0" distR="0">
            <wp:extent cx="1359465" cy="80467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59465" cy="804672"/>
                    </a:xfrm>
                    <a:prstGeom prst="rect">
                      <a:avLst/>
                    </a:prstGeom>
                  </pic:spPr>
                </pic:pic>
              </a:graphicData>
            </a:graphic>
          </wp:inline>
        </w:drawing>
      </w:r>
    </w:p>
    <w:p w:rsidR="002C6C4F" w:rsidRDefault="002C6C4F">
      <w:pPr>
        <w:pStyle w:val="BodyText"/>
        <w:rPr>
          <w:rFonts w:ascii="Times New Roman"/>
        </w:rPr>
      </w:pPr>
    </w:p>
    <w:p w:rsidR="002C6C4F" w:rsidRDefault="002C6C4F">
      <w:pPr>
        <w:pStyle w:val="BodyText"/>
        <w:rPr>
          <w:rFonts w:ascii="Times New Roman"/>
        </w:rPr>
      </w:pPr>
    </w:p>
    <w:p w:rsidR="002C6C4F" w:rsidRDefault="002C6C4F">
      <w:pPr>
        <w:pStyle w:val="BodyText"/>
        <w:rPr>
          <w:rFonts w:ascii="Times New Roman"/>
        </w:rPr>
      </w:pPr>
    </w:p>
    <w:p w:rsidR="002C6C4F" w:rsidRDefault="005F38F9">
      <w:pPr>
        <w:pStyle w:val="BodyText"/>
        <w:spacing w:before="181"/>
        <w:ind w:left="200"/>
      </w:pPr>
      <w:r>
        <w:t>January 9, 2017</w:t>
      </w:r>
    </w:p>
    <w:p w:rsidR="002C6C4F" w:rsidRDefault="002C6C4F">
      <w:pPr>
        <w:pStyle w:val="BodyText"/>
      </w:pPr>
    </w:p>
    <w:p w:rsidR="002C6C4F" w:rsidRDefault="002C6C4F">
      <w:pPr>
        <w:pStyle w:val="BodyText"/>
      </w:pPr>
    </w:p>
    <w:p w:rsidR="002C6C4F" w:rsidRDefault="005F38F9">
      <w:pPr>
        <w:pStyle w:val="BodyText"/>
        <w:ind w:left="200"/>
      </w:pPr>
      <w:r>
        <w:t>Seema Verma, Administrator</w:t>
      </w:r>
    </w:p>
    <w:p w:rsidR="002C6C4F" w:rsidRDefault="005F38F9">
      <w:pPr>
        <w:pStyle w:val="BodyText"/>
        <w:spacing w:before="2" w:line="237" w:lineRule="auto"/>
        <w:ind w:left="200" w:right="-19"/>
      </w:pPr>
      <w:r>
        <w:t>Center for Medicare &amp; Medicaid Services 7500 Security Blvd.</w:t>
      </w:r>
    </w:p>
    <w:p w:rsidR="002C6C4F" w:rsidRDefault="005F38F9">
      <w:pPr>
        <w:pStyle w:val="BodyText"/>
        <w:ind w:left="200"/>
      </w:pPr>
      <w:r>
        <w:t>Baltimore, MD 21244</w:t>
      </w:r>
    </w:p>
    <w:p w:rsidR="002C6C4F" w:rsidRDefault="002C6C4F">
      <w:pPr>
        <w:pStyle w:val="BodyText"/>
      </w:pPr>
    </w:p>
    <w:p w:rsidR="002C6C4F" w:rsidRDefault="005F38F9">
      <w:pPr>
        <w:ind w:left="200"/>
        <w:rPr>
          <w:b/>
        </w:rPr>
      </w:pPr>
      <w:r>
        <w:rPr>
          <w:b/>
        </w:rPr>
        <w:t>Attention: CMS-4182-P</w:t>
      </w:r>
    </w:p>
    <w:p w:rsidR="002C6C4F" w:rsidRDefault="002C6C4F">
      <w:pPr>
        <w:pStyle w:val="BodyText"/>
        <w:rPr>
          <w:b/>
        </w:rPr>
      </w:pPr>
    </w:p>
    <w:p w:rsidR="002C6C4F" w:rsidRDefault="002C6C4F">
      <w:pPr>
        <w:pStyle w:val="BodyText"/>
        <w:rPr>
          <w:b/>
        </w:rPr>
      </w:pPr>
    </w:p>
    <w:p w:rsidR="002C6C4F" w:rsidRDefault="005F38F9">
      <w:pPr>
        <w:pStyle w:val="BodyText"/>
        <w:ind w:left="200"/>
      </w:pPr>
      <w:r>
        <w:t>Dear Administrator Verma:</w:t>
      </w:r>
    </w:p>
    <w:p w:rsidR="002C6C4F" w:rsidRDefault="005F38F9">
      <w:pPr>
        <w:pStyle w:val="BodyText"/>
        <w:spacing w:before="6"/>
        <w:rPr>
          <w:sz w:val="14"/>
        </w:rPr>
      </w:pPr>
      <w:r>
        <w:br w:type="column"/>
      </w:r>
    </w:p>
    <w:p w:rsidR="002C6C4F" w:rsidRDefault="005F38F9">
      <w:pPr>
        <w:ind w:left="804" w:right="97" w:hanging="704"/>
        <w:rPr>
          <w:rFonts w:ascii="Arial"/>
          <w:sz w:val="16"/>
        </w:rPr>
      </w:pPr>
      <w:r>
        <w:rPr>
          <w:rFonts w:ascii="Arial"/>
          <w:color w:val="6F7371"/>
          <w:sz w:val="16"/>
        </w:rPr>
        <w:t>1100 13th Street NW, Third Floor Washington, DC 20005</w:t>
      </w:r>
    </w:p>
    <w:p w:rsidR="002C6C4F" w:rsidRDefault="005F38F9">
      <w:pPr>
        <w:spacing w:before="120" w:line="183" w:lineRule="exact"/>
        <w:ind w:left="955"/>
        <w:rPr>
          <w:rFonts w:ascii="Arial"/>
          <w:sz w:val="16"/>
        </w:rPr>
      </w:pPr>
      <w:r>
        <w:rPr>
          <w:rFonts w:ascii="Arial"/>
          <w:b/>
          <w:color w:val="4F758A"/>
          <w:sz w:val="16"/>
        </w:rPr>
        <w:t xml:space="preserve">phone </w:t>
      </w:r>
      <w:r>
        <w:rPr>
          <w:rFonts w:ascii="Arial"/>
          <w:color w:val="6F7371"/>
          <w:sz w:val="16"/>
        </w:rPr>
        <w:t>202.955.3500</w:t>
      </w:r>
    </w:p>
    <w:p w:rsidR="002C6C4F" w:rsidRDefault="005F38F9">
      <w:pPr>
        <w:spacing w:line="183" w:lineRule="exact"/>
        <w:ind w:left="1202"/>
        <w:rPr>
          <w:rFonts w:ascii="Arial"/>
          <w:sz w:val="16"/>
        </w:rPr>
      </w:pPr>
      <w:r>
        <w:rPr>
          <w:rFonts w:ascii="Arial"/>
          <w:b/>
          <w:color w:val="4F758A"/>
          <w:sz w:val="16"/>
        </w:rPr>
        <w:t xml:space="preserve">fax </w:t>
      </w:r>
      <w:r>
        <w:rPr>
          <w:rFonts w:ascii="Arial"/>
          <w:color w:val="6F7371"/>
          <w:sz w:val="16"/>
        </w:rPr>
        <w:t>202.955.3599</w:t>
      </w:r>
    </w:p>
    <w:p w:rsidR="002C6C4F" w:rsidRDefault="005F38F9">
      <w:pPr>
        <w:spacing w:before="1"/>
        <w:ind w:left="1445"/>
        <w:rPr>
          <w:rFonts w:ascii="Arial"/>
          <w:sz w:val="16"/>
        </w:rPr>
      </w:pPr>
      <w:hyperlink r:id="rId8">
        <w:r>
          <w:rPr>
            <w:rFonts w:ascii="Arial"/>
            <w:color w:val="6F7371"/>
            <w:sz w:val="16"/>
          </w:rPr>
          <w:t>www.ncqa.org</w:t>
        </w:r>
      </w:hyperlink>
    </w:p>
    <w:p w:rsidR="002C6C4F" w:rsidRDefault="002C6C4F">
      <w:pPr>
        <w:rPr>
          <w:rFonts w:ascii="Arial"/>
          <w:sz w:val="16"/>
        </w:rPr>
        <w:sectPr w:rsidR="002C6C4F">
          <w:type w:val="continuous"/>
          <w:pgSz w:w="12240" w:h="15840"/>
          <w:pgMar w:top="700" w:right="1320" w:bottom="280" w:left="1240" w:header="720" w:footer="720" w:gutter="0"/>
          <w:cols w:num="2" w:space="720" w:equalWidth="0">
            <w:col w:w="3864" w:space="3240"/>
            <w:col w:w="2576"/>
          </w:cols>
        </w:sectPr>
      </w:pPr>
    </w:p>
    <w:p w:rsidR="002C6C4F" w:rsidRDefault="002C6C4F">
      <w:pPr>
        <w:pStyle w:val="BodyText"/>
        <w:spacing w:before="5"/>
        <w:rPr>
          <w:rFonts w:ascii="Arial"/>
          <w:sz w:val="18"/>
        </w:rPr>
      </w:pPr>
    </w:p>
    <w:p w:rsidR="002C6C4F" w:rsidRDefault="005F38F9">
      <w:pPr>
        <w:pStyle w:val="BodyText"/>
        <w:spacing w:before="59" w:line="237" w:lineRule="auto"/>
        <w:ind w:left="200" w:right="187"/>
      </w:pPr>
      <w:r>
        <w:t>Thank you for the opportunity to comment on proposed Medicare Advantage and related program changes for 2019. The National Committee for Quality Assurance (NCQA) strongly supports letting plans limit opioid prescriptions to specific prescribers and pharmac</w:t>
      </w:r>
      <w:r>
        <w:t>ies for at-risk beneficiaries. This closely parallels our new HEDIS®</w:t>
      </w:r>
      <w:r>
        <w:rPr>
          <w:position w:val="8"/>
          <w:sz w:val="14"/>
        </w:rPr>
        <w:t xml:space="preserve">1 </w:t>
      </w:r>
      <w:r>
        <w:t>opioid measures that track high dosages and multiple prescribers. We urge you to add these and other behavioral health measures</w:t>
      </w:r>
      <w:r>
        <w:rPr>
          <w:position w:val="8"/>
          <w:sz w:val="14"/>
        </w:rPr>
        <w:t xml:space="preserve">2 </w:t>
      </w:r>
      <w:r>
        <w:t>to the Medicare Advantage Stars to emphasize their import</w:t>
      </w:r>
      <w:r>
        <w:t>ance with the powerful Stars bonus and rebate financial incentives.</w:t>
      </w:r>
    </w:p>
    <w:p w:rsidR="002C6C4F" w:rsidRDefault="002C6C4F">
      <w:pPr>
        <w:pStyle w:val="BodyText"/>
        <w:spacing w:before="1"/>
      </w:pPr>
    </w:p>
    <w:p w:rsidR="002C6C4F" w:rsidRDefault="005F38F9">
      <w:pPr>
        <w:pStyle w:val="BodyText"/>
        <w:ind w:left="200" w:right="244"/>
        <w:jc w:val="both"/>
      </w:pPr>
      <w:r>
        <w:t>We also support letting plans reduce cost sharing for certain benefits, tailor supplemental benefits, and vary deductibles for patients with specific medical criteria. Experience with suc</w:t>
      </w:r>
      <w:r>
        <w:t>h value-based insurance design in employer plans shows that it can increase use of high-value treatments and providers in ways that lower overall costs and disease burden over time.</w:t>
      </w:r>
    </w:p>
    <w:p w:rsidR="002C6C4F" w:rsidRDefault="002C6C4F">
      <w:pPr>
        <w:pStyle w:val="BodyText"/>
        <w:spacing w:before="9"/>
        <w:rPr>
          <w:sz w:val="21"/>
        </w:rPr>
      </w:pPr>
    </w:p>
    <w:p w:rsidR="002C6C4F" w:rsidRDefault="005F38F9">
      <w:pPr>
        <w:pStyle w:val="BodyText"/>
        <w:ind w:left="200" w:right="160"/>
      </w:pPr>
      <w:r>
        <w:t>We support adding anti-fraud efforts and Medication Therapy Management (M</w:t>
      </w:r>
      <w:r>
        <w:t>TM) program costs to the medical loss ratio. Both improve quality and should count as other quality efforts do. We do not support, however, letting plans merely report medical loss ratio percentages rather than specific details, as that would limit the abi</w:t>
      </w:r>
      <w:r>
        <w:t>lity to track spending on quality improvement and assess its</w:t>
      </w:r>
      <w:r>
        <w:rPr>
          <w:spacing w:val="-24"/>
        </w:rPr>
        <w:t xml:space="preserve"> </w:t>
      </w:r>
      <w:r>
        <w:t>impact.</w:t>
      </w:r>
    </w:p>
    <w:p w:rsidR="002C6C4F" w:rsidRDefault="002C6C4F">
      <w:pPr>
        <w:pStyle w:val="BodyText"/>
        <w:spacing w:before="12"/>
        <w:rPr>
          <w:sz w:val="21"/>
        </w:rPr>
      </w:pPr>
    </w:p>
    <w:p w:rsidR="002C6C4F" w:rsidRDefault="005F38F9">
      <w:pPr>
        <w:pStyle w:val="BodyText"/>
        <w:ind w:left="200" w:right="156"/>
      </w:pPr>
      <w:r>
        <w:t>We further support changing policy on Star ratings when plans consolidate. The proposal to base ratings on enrollment-weighted scores is better than allowing plans to apply a higher rati</w:t>
      </w:r>
      <w:r>
        <w:t>ng from a remaining contract to consolidated lower-rated plans in other states. However, it would be much better to issue contract numbers and base ratings at the state level. This would provide a more accurate assessment of actual plan quality that benefi</w:t>
      </w:r>
      <w:r>
        <w:t>ciaries need to make truly informed decisions.</w:t>
      </w:r>
    </w:p>
    <w:p w:rsidR="002C6C4F" w:rsidRDefault="002C6C4F">
      <w:pPr>
        <w:pStyle w:val="BodyText"/>
        <w:spacing w:before="10"/>
        <w:rPr>
          <w:sz w:val="21"/>
        </w:rPr>
      </w:pPr>
    </w:p>
    <w:p w:rsidR="002C6C4F" w:rsidRDefault="005F38F9">
      <w:pPr>
        <w:pStyle w:val="BodyText"/>
        <w:ind w:left="200" w:right="376"/>
        <w:jc w:val="both"/>
      </w:pPr>
      <w:r>
        <w:t>We also have concern about ending the “meaningful difference” requirement for plans offered by the same issuer. This could lead to “choice overload” that makes it difficult for beneficiaries to choose the bes</w:t>
      </w:r>
      <w:r>
        <w:t>t plan. It would not encourage innovation, as suggested, since true innovation by definition should provide a meaningful difference.</w:t>
      </w:r>
    </w:p>
    <w:p w:rsidR="002C6C4F" w:rsidRDefault="005F38F9">
      <w:pPr>
        <w:pStyle w:val="BodyText"/>
        <w:spacing w:before="5"/>
        <w:rPr>
          <w:sz w:val="18"/>
        </w:rPr>
      </w:pPr>
      <w:r>
        <w:pict>
          <v:line id="_x0000_s1028" style="position:absolute;z-index:251658240;mso-wrap-distance-left:0;mso-wrap-distance-right:0;mso-position-horizontal-relative:page" from="1in,13.45pt" to="216.05pt,13.45pt" strokeweight=".48pt">
            <w10:wrap type="topAndBottom" anchorx="page"/>
          </v:line>
        </w:pict>
      </w:r>
    </w:p>
    <w:p w:rsidR="002C6C4F" w:rsidRDefault="005F38F9">
      <w:pPr>
        <w:spacing w:before="53"/>
        <w:ind w:left="200"/>
        <w:rPr>
          <w:sz w:val="16"/>
        </w:rPr>
      </w:pPr>
      <w:r>
        <w:rPr>
          <w:position w:val="5"/>
          <w:sz w:val="10"/>
        </w:rPr>
        <w:t xml:space="preserve">1 </w:t>
      </w:r>
      <w:r>
        <w:rPr>
          <w:sz w:val="16"/>
        </w:rPr>
        <w:t>HEDIS – the Healthcare Effectiveness and Data Information Set, is a registered trademark of NCQA.</w:t>
      </w:r>
    </w:p>
    <w:p w:rsidR="002C6C4F" w:rsidRDefault="005F38F9">
      <w:pPr>
        <w:spacing w:before="1"/>
        <w:ind w:left="200"/>
        <w:rPr>
          <w:sz w:val="16"/>
        </w:rPr>
      </w:pPr>
      <w:r>
        <w:rPr>
          <w:position w:val="5"/>
          <w:sz w:val="10"/>
        </w:rPr>
        <w:t xml:space="preserve">2 </w:t>
      </w:r>
      <w:r>
        <w:rPr>
          <w:sz w:val="16"/>
        </w:rPr>
        <w:t>Please see Appendix A for a full list of HEDIS behavioral and related measures.</w:t>
      </w:r>
    </w:p>
    <w:p w:rsidR="002C6C4F" w:rsidRDefault="002C6C4F">
      <w:pPr>
        <w:pStyle w:val="BodyText"/>
        <w:spacing w:before="2"/>
        <w:rPr>
          <w:sz w:val="14"/>
        </w:rPr>
      </w:pPr>
    </w:p>
    <w:p w:rsidR="002C6C4F" w:rsidRDefault="005F38F9">
      <w:pPr>
        <w:ind w:left="83"/>
        <w:jc w:val="center"/>
        <w:rPr>
          <w:rFonts w:ascii="Arial"/>
          <w:sz w:val="20"/>
        </w:rPr>
      </w:pPr>
      <w:r>
        <w:rPr>
          <w:rFonts w:ascii="Arial"/>
          <w:color w:val="4F81BC"/>
          <w:w w:val="99"/>
          <w:sz w:val="20"/>
        </w:rPr>
        <w:t>1</w:t>
      </w:r>
    </w:p>
    <w:p w:rsidR="002C6C4F" w:rsidRDefault="002C6C4F">
      <w:pPr>
        <w:jc w:val="center"/>
        <w:rPr>
          <w:rFonts w:ascii="Arial"/>
          <w:sz w:val="20"/>
        </w:rPr>
        <w:sectPr w:rsidR="002C6C4F">
          <w:type w:val="continuous"/>
          <w:pgSz w:w="12240" w:h="15840"/>
          <w:pgMar w:top="700" w:right="1320" w:bottom="280" w:left="1240" w:header="720" w:footer="720" w:gutter="0"/>
          <w:cols w:space="720"/>
        </w:sectPr>
      </w:pPr>
    </w:p>
    <w:p w:rsidR="002C6C4F" w:rsidRDefault="002C6C4F">
      <w:pPr>
        <w:pStyle w:val="BodyText"/>
        <w:rPr>
          <w:rFonts w:ascii="Arial"/>
          <w:sz w:val="20"/>
        </w:rPr>
      </w:pPr>
    </w:p>
    <w:p w:rsidR="002C6C4F" w:rsidRDefault="002C6C4F">
      <w:pPr>
        <w:pStyle w:val="BodyText"/>
        <w:rPr>
          <w:rFonts w:ascii="Arial"/>
          <w:sz w:val="20"/>
        </w:rPr>
      </w:pPr>
    </w:p>
    <w:p w:rsidR="002C6C4F" w:rsidRDefault="002C6C4F">
      <w:pPr>
        <w:pStyle w:val="BodyText"/>
        <w:rPr>
          <w:rFonts w:ascii="Arial"/>
          <w:sz w:val="20"/>
        </w:rPr>
      </w:pPr>
    </w:p>
    <w:p w:rsidR="002C6C4F" w:rsidRDefault="002C6C4F">
      <w:pPr>
        <w:pStyle w:val="BodyText"/>
        <w:rPr>
          <w:rFonts w:ascii="Arial"/>
          <w:sz w:val="20"/>
        </w:rPr>
      </w:pPr>
    </w:p>
    <w:p w:rsidR="002C6C4F" w:rsidRDefault="002C6C4F">
      <w:pPr>
        <w:pStyle w:val="BodyText"/>
        <w:spacing w:before="2"/>
        <w:rPr>
          <w:rFonts w:ascii="Arial"/>
          <w:sz w:val="27"/>
        </w:rPr>
      </w:pPr>
    </w:p>
    <w:p w:rsidR="002C6C4F" w:rsidRDefault="005F38F9">
      <w:pPr>
        <w:pStyle w:val="BodyText"/>
        <w:spacing w:before="56"/>
        <w:ind w:left="100"/>
      </w:pPr>
      <w:r>
        <w:t>Detailed comments on these and other issues in the proposed rule are below.</w:t>
      </w:r>
    </w:p>
    <w:p w:rsidR="002C6C4F" w:rsidRDefault="002C6C4F">
      <w:pPr>
        <w:pStyle w:val="BodyText"/>
      </w:pPr>
    </w:p>
    <w:p w:rsidR="002C6C4F" w:rsidRDefault="005F38F9">
      <w:pPr>
        <w:pStyle w:val="BodyText"/>
        <w:ind w:left="100" w:right="326"/>
        <w:jc w:val="both"/>
      </w:pPr>
      <w:r>
        <w:rPr>
          <w:b/>
        </w:rPr>
        <w:t xml:space="preserve">Opioid Limits: </w:t>
      </w:r>
      <w:r>
        <w:t>We strongly support the proposal to let plans limit opioids to certain prescribers and/or pharmacies for enrollees at risk of addiction. This is an urgently needed policy that can help to address the opioid epidemic sweeping our nation. It also parallels o</w:t>
      </w:r>
      <w:r>
        <w:t>ur new HEDIS opioid measures:</w:t>
      </w:r>
    </w:p>
    <w:p w:rsidR="002C6C4F" w:rsidRDefault="005F38F9">
      <w:pPr>
        <w:pStyle w:val="ListParagraph"/>
        <w:numPr>
          <w:ilvl w:val="0"/>
          <w:numId w:val="17"/>
        </w:numPr>
        <w:tabs>
          <w:tab w:val="left" w:pos="461"/>
        </w:tabs>
        <w:spacing w:before="1"/>
        <w:ind w:right="154"/>
        <w:jc w:val="both"/>
        <w:rPr>
          <w:rFonts w:ascii="Symbol"/>
          <w:sz w:val="24"/>
        </w:rPr>
      </w:pPr>
      <w:r>
        <w:rPr>
          <w:i/>
        </w:rPr>
        <w:t xml:space="preserve">Use of Opioids at High Dosage. </w:t>
      </w:r>
      <w:r>
        <w:t>This measure assesses the rate of health plan members 18 years and older who receive long-term opioids at high dosage (average morphine equivalent dose &gt;120mg)</w:t>
      </w:r>
      <w:r>
        <w:rPr>
          <w:spacing w:val="-32"/>
        </w:rPr>
        <w:t xml:space="preserve"> </w:t>
      </w:r>
      <w:r>
        <w:t>for 90 consecutive days or</w:t>
      </w:r>
      <w:r>
        <w:rPr>
          <w:spacing w:val="-6"/>
        </w:rPr>
        <w:t xml:space="preserve"> </w:t>
      </w:r>
      <w:r>
        <w:t>longer</w:t>
      </w:r>
      <w:r>
        <w:rPr>
          <w:sz w:val="24"/>
        </w:rPr>
        <w:t>.</w:t>
      </w:r>
    </w:p>
    <w:p w:rsidR="002C6C4F" w:rsidRDefault="005F38F9">
      <w:pPr>
        <w:pStyle w:val="ListParagraph"/>
        <w:numPr>
          <w:ilvl w:val="0"/>
          <w:numId w:val="17"/>
        </w:numPr>
        <w:tabs>
          <w:tab w:val="left" w:pos="460"/>
          <w:tab w:val="left" w:pos="461"/>
        </w:tabs>
        <w:ind w:right="359"/>
        <w:rPr>
          <w:rFonts w:ascii="Symbol"/>
        </w:rPr>
      </w:pPr>
      <w:r>
        <w:rPr>
          <w:i/>
        </w:rPr>
        <w:t xml:space="preserve">Use of Opioids from Multiple Providers. </w:t>
      </w:r>
      <w:r>
        <w:t>This measure assesses the rate of health plan members 18 years and older who receive opioids from 4 or more prescribers and 4 or more</w:t>
      </w:r>
      <w:r>
        <w:rPr>
          <w:spacing w:val="-25"/>
        </w:rPr>
        <w:t xml:space="preserve"> </w:t>
      </w:r>
      <w:r>
        <w:t>pharmacies.</w:t>
      </w:r>
    </w:p>
    <w:p w:rsidR="002C6C4F" w:rsidRDefault="002C6C4F">
      <w:pPr>
        <w:pStyle w:val="BodyText"/>
        <w:spacing w:before="3"/>
      </w:pPr>
    </w:p>
    <w:p w:rsidR="002C6C4F" w:rsidRDefault="005F38F9">
      <w:pPr>
        <w:pStyle w:val="BodyText"/>
        <w:ind w:left="100" w:right="367"/>
      </w:pPr>
      <w:r>
        <w:t>High dosages, along with multiple prescribers and pharmacies, are all</w:t>
      </w:r>
      <w:r>
        <w:t xml:space="preserve"> risk factors for dangerous overdose and death. Our intent is for these measures to encourage health plans to address the opioid epidemic and track their progress.</w:t>
      </w:r>
    </w:p>
    <w:p w:rsidR="002C6C4F" w:rsidRDefault="002C6C4F">
      <w:pPr>
        <w:pStyle w:val="BodyText"/>
        <w:spacing w:before="12"/>
        <w:rPr>
          <w:sz w:val="21"/>
        </w:rPr>
      </w:pPr>
    </w:p>
    <w:p w:rsidR="002C6C4F" w:rsidRDefault="005F38F9">
      <w:pPr>
        <w:pStyle w:val="BodyText"/>
        <w:ind w:left="100" w:right="321"/>
      </w:pPr>
      <w:r>
        <w:t>These measures are among a growing suite of behavioral measures we have or are now developi</w:t>
      </w:r>
      <w:r>
        <w:t>ng because behavioral health conditions are substantially undertreated and strongly associated with increased physical health need. We also have measures addressing the many behavioral and mental health treatments that have significant side effects that re</w:t>
      </w:r>
      <w:r>
        <w:t>quire careful monitoring and treatment. We include a list of all these measures in Appendix A. We urge you to add these measures to the Star Ratings to make improving behavioral and mental health care a Medicare Advantage priority.</w:t>
      </w:r>
    </w:p>
    <w:p w:rsidR="002C6C4F" w:rsidRDefault="002C6C4F">
      <w:pPr>
        <w:pStyle w:val="BodyText"/>
      </w:pPr>
    </w:p>
    <w:p w:rsidR="002C6C4F" w:rsidRDefault="005F38F9">
      <w:pPr>
        <w:pStyle w:val="BodyText"/>
        <w:ind w:left="100" w:right="310"/>
      </w:pPr>
      <w:r>
        <w:rPr>
          <w:b/>
        </w:rPr>
        <w:t xml:space="preserve">Value-Based Insurance Design (VBID): </w:t>
      </w:r>
      <w:r>
        <w:t>We support allowing plans to reduce cost sharing for certain benefits, tailor supplemental benefits, and vary deductibles for patients with specific medical criteria. Experience with such value-based insurance design in</w:t>
      </w:r>
      <w:r>
        <w:t xml:space="preserve"> employer plans shows that it can increase use of high-value treatments and providers in ways that lower overall costs and disease burden over time.</w:t>
      </w:r>
    </w:p>
    <w:p w:rsidR="002C6C4F" w:rsidRDefault="002C6C4F">
      <w:pPr>
        <w:pStyle w:val="BodyText"/>
      </w:pPr>
    </w:p>
    <w:p w:rsidR="002C6C4F" w:rsidRDefault="005F38F9">
      <w:pPr>
        <w:pStyle w:val="BodyText"/>
        <w:ind w:left="100" w:right="430"/>
      </w:pPr>
      <w:r>
        <w:t>Reduced cost sharing for highly effective preventive services and chronic care therapies addresses financi</w:t>
      </w:r>
      <w:r>
        <w:t>al barriers that can prevent people from getting needed care and improves adherence to high- value treatments. This in turn can prevent costly complications and yield net savings.</w:t>
      </w:r>
    </w:p>
    <w:p w:rsidR="002C6C4F" w:rsidRDefault="002C6C4F">
      <w:pPr>
        <w:pStyle w:val="BodyText"/>
        <w:spacing w:before="1"/>
      </w:pPr>
    </w:p>
    <w:p w:rsidR="002C6C4F" w:rsidRDefault="005F38F9">
      <w:pPr>
        <w:pStyle w:val="BodyText"/>
        <w:ind w:left="100"/>
      </w:pPr>
      <w:r>
        <w:t>There is already substantial evidence on the powerful benefits of VBID.</w:t>
      </w:r>
    </w:p>
    <w:p w:rsidR="002C6C4F" w:rsidRDefault="005F38F9">
      <w:pPr>
        <w:pStyle w:val="ListParagraph"/>
        <w:numPr>
          <w:ilvl w:val="0"/>
          <w:numId w:val="17"/>
        </w:numPr>
        <w:tabs>
          <w:tab w:val="left" w:pos="460"/>
          <w:tab w:val="left" w:pos="461"/>
        </w:tabs>
        <w:ind w:right="467"/>
        <w:rPr>
          <w:rFonts w:ascii="Symbol"/>
        </w:rPr>
      </w:pPr>
      <w:r>
        <w:t>Pri</w:t>
      </w:r>
      <w:r>
        <w:t>vate employers like Pitney Bowes have found significant savings from reduced cost sharing for essential diabetes</w:t>
      </w:r>
      <w:r>
        <w:rPr>
          <w:spacing w:val="-7"/>
        </w:rPr>
        <w:t xml:space="preserve"> </w:t>
      </w:r>
      <w:r>
        <w:t>treatments.</w:t>
      </w:r>
    </w:p>
    <w:p w:rsidR="002C6C4F" w:rsidRDefault="005F38F9">
      <w:pPr>
        <w:pStyle w:val="ListParagraph"/>
        <w:numPr>
          <w:ilvl w:val="0"/>
          <w:numId w:val="17"/>
        </w:numPr>
        <w:tabs>
          <w:tab w:val="left" w:pos="460"/>
          <w:tab w:val="left" w:pos="461"/>
        </w:tabs>
        <w:spacing w:line="279" w:lineRule="exact"/>
        <w:rPr>
          <w:rFonts w:ascii="Symbol" w:hAnsi="Symbol"/>
        </w:rPr>
      </w:pPr>
      <w:r>
        <w:t>The Oregon Public Employee’s and Educators Benefit Board’s extensive VBID program</w:t>
      </w:r>
      <w:r>
        <w:rPr>
          <w:spacing w:val="-18"/>
        </w:rPr>
        <w:t xml:space="preserve"> </w:t>
      </w:r>
      <w:r>
        <w:t>improved</w:t>
      </w:r>
    </w:p>
    <w:p w:rsidR="002C6C4F" w:rsidRDefault="005F38F9">
      <w:pPr>
        <w:pStyle w:val="BodyText"/>
        <w:spacing w:line="267" w:lineRule="exact"/>
        <w:ind w:left="460"/>
      </w:pPr>
      <w:r>
        <w:t>HEDIS scores, increased use of preventive services, and provided substantial savings.</w:t>
      </w:r>
    </w:p>
    <w:p w:rsidR="002C6C4F" w:rsidRDefault="005F38F9">
      <w:pPr>
        <w:pStyle w:val="ListParagraph"/>
        <w:numPr>
          <w:ilvl w:val="0"/>
          <w:numId w:val="17"/>
        </w:numPr>
        <w:tabs>
          <w:tab w:val="left" w:pos="460"/>
          <w:tab w:val="left" w:pos="461"/>
        </w:tabs>
        <w:ind w:right="288"/>
        <w:rPr>
          <w:rFonts w:ascii="Symbol"/>
        </w:rPr>
      </w:pPr>
      <w:r>
        <w:t>The U.S. Department of Health &amp; Human Services prominently features VBID in its National Quality Strategy.</w:t>
      </w:r>
    </w:p>
    <w:p w:rsidR="002C6C4F" w:rsidRDefault="005F38F9">
      <w:pPr>
        <w:pStyle w:val="ListParagraph"/>
        <w:numPr>
          <w:ilvl w:val="0"/>
          <w:numId w:val="17"/>
        </w:numPr>
        <w:tabs>
          <w:tab w:val="left" w:pos="460"/>
          <w:tab w:val="left" w:pos="461"/>
        </w:tabs>
        <w:ind w:right="555"/>
        <w:rPr>
          <w:rFonts w:ascii="Symbol"/>
        </w:rPr>
      </w:pPr>
      <w:r>
        <w:t>And the University of Michigan Center for Value-Based Insurance</w:t>
      </w:r>
      <w:r>
        <w:t xml:space="preserve"> Design tracks case studies and more at</w:t>
      </w:r>
      <w:r>
        <w:rPr>
          <w:spacing w:val="-15"/>
        </w:rPr>
        <w:t xml:space="preserve"> </w:t>
      </w:r>
      <w:hyperlink r:id="rId9">
        <w:r>
          <w:rPr>
            <w:color w:val="C70F2D"/>
          </w:rPr>
          <w:t>http://www.sph.umich.edu/vbidcenter</w:t>
        </w:r>
      </w:hyperlink>
      <w:r>
        <w:t>.</w:t>
      </w:r>
    </w:p>
    <w:p w:rsidR="002C6C4F" w:rsidRDefault="002C6C4F">
      <w:pPr>
        <w:rPr>
          <w:rFonts w:ascii="Symbol"/>
        </w:rPr>
        <w:sectPr w:rsidR="002C6C4F">
          <w:headerReference w:type="default" r:id="rId10"/>
          <w:footerReference w:type="default" r:id="rId11"/>
          <w:pgSz w:w="12240" w:h="15840"/>
          <w:pgMar w:top="1620" w:right="1320" w:bottom="1020" w:left="1340" w:header="720" w:footer="828" w:gutter="0"/>
          <w:pgNumType w:start="2"/>
          <w:cols w:space="720"/>
        </w:sectPr>
      </w:pPr>
    </w:p>
    <w:p w:rsidR="002C6C4F" w:rsidRDefault="002C6C4F">
      <w:pPr>
        <w:pStyle w:val="BodyText"/>
        <w:rPr>
          <w:sz w:val="20"/>
        </w:rPr>
      </w:pPr>
    </w:p>
    <w:p w:rsidR="002C6C4F" w:rsidRDefault="002C6C4F">
      <w:pPr>
        <w:pStyle w:val="BodyText"/>
        <w:rPr>
          <w:sz w:val="20"/>
        </w:rPr>
      </w:pPr>
    </w:p>
    <w:p w:rsidR="002C6C4F" w:rsidRDefault="002C6C4F">
      <w:pPr>
        <w:pStyle w:val="BodyText"/>
        <w:rPr>
          <w:sz w:val="20"/>
        </w:rPr>
      </w:pPr>
    </w:p>
    <w:p w:rsidR="002C6C4F" w:rsidRDefault="002C6C4F">
      <w:pPr>
        <w:pStyle w:val="BodyText"/>
        <w:rPr>
          <w:sz w:val="20"/>
        </w:rPr>
      </w:pPr>
    </w:p>
    <w:p w:rsidR="002C6C4F" w:rsidRDefault="002C6C4F">
      <w:pPr>
        <w:pStyle w:val="BodyText"/>
        <w:spacing w:before="11"/>
        <w:rPr>
          <w:sz w:val="20"/>
        </w:rPr>
      </w:pPr>
    </w:p>
    <w:p w:rsidR="002C6C4F" w:rsidRDefault="005F38F9">
      <w:pPr>
        <w:pStyle w:val="BodyText"/>
        <w:spacing w:before="57"/>
        <w:ind w:left="100" w:right="331"/>
      </w:pPr>
      <w:r>
        <w:t>This provides more than sufficient evidence to incorporate VBID throughout the Medicare Advantage program as proposed while the Medicare Advantage-s</w:t>
      </w:r>
      <w:r>
        <w:t>pecific VBID demonstration program progresses and develops further evidence on its efficacy.</w:t>
      </w:r>
    </w:p>
    <w:p w:rsidR="002C6C4F" w:rsidRDefault="002C6C4F">
      <w:pPr>
        <w:pStyle w:val="BodyText"/>
      </w:pPr>
    </w:p>
    <w:p w:rsidR="002C6C4F" w:rsidRDefault="005F38F9">
      <w:pPr>
        <w:pStyle w:val="BodyText"/>
        <w:ind w:left="100" w:right="143"/>
      </w:pPr>
      <w:r>
        <w:rPr>
          <w:b/>
        </w:rPr>
        <w:t xml:space="preserve">Default Enrollments: </w:t>
      </w:r>
      <w:r>
        <w:t>To ensure quality when allowing passive enrollment into Medicaid plans after non- renewal of a plan serving people dually eligible for Medica</w:t>
      </w:r>
      <w:r>
        <w:t xml:space="preserve">re and Medicaid, we urge you to require NCQA performance-based Accreditation. We </w:t>
      </w:r>
      <w:hyperlink r:id="rId12">
        <w:r>
          <w:rPr>
            <w:color w:val="C70F2D"/>
          </w:rPr>
          <w:t>publicly report</w:t>
        </w:r>
      </w:hyperlink>
      <w:r>
        <w:rPr>
          <w:color w:val="C70F2D"/>
        </w:rPr>
        <w:t xml:space="preserve"> </w:t>
      </w:r>
      <w:r>
        <w:t>on the quality of all NCQA-Accredited plans including Medicaid plans. Most states require</w:t>
      </w:r>
      <w:r>
        <w:t xml:space="preserve"> or recognize NCQA Accreditation for their Medicaid plans. We also have the only program accrediting plans providing long-term services and supports (LTSS), which some states require in Medicare-Medicaid Financial Alignment demonstrations. These features o</w:t>
      </w:r>
      <w:r>
        <w:t xml:space="preserve">f NCQA’s Medicaid Accreditation program provide the detailed assessment of quality needed for determining which plans should qualify for default enrollments. NCQA-Accredited plans also perform demonstrably better on key quality indicators such as Medicare </w:t>
      </w:r>
      <w:r>
        <w:t>Star Ratings.</w:t>
      </w:r>
    </w:p>
    <w:p w:rsidR="002C6C4F" w:rsidRDefault="005F38F9">
      <w:pPr>
        <w:pStyle w:val="BodyText"/>
        <w:spacing w:before="9"/>
        <w:rPr>
          <w:sz w:val="18"/>
        </w:rPr>
      </w:pPr>
      <w:r>
        <w:rPr>
          <w:noProof/>
        </w:rPr>
        <w:drawing>
          <wp:anchor distT="0" distB="0" distL="0" distR="0" simplePos="0" relativeHeight="251655168" behindDoc="0" locked="0" layoutInCell="1" allowOverlap="1">
            <wp:simplePos x="0" y="0"/>
            <wp:positionH relativeFrom="page">
              <wp:posOffset>1600200</wp:posOffset>
            </wp:positionH>
            <wp:positionV relativeFrom="paragraph">
              <wp:posOffset>170213</wp:posOffset>
            </wp:positionV>
            <wp:extent cx="4572677" cy="34290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4572677" cy="3429000"/>
                    </a:xfrm>
                    <a:prstGeom prst="rect">
                      <a:avLst/>
                    </a:prstGeom>
                  </pic:spPr>
                </pic:pic>
              </a:graphicData>
            </a:graphic>
          </wp:anchor>
        </w:drawing>
      </w:r>
    </w:p>
    <w:p w:rsidR="002C6C4F" w:rsidRDefault="002C6C4F">
      <w:pPr>
        <w:pStyle w:val="BodyText"/>
        <w:spacing w:before="11"/>
        <w:rPr>
          <w:sz w:val="19"/>
        </w:rPr>
      </w:pPr>
    </w:p>
    <w:p w:rsidR="002C6C4F" w:rsidRDefault="005F38F9">
      <w:pPr>
        <w:pStyle w:val="BodyText"/>
        <w:ind w:left="100" w:right="168"/>
      </w:pPr>
      <w:r>
        <w:rPr>
          <w:b/>
        </w:rPr>
        <w:t xml:space="preserve">Medical Loss Ratio: </w:t>
      </w:r>
      <w:r>
        <w:t>We support adding anti-fraud efforts and Medication Therapy Management (MTM) program costs to what counts as medical spending for the medical loss ratio. Both anti-fraud efforts and MTM programs help to improve quality and should count, as other quality ef</w:t>
      </w:r>
      <w:r>
        <w:t>forts already do. Fraud, for example, can include claims for needed care not delivered and delivery of unnecessary care, both of which have potential to cause physical as well as financial harm to enrollees. MTM programs focus on appropriate drug utilizati</w:t>
      </w:r>
      <w:r>
        <w:t>on among patients with complex care needs, for whom inappropriate utilization can be common and especially problematic.</w:t>
      </w:r>
    </w:p>
    <w:p w:rsidR="002C6C4F" w:rsidRDefault="002C6C4F">
      <w:pPr>
        <w:sectPr w:rsidR="002C6C4F">
          <w:pgSz w:w="12240" w:h="15840"/>
          <w:pgMar w:top="1620" w:right="1320" w:bottom="1020" w:left="1340" w:header="720" w:footer="828" w:gutter="0"/>
          <w:cols w:space="720"/>
        </w:sectPr>
      </w:pPr>
    </w:p>
    <w:p w:rsidR="002C6C4F" w:rsidRDefault="002C6C4F">
      <w:pPr>
        <w:pStyle w:val="BodyText"/>
        <w:rPr>
          <w:sz w:val="20"/>
        </w:rPr>
      </w:pPr>
    </w:p>
    <w:p w:rsidR="002C6C4F" w:rsidRDefault="002C6C4F">
      <w:pPr>
        <w:pStyle w:val="BodyText"/>
        <w:rPr>
          <w:sz w:val="20"/>
        </w:rPr>
      </w:pPr>
    </w:p>
    <w:p w:rsidR="002C6C4F" w:rsidRDefault="002C6C4F">
      <w:pPr>
        <w:pStyle w:val="BodyText"/>
        <w:rPr>
          <w:sz w:val="20"/>
        </w:rPr>
      </w:pPr>
    </w:p>
    <w:p w:rsidR="002C6C4F" w:rsidRDefault="002C6C4F">
      <w:pPr>
        <w:pStyle w:val="BodyText"/>
        <w:rPr>
          <w:sz w:val="20"/>
        </w:rPr>
      </w:pPr>
    </w:p>
    <w:p w:rsidR="002C6C4F" w:rsidRDefault="002C6C4F">
      <w:pPr>
        <w:pStyle w:val="BodyText"/>
        <w:spacing w:before="11"/>
        <w:rPr>
          <w:sz w:val="20"/>
        </w:rPr>
      </w:pPr>
    </w:p>
    <w:p w:rsidR="002C6C4F" w:rsidRDefault="005F38F9">
      <w:pPr>
        <w:pStyle w:val="BodyText"/>
        <w:spacing w:before="57"/>
        <w:ind w:left="120" w:right="125"/>
      </w:pPr>
      <w:r>
        <w:t>We do not support, however, letting plans merely report medical loss ratio percentages rather than specific details, su</w:t>
      </w:r>
      <w:r>
        <w:t>ch as quality improvement activity spending. Doing so would limit the ability to track spending on quality improvement and assess the degree to which the size and type of specific efforts result in better outcomes. If you do let plans simply report percent</w:t>
      </w:r>
      <w:r>
        <w:t>ages, we urge you to conduct random audits to guard against the significant potential for gaming.</w:t>
      </w:r>
    </w:p>
    <w:p w:rsidR="002C6C4F" w:rsidRDefault="002C6C4F">
      <w:pPr>
        <w:pStyle w:val="BodyText"/>
        <w:spacing w:before="10"/>
        <w:rPr>
          <w:sz w:val="21"/>
        </w:rPr>
      </w:pPr>
    </w:p>
    <w:p w:rsidR="002C6C4F" w:rsidRDefault="005F38F9">
      <w:pPr>
        <w:pStyle w:val="BodyText"/>
        <w:ind w:left="120" w:right="149"/>
      </w:pPr>
      <w:r>
        <w:rPr>
          <w:b/>
        </w:rPr>
        <w:t xml:space="preserve">Open Enrollment: </w:t>
      </w:r>
      <w:r>
        <w:t>We appreciate the concern for consumers suggested by the proposal to let beneficiaries make an additional plan switch as late as March 31, r</w:t>
      </w:r>
      <w:r>
        <w:t xml:space="preserve">ather than February 14 as under current policy. We note, however, that doing so will impact Medicare Advantage Star Ratings, as many measures require more than 9 months of continual enrollment. Enrollees who switch as late as March 31 will not be eligible </w:t>
      </w:r>
      <w:r>
        <w:t>for inclusion in denominators for several measures. While the number of enrollees who make such changes will likely be small, one result will be a less robust picture of</w:t>
      </w:r>
      <w:r>
        <w:rPr>
          <w:spacing w:val="-28"/>
        </w:rPr>
        <w:t xml:space="preserve"> </w:t>
      </w:r>
      <w:r>
        <w:t>quality.</w:t>
      </w:r>
    </w:p>
    <w:p w:rsidR="002C6C4F" w:rsidRDefault="002C6C4F">
      <w:pPr>
        <w:pStyle w:val="BodyText"/>
      </w:pPr>
    </w:p>
    <w:p w:rsidR="002C6C4F" w:rsidRDefault="005F38F9">
      <w:pPr>
        <w:pStyle w:val="BodyText"/>
        <w:ind w:left="120" w:right="297"/>
        <w:jc w:val="both"/>
      </w:pPr>
      <w:r>
        <w:rPr>
          <w:b/>
        </w:rPr>
        <w:t xml:space="preserve">Improving Measures: </w:t>
      </w:r>
      <w:r>
        <w:t>Regarding your inquiry on how to improve measures to bet</w:t>
      </w:r>
      <w:r>
        <w:t>ter reflect the quality of outcomes, we urge you to develop measures and systems to reward plans for reducing disparities in care. Racial, ethnic and other socioeconomic disparities persist throughout our healthcare system.</w:t>
      </w:r>
    </w:p>
    <w:p w:rsidR="002C6C4F" w:rsidRDefault="005F38F9">
      <w:pPr>
        <w:pStyle w:val="BodyText"/>
        <w:ind w:left="120" w:right="125"/>
      </w:pPr>
      <w:r>
        <w:t>However, our own internal analys</w:t>
      </w:r>
      <w:r>
        <w:t>is shows that Medicare Advantage plans with high levels of low- income enrollees nonetheless are able to achieve high quality in all parts of the country.</w:t>
      </w:r>
      <w:r>
        <w:rPr>
          <w:position w:val="8"/>
          <w:sz w:val="14"/>
        </w:rPr>
        <w:t xml:space="preserve">3 </w:t>
      </w:r>
      <w:r>
        <w:t>It is therefore clearly possible to reduce and ultimately eliminate disparities in Medicare Advantag</w:t>
      </w:r>
      <w:r>
        <w:t>e, and to rate each Medicare Advantage plan on disparities. Doing so would provide a powerful incentive for all plans to achieve the low rates of disparities that we found in our analysis.</w:t>
      </w:r>
    </w:p>
    <w:p w:rsidR="002C6C4F" w:rsidRDefault="002C6C4F">
      <w:pPr>
        <w:pStyle w:val="BodyText"/>
      </w:pPr>
    </w:p>
    <w:p w:rsidR="002C6C4F" w:rsidRDefault="005F38F9">
      <w:pPr>
        <w:pStyle w:val="BodyText"/>
        <w:ind w:left="120" w:right="116"/>
      </w:pPr>
      <w:r>
        <w:t>To improve Star Ratings overall, you could reward plans for report</w:t>
      </w:r>
      <w:r>
        <w:t>ing via electronic clinical data systems, such as provider electronic health record data. Electronic health data would allow for measurement of meaningful outcomes that we cannot assess with claims data or without burdensome medical record review. CMS esta</w:t>
      </w:r>
      <w:r>
        <w:t>blished precedent for this in Medicare Access &amp; CHIP Reauthorization Act Merit-based Incentive Payment System regulations providing end-to-end electronic reporting bonus points.</w:t>
      </w:r>
    </w:p>
    <w:p w:rsidR="002C6C4F" w:rsidRDefault="005F38F9">
      <w:pPr>
        <w:pStyle w:val="BodyText"/>
        <w:ind w:left="120"/>
      </w:pPr>
      <w:r>
        <w:t>Electronic reporting can enhance the ability to audit and ensure accuracy.</w:t>
      </w:r>
    </w:p>
    <w:p w:rsidR="002C6C4F" w:rsidRDefault="002C6C4F">
      <w:pPr>
        <w:pStyle w:val="BodyText"/>
      </w:pPr>
    </w:p>
    <w:p w:rsidR="002C6C4F" w:rsidRDefault="005F38F9">
      <w:pPr>
        <w:pStyle w:val="BodyText"/>
        <w:ind w:left="120" w:right="222"/>
      </w:pPr>
      <w:r>
        <w:rPr>
          <w:b/>
        </w:rPr>
        <w:t xml:space="preserve">Geographic/Market Area Characteristics: </w:t>
      </w:r>
      <w:r>
        <w:t>We are skeptical about potentially adjusting Star Ratings for geographic factors such as serving areas that are rural or dominated by provider monopolies. Doing so could dis-incentivize plans from striving to provide</w:t>
      </w:r>
      <w:r>
        <w:t xml:space="preserve"> the highest quality in all areas they serve. Any such adjustments, if made, should be to payments, as CMS is doing for plans with enrollees who are dually eligible and/or disabled. You should not adjust Star Ratings directly, as that would merely mask wit</w:t>
      </w:r>
      <w:r>
        <w:t>hout actually addressing any related quality issues.</w:t>
      </w:r>
    </w:p>
    <w:p w:rsidR="002C6C4F" w:rsidRDefault="002C6C4F">
      <w:pPr>
        <w:pStyle w:val="BodyText"/>
        <w:spacing w:before="9"/>
        <w:rPr>
          <w:sz w:val="21"/>
        </w:rPr>
      </w:pPr>
    </w:p>
    <w:p w:rsidR="002C6C4F" w:rsidRDefault="005F38F9">
      <w:pPr>
        <w:pStyle w:val="BodyText"/>
        <w:ind w:left="120" w:right="201"/>
      </w:pPr>
      <w:r>
        <w:rPr>
          <w:b/>
        </w:rPr>
        <w:t xml:space="preserve">New Entrants: </w:t>
      </w:r>
      <w:r>
        <w:t>To level the field on quality between new and experienced Medicare Advantage plans, you could temporarily enhance new entrants’ scores based on NCQA performance-based Accreditation.</w:t>
      </w:r>
    </w:p>
    <w:p w:rsidR="002C6C4F" w:rsidRDefault="002C6C4F">
      <w:pPr>
        <w:pStyle w:val="BodyText"/>
        <w:rPr>
          <w:sz w:val="20"/>
        </w:rPr>
      </w:pPr>
    </w:p>
    <w:p w:rsidR="002C6C4F" w:rsidRDefault="002C6C4F">
      <w:pPr>
        <w:pStyle w:val="BodyText"/>
        <w:rPr>
          <w:sz w:val="20"/>
        </w:rPr>
      </w:pPr>
    </w:p>
    <w:p w:rsidR="002C6C4F" w:rsidRDefault="005F38F9">
      <w:pPr>
        <w:pStyle w:val="BodyText"/>
        <w:spacing w:before="5"/>
      </w:pPr>
      <w:r>
        <w:pict>
          <v:line id="_x0000_s1027" style="position:absolute;z-index:251659264;mso-wrap-distance-left:0;mso-wrap-distance-right:0;mso-position-horizontal-relative:page" from="1in,15.9pt" to="216.05pt,15.9pt" strokeweight=".48pt">
            <w10:wrap type="topAndBottom" anchorx="page"/>
          </v:line>
        </w:pict>
      </w:r>
    </w:p>
    <w:p w:rsidR="002C6C4F" w:rsidRDefault="005F38F9">
      <w:pPr>
        <w:spacing w:before="52"/>
        <w:ind w:left="120" w:right="252"/>
        <w:rPr>
          <w:sz w:val="16"/>
        </w:rPr>
      </w:pPr>
      <w:r>
        <w:rPr>
          <w:rFonts w:ascii="Arial"/>
          <w:position w:val="6"/>
          <w:sz w:val="10"/>
        </w:rPr>
        <w:t xml:space="preserve">3 </w:t>
      </w:r>
      <w:r>
        <w:rPr>
          <w:sz w:val="16"/>
        </w:rPr>
        <w:t>NCQA Comments on CMS Request for Information on Data Differences in Medicare Advantage and Part D Star Rating Quality Measurements for Dual-eligible vs. Non-dual Eligible Enrollees, November 3, 2014.</w:t>
      </w:r>
    </w:p>
    <w:p w:rsidR="002C6C4F" w:rsidRDefault="002C6C4F">
      <w:pPr>
        <w:rPr>
          <w:sz w:val="16"/>
        </w:rPr>
        <w:sectPr w:rsidR="002C6C4F">
          <w:pgSz w:w="12240" w:h="15840"/>
          <w:pgMar w:top="1620" w:right="1320" w:bottom="1020" w:left="1320" w:header="720" w:footer="828" w:gutter="0"/>
          <w:cols w:space="720"/>
        </w:sectPr>
      </w:pPr>
    </w:p>
    <w:p w:rsidR="002C6C4F" w:rsidRDefault="002C6C4F">
      <w:pPr>
        <w:pStyle w:val="BodyText"/>
        <w:rPr>
          <w:sz w:val="20"/>
        </w:rPr>
      </w:pPr>
    </w:p>
    <w:p w:rsidR="002C6C4F" w:rsidRDefault="002C6C4F">
      <w:pPr>
        <w:pStyle w:val="BodyText"/>
        <w:rPr>
          <w:sz w:val="20"/>
        </w:rPr>
      </w:pPr>
    </w:p>
    <w:p w:rsidR="002C6C4F" w:rsidRDefault="002C6C4F">
      <w:pPr>
        <w:pStyle w:val="BodyText"/>
        <w:rPr>
          <w:sz w:val="20"/>
        </w:rPr>
      </w:pPr>
    </w:p>
    <w:p w:rsidR="002C6C4F" w:rsidRDefault="002C6C4F">
      <w:pPr>
        <w:pStyle w:val="BodyText"/>
        <w:rPr>
          <w:sz w:val="20"/>
        </w:rPr>
      </w:pPr>
    </w:p>
    <w:p w:rsidR="002C6C4F" w:rsidRDefault="002C6C4F">
      <w:pPr>
        <w:pStyle w:val="BodyText"/>
        <w:spacing w:before="11"/>
        <w:rPr>
          <w:sz w:val="20"/>
        </w:rPr>
      </w:pPr>
    </w:p>
    <w:p w:rsidR="002C6C4F" w:rsidRDefault="005F38F9">
      <w:pPr>
        <w:pStyle w:val="BodyText"/>
        <w:spacing w:before="52" w:line="268" w:lineRule="exact"/>
        <w:ind w:left="120" w:right="125"/>
      </w:pPr>
      <w:r>
        <w:t>NCQA-Accredited plans perform better on</w:t>
      </w:r>
      <w:r>
        <w:t xml:space="preserve"> many Stars measures, including measures of prevention, appropriate treatment and patient experience.</w:t>
      </w:r>
      <w:r>
        <w:rPr>
          <w:position w:val="8"/>
          <w:sz w:val="14"/>
        </w:rPr>
        <w:t xml:space="preserve">4 </w:t>
      </w:r>
      <w:r>
        <w:t>Therefore NCQA Accreditation is a strong proxy for high quality that you could rely on for new plans.</w:t>
      </w:r>
    </w:p>
    <w:p w:rsidR="002C6C4F" w:rsidRDefault="002C6C4F">
      <w:pPr>
        <w:pStyle w:val="BodyText"/>
        <w:spacing w:before="6"/>
      </w:pPr>
    </w:p>
    <w:p w:rsidR="002C6C4F" w:rsidRDefault="005F38F9">
      <w:pPr>
        <w:pStyle w:val="BodyText"/>
        <w:ind w:left="120" w:right="129"/>
      </w:pPr>
      <w:r>
        <w:rPr>
          <w:b/>
        </w:rPr>
        <w:t xml:space="preserve">Physician Experience: </w:t>
      </w:r>
      <w:r>
        <w:t>We believe you should measur</w:t>
      </w:r>
      <w:r>
        <w:t>e and reward plans for the experience they provide to physicians and other clinicians, as plan-clinician relationships are a critical factor in maintaining and improving quality. Clinician experience measures could, for example, assess the frequency and su</w:t>
      </w:r>
      <w:r>
        <w:t>bstance of feedback from plans to providers on gaps in care, resource use, and other quality issues on which plans and clinicians achieve the best results when working together as</w:t>
      </w:r>
      <w:r>
        <w:rPr>
          <w:spacing w:val="-22"/>
        </w:rPr>
        <w:t xml:space="preserve"> </w:t>
      </w:r>
      <w:r>
        <w:t>partners.</w:t>
      </w:r>
    </w:p>
    <w:p w:rsidR="002C6C4F" w:rsidRDefault="002C6C4F">
      <w:pPr>
        <w:pStyle w:val="BodyText"/>
      </w:pPr>
    </w:p>
    <w:p w:rsidR="002C6C4F" w:rsidRDefault="005F38F9">
      <w:pPr>
        <w:pStyle w:val="BodyText"/>
        <w:ind w:left="120" w:right="310"/>
      </w:pPr>
      <w:r>
        <w:rPr>
          <w:b/>
        </w:rPr>
        <w:t xml:space="preserve">Contract Consolidations: </w:t>
      </w:r>
      <w:r>
        <w:t>We, like the Medicare Payment Advisory C</w:t>
      </w:r>
      <w:r>
        <w:t>ommission (MedPAC) and others, believe it is urgently important to change current policy that lets plans apply a higher rating from a remaining contract to lower-rated plans in other states when issuers consolidate contracts. However, using enrollment-weig</w:t>
      </w:r>
      <w:r>
        <w:t>hted averages of scores among consolidating plans would still give lower-rated parts of consolidated contracts higher scores than they have earned. This would mislead enrollees and unfairly skew quality-based bonuses and rebates intended to drive enrollees</w:t>
      </w:r>
      <w:r>
        <w:t xml:space="preserve"> to genuinely higher-rated offerings.</w:t>
      </w:r>
    </w:p>
    <w:p w:rsidR="002C6C4F" w:rsidRDefault="002C6C4F">
      <w:pPr>
        <w:pStyle w:val="BodyText"/>
      </w:pPr>
    </w:p>
    <w:p w:rsidR="002C6C4F" w:rsidRDefault="005F38F9">
      <w:pPr>
        <w:pStyle w:val="BodyText"/>
        <w:ind w:left="120" w:right="537"/>
      </w:pPr>
      <w:r>
        <w:t>A better approach would be to issue contract numbers and base Star ratings at the state level. This would provide a more accurate quality assessment to help beneficiaries make informed choices and better ensure that quality bonuses and rebates drive enroll</w:t>
      </w:r>
      <w:r>
        <w:t>ment to the highest quality offerings.</w:t>
      </w:r>
    </w:p>
    <w:p w:rsidR="002C6C4F" w:rsidRDefault="002C6C4F">
      <w:pPr>
        <w:pStyle w:val="BodyText"/>
      </w:pPr>
    </w:p>
    <w:p w:rsidR="002C6C4F" w:rsidRDefault="005F38F9">
      <w:pPr>
        <w:pStyle w:val="BodyText"/>
        <w:ind w:left="120" w:right="103"/>
      </w:pPr>
      <w:r>
        <w:rPr>
          <w:b/>
        </w:rPr>
        <w:t xml:space="preserve">Adding, Updating &amp; Removing Measures: </w:t>
      </w:r>
      <w:r>
        <w:t xml:space="preserve">We appreciate interest in moving measure updates from sub- regulatory methods to the </w:t>
      </w:r>
      <w:r>
        <w:rPr>
          <w:i/>
        </w:rPr>
        <w:t>Federal Register</w:t>
      </w:r>
      <w:r>
        <w:t>, and related changes in the timeline for changing measures. We also agree it</w:t>
      </w:r>
      <w:r>
        <w:t xml:space="preserve"> is critically important to continue allowing some sub-regulatory changes, such as for updated clinical guidelines or reliability issues. However, you should not put measures on the Display Page for two years when measure stewards decide to update rather t</w:t>
      </w:r>
      <w:r>
        <w:t>han remove them. This will lead to unnecessary gaps in measurement for critically important issues for which plans need to be accountable.</w:t>
      </w:r>
    </w:p>
    <w:p w:rsidR="002C6C4F" w:rsidRDefault="002C6C4F">
      <w:pPr>
        <w:pStyle w:val="BodyText"/>
      </w:pPr>
    </w:p>
    <w:p w:rsidR="002C6C4F" w:rsidRDefault="005F38F9">
      <w:pPr>
        <w:pStyle w:val="BodyText"/>
        <w:ind w:left="120" w:right="272"/>
        <w:jc w:val="both"/>
      </w:pPr>
      <w:r>
        <w:t xml:space="preserve">We recommend moving the </w:t>
      </w:r>
      <w:r>
        <w:rPr>
          <w:i/>
        </w:rPr>
        <w:t xml:space="preserve">Plan All-Cause Readmission </w:t>
      </w:r>
      <w:r>
        <w:t>measure to the display page for measurement year 2019 due to sign</w:t>
      </w:r>
      <w:r>
        <w:t>ificant changes we are considering. We plan to publish these changes in 2018 and then to apply them in measurement year 2019.</w:t>
      </w:r>
    </w:p>
    <w:p w:rsidR="002C6C4F" w:rsidRDefault="002C6C4F">
      <w:pPr>
        <w:pStyle w:val="BodyText"/>
      </w:pPr>
    </w:p>
    <w:p w:rsidR="002C6C4F" w:rsidRDefault="005F38F9">
      <w:pPr>
        <w:pStyle w:val="BodyText"/>
        <w:spacing w:line="268" w:lineRule="exact"/>
        <w:ind w:left="120"/>
      </w:pPr>
      <w:r>
        <w:t>Additional measures for which we plan revisions in the next two years include:</w:t>
      </w:r>
    </w:p>
    <w:p w:rsidR="002C6C4F" w:rsidRDefault="005F38F9">
      <w:pPr>
        <w:pStyle w:val="ListParagraph"/>
        <w:numPr>
          <w:ilvl w:val="1"/>
          <w:numId w:val="17"/>
        </w:numPr>
        <w:tabs>
          <w:tab w:val="left" w:pos="840"/>
          <w:tab w:val="left" w:pos="841"/>
        </w:tabs>
        <w:ind w:right="155"/>
      </w:pPr>
      <w:r>
        <w:rPr>
          <w:i/>
        </w:rPr>
        <w:t>Care for Older Adults Medication Review, Functiona</w:t>
      </w:r>
      <w:r>
        <w:rPr>
          <w:i/>
        </w:rPr>
        <w:t>l Status Assessment and Pain Assessment</w:t>
      </w:r>
      <w:r>
        <w:t>: We are developing a new measure – Health Assessment for People with Multiple High-Risk Chronic Conditions – that would potentially replace the Care for Older Adults measure for HEDIS 2020 (measurement year 2019). If</w:t>
      </w:r>
      <w:r>
        <w:t xml:space="preserve"> approved, we plan to publish these changes in 2018 and to apply them in measurement year 2019 to all Medicare Advantage</w:t>
      </w:r>
      <w:r>
        <w:rPr>
          <w:spacing w:val="-19"/>
        </w:rPr>
        <w:t xml:space="preserve"> </w:t>
      </w:r>
      <w:r>
        <w:t>Plans.</w:t>
      </w:r>
    </w:p>
    <w:p w:rsidR="002C6C4F" w:rsidRDefault="002C6C4F">
      <w:pPr>
        <w:pStyle w:val="BodyText"/>
        <w:rPr>
          <w:sz w:val="20"/>
        </w:rPr>
      </w:pPr>
    </w:p>
    <w:p w:rsidR="002C6C4F" w:rsidRDefault="002C6C4F">
      <w:pPr>
        <w:pStyle w:val="BodyText"/>
        <w:rPr>
          <w:sz w:val="20"/>
        </w:rPr>
      </w:pPr>
    </w:p>
    <w:p w:rsidR="002C6C4F" w:rsidRDefault="005F38F9">
      <w:pPr>
        <w:pStyle w:val="BodyText"/>
        <w:spacing w:before="9"/>
        <w:rPr>
          <w:sz w:val="12"/>
        </w:rPr>
      </w:pPr>
      <w:r>
        <w:pict>
          <v:line id="_x0000_s1026" style="position:absolute;z-index:251660288;mso-wrap-distance-left:0;mso-wrap-distance-right:0;mso-position-horizontal-relative:page" from="1in,10pt" to="216.05pt,10pt" strokeweight=".48pt">
            <w10:wrap type="topAndBottom" anchorx="page"/>
          </v:line>
        </w:pict>
      </w:r>
    </w:p>
    <w:p w:rsidR="002C6C4F" w:rsidRDefault="005F38F9">
      <w:pPr>
        <w:spacing w:before="60"/>
        <w:ind w:left="120"/>
        <w:rPr>
          <w:sz w:val="16"/>
        </w:rPr>
      </w:pPr>
      <w:r>
        <w:rPr>
          <w:rFonts w:ascii="Arial"/>
          <w:position w:val="6"/>
          <w:sz w:val="13"/>
        </w:rPr>
        <w:t xml:space="preserve">4 </w:t>
      </w:r>
      <w:hyperlink r:id="rId14">
        <w:r>
          <w:rPr>
            <w:color w:val="C70F2D"/>
            <w:sz w:val="16"/>
          </w:rPr>
          <w:t>NCQA-Accredited Medicare Advantage Plans Perform Better</w:t>
        </w:r>
      </w:hyperlink>
      <w:r>
        <w:rPr>
          <w:color w:val="C70F2D"/>
          <w:sz w:val="16"/>
        </w:rPr>
        <w:t xml:space="preserve"> </w:t>
      </w:r>
      <w:r>
        <w:rPr>
          <w:sz w:val="16"/>
        </w:rPr>
        <w:t>Fact Sheet, NCQA, 2017.</w:t>
      </w:r>
    </w:p>
    <w:p w:rsidR="002C6C4F" w:rsidRDefault="002C6C4F">
      <w:pPr>
        <w:rPr>
          <w:sz w:val="16"/>
        </w:rPr>
        <w:sectPr w:rsidR="002C6C4F">
          <w:pgSz w:w="12240" w:h="15840"/>
          <w:pgMar w:top="1620" w:right="1320" w:bottom="1020" w:left="1320" w:header="720" w:footer="828" w:gutter="0"/>
          <w:cols w:space="720"/>
        </w:sectPr>
      </w:pPr>
    </w:p>
    <w:p w:rsidR="002C6C4F" w:rsidRDefault="002C6C4F">
      <w:pPr>
        <w:pStyle w:val="BodyText"/>
        <w:rPr>
          <w:sz w:val="20"/>
        </w:rPr>
      </w:pPr>
    </w:p>
    <w:p w:rsidR="002C6C4F" w:rsidRDefault="002C6C4F">
      <w:pPr>
        <w:pStyle w:val="BodyText"/>
        <w:rPr>
          <w:sz w:val="20"/>
        </w:rPr>
      </w:pPr>
    </w:p>
    <w:p w:rsidR="002C6C4F" w:rsidRDefault="002C6C4F">
      <w:pPr>
        <w:pStyle w:val="BodyText"/>
        <w:rPr>
          <w:sz w:val="20"/>
        </w:rPr>
      </w:pPr>
    </w:p>
    <w:p w:rsidR="002C6C4F" w:rsidRDefault="002C6C4F">
      <w:pPr>
        <w:pStyle w:val="BodyText"/>
        <w:rPr>
          <w:sz w:val="20"/>
        </w:rPr>
      </w:pPr>
    </w:p>
    <w:p w:rsidR="002C6C4F" w:rsidRDefault="002C6C4F">
      <w:pPr>
        <w:pStyle w:val="BodyText"/>
        <w:spacing w:before="3"/>
        <w:rPr>
          <w:sz w:val="17"/>
        </w:rPr>
      </w:pPr>
    </w:p>
    <w:p w:rsidR="002C6C4F" w:rsidRDefault="005F38F9">
      <w:pPr>
        <w:pStyle w:val="ListParagraph"/>
        <w:numPr>
          <w:ilvl w:val="0"/>
          <w:numId w:val="1"/>
        </w:numPr>
        <w:tabs>
          <w:tab w:val="left" w:pos="940"/>
          <w:tab w:val="left" w:pos="941"/>
        </w:tabs>
        <w:spacing w:before="101"/>
        <w:ind w:right="208"/>
      </w:pPr>
      <w:r>
        <w:rPr>
          <w:i/>
        </w:rPr>
        <w:t>Controlling Blood Pressure</w:t>
      </w:r>
      <w:r>
        <w:t>: We are updating this measure based on new guidelines published in late 2017 and the changes could be substantial. If approved, we plan to publish the changes in 2018 as part of the HEDIS 2019</w:t>
      </w:r>
      <w:r>
        <w:rPr>
          <w:spacing w:val="-15"/>
        </w:rPr>
        <w:t xml:space="preserve"> </w:t>
      </w:r>
      <w:r>
        <w:t>publication.</w:t>
      </w:r>
    </w:p>
    <w:p w:rsidR="002C6C4F" w:rsidRDefault="005F38F9">
      <w:pPr>
        <w:pStyle w:val="ListParagraph"/>
        <w:numPr>
          <w:ilvl w:val="0"/>
          <w:numId w:val="1"/>
        </w:numPr>
        <w:tabs>
          <w:tab w:val="left" w:pos="940"/>
          <w:tab w:val="left" w:pos="941"/>
        </w:tabs>
        <w:ind w:right="322"/>
      </w:pPr>
      <w:r>
        <w:rPr>
          <w:i/>
        </w:rPr>
        <w:t>Osteoporosis Management</w:t>
      </w:r>
      <w:r>
        <w:rPr>
          <w:i/>
        </w:rPr>
        <w:t xml:space="preserve"> in Women who had a Fracture</w:t>
      </w:r>
      <w:r>
        <w:t>: We are planning to re-evaluate this measure for potentially substantial revisions that we would publish in</w:t>
      </w:r>
      <w:r>
        <w:rPr>
          <w:spacing w:val="-26"/>
        </w:rPr>
        <w:t xml:space="preserve"> </w:t>
      </w:r>
      <w:r>
        <w:t>2019.</w:t>
      </w:r>
    </w:p>
    <w:p w:rsidR="002C6C4F" w:rsidRDefault="005F38F9">
      <w:pPr>
        <w:pStyle w:val="ListParagraph"/>
        <w:numPr>
          <w:ilvl w:val="0"/>
          <w:numId w:val="1"/>
        </w:numPr>
        <w:tabs>
          <w:tab w:val="left" w:pos="940"/>
          <w:tab w:val="left" w:pos="941"/>
        </w:tabs>
        <w:spacing w:before="3"/>
        <w:ind w:right="366"/>
      </w:pPr>
      <w:r>
        <w:rPr>
          <w:i/>
        </w:rPr>
        <w:t>Rheumatoid Arthritis Management</w:t>
      </w:r>
      <w:r>
        <w:t>: We are planning to re-evaluate this measure for potential revisions or retiremen</w:t>
      </w:r>
      <w:r>
        <w:t>t that we also would publish in</w:t>
      </w:r>
      <w:r>
        <w:rPr>
          <w:spacing w:val="-14"/>
        </w:rPr>
        <w:t xml:space="preserve"> </w:t>
      </w:r>
      <w:r>
        <w:t>2019.</w:t>
      </w:r>
    </w:p>
    <w:p w:rsidR="002C6C4F" w:rsidRDefault="005F38F9">
      <w:pPr>
        <w:pStyle w:val="ListParagraph"/>
        <w:numPr>
          <w:ilvl w:val="0"/>
          <w:numId w:val="1"/>
        </w:numPr>
        <w:tabs>
          <w:tab w:val="left" w:pos="940"/>
          <w:tab w:val="left" w:pos="941"/>
        </w:tabs>
        <w:spacing w:before="1"/>
        <w:ind w:right="549"/>
      </w:pPr>
      <w:r>
        <w:rPr>
          <w:i/>
        </w:rPr>
        <w:t>Medication Reconciliation Post-Discharge</w:t>
      </w:r>
      <w:r>
        <w:t>: We plan to retire this measure pending first-year analysis of an identical indicator in the Transitions of Care measure, which should replace</w:t>
      </w:r>
      <w:r>
        <w:rPr>
          <w:spacing w:val="-24"/>
        </w:rPr>
        <w:t xml:space="preserve"> </w:t>
      </w:r>
      <w:r>
        <w:t>it.</w:t>
      </w:r>
    </w:p>
    <w:p w:rsidR="002C6C4F" w:rsidRDefault="005F38F9">
      <w:pPr>
        <w:pStyle w:val="ListParagraph"/>
        <w:numPr>
          <w:ilvl w:val="0"/>
          <w:numId w:val="1"/>
        </w:numPr>
        <w:tabs>
          <w:tab w:val="left" w:pos="940"/>
          <w:tab w:val="left" w:pos="941"/>
        </w:tabs>
        <w:ind w:right="119"/>
      </w:pPr>
      <w:r>
        <w:rPr>
          <w:i/>
        </w:rPr>
        <w:t>Risk of Chronic Opioid Use</w:t>
      </w:r>
      <w:r>
        <w:t>: We</w:t>
      </w:r>
      <w:r>
        <w:t xml:space="preserve"> are developing this measure for HEDIS 2020 (measurement year 2019). If approved, we will publish it in 2019 and it would apply to all Medicare Advantage</w:t>
      </w:r>
      <w:r>
        <w:rPr>
          <w:spacing w:val="-25"/>
        </w:rPr>
        <w:t xml:space="preserve"> </w:t>
      </w:r>
      <w:r>
        <w:t>Plans.</w:t>
      </w:r>
    </w:p>
    <w:p w:rsidR="002C6C4F" w:rsidRDefault="005F38F9">
      <w:pPr>
        <w:pStyle w:val="ListParagraph"/>
        <w:numPr>
          <w:ilvl w:val="0"/>
          <w:numId w:val="1"/>
        </w:numPr>
        <w:tabs>
          <w:tab w:val="left" w:pos="940"/>
          <w:tab w:val="left" w:pos="941"/>
        </w:tabs>
        <w:spacing w:before="2"/>
        <w:ind w:right="249"/>
      </w:pPr>
      <w:r>
        <w:t>We also are developing a measure specified for electronic reporting to assess receipt of recomm</w:t>
      </w:r>
      <w:r>
        <w:t xml:space="preserve">ended adult immunizations. It will incorporate </w:t>
      </w:r>
      <w:r>
        <w:rPr>
          <w:i/>
        </w:rPr>
        <w:t>Pneumococcal Vaccination Coverage for Older Adults</w:t>
      </w:r>
      <w:r>
        <w:t>, which would cease to be a stand-alone</w:t>
      </w:r>
      <w:r>
        <w:rPr>
          <w:spacing w:val="-15"/>
        </w:rPr>
        <w:t xml:space="preserve"> </w:t>
      </w:r>
      <w:r>
        <w:t>measure.</w:t>
      </w:r>
    </w:p>
    <w:p w:rsidR="002C6C4F" w:rsidRDefault="002C6C4F">
      <w:pPr>
        <w:pStyle w:val="BodyText"/>
      </w:pPr>
    </w:p>
    <w:p w:rsidR="002C6C4F" w:rsidRDefault="005F38F9">
      <w:pPr>
        <w:pStyle w:val="BodyText"/>
        <w:ind w:left="220" w:right="112"/>
      </w:pPr>
      <w:r>
        <w:rPr>
          <w:b/>
        </w:rPr>
        <w:t xml:space="preserve">Patient Experience, Complaints &amp; Access Measures: </w:t>
      </w:r>
      <w:r>
        <w:t>We appreciate your interest in potentially increasing the w</w:t>
      </w:r>
      <w:r>
        <w:t>eight for such measures from the current 1.5 to 3. These measures are critically important and could benefit from greater attention from plans that increased weighting generates. However, we encourage you to not move forward on this until we have better me</w:t>
      </w:r>
      <w:r>
        <w:t xml:space="preserve">asures in these areas. The Consumer Assessment of Health Plans Survey (CAHPS) is long and has low responses and long lags in feedback that does not target which enrollees are having what types of problems. Complaint measures also merely assess raw numbers </w:t>
      </w:r>
      <w:r>
        <w:t>and do not yet differentiate between low-level issues, multiple calls from the same enrollee, and other important distinctions. Once we have better measures in these areas, it would make sense to consider increasing the weights.</w:t>
      </w:r>
    </w:p>
    <w:p w:rsidR="002C6C4F" w:rsidRDefault="002C6C4F">
      <w:pPr>
        <w:pStyle w:val="BodyText"/>
      </w:pPr>
    </w:p>
    <w:p w:rsidR="002C6C4F" w:rsidRDefault="005F38F9">
      <w:pPr>
        <w:pStyle w:val="BodyText"/>
        <w:ind w:left="220" w:right="188"/>
      </w:pPr>
      <w:r>
        <w:rPr>
          <w:b/>
        </w:rPr>
        <w:t xml:space="preserve">Meaningful Difference: </w:t>
      </w:r>
      <w:r>
        <w:t xml:space="preserve">We </w:t>
      </w:r>
      <w:r>
        <w:t>do not support the proposal to repeal the “meaningful difference” requirement for plans offered by the same issuer. Allowing issuers to offer plans in the same locations that do not provide substantially different benefit packages could lead to “</w:t>
      </w:r>
      <w:hyperlink r:id="rId15">
        <w:r>
          <w:rPr>
            <w:color w:val="C70F2D"/>
          </w:rPr>
          <w:t>choice overload</w:t>
        </w:r>
      </w:hyperlink>
      <w:r>
        <w:t xml:space="preserve">” and make it difficult for beneficiaries to choose the best plan. Removing the meaningful difference requirement will not enhance competition, as choices </w:t>
      </w:r>
      <w:r>
        <w:t>lacking meaningful difference only foster confusion. It also will not encourage innovation, since true innovation by definition should provide a meaningful difference.</w:t>
      </w:r>
    </w:p>
    <w:p w:rsidR="002C6C4F" w:rsidRDefault="002C6C4F">
      <w:pPr>
        <w:pStyle w:val="BodyText"/>
      </w:pPr>
    </w:p>
    <w:p w:rsidR="002C6C4F" w:rsidRDefault="002C6C4F">
      <w:pPr>
        <w:pStyle w:val="BodyText"/>
        <w:spacing w:before="4"/>
        <w:rPr>
          <w:sz w:val="16"/>
        </w:rPr>
      </w:pPr>
    </w:p>
    <w:p w:rsidR="002C6C4F" w:rsidRDefault="005F38F9">
      <w:pPr>
        <w:pStyle w:val="BodyText"/>
        <w:ind w:left="220" w:right="292"/>
      </w:pPr>
      <w:r>
        <w:t xml:space="preserve">Thank you again for inviting our comments. If you have questions, please contact Paul </w:t>
      </w:r>
      <w:r>
        <w:t xml:space="preserve">Cotton, Director of Federal Affairs, at </w:t>
      </w:r>
      <w:hyperlink r:id="rId16">
        <w:r>
          <w:rPr>
            <w:color w:val="C70F2D"/>
          </w:rPr>
          <w:t>cotton@ncqa.org</w:t>
        </w:r>
      </w:hyperlink>
      <w:r>
        <w:rPr>
          <w:color w:val="C70F2D"/>
        </w:rPr>
        <w:t xml:space="preserve"> </w:t>
      </w:r>
      <w:r>
        <w:t>or (202) 955-5162.</w:t>
      </w:r>
    </w:p>
    <w:p w:rsidR="002C6C4F" w:rsidRDefault="002C6C4F">
      <w:pPr>
        <w:pStyle w:val="BodyText"/>
        <w:spacing w:before="3"/>
        <w:rPr>
          <w:sz w:val="16"/>
        </w:rPr>
      </w:pPr>
    </w:p>
    <w:p w:rsidR="002C6C4F" w:rsidRDefault="005F38F9">
      <w:pPr>
        <w:pStyle w:val="BodyText"/>
        <w:ind w:left="220"/>
      </w:pPr>
      <w:r>
        <w:t>Sincerely,</w:t>
      </w:r>
    </w:p>
    <w:p w:rsidR="002C6C4F" w:rsidRDefault="005F38F9">
      <w:pPr>
        <w:pStyle w:val="BodyText"/>
        <w:spacing w:before="10"/>
        <w:rPr>
          <w:sz w:val="8"/>
        </w:rPr>
      </w:pPr>
      <w:r>
        <w:rPr>
          <w:noProof/>
        </w:rPr>
        <w:drawing>
          <wp:anchor distT="0" distB="0" distL="0" distR="0" simplePos="0" relativeHeight="251656192" behindDoc="0" locked="0" layoutInCell="1" allowOverlap="1">
            <wp:simplePos x="0" y="0"/>
            <wp:positionH relativeFrom="page">
              <wp:posOffset>849630</wp:posOffset>
            </wp:positionH>
            <wp:positionV relativeFrom="paragraph">
              <wp:posOffset>93195</wp:posOffset>
            </wp:positionV>
            <wp:extent cx="1629663" cy="5619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1629663" cy="561975"/>
                    </a:xfrm>
                    <a:prstGeom prst="rect">
                      <a:avLst/>
                    </a:prstGeom>
                  </pic:spPr>
                </pic:pic>
              </a:graphicData>
            </a:graphic>
          </wp:anchor>
        </w:drawing>
      </w:r>
    </w:p>
    <w:p w:rsidR="002C6C4F" w:rsidRDefault="005F38F9">
      <w:pPr>
        <w:pStyle w:val="BodyText"/>
        <w:ind w:left="220"/>
      </w:pPr>
      <w:r>
        <w:t>Margaret O’Kane,</w:t>
      </w:r>
    </w:p>
    <w:p w:rsidR="002C6C4F" w:rsidRDefault="005F38F9">
      <w:pPr>
        <w:pStyle w:val="BodyText"/>
        <w:ind w:left="220"/>
      </w:pPr>
      <w:r>
        <w:t>President</w:t>
      </w:r>
    </w:p>
    <w:p w:rsidR="002C6C4F" w:rsidRDefault="002C6C4F">
      <w:pPr>
        <w:sectPr w:rsidR="002C6C4F">
          <w:pgSz w:w="12240" w:h="15840"/>
          <w:pgMar w:top="1620" w:right="1320" w:bottom="1020" w:left="1220" w:header="720" w:footer="828" w:gutter="0"/>
          <w:cols w:space="720"/>
        </w:sectPr>
      </w:pPr>
    </w:p>
    <w:p w:rsidR="002C6C4F" w:rsidRDefault="002C6C4F">
      <w:pPr>
        <w:pStyle w:val="BodyText"/>
        <w:spacing w:before="6"/>
        <w:rPr>
          <w:sz w:val="14"/>
        </w:rPr>
      </w:pPr>
    </w:p>
    <w:p w:rsidR="002C6C4F" w:rsidRDefault="005F38F9">
      <w:pPr>
        <w:ind w:left="10039" w:right="1502" w:hanging="704"/>
        <w:jc w:val="right"/>
        <w:rPr>
          <w:rFonts w:ascii="Arial"/>
          <w:sz w:val="16"/>
        </w:rPr>
      </w:pPr>
      <w:r>
        <w:rPr>
          <w:noProof/>
        </w:rPr>
        <w:drawing>
          <wp:anchor distT="0" distB="0" distL="0" distR="0" simplePos="0" relativeHeight="251657216" behindDoc="0" locked="0" layoutInCell="1" allowOverlap="1">
            <wp:simplePos x="0" y="0"/>
            <wp:positionH relativeFrom="page">
              <wp:posOffset>851535</wp:posOffset>
            </wp:positionH>
            <wp:positionV relativeFrom="paragraph">
              <wp:posOffset>-108027</wp:posOffset>
            </wp:positionV>
            <wp:extent cx="1364615" cy="80772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1364615" cy="807720"/>
                    </a:xfrm>
                    <a:prstGeom prst="rect">
                      <a:avLst/>
                    </a:prstGeom>
                  </pic:spPr>
                </pic:pic>
              </a:graphicData>
            </a:graphic>
          </wp:anchor>
        </w:drawing>
      </w:r>
      <w:r>
        <w:rPr>
          <w:rFonts w:ascii="Arial"/>
          <w:color w:val="6F7371"/>
          <w:sz w:val="16"/>
        </w:rPr>
        <w:t>1100 13th Street NW, Third Floor</w:t>
      </w:r>
      <w:r>
        <w:rPr>
          <w:rFonts w:ascii="Arial"/>
          <w:color w:val="6F7371"/>
          <w:sz w:val="16"/>
        </w:rPr>
        <w:t xml:space="preserve"> </w:t>
      </w:r>
      <w:r>
        <w:rPr>
          <w:rFonts w:ascii="Arial"/>
          <w:color w:val="6F7371"/>
          <w:sz w:val="16"/>
        </w:rPr>
        <w:t>Washington, DC 20005</w:t>
      </w:r>
    </w:p>
    <w:p w:rsidR="002C6C4F" w:rsidRDefault="005F38F9">
      <w:pPr>
        <w:spacing w:before="120" w:line="183" w:lineRule="exact"/>
        <w:ind w:right="1502"/>
        <w:jc w:val="right"/>
        <w:rPr>
          <w:rFonts w:ascii="Arial"/>
          <w:sz w:val="16"/>
        </w:rPr>
      </w:pPr>
      <w:r>
        <w:rPr>
          <w:rFonts w:ascii="Arial"/>
          <w:b/>
          <w:color w:val="4F758A"/>
          <w:sz w:val="16"/>
        </w:rPr>
        <w:t xml:space="preserve">phone </w:t>
      </w:r>
      <w:r>
        <w:rPr>
          <w:rFonts w:ascii="Arial"/>
          <w:color w:val="6F7371"/>
          <w:sz w:val="16"/>
        </w:rPr>
        <w:t>202.955.3500</w:t>
      </w:r>
    </w:p>
    <w:p w:rsidR="002C6C4F" w:rsidRDefault="005F38F9">
      <w:pPr>
        <w:spacing w:line="183" w:lineRule="exact"/>
        <w:ind w:right="1504"/>
        <w:jc w:val="right"/>
        <w:rPr>
          <w:rFonts w:ascii="Arial"/>
          <w:sz w:val="16"/>
        </w:rPr>
      </w:pPr>
      <w:r>
        <w:rPr>
          <w:rFonts w:ascii="Arial"/>
          <w:b/>
          <w:color w:val="4F758A"/>
          <w:sz w:val="16"/>
        </w:rPr>
        <w:t xml:space="preserve">fax </w:t>
      </w:r>
      <w:r>
        <w:rPr>
          <w:rFonts w:ascii="Arial"/>
          <w:color w:val="6F7371"/>
          <w:sz w:val="16"/>
        </w:rPr>
        <w:t>202.955.3599</w:t>
      </w:r>
    </w:p>
    <w:p w:rsidR="002C6C4F" w:rsidRDefault="005F38F9">
      <w:pPr>
        <w:spacing w:before="1"/>
        <w:ind w:right="1505"/>
        <w:jc w:val="right"/>
        <w:rPr>
          <w:rFonts w:ascii="Arial"/>
          <w:sz w:val="16"/>
        </w:rPr>
      </w:pPr>
      <w:hyperlink r:id="rId18">
        <w:r>
          <w:rPr>
            <w:rFonts w:ascii="Arial"/>
            <w:color w:val="6F7371"/>
            <w:sz w:val="16"/>
          </w:rPr>
          <w:t>www.ncqa.org</w:t>
        </w:r>
      </w:hyperlink>
    </w:p>
    <w:p w:rsidR="002C6C4F" w:rsidRDefault="002C6C4F">
      <w:pPr>
        <w:pStyle w:val="BodyText"/>
        <w:rPr>
          <w:rFonts w:ascii="Arial"/>
          <w:sz w:val="20"/>
        </w:rPr>
      </w:pPr>
    </w:p>
    <w:p w:rsidR="002C6C4F" w:rsidRDefault="002C6C4F">
      <w:pPr>
        <w:pStyle w:val="BodyText"/>
        <w:spacing w:before="1"/>
        <w:rPr>
          <w:rFonts w:ascii="Arial"/>
          <w:sz w:val="20"/>
        </w:rPr>
      </w:pPr>
    </w:p>
    <w:p w:rsidR="002C6C4F" w:rsidRDefault="005F38F9">
      <w:pPr>
        <w:ind w:left="200"/>
        <w:rPr>
          <w:b/>
          <w:sz w:val="20"/>
        </w:rPr>
      </w:pPr>
      <w:r>
        <w:rPr>
          <w:b/>
          <w:sz w:val="20"/>
        </w:rPr>
        <w:t>Appendix A: Healthcare Effectiveness Data and Information Set (HEDIS) Mental Health &amp; Behavioral Measures</w:t>
      </w:r>
    </w:p>
    <w:p w:rsidR="002C6C4F" w:rsidRDefault="002C6C4F">
      <w:pPr>
        <w:pStyle w:val="BodyText"/>
        <w:spacing w:before="8" w:after="1"/>
        <w:rPr>
          <w:b/>
          <w:sz w:val="19"/>
        </w:rPr>
      </w:pPr>
    </w:p>
    <w:tbl>
      <w:tblPr>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072"/>
        <w:gridCol w:w="1440"/>
        <w:gridCol w:w="1169"/>
        <w:gridCol w:w="2071"/>
        <w:gridCol w:w="3961"/>
      </w:tblGrid>
      <w:tr w:rsidR="002C6C4F">
        <w:trPr>
          <w:trHeight w:hRule="exact" w:val="499"/>
        </w:trPr>
        <w:tc>
          <w:tcPr>
            <w:tcW w:w="2156" w:type="dxa"/>
          </w:tcPr>
          <w:p w:rsidR="002C6C4F" w:rsidRDefault="005F38F9">
            <w:pPr>
              <w:pStyle w:val="TableParagraph"/>
              <w:rPr>
                <w:sz w:val="20"/>
              </w:rPr>
            </w:pPr>
            <w:r>
              <w:rPr>
                <w:sz w:val="20"/>
              </w:rPr>
              <w:t>Domain</w:t>
            </w:r>
          </w:p>
        </w:tc>
        <w:tc>
          <w:tcPr>
            <w:tcW w:w="2072" w:type="dxa"/>
          </w:tcPr>
          <w:p w:rsidR="002C6C4F" w:rsidRDefault="005F38F9">
            <w:pPr>
              <w:pStyle w:val="TableParagraph"/>
              <w:rPr>
                <w:sz w:val="20"/>
              </w:rPr>
            </w:pPr>
            <w:r>
              <w:rPr>
                <w:sz w:val="20"/>
              </w:rPr>
              <w:t>Measure</w:t>
            </w:r>
          </w:p>
        </w:tc>
        <w:tc>
          <w:tcPr>
            <w:tcW w:w="1440" w:type="dxa"/>
          </w:tcPr>
          <w:p w:rsidR="002C6C4F" w:rsidRDefault="005F38F9">
            <w:pPr>
              <w:pStyle w:val="TableParagraph"/>
              <w:ind w:left="100"/>
              <w:rPr>
                <w:sz w:val="20"/>
              </w:rPr>
            </w:pPr>
            <w:r>
              <w:rPr>
                <w:sz w:val="20"/>
              </w:rPr>
              <w:t>Status</w:t>
            </w:r>
          </w:p>
        </w:tc>
        <w:tc>
          <w:tcPr>
            <w:tcW w:w="1169" w:type="dxa"/>
          </w:tcPr>
          <w:p w:rsidR="002C6C4F" w:rsidRDefault="005F38F9">
            <w:pPr>
              <w:pStyle w:val="TableParagraph"/>
              <w:ind w:left="100" w:right="483"/>
              <w:rPr>
                <w:sz w:val="20"/>
              </w:rPr>
            </w:pPr>
            <w:r>
              <w:rPr>
                <w:sz w:val="20"/>
              </w:rPr>
              <w:t>Data Source</w:t>
            </w:r>
          </w:p>
        </w:tc>
        <w:tc>
          <w:tcPr>
            <w:tcW w:w="2071" w:type="dxa"/>
          </w:tcPr>
          <w:p w:rsidR="002C6C4F" w:rsidRDefault="005F38F9">
            <w:pPr>
              <w:pStyle w:val="TableParagraph"/>
              <w:rPr>
                <w:sz w:val="20"/>
              </w:rPr>
            </w:pPr>
            <w:r>
              <w:rPr>
                <w:sz w:val="20"/>
              </w:rPr>
              <w:t>Denominator</w:t>
            </w:r>
          </w:p>
        </w:tc>
        <w:tc>
          <w:tcPr>
            <w:tcW w:w="3961" w:type="dxa"/>
          </w:tcPr>
          <w:p w:rsidR="002C6C4F" w:rsidRDefault="005F38F9">
            <w:pPr>
              <w:pStyle w:val="TableParagraph"/>
              <w:ind w:left="100"/>
              <w:rPr>
                <w:sz w:val="20"/>
              </w:rPr>
            </w:pPr>
            <w:r>
              <w:rPr>
                <w:sz w:val="20"/>
              </w:rPr>
              <w:t>Numerator</w:t>
            </w:r>
          </w:p>
        </w:tc>
      </w:tr>
      <w:tr w:rsidR="002C6C4F">
        <w:trPr>
          <w:trHeight w:hRule="exact" w:val="1232"/>
        </w:trPr>
        <w:tc>
          <w:tcPr>
            <w:tcW w:w="2156" w:type="dxa"/>
            <w:vMerge w:val="restart"/>
          </w:tcPr>
          <w:p w:rsidR="002C6C4F" w:rsidRDefault="005F38F9">
            <w:pPr>
              <w:pStyle w:val="TableParagraph"/>
              <w:spacing w:before="2"/>
              <w:rPr>
                <w:sz w:val="20"/>
              </w:rPr>
            </w:pPr>
            <w:r>
              <w:rPr>
                <w:sz w:val="20"/>
              </w:rPr>
              <w:t>Screening</w:t>
            </w:r>
          </w:p>
        </w:tc>
        <w:tc>
          <w:tcPr>
            <w:tcW w:w="2072" w:type="dxa"/>
          </w:tcPr>
          <w:p w:rsidR="002C6C4F" w:rsidRDefault="005F38F9">
            <w:pPr>
              <w:pStyle w:val="TableParagraph"/>
              <w:spacing w:before="2"/>
              <w:ind w:right="202"/>
              <w:rPr>
                <w:sz w:val="20"/>
              </w:rPr>
            </w:pPr>
            <w:r>
              <w:rPr>
                <w:sz w:val="20"/>
              </w:rPr>
              <w:t>Depression screening and follow up</w:t>
            </w:r>
          </w:p>
        </w:tc>
        <w:tc>
          <w:tcPr>
            <w:tcW w:w="1440" w:type="dxa"/>
          </w:tcPr>
          <w:p w:rsidR="002C6C4F" w:rsidRDefault="005F38F9">
            <w:pPr>
              <w:pStyle w:val="TableParagraph"/>
              <w:spacing w:before="2"/>
              <w:ind w:left="100"/>
              <w:rPr>
                <w:sz w:val="20"/>
              </w:rPr>
            </w:pPr>
            <w:r>
              <w:rPr>
                <w:sz w:val="20"/>
              </w:rPr>
              <w:t>In HEDIS</w:t>
            </w:r>
          </w:p>
        </w:tc>
        <w:tc>
          <w:tcPr>
            <w:tcW w:w="1169" w:type="dxa"/>
          </w:tcPr>
          <w:p w:rsidR="002C6C4F" w:rsidRDefault="005F38F9">
            <w:pPr>
              <w:pStyle w:val="TableParagraph"/>
              <w:spacing w:before="2"/>
              <w:ind w:left="100" w:right="234"/>
              <w:rPr>
                <w:sz w:val="20"/>
              </w:rPr>
            </w:pPr>
            <w:r>
              <w:rPr>
                <w:sz w:val="20"/>
              </w:rPr>
              <w:t>Electronic Clinical Data Source (ECDS)</w:t>
            </w:r>
          </w:p>
        </w:tc>
        <w:tc>
          <w:tcPr>
            <w:tcW w:w="2071" w:type="dxa"/>
          </w:tcPr>
          <w:p w:rsidR="002C6C4F" w:rsidRDefault="005F38F9">
            <w:pPr>
              <w:pStyle w:val="TableParagraph"/>
              <w:spacing w:before="2"/>
              <w:rPr>
                <w:sz w:val="20"/>
              </w:rPr>
            </w:pPr>
            <w:r>
              <w:rPr>
                <w:sz w:val="20"/>
              </w:rPr>
              <w:t>Members 12 years of age and older.</w:t>
            </w:r>
          </w:p>
        </w:tc>
        <w:tc>
          <w:tcPr>
            <w:tcW w:w="3961" w:type="dxa"/>
          </w:tcPr>
          <w:p w:rsidR="002C6C4F" w:rsidRDefault="005F38F9">
            <w:pPr>
              <w:pStyle w:val="TableParagraph"/>
              <w:spacing w:before="2"/>
              <w:ind w:left="100" w:right="96"/>
              <w:rPr>
                <w:sz w:val="20"/>
              </w:rPr>
            </w:pPr>
            <w:r>
              <w:rPr>
                <w:sz w:val="20"/>
              </w:rPr>
              <w:t>Members who were screened for clinical depression using a standardized tool and received appropriate follow-up care if screened positive.</w:t>
            </w:r>
          </w:p>
        </w:tc>
      </w:tr>
      <w:tr w:rsidR="002C6C4F">
        <w:trPr>
          <w:trHeight w:hRule="exact" w:val="742"/>
        </w:trPr>
        <w:tc>
          <w:tcPr>
            <w:tcW w:w="2156" w:type="dxa"/>
            <w:vMerge/>
          </w:tcPr>
          <w:p w:rsidR="002C6C4F" w:rsidRDefault="002C6C4F"/>
        </w:tc>
        <w:tc>
          <w:tcPr>
            <w:tcW w:w="2072" w:type="dxa"/>
          </w:tcPr>
          <w:p w:rsidR="002C6C4F" w:rsidRDefault="005F38F9">
            <w:pPr>
              <w:pStyle w:val="TableParagraph"/>
              <w:rPr>
                <w:sz w:val="20"/>
              </w:rPr>
            </w:pPr>
            <w:r>
              <w:rPr>
                <w:sz w:val="20"/>
              </w:rPr>
              <w:t>Alcohol screening and brief intervention</w:t>
            </w:r>
          </w:p>
        </w:tc>
        <w:tc>
          <w:tcPr>
            <w:tcW w:w="1440" w:type="dxa"/>
          </w:tcPr>
          <w:p w:rsidR="002C6C4F" w:rsidRDefault="005F38F9">
            <w:pPr>
              <w:pStyle w:val="TableParagraph"/>
              <w:ind w:left="100"/>
              <w:rPr>
                <w:sz w:val="20"/>
              </w:rPr>
            </w:pPr>
            <w:r>
              <w:rPr>
                <w:sz w:val="20"/>
              </w:rPr>
              <w:t>In HEDIS</w:t>
            </w:r>
          </w:p>
        </w:tc>
        <w:tc>
          <w:tcPr>
            <w:tcW w:w="1169" w:type="dxa"/>
          </w:tcPr>
          <w:p w:rsidR="002C6C4F" w:rsidRDefault="005F38F9">
            <w:pPr>
              <w:pStyle w:val="TableParagraph"/>
              <w:ind w:left="100"/>
              <w:rPr>
                <w:sz w:val="20"/>
              </w:rPr>
            </w:pPr>
            <w:r>
              <w:rPr>
                <w:sz w:val="20"/>
              </w:rPr>
              <w:t>ECDS</w:t>
            </w:r>
          </w:p>
        </w:tc>
        <w:tc>
          <w:tcPr>
            <w:tcW w:w="2071" w:type="dxa"/>
          </w:tcPr>
          <w:p w:rsidR="002C6C4F" w:rsidRDefault="005F38F9">
            <w:pPr>
              <w:pStyle w:val="TableParagraph"/>
              <w:rPr>
                <w:sz w:val="20"/>
              </w:rPr>
            </w:pPr>
            <w:r>
              <w:rPr>
                <w:sz w:val="20"/>
              </w:rPr>
              <w:t>Members 18 years of age and older.</w:t>
            </w:r>
          </w:p>
        </w:tc>
        <w:tc>
          <w:tcPr>
            <w:tcW w:w="3961" w:type="dxa"/>
          </w:tcPr>
          <w:p w:rsidR="002C6C4F" w:rsidRDefault="005F38F9">
            <w:pPr>
              <w:pStyle w:val="TableParagraph"/>
              <w:ind w:left="100"/>
              <w:rPr>
                <w:sz w:val="20"/>
              </w:rPr>
            </w:pPr>
            <w:r>
              <w:rPr>
                <w:sz w:val="20"/>
              </w:rPr>
              <w:t>Members who had a systematic screening for unhealthy alcohol use and received brief intervention if screened positive.</w:t>
            </w:r>
          </w:p>
        </w:tc>
      </w:tr>
      <w:tr w:rsidR="002C6C4F">
        <w:trPr>
          <w:trHeight w:hRule="exact" w:val="1232"/>
        </w:trPr>
        <w:tc>
          <w:tcPr>
            <w:tcW w:w="2156" w:type="dxa"/>
          </w:tcPr>
          <w:p w:rsidR="002C6C4F" w:rsidRDefault="005F38F9">
            <w:pPr>
              <w:pStyle w:val="TableParagraph"/>
              <w:rPr>
                <w:sz w:val="20"/>
              </w:rPr>
            </w:pPr>
            <w:r>
              <w:rPr>
                <w:sz w:val="20"/>
              </w:rPr>
              <w:t>Symptom Monitoring</w:t>
            </w:r>
          </w:p>
        </w:tc>
        <w:tc>
          <w:tcPr>
            <w:tcW w:w="2072" w:type="dxa"/>
          </w:tcPr>
          <w:p w:rsidR="002C6C4F" w:rsidRDefault="005F38F9">
            <w:pPr>
              <w:pStyle w:val="TableParagraph"/>
              <w:ind w:right="110"/>
              <w:rPr>
                <w:sz w:val="20"/>
              </w:rPr>
            </w:pPr>
            <w:r>
              <w:rPr>
                <w:sz w:val="20"/>
              </w:rPr>
              <w:t>Utilization of the PHQ- 9 to Monitor Depression Symptoms for Adolescents and Adults</w:t>
            </w:r>
          </w:p>
        </w:tc>
        <w:tc>
          <w:tcPr>
            <w:tcW w:w="1440" w:type="dxa"/>
          </w:tcPr>
          <w:p w:rsidR="002C6C4F" w:rsidRDefault="005F38F9">
            <w:pPr>
              <w:pStyle w:val="TableParagraph"/>
              <w:ind w:left="100"/>
              <w:rPr>
                <w:sz w:val="20"/>
              </w:rPr>
            </w:pPr>
            <w:r>
              <w:rPr>
                <w:sz w:val="20"/>
              </w:rPr>
              <w:t>In HEDIS</w:t>
            </w:r>
          </w:p>
        </w:tc>
        <w:tc>
          <w:tcPr>
            <w:tcW w:w="1169" w:type="dxa"/>
          </w:tcPr>
          <w:p w:rsidR="002C6C4F" w:rsidRDefault="005F38F9">
            <w:pPr>
              <w:pStyle w:val="TableParagraph"/>
              <w:ind w:left="100"/>
              <w:rPr>
                <w:sz w:val="20"/>
              </w:rPr>
            </w:pPr>
            <w:r>
              <w:rPr>
                <w:sz w:val="20"/>
              </w:rPr>
              <w:t>ECDS</w:t>
            </w:r>
          </w:p>
        </w:tc>
        <w:tc>
          <w:tcPr>
            <w:tcW w:w="2071" w:type="dxa"/>
          </w:tcPr>
          <w:p w:rsidR="002C6C4F" w:rsidRDefault="005F38F9">
            <w:pPr>
              <w:pStyle w:val="TableParagraph"/>
              <w:rPr>
                <w:sz w:val="20"/>
              </w:rPr>
            </w:pPr>
            <w:r>
              <w:rPr>
                <w:sz w:val="20"/>
              </w:rPr>
              <w:t>Members 12 years of age and older with a diagnosis of major depression or dysthymia.</w:t>
            </w:r>
          </w:p>
        </w:tc>
        <w:tc>
          <w:tcPr>
            <w:tcW w:w="3961" w:type="dxa"/>
          </w:tcPr>
          <w:p w:rsidR="002C6C4F" w:rsidRDefault="005F38F9">
            <w:pPr>
              <w:pStyle w:val="TableParagraph"/>
              <w:ind w:left="100" w:right="96"/>
              <w:rPr>
                <w:sz w:val="20"/>
              </w:rPr>
            </w:pPr>
            <w:r>
              <w:rPr>
                <w:sz w:val="20"/>
              </w:rPr>
              <w:t>Members who had a PHQ-9 tool administered at least once during a four-month period.</w:t>
            </w:r>
          </w:p>
        </w:tc>
      </w:tr>
      <w:tr w:rsidR="002C6C4F">
        <w:trPr>
          <w:trHeight w:hRule="exact" w:val="1231"/>
        </w:trPr>
        <w:tc>
          <w:tcPr>
            <w:tcW w:w="2156" w:type="dxa"/>
            <w:vMerge w:val="restart"/>
          </w:tcPr>
          <w:p w:rsidR="002C6C4F" w:rsidRDefault="005F38F9">
            <w:pPr>
              <w:pStyle w:val="TableParagraph"/>
              <w:rPr>
                <w:sz w:val="20"/>
              </w:rPr>
            </w:pPr>
            <w:r>
              <w:rPr>
                <w:sz w:val="20"/>
              </w:rPr>
              <w:t>Medication adherence</w:t>
            </w:r>
          </w:p>
        </w:tc>
        <w:tc>
          <w:tcPr>
            <w:tcW w:w="2072" w:type="dxa"/>
          </w:tcPr>
          <w:p w:rsidR="002C6C4F" w:rsidRDefault="005F38F9">
            <w:pPr>
              <w:pStyle w:val="TableParagraph"/>
              <w:rPr>
                <w:sz w:val="20"/>
              </w:rPr>
            </w:pPr>
            <w:r>
              <w:rPr>
                <w:sz w:val="20"/>
              </w:rPr>
              <w:t>Adherence to antipsychotic medications for individuals with schizophrenia</w:t>
            </w:r>
          </w:p>
        </w:tc>
        <w:tc>
          <w:tcPr>
            <w:tcW w:w="1440" w:type="dxa"/>
          </w:tcPr>
          <w:p w:rsidR="002C6C4F" w:rsidRDefault="005F38F9">
            <w:pPr>
              <w:pStyle w:val="TableParagraph"/>
              <w:ind w:left="100"/>
              <w:rPr>
                <w:sz w:val="20"/>
              </w:rPr>
            </w:pPr>
            <w:r>
              <w:rPr>
                <w:sz w:val="20"/>
              </w:rPr>
              <w:t>In HEDIS</w:t>
            </w:r>
          </w:p>
        </w:tc>
        <w:tc>
          <w:tcPr>
            <w:tcW w:w="1169" w:type="dxa"/>
          </w:tcPr>
          <w:p w:rsidR="002C6C4F" w:rsidRDefault="005F38F9">
            <w:pPr>
              <w:pStyle w:val="TableParagraph"/>
              <w:ind w:left="100"/>
              <w:rPr>
                <w:sz w:val="20"/>
              </w:rPr>
            </w:pPr>
            <w:r>
              <w:rPr>
                <w:sz w:val="20"/>
              </w:rPr>
              <w:t>Claims</w:t>
            </w:r>
          </w:p>
        </w:tc>
        <w:tc>
          <w:tcPr>
            <w:tcW w:w="2071" w:type="dxa"/>
          </w:tcPr>
          <w:p w:rsidR="002C6C4F" w:rsidRDefault="005F38F9">
            <w:pPr>
              <w:pStyle w:val="TableParagraph"/>
              <w:ind w:right="126"/>
              <w:rPr>
                <w:sz w:val="20"/>
              </w:rPr>
            </w:pPr>
            <w:r>
              <w:rPr>
                <w:sz w:val="20"/>
              </w:rPr>
              <w:t>Members 19–64 years of age with schizophrenia.</w:t>
            </w:r>
          </w:p>
        </w:tc>
        <w:tc>
          <w:tcPr>
            <w:tcW w:w="3961" w:type="dxa"/>
          </w:tcPr>
          <w:p w:rsidR="002C6C4F" w:rsidRDefault="005F38F9">
            <w:pPr>
              <w:pStyle w:val="TableParagraph"/>
              <w:ind w:left="100"/>
              <w:rPr>
                <w:sz w:val="20"/>
              </w:rPr>
            </w:pPr>
            <w:r>
              <w:rPr>
                <w:sz w:val="20"/>
              </w:rPr>
              <w:t>Members who a</w:t>
            </w:r>
            <w:r>
              <w:rPr>
                <w:sz w:val="20"/>
              </w:rPr>
              <w:t>chieved a PDC of at least 80% for their antipsychotic medications.</w:t>
            </w:r>
          </w:p>
        </w:tc>
      </w:tr>
      <w:tr w:rsidR="002C6C4F">
        <w:trPr>
          <w:trHeight w:hRule="exact" w:val="2717"/>
        </w:trPr>
        <w:tc>
          <w:tcPr>
            <w:tcW w:w="2156" w:type="dxa"/>
            <w:vMerge/>
          </w:tcPr>
          <w:p w:rsidR="002C6C4F" w:rsidRDefault="002C6C4F"/>
        </w:tc>
        <w:tc>
          <w:tcPr>
            <w:tcW w:w="2072" w:type="dxa"/>
          </w:tcPr>
          <w:p w:rsidR="002C6C4F" w:rsidRDefault="005F38F9">
            <w:pPr>
              <w:pStyle w:val="TableParagraph"/>
              <w:spacing w:before="0"/>
              <w:rPr>
                <w:sz w:val="20"/>
              </w:rPr>
            </w:pPr>
            <w:r>
              <w:rPr>
                <w:w w:val="95"/>
                <w:sz w:val="20"/>
              </w:rPr>
              <w:t xml:space="preserve">Antidepressant </w:t>
            </w:r>
            <w:r>
              <w:rPr>
                <w:sz w:val="20"/>
              </w:rPr>
              <w:t>medication management</w:t>
            </w:r>
          </w:p>
        </w:tc>
        <w:tc>
          <w:tcPr>
            <w:tcW w:w="1440" w:type="dxa"/>
          </w:tcPr>
          <w:p w:rsidR="002C6C4F" w:rsidRDefault="005F38F9">
            <w:pPr>
              <w:pStyle w:val="TableParagraph"/>
              <w:spacing w:before="0" w:line="243" w:lineRule="exact"/>
              <w:ind w:left="100"/>
              <w:rPr>
                <w:sz w:val="20"/>
              </w:rPr>
            </w:pPr>
            <w:r>
              <w:rPr>
                <w:sz w:val="20"/>
              </w:rPr>
              <w:t>In HEDIS</w:t>
            </w:r>
          </w:p>
        </w:tc>
        <w:tc>
          <w:tcPr>
            <w:tcW w:w="1169" w:type="dxa"/>
          </w:tcPr>
          <w:p w:rsidR="002C6C4F" w:rsidRDefault="005F38F9">
            <w:pPr>
              <w:pStyle w:val="TableParagraph"/>
              <w:spacing w:before="0" w:line="243" w:lineRule="exact"/>
              <w:ind w:left="100"/>
              <w:rPr>
                <w:sz w:val="20"/>
              </w:rPr>
            </w:pPr>
            <w:r>
              <w:rPr>
                <w:sz w:val="20"/>
              </w:rPr>
              <w:t>Claims</w:t>
            </w:r>
          </w:p>
        </w:tc>
        <w:tc>
          <w:tcPr>
            <w:tcW w:w="2071" w:type="dxa"/>
          </w:tcPr>
          <w:p w:rsidR="002C6C4F" w:rsidRDefault="005F38F9">
            <w:pPr>
              <w:pStyle w:val="TableParagraph"/>
              <w:spacing w:before="0"/>
              <w:ind w:right="181"/>
              <w:rPr>
                <w:sz w:val="20"/>
              </w:rPr>
            </w:pPr>
            <w:r>
              <w:rPr>
                <w:sz w:val="20"/>
              </w:rPr>
              <w:t>Members 18 years of age and older who were treated with antidepressant medication and had a diagnosis of major depression.</w:t>
            </w:r>
          </w:p>
        </w:tc>
        <w:tc>
          <w:tcPr>
            <w:tcW w:w="3961" w:type="dxa"/>
          </w:tcPr>
          <w:p w:rsidR="002C6C4F" w:rsidRDefault="005F38F9">
            <w:pPr>
              <w:pStyle w:val="TableParagraph"/>
              <w:numPr>
                <w:ilvl w:val="0"/>
                <w:numId w:val="16"/>
              </w:numPr>
              <w:tabs>
                <w:tab w:val="left" w:pos="460"/>
                <w:tab w:val="left" w:pos="461"/>
              </w:tabs>
              <w:spacing w:before="0"/>
              <w:ind w:right="182"/>
              <w:rPr>
                <w:sz w:val="20"/>
              </w:rPr>
            </w:pPr>
            <w:r>
              <w:rPr>
                <w:sz w:val="20"/>
              </w:rPr>
              <w:t>Initiation Phase. Members who had at least 84 days of continuous treatment with antidepressant medication beginning on the index prescription</w:t>
            </w:r>
            <w:r>
              <w:rPr>
                <w:spacing w:val="-17"/>
                <w:sz w:val="20"/>
              </w:rPr>
              <w:t xml:space="preserve"> </w:t>
            </w:r>
            <w:r>
              <w:rPr>
                <w:sz w:val="20"/>
              </w:rPr>
              <w:t>start date (IPSD) through 114 days after the IPSD.</w:t>
            </w:r>
          </w:p>
          <w:p w:rsidR="002C6C4F" w:rsidRDefault="005F38F9">
            <w:pPr>
              <w:pStyle w:val="TableParagraph"/>
              <w:numPr>
                <w:ilvl w:val="0"/>
                <w:numId w:val="16"/>
              </w:numPr>
              <w:tabs>
                <w:tab w:val="left" w:pos="460"/>
                <w:tab w:val="left" w:pos="461"/>
              </w:tabs>
              <w:spacing w:before="0"/>
              <w:ind w:right="276"/>
              <w:rPr>
                <w:sz w:val="20"/>
              </w:rPr>
            </w:pPr>
            <w:r>
              <w:rPr>
                <w:sz w:val="20"/>
              </w:rPr>
              <w:t>Continuation Phase. Members who</w:t>
            </w:r>
            <w:r>
              <w:rPr>
                <w:spacing w:val="-14"/>
                <w:sz w:val="20"/>
              </w:rPr>
              <w:t xml:space="preserve"> </w:t>
            </w:r>
            <w:r>
              <w:rPr>
                <w:sz w:val="20"/>
              </w:rPr>
              <w:t>had at least 180 days of continuous treatment with antidepressant medication beginning on the IPSD through 231 days after the</w:t>
            </w:r>
            <w:r>
              <w:rPr>
                <w:spacing w:val="-12"/>
                <w:sz w:val="20"/>
              </w:rPr>
              <w:t xml:space="preserve"> </w:t>
            </w:r>
            <w:r>
              <w:rPr>
                <w:sz w:val="20"/>
              </w:rPr>
              <w:t>IPSD.</w:t>
            </w:r>
          </w:p>
        </w:tc>
      </w:tr>
    </w:tbl>
    <w:p w:rsidR="002C6C4F" w:rsidRDefault="002C6C4F">
      <w:pPr>
        <w:pStyle w:val="BodyText"/>
        <w:rPr>
          <w:b/>
          <w:sz w:val="20"/>
        </w:rPr>
      </w:pPr>
    </w:p>
    <w:p w:rsidR="002C6C4F" w:rsidRDefault="002C6C4F">
      <w:pPr>
        <w:pStyle w:val="BodyText"/>
        <w:spacing w:before="7"/>
        <w:rPr>
          <w:b/>
          <w:sz w:val="16"/>
        </w:rPr>
      </w:pPr>
    </w:p>
    <w:p w:rsidR="002C6C4F" w:rsidRDefault="005F38F9">
      <w:pPr>
        <w:ind w:right="1304"/>
        <w:jc w:val="center"/>
        <w:rPr>
          <w:rFonts w:ascii="Arial"/>
          <w:sz w:val="20"/>
        </w:rPr>
      </w:pPr>
      <w:r>
        <w:rPr>
          <w:rFonts w:ascii="Arial"/>
          <w:color w:val="4F81BC"/>
          <w:w w:val="99"/>
          <w:sz w:val="20"/>
        </w:rPr>
        <w:t>7</w:t>
      </w:r>
    </w:p>
    <w:p w:rsidR="002C6C4F" w:rsidRDefault="002C6C4F">
      <w:pPr>
        <w:jc w:val="center"/>
        <w:rPr>
          <w:rFonts w:ascii="Arial"/>
          <w:sz w:val="20"/>
        </w:rPr>
        <w:sectPr w:rsidR="002C6C4F">
          <w:headerReference w:type="default" r:id="rId19"/>
          <w:footerReference w:type="default" r:id="rId20"/>
          <w:pgSz w:w="15840" w:h="12240" w:orient="landscape"/>
          <w:pgMar w:top="700" w:right="1400" w:bottom="280" w:left="1240" w:header="0" w:footer="0"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072"/>
        <w:gridCol w:w="1440"/>
        <w:gridCol w:w="1169"/>
        <w:gridCol w:w="2071"/>
        <w:gridCol w:w="3961"/>
      </w:tblGrid>
      <w:tr w:rsidR="002C6C4F">
        <w:trPr>
          <w:trHeight w:hRule="exact" w:val="3452"/>
        </w:trPr>
        <w:tc>
          <w:tcPr>
            <w:tcW w:w="2156" w:type="dxa"/>
          </w:tcPr>
          <w:p w:rsidR="002C6C4F" w:rsidRDefault="005F38F9">
            <w:pPr>
              <w:pStyle w:val="TableParagraph"/>
              <w:ind w:right="110"/>
              <w:rPr>
                <w:sz w:val="20"/>
              </w:rPr>
            </w:pPr>
            <w:r>
              <w:rPr>
                <w:sz w:val="20"/>
              </w:rPr>
              <w:lastRenderedPageBreak/>
              <w:t xml:space="preserve">Medication </w:t>
            </w:r>
            <w:r>
              <w:rPr>
                <w:w w:val="95"/>
                <w:sz w:val="20"/>
              </w:rPr>
              <w:t>management</w:t>
            </w:r>
          </w:p>
        </w:tc>
        <w:tc>
          <w:tcPr>
            <w:tcW w:w="2072" w:type="dxa"/>
          </w:tcPr>
          <w:p w:rsidR="002C6C4F" w:rsidRDefault="005F38F9">
            <w:pPr>
              <w:pStyle w:val="TableParagraph"/>
              <w:rPr>
                <w:sz w:val="20"/>
              </w:rPr>
            </w:pPr>
            <w:r>
              <w:rPr>
                <w:sz w:val="20"/>
              </w:rPr>
              <w:t>Follow-up care for children prescribed ADHD medication</w:t>
            </w:r>
          </w:p>
        </w:tc>
        <w:tc>
          <w:tcPr>
            <w:tcW w:w="1440" w:type="dxa"/>
          </w:tcPr>
          <w:p w:rsidR="002C6C4F" w:rsidRDefault="005F38F9">
            <w:pPr>
              <w:pStyle w:val="TableParagraph"/>
              <w:ind w:left="100"/>
              <w:rPr>
                <w:sz w:val="20"/>
              </w:rPr>
            </w:pPr>
            <w:r>
              <w:rPr>
                <w:sz w:val="20"/>
              </w:rPr>
              <w:t>In HEDIS</w:t>
            </w:r>
          </w:p>
        </w:tc>
        <w:tc>
          <w:tcPr>
            <w:tcW w:w="1169" w:type="dxa"/>
          </w:tcPr>
          <w:p w:rsidR="002C6C4F" w:rsidRDefault="005F38F9">
            <w:pPr>
              <w:pStyle w:val="TableParagraph"/>
              <w:ind w:left="100"/>
              <w:rPr>
                <w:sz w:val="20"/>
              </w:rPr>
            </w:pPr>
            <w:r>
              <w:rPr>
                <w:sz w:val="20"/>
              </w:rPr>
              <w:t>Claims</w:t>
            </w:r>
          </w:p>
        </w:tc>
        <w:tc>
          <w:tcPr>
            <w:tcW w:w="2071" w:type="dxa"/>
          </w:tcPr>
          <w:p w:rsidR="002C6C4F" w:rsidRDefault="005F38F9">
            <w:pPr>
              <w:pStyle w:val="TableParagraph"/>
              <w:rPr>
                <w:sz w:val="20"/>
              </w:rPr>
            </w:pPr>
            <w:r>
              <w:rPr>
                <w:sz w:val="20"/>
              </w:rPr>
              <w:t>Children 6–12 years of age who were</w:t>
            </w:r>
          </w:p>
          <w:p w:rsidR="002C6C4F" w:rsidRDefault="005F38F9">
            <w:pPr>
              <w:pStyle w:val="TableParagraph"/>
              <w:spacing w:before="0"/>
              <w:ind w:right="442"/>
              <w:rPr>
                <w:sz w:val="20"/>
              </w:rPr>
            </w:pPr>
            <w:r>
              <w:rPr>
                <w:sz w:val="20"/>
              </w:rPr>
              <w:t>newly prescribed ADHD medication.</w:t>
            </w:r>
          </w:p>
        </w:tc>
        <w:tc>
          <w:tcPr>
            <w:tcW w:w="3961" w:type="dxa"/>
          </w:tcPr>
          <w:p w:rsidR="002C6C4F" w:rsidRDefault="005F38F9">
            <w:pPr>
              <w:pStyle w:val="TableParagraph"/>
              <w:numPr>
                <w:ilvl w:val="0"/>
                <w:numId w:val="15"/>
              </w:numPr>
              <w:tabs>
                <w:tab w:val="left" w:pos="460"/>
                <w:tab w:val="left" w:pos="461"/>
              </w:tabs>
              <w:spacing w:before="3"/>
              <w:ind w:right="126"/>
              <w:rPr>
                <w:sz w:val="20"/>
              </w:rPr>
            </w:pPr>
            <w:r>
              <w:rPr>
                <w:sz w:val="20"/>
              </w:rPr>
              <w:t>Initiation Phase. Members who had an outpatient, intensive outpatient or partial hospitalization follow-up visit</w:t>
            </w:r>
            <w:r>
              <w:rPr>
                <w:spacing w:val="-18"/>
                <w:sz w:val="20"/>
              </w:rPr>
              <w:t xml:space="preserve"> </w:t>
            </w:r>
            <w:r>
              <w:rPr>
                <w:sz w:val="20"/>
              </w:rPr>
              <w:t>with a practitioner with prescribing authority within 30 days after the</w:t>
            </w:r>
            <w:r>
              <w:rPr>
                <w:spacing w:val="-13"/>
                <w:sz w:val="20"/>
              </w:rPr>
              <w:t xml:space="preserve"> </w:t>
            </w:r>
            <w:r>
              <w:rPr>
                <w:sz w:val="20"/>
              </w:rPr>
              <w:t>I</w:t>
            </w:r>
            <w:r>
              <w:rPr>
                <w:sz w:val="20"/>
              </w:rPr>
              <w:t>PSD.</w:t>
            </w:r>
          </w:p>
          <w:p w:rsidR="002C6C4F" w:rsidRDefault="002C6C4F">
            <w:pPr>
              <w:pStyle w:val="TableParagraph"/>
              <w:spacing w:before="0"/>
              <w:ind w:left="0"/>
              <w:rPr>
                <w:rFonts w:ascii="Arial"/>
                <w:sz w:val="21"/>
              </w:rPr>
            </w:pPr>
          </w:p>
          <w:p w:rsidR="002C6C4F" w:rsidRDefault="005F38F9">
            <w:pPr>
              <w:pStyle w:val="TableParagraph"/>
              <w:numPr>
                <w:ilvl w:val="0"/>
                <w:numId w:val="15"/>
              </w:numPr>
              <w:tabs>
                <w:tab w:val="left" w:pos="460"/>
                <w:tab w:val="left" w:pos="461"/>
              </w:tabs>
              <w:spacing w:before="0"/>
              <w:ind w:right="213"/>
              <w:rPr>
                <w:sz w:val="20"/>
              </w:rPr>
            </w:pPr>
            <w:r>
              <w:rPr>
                <w:sz w:val="20"/>
              </w:rPr>
              <w:t>Continuation and Maintenance Phase. Members with a prescription dispensed for ADHD medication, who remained on the medication for at least 210 days and who, in addition to the visit in the Initiation Phase, had at least two follow- up visits with a p</w:t>
            </w:r>
            <w:r>
              <w:rPr>
                <w:sz w:val="20"/>
              </w:rPr>
              <w:t>ractitioner within 270 days after the Initiation Phase</w:t>
            </w:r>
            <w:r>
              <w:rPr>
                <w:spacing w:val="-16"/>
                <w:sz w:val="20"/>
              </w:rPr>
              <w:t xml:space="preserve"> </w:t>
            </w:r>
            <w:r>
              <w:rPr>
                <w:sz w:val="20"/>
              </w:rPr>
              <w:t>ended.</w:t>
            </w:r>
          </w:p>
        </w:tc>
      </w:tr>
      <w:tr w:rsidR="002C6C4F">
        <w:trPr>
          <w:trHeight w:hRule="exact" w:val="2960"/>
        </w:trPr>
        <w:tc>
          <w:tcPr>
            <w:tcW w:w="2156" w:type="dxa"/>
          </w:tcPr>
          <w:p w:rsidR="002C6C4F" w:rsidRDefault="005F38F9">
            <w:pPr>
              <w:pStyle w:val="TableParagraph"/>
              <w:spacing w:before="0" w:line="243" w:lineRule="exact"/>
              <w:rPr>
                <w:sz w:val="20"/>
              </w:rPr>
            </w:pPr>
            <w:r>
              <w:rPr>
                <w:sz w:val="20"/>
              </w:rPr>
              <w:t>Access to care</w:t>
            </w:r>
          </w:p>
        </w:tc>
        <w:tc>
          <w:tcPr>
            <w:tcW w:w="2072" w:type="dxa"/>
          </w:tcPr>
          <w:p w:rsidR="002C6C4F" w:rsidRDefault="005F38F9">
            <w:pPr>
              <w:pStyle w:val="TableParagraph"/>
              <w:spacing w:before="0"/>
              <w:ind w:right="94"/>
              <w:rPr>
                <w:sz w:val="20"/>
              </w:rPr>
            </w:pPr>
            <w:r>
              <w:rPr>
                <w:sz w:val="20"/>
              </w:rPr>
              <w:t>Initiation and engagement  of alcohol and other drug dependence (AOD) treatment</w:t>
            </w:r>
          </w:p>
        </w:tc>
        <w:tc>
          <w:tcPr>
            <w:tcW w:w="1440" w:type="dxa"/>
          </w:tcPr>
          <w:p w:rsidR="002C6C4F" w:rsidRDefault="005F38F9">
            <w:pPr>
              <w:pStyle w:val="TableParagraph"/>
              <w:spacing w:before="0" w:line="243" w:lineRule="exact"/>
              <w:ind w:left="100"/>
              <w:rPr>
                <w:sz w:val="20"/>
              </w:rPr>
            </w:pPr>
            <w:r>
              <w:rPr>
                <w:sz w:val="20"/>
              </w:rPr>
              <w:t>In HEDIS</w:t>
            </w:r>
          </w:p>
        </w:tc>
        <w:tc>
          <w:tcPr>
            <w:tcW w:w="1169" w:type="dxa"/>
          </w:tcPr>
          <w:p w:rsidR="002C6C4F" w:rsidRDefault="005F38F9">
            <w:pPr>
              <w:pStyle w:val="TableParagraph"/>
              <w:spacing w:before="0" w:line="243" w:lineRule="exact"/>
              <w:ind w:left="100"/>
              <w:rPr>
                <w:sz w:val="20"/>
              </w:rPr>
            </w:pPr>
            <w:r>
              <w:rPr>
                <w:sz w:val="20"/>
              </w:rPr>
              <w:t>Claims</w:t>
            </w:r>
          </w:p>
        </w:tc>
        <w:tc>
          <w:tcPr>
            <w:tcW w:w="2071" w:type="dxa"/>
          </w:tcPr>
          <w:p w:rsidR="002C6C4F" w:rsidRDefault="005F38F9">
            <w:pPr>
              <w:pStyle w:val="TableParagraph"/>
              <w:spacing w:before="0"/>
              <w:rPr>
                <w:sz w:val="20"/>
              </w:rPr>
            </w:pPr>
            <w:r>
              <w:rPr>
                <w:sz w:val="20"/>
              </w:rPr>
              <w:t>Members 13 years of age and older with a new episode of AOD during the first 10 and</w:t>
            </w:r>
          </w:p>
          <w:p w:rsidR="002C6C4F" w:rsidRDefault="005F38F9">
            <w:pPr>
              <w:pStyle w:val="TableParagraph"/>
              <w:spacing w:before="0"/>
              <w:rPr>
                <w:sz w:val="20"/>
              </w:rPr>
            </w:pPr>
            <w:r>
              <w:rPr>
                <w:sz w:val="20"/>
              </w:rPr>
              <w:t>½ months of the measurement year.</w:t>
            </w:r>
          </w:p>
        </w:tc>
        <w:tc>
          <w:tcPr>
            <w:tcW w:w="3961" w:type="dxa"/>
          </w:tcPr>
          <w:p w:rsidR="002C6C4F" w:rsidRDefault="005F38F9">
            <w:pPr>
              <w:pStyle w:val="TableParagraph"/>
              <w:numPr>
                <w:ilvl w:val="0"/>
                <w:numId w:val="14"/>
              </w:numPr>
              <w:tabs>
                <w:tab w:val="left" w:pos="460"/>
                <w:tab w:val="left" w:pos="461"/>
              </w:tabs>
              <w:spacing w:before="0"/>
              <w:ind w:right="509"/>
              <w:rPr>
                <w:sz w:val="20"/>
              </w:rPr>
            </w:pPr>
            <w:r>
              <w:rPr>
                <w:sz w:val="20"/>
              </w:rPr>
              <w:t>Initiation of AOD Treatment. The percentage of members who initiate treatment through an inpatient AOD admission, outpatient visit,</w:t>
            </w:r>
            <w:r>
              <w:rPr>
                <w:spacing w:val="-12"/>
                <w:sz w:val="20"/>
              </w:rPr>
              <w:t xml:space="preserve"> </w:t>
            </w:r>
            <w:r>
              <w:rPr>
                <w:sz w:val="20"/>
              </w:rPr>
              <w:t>intensive outpatient encounter or partial hospitalization within 14 days of the diagnosis.</w:t>
            </w:r>
          </w:p>
          <w:p w:rsidR="002C6C4F" w:rsidRDefault="005F38F9">
            <w:pPr>
              <w:pStyle w:val="TableParagraph"/>
              <w:numPr>
                <w:ilvl w:val="0"/>
                <w:numId w:val="14"/>
              </w:numPr>
              <w:tabs>
                <w:tab w:val="left" w:pos="460"/>
                <w:tab w:val="left" w:pos="461"/>
              </w:tabs>
              <w:spacing w:before="0"/>
              <w:ind w:right="175"/>
              <w:rPr>
                <w:sz w:val="20"/>
              </w:rPr>
            </w:pPr>
            <w:r>
              <w:rPr>
                <w:sz w:val="20"/>
              </w:rPr>
              <w:t xml:space="preserve">Engagement of AOD Treatment. The percentage of members who initiated treatment and who had two or more additional services with a diagnosis of AOD within 30 days of </w:t>
            </w:r>
            <w:r>
              <w:rPr>
                <w:sz w:val="20"/>
              </w:rPr>
              <w:t>the initiation</w:t>
            </w:r>
            <w:r>
              <w:rPr>
                <w:spacing w:val="-15"/>
                <w:sz w:val="20"/>
              </w:rPr>
              <w:t xml:space="preserve"> </w:t>
            </w:r>
            <w:r>
              <w:rPr>
                <w:sz w:val="20"/>
              </w:rPr>
              <w:t>visit.</w:t>
            </w:r>
          </w:p>
        </w:tc>
      </w:tr>
    </w:tbl>
    <w:p w:rsidR="002C6C4F" w:rsidRDefault="002C6C4F">
      <w:pPr>
        <w:rPr>
          <w:sz w:val="20"/>
        </w:rPr>
        <w:sectPr w:rsidR="002C6C4F">
          <w:headerReference w:type="default" r:id="rId21"/>
          <w:footerReference w:type="default" r:id="rId22"/>
          <w:pgSz w:w="15840" w:h="12240" w:orient="landscape"/>
          <w:pgMar w:top="1620" w:right="1400" w:bottom="1020" w:left="1340" w:header="720" w:footer="828" w:gutter="0"/>
          <w:pgNumType w:start="8"/>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072"/>
        <w:gridCol w:w="1440"/>
        <w:gridCol w:w="1169"/>
        <w:gridCol w:w="2071"/>
        <w:gridCol w:w="3961"/>
      </w:tblGrid>
      <w:tr w:rsidR="002C6C4F">
        <w:trPr>
          <w:trHeight w:hRule="exact" w:val="1498"/>
        </w:trPr>
        <w:tc>
          <w:tcPr>
            <w:tcW w:w="2156" w:type="dxa"/>
            <w:vMerge w:val="restart"/>
          </w:tcPr>
          <w:p w:rsidR="002C6C4F" w:rsidRDefault="005F38F9">
            <w:pPr>
              <w:pStyle w:val="TableParagraph"/>
              <w:rPr>
                <w:sz w:val="20"/>
              </w:rPr>
            </w:pPr>
            <w:r>
              <w:rPr>
                <w:sz w:val="20"/>
              </w:rPr>
              <w:lastRenderedPageBreak/>
              <w:t>Coordination</w:t>
            </w:r>
          </w:p>
        </w:tc>
        <w:tc>
          <w:tcPr>
            <w:tcW w:w="2072" w:type="dxa"/>
          </w:tcPr>
          <w:p w:rsidR="002C6C4F" w:rsidRDefault="005F38F9">
            <w:pPr>
              <w:pStyle w:val="TableParagraph"/>
              <w:ind w:right="465"/>
              <w:rPr>
                <w:sz w:val="20"/>
              </w:rPr>
            </w:pPr>
            <w:r>
              <w:rPr>
                <w:sz w:val="20"/>
              </w:rPr>
              <w:t>Follow-up after hospitalization for mental illness</w:t>
            </w:r>
          </w:p>
        </w:tc>
        <w:tc>
          <w:tcPr>
            <w:tcW w:w="1440" w:type="dxa"/>
          </w:tcPr>
          <w:p w:rsidR="002C6C4F" w:rsidRDefault="005F38F9">
            <w:pPr>
              <w:pStyle w:val="TableParagraph"/>
              <w:ind w:left="100"/>
              <w:rPr>
                <w:sz w:val="20"/>
              </w:rPr>
            </w:pPr>
            <w:r>
              <w:rPr>
                <w:sz w:val="20"/>
              </w:rPr>
              <w:t>In HEDIS</w:t>
            </w:r>
          </w:p>
        </w:tc>
        <w:tc>
          <w:tcPr>
            <w:tcW w:w="1169" w:type="dxa"/>
          </w:tcPr>
          <w:p w:rsidR="002C6C4F" w:rsidRDefault="005F38F9">
            <w:pPr>
              <w:pStyle w:val="TableParagraph"/>
              <w:ind w:left="100"/>
              <w:rPr>
                <w:sz w:val="20"/>
              </w:rPr>
            </w:pPr>
            <w:r>
              <w:rPr>
                <w:sz w:val="20"/>
              </w:rPr>
              <w:t>Claims</w:t>
            </w:r>
          </w:p>
        </w:tc>
        <w:tc>
          <w:tcPr>
            <w:tcW w:w="2071" w:type="dxa"/>
          </w:tcPr>
          <w:p w:rsidR="002C6C4F" w:rsidRDefault="005F38F9">
            <w:pPr>
              <w:pStyle w:val="TableParagraph"/>
              <w:ind w:right="126"/>
              <w:rPr>
                <w:sz w:val="20"/>
              </w:rPr>
            </w:pPr>
            <w:r>
              <w:rPr>
                <w:sz w:val="20"/>
              </w:rPr>
              <w:t>Members 6 years of age and older who were hospitalized for treatment of mental illness.</w:t>
            </w:r>
          </w:p>
        </w:tc>
        <w:tc>
          <w:tcPr>
            <w:tcW w:w="3961" w:type="dxa"/>
          </w:tcPr>
          <w:p w:rsidR="002C6C4F" w:rsidRDefault="005F38F9">
            <w:pPr>
              <w:pStyle w:val="TableParagraph"/>
              <w:numPr>
                <w:ilvl w:val="0"/>
                <w:numId w:val="13"/>
              </w:numPr>
              <w:tabs>
                <w:tab w:val="left" w:pos="460"/>
                <w:tab w:val="left" w:pos="461"/>
              </w:tabs>
              <w:spacing w:before="3"/>
              <w:ind w:right="109"/>
              <w:rPr>
                <w:sz w:val="20"/>
              </w:rPr>
            </w:pPr>
            <w:r>
              <w:rPr>
                <w:sz w:val="20"/>
              </w:rPr>
              <w:t>30-day Follow-up. Discharges for which the member received follow-up within 30 days of</w:t>
            </w:r>
            <w:r>
              <w:rPr>
                <w:spacing w:val="-11"/>
                <w:sz w:val="20"/>
              </w:rPr>
              <w:t xml:space="preserve"> </w:t>
            </w:r>
            <w:r>
              <w:rPr>
                <w:sz w:val="20"/>
              </w:rPr>
              <w:t>discharge.</w:t>
            </w:r>
          </w:p>
          <w:p w:rsidR="002C6C4F" w:rsidRDefault="005F38F9">
            <w:pPr>
              <w:pStyle w:val="TableParagraph"/>
              <w:numPr>
                <w:ilvl w:val="0"/>
                <w:numId w:val="13"/>
              </w:numPr>
              <w:tabs>
                <w:tab w:val="left" w:pos="460"/>
                <w:tab w:val="left" w:pos="461"/>
              </w:tabs>
              <w:spacing w:before="0"/>
              <w:ind w:right="210"/>
              <w:rPr>
                <w:sz w:val="20"/>
              </w:rPr>
            </w:pPr>
            <w:r>
              <w:rPr>
                <w:sz w:val="20"/>
              </w:rPr>
              <w:t>7-day Follow-up. Discharges for which the member received follow-up w</w:t>
            </w:r>
            <w:r>
              <w:rPr>
                <w:sz w:val="20"/>
              </w:rPr>
              <w:t>ithin 7 days of</w:t>
            </w:r>
            <w:r>
              <w:rPr>
                <w:spacing w:val="-11"/>
                <w:sz w:val="20"/>
              </w:rPr>
              <w:t xml:space="preserve"> </w:t>
            </w:r>
            <w:r>
              <w:rPr>
                <w:sz w:val="20"/>
              </w:rPr>
              <w:t>discharge.</w:t>
            </w:r>
          </w:p>
        </w:tc>
      </w:tr>
      <w:tr w:rsidR="002C6C4F">
        <w:trPr>
          <w:trHeight w:hRule="exact" w:val="987"/>
        </w:trPr>
        <w:tc>
          <w:tcPr>
            <w:tcW w:w="2156" w:type="dxa"/>
            <w:vMerge/>
          </w:tcPr>
          <w:p w:rsidR="002C6C4F" w:rsidRDefault="002C6C4F"/>
        </w:tc>
        <w:tc>
          <w:tcPr>
            <w:tcW w:w="2072" w:type="dxa"/>
          </w:tcPr>
          <w:p w:rsidR="002C6C4F" w:rsidRDefault="005F38F9">
            <w:pPr>
              <w:pStyle w:val="TableParagraph"/>
              <w:ind w:right="110"/>
              <w:rPr>
                <w:sz w:val="20"/>
              </w:rPr>
            </w:pPr>
            <w:r>
              <w:rPr>
                <w:sz w:val="20"/>
              </w:rPr>
              <w:t>Follow-up after emergency department (ED) visit for mental illness</w:t>
            </w:r>
          </w:p>
        </w:tc>
        <w:tc>
          <w:tcPr>
            <w:tcW w:w="1440" w:type="dxa"/>
          </w:tcPr>
          <w:p w:rsidR="002C6C4F" w:rsidRDefault="005F38F9">
            <w:pPr>
              <w:pStyle w:val="TableParagraph"/>
              <w:ind w:left="100"/>
              <w:rPr>
                <w:sz w:val="20"/>
              </w:rPr>
            </w:pPr>
            <w:r>
              <w:rPr>
                <w:sz w:val="20"/>
              </w:rPr>
              <w:t>In HEDIS</w:t>
            </w:r>
          </w:p>
        </w:tc>
        <w:tc>
          <w:tcPr>
            <w:tcW w:w="1169" w:type="dxa"/>
          </w:tcPr>
          <w:p w:rsidR="002C6C4F" w:rsidRDefault="005F38F9">
            <w:pPr>
              <w:pStyle w:val="TableParagraph"/>
              <w:ind w:left="100"/>
              <w:rPr>
                <w:sz w:val="20"/>
              </w:rPr>
            </w:pPr>
            <w:r>
              <w:rPr>
                <w:sz w:val="20"/>
              </w:rPr>
              <w:t>Claims</w:t>
            </w:r>
          </w:p>
        </w:tc>
        <w:tc>
          <w:tcPr>
            <w:tcW w:w="2071" w:type="dxa"/>
          </w:tcPr>
          <w:p w:rsidR="002C6C4F" w:rsidRDefault="005F38F9">
            <w:pPr>
              <w:pStyle w:val="TableParagraph"/>
              <w:ind w:right="116"/>
              <w:rPr>
                <w:sz w:val="20"/>
              </w:rPr>
            </w:pPr>
            <w:r>
              <w:rPr>
                <w:sz w:val="20"/>
              </w:rPr>
              <w:t>Members who had an ED visit with a primary mental health diagnosis.</w:t>
            </w:r>
          </w:p>
        </w:tc>
        <w:tc>
          <w:tcPr>
            <w:tcW w:w="3961" w:type="dxa"/>
          </w:tcPr>
          <w:p w:rsidR="002C6C4F" w:rsidRDefault="005F38F9">
            <w:pPr>
              <w:pStyle w:val="TableParagraph"/>
              <w:ind w:left="100" w:right="96"/>
              <w:rPr>
                <w:sz w:val="20"/>
              </w:rPr>
            </w:pPr>
            <w:r>
              <w:rPr>
                <w:sz w:val="20"/>
              </w:rPr>
              <w:t>Members who received an outpatient or partial hospitalization visit with a primary diagnosis of mental health.</w:t>
            </w:r>
          </w:p>
        </w:tc>
      </w:tr>
      <w:tr w:rsidR="002C6C4F">
        <w:trPr>
          <w:trHeight w:hRule="exact" w:val="742"/>
        </w:trPr>
        <w:tc>
          <w:tcPr>
            <w:tcW w:w="2156" w:type="dxa"/>
            <w:vMerge/>
          </w:tcPr>
          <w:p w:rsidR="002C6C4F" w:rsidRDefault="002C6C4F"/>
        </w:tc>
        <w:tc>
          <w:tcPr>
            <w:tcW w:w="2072" w:type="dxa"/>
          </w:tcPr>
          <w:p w:rsidR="002C6C4F" w:rsidRDefault="005F38F9">
            <w:pPr>
              <w:pStyle w:val="TableParagraph"/>
              <w:ind w:right="426"/>
              <w:rPr>
                <w:sz w:val="20"/>
              </w:rPr>
            </w:pPr>
            <w:r>
              <w:rPr>
                <w:sz w:val="20"/>
              </w:rPr>
              <w:t>Follow-up after ED visit for AOD</w:t>
            </w:r>
          </w:p>
        </w:tc>
        <w:tc>
          <w:tcPr>
            <w:tcW w:w="1440" w:type="dxa"/>
          </w:tcPr>
          <w:p w:rsidR="002C6C4F" w:rsidRDefault="005F38F9">
            <w:pPr>
              <w:pStyle w:val="TableParagraph"/>
              <w:ind w:left="100"/>
              <w:rPr>
                <w:sz w:val="20"/>
              </w:rPr>
            </w:pPr>
            <w:r>
              <w:rPr>
                <w:sz w:val="20"/>
              </w:rPr>
              <w:t>In HEDIS</w:t>
            </w:r>
          </w:p>
        </w:tc>
        <w:tc>
          <w:tcPr>
            <w:tcW w:w="1169" w:type="dxa"/>
          </w:tcPr>
          <w:p w:rsidR="002C6C4F" w:rsidRDefault="005F38F9">
            <w:pPr>
              <w:pStyle w:val="TableParagraph"/>
              <w:ind w:left="100"/>
              <w:rPr>
                <w:sz w:val="20"/>
              </w:rPr>
            </w:pPr>
            <w:r>
              <w:rPr>
                <w:sz w:val="20"/>
              </w:rPr>
              <w:t>Claims</w:t>
            </w:r>
          </w:p>
        </w:tc>
        <w:tc>
          <w:tcPr>
            <w:tcW w:w="2071" w:type="dxa"/>
          </w:tcPr>
          <w:p w:rsidR="002C6C4F" w:rsidRDefault="005F38F9">
            <w:pPr>
              <w:pStyle w:val="TableParagraph"/>
              <w:ind w:right="137"/>
              <w:jc w:val="both"/>
              <w:rPr>
                <w:sz w:val="20"/>
              </w:rPr>
            </w:pPr>
            <w:r>
              <w:rPr>
                <w:sz w:val="20"/>
              </w:rPr>
              <w:t>Members who had an ED visit with a</w:t>
            </w:r>
            <w:r>
              <w:rPr>
                <w:spacing w:val="-10"/>
                <w:sz w:val="20"/>
              </w:rPr>
              <w:t xml:space="preserve"> </w:t>
            </w:r>
            <w:r>
              <w:rPr>
                <w:sz w:val="20"/>
              </w:rPr>
              <w:t>primary AOD</w:t>
            </w:r>
            <w:r>
              <w:rPr>
                <w:spacing w:val="-6"/>
                <w:sz w:val="20"/>
              </w:rPr>
              <w:t xml:space="preserve"> </w:t>
            </w:r>
            <w:r>
              <w:rPr>
                <w:sz w:val="20"/>
              </w:rPr>
              <w:t>diagnosis.</w:t>
            </w:r>
          </w:p>
        </w:tc>
        <w:tc>
          <w:tcPr>
            <w:tcW w:w="3961" w:type="dxa"/>
          </w:tcPr>
          <w:p w:rsidR="002C6C4F" w:rsidRDefault="005F38F9">
            <w:pPr>
              <w:pStyle w:val="TableParagraph"/>
              <w:ind w:left="100" w:right="96"/>
              <w:rPr>
                <w:sz w:val="20"/>
              </w:rPr>
            </w:pPr>
            <w:r>
              <w:rPr>
                <w:sz w:val="20"/>
              </w:rPr>
              <w:t>Members who received an outpatient or partial hospitalization visit with a primary diagnosis of AOD.</w:t>
            </w:r>
          </w:p>
        </w:tc>
      </w:tr>
      <w:tr w:rsidR="002C6C4F">
        <w:trPr>
          <w:trHeight w:hRule="exact" w:val="2940"/>
        </w:trPr>
        <w:tc>
          <w:tcPr>
            <w:tcW w:w="2156" w:type="dxa"/>
            <w:vMerge/>
          </w:tcPr>
          <w:p w:rsidR="002C6C4F" w:rsidRDefault="002C6C4F"/>
        </w:tc>
        <w:tc>
          <w:tcPr>
            <w:tcW w:w="2072" w:type="dxa"/>
          </w:tcPr>
          <w:p w:rsidR="002C6C4F" w:rsidRDefault="005F38F9">
            <w:pPr>
              <w:pStyle w:val="TableParagraph"/>
              <w:ind w:right="110"/>
              <w:rPr>
                <w:sz w:val="20"/>
              </w:rPr>
            </w:pPr>
            <w:r>
              <w:rPr>
                <w:sz w:val="20"/>
              </w:rPr>
              <w:t>Follow-Up After Emergency Department Visit for People with High-Risk Multiple Chronic Conditions</w:t>
            </w:r>
          </w:p>
        </w:tc>
        <w:tc>
          <w:tcPr>
            <w:tcW w:w="1440" w:type="dxa"/>
          </w:tcPr>
          <w:p w:rsidR="002C6C4F" w:rsidRDefault="005F38F9">
            <w:pPr>
              <w:pStyle w:val="TableParagraph"/>
              <w:ind w:left="100"/>
              <w:rPr>
                <w:sz w:val="20"/>
              </w:rPr>
            </w:pPr>
            <w:r>
              <w:rPr>
                <w:sz w:val="20"/>
              </w:rPr>
              <w:t>In HEDIS</w:t>
            </w:r>
          </w:p>
        </w:tc>
        <w:tc>
          <w:tcPr>
            <w:tcW w:w="1169" w:type="dxa"/>
          </w:tcPr>
          <w:p w:rsidR="002C6C4F" w:rsidRDefault="005F38F9">
            <w:pPr>
              <w:pStyle w:val="TableParagraph"/>
              <w:ind w:left="100"/>
              <w:rPr>
                <w:sz w:val="20"/>
              </w:rPr>
            </w:pPr>
            <w:r>
              <w:rPr>
                <w:sz w:val="20"/>
              </w:rPr>
              <w:t>Claims</w:t>
            </w:r>
          </w:p>
        </w:tc>
        <w:tc>
          <w:tcPr>
            <w:tcW w:w="2071" w:type="dxa"/>
          </w:tcPr>
          <w:p w:rsidR="002C6C4F" w:rsidRDefault="005F38F9">
            <w:pPr>
              <w:pStyle w:val="TableParagraph"/>
              <w:ind w:right="159"/>
              <w:rPr>
                <w:sz w:val="20"/>
              </w:rPr>
            </w:pPr>
            <w:r>
              <w:rPr>
                <w:sz w:val="20"/>
              </w:rPr>
              <w:t>Members who had an ED visit for two or more serious chronic conditions, including depression as well as Alzheimer’s, atrial fibrillation, chronic kidney disease, COPD/asthma, cardiovascular (heart failure, heart attack, stroke)</w:t>
            </w:r>
          </w:p>
        </w:tc>
        <w:tc>
          <w:tcPr>
            <w:tcW w:w="3961" w:type="dxa"/>
          </w:tcPr>
          <w:p w:rsidR="002C6C4F" w:rsidRDefault="005F38F9">
            <w:pPr>
              <w:pStyle w:val="TableParagraph"/>
              <w:ind w:left="100" w:right="179"/>
              <w:rPr>
                <w:sz w:val="20"/>
              </w:rPr>
            </w:pPr>
            <w:r>
              <w:rPr>
                <w:sz w:val="20"/>
              </w:rPr>
              <w:t>Percentage of emergency depa</w:t>
            </w:r>
            <w:r>
              <w:rPr>
                <w:sz w:val="20"/>
              </w:rPr>
              <w:t>rtment visits for members who have high-risk multiple chronic conditions and had a follow-up service within 7 days of the ED visit.</w:t>
            </w:r>
          </w:p>
        </w:tc>
      </w:tr>
      <w:tr w:rsidR="002C6C4F">
        <w:trPr>
          <w:trHeight w:hRule="exact" w:val="1719"/>
        </w:trPr>
        <w:tc>
          <w:tcPr>
            <w:tcW w:w="2156" w:type="dxa"/>
            <w:vMerge w:val="restart"/>
          </w:tcPr>
          <w:p w:rsidR="002C6C4F" w:rsidRDefault="005F38F9">
            <w:pPr>
              <w:pStyle w:val="TableParagraph"/>
              <w:rPr>
                <w:sz w:val="20"/>
              </w:rPr>
            </w:pPr>
            <w:r>
              <w:rPr>
                <w:sz w:val="20"/>
              </w:rPr>
              <w:t>“Integration” of</w:t>
            </w:r>
          </w:p>
          <w:p w:rsidR="002C6C4F" w:rsidRDefault="005F38F9">
            <w:pPr>
              <w:pStyle w:val="TableParagraph"/>
              <w:spacing w:before="0"/>
              <w:rPr>
                <w:sz w:val="20"/>
              </w:rPr>
            </w:pPr>
            <w:r>
              <w:rPr>
                <w:sz w:val="20"/>
              </w:rPr>
              <w:t>medical needs</w:t>
            </w:r>
          </w:p>
        </w:tc>
        <w:tc>
          <w:tcPr>
            <w:tcW w:w="2072" w:type="dxa"/>
          </w:tcPr>
          <w:p w:rsidR="002C6C4F" w:rsidRDefault="005F38F9">
            <w:pPr>
              <w:pStyle w:val="TableParagraph"/>
              <w:ind w:right="139"/>
              <w:rPr>
                <w:sz w:val="20"/>
              </w:rPr>
            </w:pPr>
            <w:r>
              <w:rPr>
                <w:sz w:val="20"/>
              </w:rPr>
              <w:t>Diabetes screening</w:t>
            </w:r>
            <w:r>
              <w:rPr>
                <w:spacing w:val="-15"/>
                <w:sz w:val="20"/>
              </w:rPr>
              <w:t xml:space="preserve"> </w:t>
            </w:r>
            <w:r>
              <w:rPr>
                <w:sz w:val="20"/>
              </w:rPr>
              <w:t>for people with schizophrenia or bipolar disorder who are using antipsychotic medications</w:t>
            </w:r>
          </w:p>
        </w:tc>
        <w:tc>
          <w:tcPr>
            <w:tcW w:w="1440" w:type="dxa"/>
          </w:tcPr>
          <w:p w:rsidR="002C6C4F" w:rsidRDefault="005F38F9">
            <w:pPr>
              <w:pStyle w:val="TableParagraph"/>
              <w:ind w:left="100"/>
              <w:rPr>
                <w:sz w:val="20"/>
              </w:rPr>
            </w:pPr>
            <w:r>
              <w:rPr>
                <w:sz w:val="20"/>
              </w:rPr>
              <w:t>In HEDIS</w:t>
            </w:r>
          </w:p>
        </w:tc>
        <w:tc>
          <w:tcPr>
            <w:tcW w:w="1169" w:type="dxa"/>
          </w:tcPr>
          <w:p w:rsidR="002C6C4F" w:rsidRDefault="005F38F9">
            <w:pPr>
              <w:pStyle w:val="TableParagraph"/>
              <w:ind w:left="100"/>
              <w:rPr>
                <w:sz w:val="20"/>
              </w:rPr>
            </w:pPr>
            <w:r>
              <w:rPr>
                <w:sz w:val="20"/>
              </w:rPr>
              <w:t>Claims</w:t>
            </w:r>
          </w:p>
        </w:tc>
        <w:tc>
          <w:tcPr>
            <w:tcW w:w="2071" w:type="dxa"/>
          </w:tcPr>
          <w:p w:rsidR="002C6C4F" w:rsidRDefault="005F38F9">
            <w:pPr>
              <w:pStyle w:val="TableParagraph"/>
              <w:ind w:right="164"/>
              <w:rPr>
                <w:sz w:val="20"/>
              </w:rPr>
            </w:pPr>
            <w:r>
              <w:rPr>
                <w:sz w:val="20"/>
              </w:rPr>
              <w:t>Members 18-64 years of age with schizophrenia or bipolar disorder and dispensed an antipsychotic medication.</w:t>
            </w:r>
          </w:p>
        </w:tc>
        <w:tc>
          <w:tcPr>
            <w:tcW w:w="3961" w:type="dxa"/>
          </w:tcPr>
          <w:p w:rsidR="002C6C4F" w:rsidRDefault="005F38F9">
            <w:pPr>
              <w:pStyle w:val="TableParagraph"/>
              <w:ind w:left="100" w:right="96"/>
              <w:rPr>
                <w:sz w:val="20"/>
              </w:rPr>
            </w:pPr>
            <w:r>
              <w:rPr>
                <w:sz w:val="20"/>
              </w:rPr>
              <w:t>Members who had a glucose test or HbA1c test during the measurement year.</w:t>
            </w:r>
          </w:p>
        </w:tc>
      </w:tr>
      <w:tr w:rsidR="002C6C4F">
        <w:trPr>
          <w:trHeight w:hRule="exact" w:val="986"/>
        </w:trPr>
        <w:tc>
          <w:tcPr>
            <w:tcW w:w="2156" w:type="dxa"/>
            <w:vMerge/>
          </w:tcPr>
          <w:p w:rsidR="002C6C4F" w:rsidRDefault="002C6C4F"/>
        </w:tc>
        <w:tc>
          <w:tcPr>
            <w:tcW w:w="2072" w:type="dxa"/>
          </w:tcPr>
          <w:p w:rsidR="002C6C4F" w:rsidRDefault="005F38F9">
            <w:pPr>
              <w:pStyle w:val="TableParagraph"/>
              <w:ind w:right="202"/>
              <w:rPr>
                <w:sz w:val="20"/>
              </w:rPr>
            </w:pPr>
            <w:r>
              <w:rPr>
                <w:sz w:val="20"/>
              </w:rPr>
              <w:t>Diabetes monitoring for people with diabetes and schizophrenia</w:t>
            </w:r>
          </w:p>
        </w:tc>
        <w:tc>
          <w:tcPr>
            <w:tcW w:w="1440" w:type="dxa"/>
          </w:tcPr>
          <w:p w:rsidR="002C6C4F" w:rsidRDefault="005F38F9">
            <w:pPr>
              <w:pStyle w:val="TableParagraph"/>
              <w:ind w:left="100"/>
              <w:rPr>
                <w:sz w:val="20"/>
              </w:rPr>
            </w:pPr>
            <w:r>
              <w:rPr>
                <w:sz w:val="20"/>
              </w:rPr>
              <w:t>In HEDIS</w:t>
            </w:r>
          </w:p>
        </w:tc>
        <w:tc>
          <w:tcPr>
            <w:tcW w:w="1169" w:type="dxa"/>
          </w:tcPr>
          <w:p w:rsidR="002C6C4F" w:rsidRDefault="005F38F9">
            <w:pPr>
              <w:pStyle w:val="TableParagraph"/>
              <w:ind w:left="100"/>
              <w:rPr>
                <w:sz w:val="20"/>
              </w:rPr>
            </w:pPr>
            <w:r>
              <w:rPr>
                <w:sz w:val="20"/>
              </w:rPr>
              <w:t>Claims</w:t>
            </w:r>
          </w:p>
        </w:tc>
        <w:tc>
          <w:tcPr>
            <w:tcW w:w="2071" w:type="dxa"/>
          </w:tcPr>
          <w:p w:rsidR="002C6C4F" w:rsidRDefault="005F38F9">
            <w:pPr>
              <w:pStyle w:val="TableParagraph"/>
              <w:ind w:right="164"/>
              <w:rPr>
                <w:sz w:val="20"/>
              </w:rPr>
            </w:pPr>
            <w:r>
              <w:rPr>
                <w:sz w:val="20"/>
              </w:rPr>
              <w:t>Members 18-64 years of age with schizophrenia and diabetes.</w:t>
            </w:r>
          </w:p>
        </w:tc>
        <w:tc>
          <w:tcPr>
            <w:tcW w:w="3961" w:type="dxa"/>
          </w:tcPr>
          <w:p w:rsidR="002C6C4F" w:rsidRDefault="005F38F9">
            <w:pPr>
              <w:pStyle w:val="TableParagraph"/>
              <w:ind w:left="100" w:right="123"/>
              <w:rPr>
                <w:sz w:val="20"/>
              </w:rPr>
            </w:pPr>
            <w:r>
              <w:rPr>
                <w:sz w:val="20"/>
              </w:rPr>
              <w:t>Members who had an HbA1c test and an LDL- C during the measurement year.</w:t>
            </w:r>
          </w:p>
        </w:tc>
      </w:tr>
    </w:tbl>
    <w:p w:rsidR="002C6C4F" w:rsidRDefault="002C6C4F">
      <w:pPr>
        <w:rPr>
          <w:sz w:val="20"/>
        </w:rPr>
        <w:sectPr w:rsidR="002C6C4F">
          <w:pgSz w:w="15840" w:h="12240" w:orient="landscape"/>
          <w:pgMar w:top="1620" w:right="1400" w:bottom="1020" w:left="1340" w:header="720" w:footer="828"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072"/>
        <w:gridCol w:w="1440"/>
        <w:gridCol w:w="1169"/>
        <w:gridCol w:w="2071"/>
        <w:gridCol w:w="3961"/>
      </w:tblGrid>
      <w:tr w:rsidR="002C6C4F">
        <w:trPr>
          <w:trHeight w:hRule="exact" w:val="1231"/>
        </w:trPr>
        <w:tc>
          <w:tcPr>
            <w:tcW w:w="2156" w:type="dxa"/>
            <w:vMerge w:val="restart"/>
          </w:tcPr>
          <w:p w:rsidR="002C6C4F" w:rsidRDefault="002C6C4F"/>
        </w:tc>
        <w:tc>
          <w:tcPr>
            <w:tcW w:w="2072" w:type="dxa"/>
          </w:tcPr>
          <w:p w:rsidR="002C6C4F" w:rsidRDefault="005F38F9">
            <w:pPr>
              <w:pStyle w:val="TableParagraph"/>
              <w:rPr>
                <w:sz w:val="20"/>
              </w:rPr>
            </w:pPr>
            <w:r>
              <w:rPr>
                <w:sz w:val="20"/>
              </w:rPr>
              <w:t>Cardiovascular monitoring for people with</w:t>
            </w:r>
          </w:p>
          <w:p w:rsidR="002C6C4F" w:rsidRDefault="005F38F9">
            <w:pPr>
              <w:pStyle w:val="TableParagraph"/>
              <w:spacing w:before="0"/>
              <w:rPr>
                <w:sz w:val="20"/>
              </w:rPr>
            </w:pPr>
            <w:r>
              <w:rPr>
                <w:sz w:val="20"/>
              </w:rPr>
              <w:t>cardiovascular disease and schizophrenia</w:t>
            </w:r>
          </w:p>
        </w:tc>
        <w:tc>
          <w:tcPr>
            <w:tcW w:w="1440" w:type="dxa"/>
          </w:tcPr>
          <w:p w:rsidR="002C6C4F" w:rsidRDefault="005F38F9">
            <w:pPr>
              <w:pStyle w:val="TableParagraph"/>
              <w:ind w:left="100"/>
              <w:rPr>
                <w:sz w:val="20"/>
              </w:rPr>
            </w:pPr>
            <w:r>
              <w:rPr>
                <w:sz w:val="20"/>
              </w:rPr>
              <w:t>In HEDIS</w:t>
            </w:r>
          </w:p>
        </w:tc>
        <w:tc>
          <w:tcPr>
            <w:tcW w:w="1169" w:type="dxa"/>
          </w:tcPr>
          <w:p w:rsidR="002C6C4F" w:rsidRDefault="005F38F9">
            <w:pPr>
              <w:pStyle w:val="TableParagraph"/>
              <w:ind w:left="100"/>
              <w:rPr>
                <w:sz w:val="20"/>
              </w:rPr>
            </w:pPr>
            <w:r>
              <w:rPr>
                <w:sz w:val="20"/>
              </w:rPr>
              <w:t>Claims</w:t>
            </w:r>
          </w:p>
        </w:tc>
        <w:tc>
          <w:tcPr>
            <w:tcW w:w="2071" w:type="dxa"/>
          </w:tcPr>
          <w:p w:rsidR="002C6C4F" w:rsidRDefault="005F38F9">
            <w:pPr>
              <w:pStyle w:val="TableParagraph"/>
              <w:ind w:right="133"/>
              <w:rPr>
                <w:sz w:val="20"/>
              </w:rPr>
            </w:pPr>
            <w:r>
              <w:rPr>
                <w:sz w:val="20"/>
              </w:rPr>
              <w:t>Members 18–64 years of age with schizophrenia and cardiovascular disease.</w:t>
            </w:r>
          </w:p>
        </w:tc>
        <w:tc>
          <w:tcPr>
            <w:tcW w:w="3961" w:type="dxa"/>
          </w:tcPr>
          <w:p w:rsidR="002C6C4F" w:rsidRDefault="005F38F9">
            <w:pPr>
              <w:pStyle w:val="TableParagraph"/>
              <w:ind w:left="100" w:right="270"/>
              <w:rPr>
                <w:sz w:val="20"/>
              </w:rPr>
            </w:pPr>
            <w:r>
              <w:rPr>
                <w:sz w:val="20"/>
              </w:rPr>
              <w:t>Members who had an LDL-C test performed during the measurement year.</w:t>
            </w:r>
          </w:p>
        </w:tc>
      </w:tr>
      <w:tr w:rsidR="002C6C4F">
        <w:trPr>
          <w:trHeight w:hRule="exact" w:val="1009"/>
        </w:trPr>
        <w:tc>
          <w:tcPr>
            <w:tcW w:w="2156" w:type="dxa"/>
            <w:vMerge/>
          </w:tcPr>
          <w:p w:rsidR="002C6C4F" w:rsidRDefault="002C6C4F"/>
        </w:tc>
        <w:tc>
          <w:tcPr>
            <w:tcW w:w="2072" w:type="dxa"/>
          </w:tcPr>
          <w:p w:rsidR="002C6C4F" w:rsidRDefault="005F38F9">
            <w:pPr>
              <w:pStyle w:val="TableParagraph"/>
              <w:rPr>
                <w:sz w:val="20"/>
              </w:rPr>
            </w:pPr>
            <w:r>
              <w:rPr>
                <w:sz w:val="20"/>
              </w:rPr>
              <w:t>Metabolic monitoring for children and adolescent on antipsychotics</w:t>
            </w:r>
          </w:p>
        </w:tc>
        <w:tc>
          <w:tcPr>
            <w:tcW w:w="1440" w:type="dxa"/>
          </w:tcPr>
          <w:p w:rsidR="002C6C4F" w:rsidRDefault="005F38F9">
            <w:pPr>
              <w:pStyle w:val="TableParagraph"/>
              <w:ind w:left="100"/>
              <w:rPr>
                <w:sz w:val="20"/>
              </w:rPr>
            </w:pPr>
            <w:r>
              <w:rPr>
                <w:sz w:val="20"/>
              </w:rPr>
              <w:t>In HEDIS</w:t>
            </w:r>
          </w:p>
        </w:tc>
        <w:tc>
          <w:tcPr>
            <w:tcW w:w="1169" w:type="dxa"/>
          </w:tcPr>
          <w:p w:rsidR="002C6C4F" w:rsidRDefault="005F38F9">
            <w:pPr>
              <w:pStyle w:val="TableParagraph"/>
              <w:ind w:left="100"/>
              <w:rPr>
                <w:sz w:val="20"/>
              </w:rPr>
            </w:pPr>
            <w:r>
              <w:rPr>
                <w:sz w:val="20"/>
              </w:rPr>
              <w:t>Claims</w:t>
            </w:r>
          </w:p>
        </w:tc>
        <w:tc>
          <w:tcPr>
            <w:tcW w:w="2071" w:type="dxa"/>
          </w:tcPr>
          <w:p w:rsidR="002C6C4F" w:rsidRDefault="005F38F9">
            <w:pPr>
              <w:pStyle w:val="TableParagraph"/>
              <w:ind w:right="106"/>
              <w:rPr>
                <w:sz w:val="20"/>
              </w:rPr>
            </w:pPr>
            <w:r>
              <w:rPr>
                <w:sz w:val="20"/>
              </w:rPr>
              <w:t>Members 1–17 years of age who had two or more antipsychotic prescriptions.</w:t>
            </w:r>
          </w:p>
        </w:tc>
        <w:tc>
          <w:tcPr>
            <w:tcW w:w="3961" w:type="dxa"/>
          </w:tcPr>
          <w:p w:rsidR="002C6C4F" w:rsidRDefault="005F38F9">
            <w:pPr>
              <w:pStyle w:val="TableParagraph"/>
              <w:ind w:left="100" w:right="96"/>
              <w:rPr>
                <w:sz w:val="20"/>
              </w:rPr>
            </w:pPr>
            <w:r>
              <w:rPr>
                <w:sz w:val="20"/>
              </w:rPr>
              <w:t>Members who had both of the following during the measurement year.</w:t>
            </w:r>
          </w:p>
          <w:p w:rsidR="002C6C4F" w:rsidRDefault="005F38F9">
            <w:pPr>
              <w:pStyle w:val="TableParagraph"/>
              <w:numPr>
                <w:ilvl w:val="0"/>
                <w:numId w:val="12"/>
              </w:numPr>
              <w:tabs>
                <w:tab w:val="left" w:pos="460"/>
                <w:tab w:val="left" w:pos="461"/>
              </w:tabs>
              <w:spacing w:before="0" w:line="255" w:lineRule="exact"/>
              <w:rPr>
                <w:sz w:val="20"/>
              </w:rPr>
            </w:pPr>
            <w:r>
              <w:rPr>
                <w:sz w:val="20"/>
              </w:rPr>
              <w:t>At least 1 blood glucose/HbA1c</w:t>
            </w:r>
            <w:r>
              <w:rPr>
                <w:spacing w:val="-16"/>
                <w:sz w:val="20"/>
              </w:rPr>
              <w:t xml:space="preserve"> </w:t>
            </w:r>
            <w:r>
              <w:rPr>
                <w:sz w:val="20"/>
              </w:rPr>
              <w:t>test.</w:t>
            </w:r>
          </w:p>
          <w:p w:rsidR="002C6C4F" w:rsidRDefault="005F38F9">
            <w:pPr>
              <w:pStyle w:val="TableParagraph"/>
              <w:numPr>
                <w:ilvl w:val="0"/>
                <w:numId w:val="12"/>
              </w:numPr>
              <w:tabs>
                <w:tab w:val="left" w:pos="460"/>
                <w:tab w:val="left" w:pos="461"/>
              </w:tabs>
              <w:spacing w:before="0"/>
              <w:rPr>
                <w:sz w:val="20"/>
              </w:rPr>
            </w:pPr>
            <w:r>
              <w:rPr>
                <w:sz w:val="20"/>
              </w:rPr>
              <w:t>At least 1 LDL-C or cholesterol</w:t>
            </w:r>
            <w:r>
              <w:rPr>
                <w:spacing w:val="-14"/>
                <w:sz w:val="20"/>
              </w:rPr>
              <w:t xml:space="preserve"> </w:t>
            </w:r>
            <w:r>
              <w:rPr>
                <w:sz w:val="20"/>
              </w:rPr>
              <w:t>test.</w:t>
            </w:r>
          </w:p>
        </w:tc>
      </w:tr>
      <w:tr w:rsidR="002C6C4F">
        <w:trPr>
          <w:trHeight w:hRule="exact" w:val="1476"/>
        </w:trPr>
        <w:tc>
          <w:tcPr>
            <w:tcW w:w="2156" w:type="dxa"/>
            <w:vMerge w:val="restart"/>
          </w:tcPr>
          <w:p w:rsidR="002C6C4F" w:rsidRDefault="005F38F9">
            <w:pPr>
              <w:pStyle w:val="TableParagraph"/>
              <w:ind w:right="110"/>
              <w:rPr>
                <w:sz w:val="20"/>
              </w:rPr>
            </w:pPr>
            <w:r>
              <w:rPr>
                <w:sz w:val="20"/>
              </w:rPr>
              <w:t xml:space="preserve">Overuse/ </w:t>
            </w:r>
            <w:r>
              <w:rPr>
                <w:w w:val="95"/>
                <w:sz w:val="20"/>
              </w:rPr>
              <w:t>Appropriateness</w:t>
            </w:r>
          </w:p>
        </w:tc>
        <w:tc>
          <w:tcPr>
            <w:tcW w:w="2072" w:type="dxa"/>
          </w:tcPr>
          <w:p w:rsidR="002C6C4F" w:rsidRDefault="005F38F9">
            <w:pPr>
              <w:pStyle w:val="TableParagraph"/>
              <w:ind w:right="202"/>
              <w:rPr>
                <w:sz w:val="20"/>
              </w:rPr>
            </w:pPr>
            <w:r>
              <w:rPr>
                <w:sz w:val="20"/>
              </w:rPr>
              <w:t>Use of multiple concurrent antipsychotics in children and adolescents</w:t>
            </w:r>
          </w:p>
        </w:tc>
        <w:tc>
          <w:tcPr>
            <w:tcW w:w="1440" w:type="dxa"/>
          </w:tcPr>
          <w:p w:rsidR="002C6C4F" w:rsidRDefault="005F38F9">
            <w:pPr>
              <w:pStyle w:val="TableParagraph"/>
              <w:ind w:left="100"/>
              <w:rPr>
                <w:sz w:val="20"/>
              </w:rPr>
            </w:pPr>
            <w:r>
              <w:rPr>
                <w:sz w:val="20"/>
              </w:rPr>
              <w:t>In HEDIS</w:t>
            </w:r>
          </w:p>
        </w:tc>
        <w:tc>
          <w:tcPr>
            <w:tcW w:w="1169" w:type="dxa"/>
          </w:tcPr>
          <w:p w:rsidR="002C6C4F" w:rsidRDefault="005F38F9">
            <w:pPr>
              <w:pStyle w:val="TableParagraph"/>
              <w:ind w:left="100"/>
              <w:rPr>
                <w:sz w:val="20"/>
              </w:rPr>
            </w:pPr>
            <w:r>
              <w:rPr>
                <w:sz w:val="20"/>
              </w:rPr>
              <w:t>Claims</w:t>
            </w:r>
          </w:p>
        </w:tc>
        <w:tc>
          <w:tcPr>
            <w:tcW w:w="2071" w:type="dxa"/>
          </w:tcPr>
          <w:p w:rsidR="002C6C4F" w:rsidRDefault="005F38F9">
            <w:pPr>
              <w:pStyle w:val="TableParagraph"/>
              <w:ind w:right="111"/>
              <w:rPr>
                <w:sz w:val="20"/>
              </w:rPr>
            </w:pPr>
            <w:r>
              <w:rPr>
                <w:sz w:val="20"/>
              </w:rPr>
              <w:t>Children and adolescents 1–17 years of age who were dispensed an antipsychotic medication.</w:t>
            </w:r>
          </w:p>
        </w:tc>
        <w:tc>
          <w:tcPr>
            <w:tcW w:w="3961" w:type="dxa"/>
          </w:tcPr>
          <w:p w:rsidR="002C6C4F" w:rsidRDefault="005F38F9">
            <w:pPr>
              <w:pStyle w:val="TableParagraph"/>
              <w:ind w:left="100" w:right="96"/>
              <w:rPr>
                <w:sz w:val="20"/>
              </w:rPr>
            </w:pPr>
            <w:r>
              <w:rPr>
                <w:sz w:val="20"/>
              </w:rPr>
              <w:t>Members who were on two or more concurrent antipsychotic medications for at lea</w:t>
            </w:r>
            <w:r>
              <w:rPr>
                <w:sz w:val="20"/>
              </w:rPr>
              <w:t>st 90 consecutive days during the measurement year.</w:t>
            </w:r>
          </w:p>
        </w:tc>
      </w:tr>
      <w:tr w:rsidR="002C6C4F">
        <w:trPr>
          <w:trHeight w:hRule="exact" w:val="3949"/>
        </w:trPr>
        <w:tc>
          <w:tcPr>
            <w:tcW w:w="2156" w:type="dxa"/>
            <w:vMerge/>
          </w:tcPr>
          <w:p w:rsidR="002C6C4F" w:rsidRDefault="002C6C4F"/>
        </w:tc>
        <w:tc>
          <w:tcPr>
            <w:tcW w:w="2072" w:type="dxa"/>
          </w:tcPr>
          <w:p w:rsidR="002C6C4F" w:rsidRDefault="005F38F9">
            <w:pPr>
              <w:pStyle w:val="TableParagraph"/>
              <w:spacing w:before="0" w:line="243" w:lineRule="exact"/>
              <w:rPr>
                <w:sz w:val="20"/>
              </w:rPr>
            </w:pPr>
            <w:r>
              <w:rPr>
                <w:sz w:val="20"/>
              </w:rPr>
              <w:t>Opioid overuse</w:t>
            </w:r>
          </w:p>
        </w:tc>
        <w:tc>
          <w:tcPr>
            <w:tcW w:w="1440" w:type="dxa"/>
          </w:tcPr>
          <w:p w:rsidR="002C6C4F" w:rsidRDefault="005F38F9">
            <w:pPr>
              <w:pStyle w:val="TableParagraph"/>
              <w:spacing w:before="0" w:line="243" w:lineRule="exact"/>
              <w:ind w:left="100"/>
              <w:rPr>
                <w:sz w:val="20"/>
              </w:rPr>
            </w:pPr>
            <w:r>
              <w:rPr>
                <w:sz w:val="20"/>
              </w:rPr>
              <w:t>In HEDIS</w:t>
            </w:r>
          </w:p>
        </w:tc>
        <w:tc>
          <w:tcPr>
            <w:tcW w:w="1169" w:type="dxa"/>
          </w:tcPr>
          <w:p w:rsidR="002C6C4F" w:rsidRDefault="005F38F9">
            <w:pPr>
              <w:pStyle w:val="TableParagraph"/>
              <w:spacing w:before="0" w:line="243" w:lineRule="exact"/>
              <w:ind w:left="100"/>
              <w:rPr>
                <w:sz w:val="20"/>
              </w:rPr>
            </w:pPr>
            <w:r>
              <w:rPr>
                <w:sz w:val="20"/>
              </w:rPr>
              <w:t>Claims</w:t>
            </w:r>
          </w:p>
        </w:tc>
        <w:tc>
          <w:tcPr>
            <w:tcW w:w="2071" w:type="dxa"/>
          </w:tcPr>
          <w:p w:rsidR="002C6C4F" w:rsidRDefault="005F38F9">
            <w:pPr>
              <w:pStyle w:val="TableParagraph"/>
              <w:spacing w:before="0"/>
              <w:ind w:right="133"/>
              <w:rPr>
                <w:sz w:val="20"/>
              </w:rPr>
            </w:pPr>
            <w:r>
              <w:rPr>
                <w:sz w:val="20"/>
              </w:rPr>
              <w:t>Members 18 years of age and older receiving prescription opioids for &gt; 15 days during the measurement year.</w:t>
            </w:r>
          </w:p>
        </w:tc>
        <w:tc>
          <w:tcPr>
            <w:tcW w:w="3961" w:type="dxa"/>
          </w:tcPr>
          <w:p w:rsidR="002C6C4F" w:rsidRDefault="005F38F9">
            <w:pPr>
              <w:pStyle w:val="TableParagraph"/>
              <w:numPr>
                <w:ilvl w:val="0"/>
                <w:numId w:val="11"/>
              </w:numPr>
              <w:tabs>
                <w:tab w:val="left" w:pos="460"/>
                <w:tab w:val="left" w:pos="461"/>
              </w:tabs>
              <w:spacing w:before="0"/>
              <w:ind w:right="216"/>
              <w:rPr>
                <w:sz w:val="20"/>
              </w:rPr>
            </w:pPr>
            <w:r>
              <w:rPr>
                <w:sz w:val="20"/>
              </w:rPr>
              <w:t>High Dosage. Members who received a daily dosage of opioids greater than 120 mg morphine equivalent dose (MED) for 90 consecutive days or</w:t>
            </w:r>
            <w:r>
              <w:rPr>
                <w:spacing w:val="-9"/>
                <w:sz w:val="20"/>
              </w:rPr>
              <w:t xml:space="preserve"> </w:t>
            </w:r>
            <w:r>
              <w:rPr>
                <w:sz w:val="20"/>
              </w:rPr>
              <w:t>longer.</w:t>
            </w:r>
          </w:p>
          <w:p w:rsidR="002C6C4F" w:rsidRDefault="005F38F9">
            <w:pPr>
              <w:pStyle w:val="TableParagraph"/>
              <w:numPr>
                <w:ilvl w:val="0"/>
                <w:numId w:val="11"/>
              </w:numPr>
              <w:tabs>
                <w:tab w:val="left" w:pos="460"/>
                <w:tab w:val="left" w:pos="461"/>
              </w:tabs>
              <w:spacing w:before="0"/>
              <w:ind w:right="198"/>
              <w:rPr>
                <w:sz w:val="20"/>
              </w:rPr>
            </w:pPr>
            <w:r>
              <w:rPr>
                <w:sz w:val="20"/>
              </w:rPr>
              <w:t>Multiple Prescribers and Multiple Pharmacies. Members who received prescriptions for opioids from four (4)</w:t>
            </w:r>
            <w:r>
              <w:rPr>
                <w:spacing w:val="-19"/>
                <w:sz w:val="20"/>
              </w:rPr>
              <w:t xml:space="preserve"> </w:t>
            </w:r>
            <w:r>
              <w:rPr>
                <w:sz w:val="20"/>
              </w:rPr>
              <w:t>or more prescribers AND four (4) or more pharmacies.</w:t>
            </w:r>
          </w:p>
          <w:p w:rsidR="002C6C4F" w:rsidRDefault="005F38F9">
            <w:pPr>
              <w:pStyle w:val="TableParagraph"/>
              <w:numPr>
                <w:ilvl w:val="0"/>
                <w:numId w:val="11"/>
              </w:numPr>
              <w:tabs>
                <w:tab w:val="left" w:pos="460"/>
                <w:tab w:val="left" w:pos="461"/>
              </w:tabs>
              <w:spacing w:before="0"/>
              <w:ind w:right="124"/>
              <w:rPr>
                <w:sz w:val="20"/>
              </w:rPr>
            </w:pPr>
            <w:r>
              <w:rPr>
                <w:sz w:val="20"/>
              </w:rPr>
              <w:t>Multi-Provider, High Dosage: Members who had prescriptions for opioids</w:t>
            </w:r>
            <w:r>
              <w:rPr>
                <w:spacing w:val="-15"/>
                <w:sz w:val="20"/>
              </w:rPr>
              <w:t xml:space="preserve"> </w:t>
            </w:r>
            <w:r>
              <w:rPr>
                <w:sz w:val="20"/>
              </w:rPr>
              <w:t>greater than 120mg morphine equivalent dose (MED) for 90 consecutive days or longer, AND who received opioid prescriptions from four</w:t>
            </w:r>
            <w:r>
              <w:rPr>
                <w:sz w:val="20"/>
              </w:rPr>
              <w:t xml:space="preserve"> (4) or more prescribers AND four (4) or more</w:t>
            </w:r>
            <w:r>
              <w:rPr>
                <w:spacing w:val="-14"/>
                <w:sz w:val="20"/>
              </w:rPr>
              <w:t xml:space="preserve"> </w:t>
            </w:r>
            <w:r>
              <w:rPr>
                <w:sz w:val="20"/>
              </w:rPr>
              <w:t>pharmacies.</w:t>
            </w:r>
          </w:p>
        </w:tc>
      </w:tr>
      <w:tr w:rsidR="002C6C4F">
        <w:trPr>
          <w:trHeight w:hRule="exact" w:val="1250"/>
        </w:trPr>
        <w:tc>
          <w:tcPr>
            <w:tcW w:w="2156" w:type="dxa"/>
          </w:tcPr>
          <w:p w:rsidR="002C6C4F" w:rsidRDefault="005F38F9">
            <w:pPr>
              <w:pStyle w:val="TableParagraph"/>
              <w:rPr>
                <w:sz w:val="20"/>
              </w:rPr>
            </w:pPr>
            <w:r>
              <w:rPr>
                <w:sz w:val="20"/>
              </w:rPr>
              <w:t>Utilization</w:t>
            </w:r>
          </w:p>
        </w:tc>
        <w:tc>
          <w:tcPr>
            <w:tcW w:w="2072" w:type="dxa"/>
          </w:tcPr>
          <w:p w:rsidR="002C6C4F" w:rsidRDefault="005F38F9">
            <w:pPr>
              <w:pStyle w:val="TableParagraph"/>
              <w:ind w:right="88"/>
              <w:rPr>
                <w:sz w:val="20"/>
              </w:rPr>
            </w:pPr>
            <w:r>
              <w:rPr>
                <w:sz w:val="20"/>
              </w:rPr>
              <w:t>Identification of alcohol and other drug services</w:t>
            </w:r>
          </w:p>
        </w:tc>
        <w:tc>
          <w:tcPr>
            <w:tcW w:w="1440" w:type="dxa"/>
          </w:tcPr>
          <w:p w:rsidR="002C6C4F" w:rsidRDefault="005F38F9">
            <w:pPr>
              <w:pStyle w:val="TableParagraph"/>
              <w:ind w:left="100"/>
              <w:rPr>
                <w:sz w:val="20"/>
              </w:rPr>
            </w:pPr>
            <w:r>
              <w:rPr>
                <w:sz w:val="20"/>
              </w:rPr>
              <w:t>In HEDIS</w:t>
            </w:r>
          </w:p>
        </w:tc>
        <w:tc>
          <w:tcPr>
            <w:tcW w:w="1169" w:type="dxa"/>
          </w:tcPr>
          <w:p w:rsidR="002C6C4F" w:rsidRDefault="005F38F9">
            <w:pPr>
              <w:pStyle w:val="TableParagraph"/>
              <w:ind w:left="100"/>
              <w:rPr>
                <w:sz w:val="20"/>
              </w:rPr>
            </w:pPr>
            <w:r>
              <w:rPr>
                <w:sz w:val="20"/>
              </w:rPr>
              <w:t>Claims</w:t>
            </w:r>
          </w:p>
        </w:tc>
        <w:tc>
          <w:tcPr>
            <w:tcW w:w="2071" w:type="dxa"/>
          </w:tcPr>
          <w:p w:rsidR="002C6C4F" w:rsidRDefault="005F38F9">
            <w:pPr>
              <w:pStyle w:val="TableParagraph"/>
              <w:rPr>
                <w:sz w:val="20"/>
              </w:rPr>
            </w:pPr>
            <w:r>
              <w:rPr>
                <w:sz w:val="20"/>
              </w:rPr>
              <w:t>All members</w:t>
            </w:r>
          </w:p>
        </w:tc>
        <w:tc>
          <w:tcPr>
            <w:tcW w:w="3961" w:type="dxa"/>
          </w:tcPr>
          <w:p w:rsidR="002C6C4F" w:rsidRDefault="005F38F9">
            <w:pPr>
              <w:pStyle w:val="TableParagraph"/>
              <w:ind w:left="100" w:right="487"/>
              <w:rPr>
                <w:sz w:val="20"/>
              </w:rPr>
            </w:pPr>
            <w:r>
              <w:rPr>
                <w:sz w:val="20"/>
              </w:rPr>
              <w:t>Members who received the following chemical dependency services during the measurement year:</w:t>
            </w:r>
          </w:p>
          <w:p w:rsidR="002C6C4F" w:rsidRDefault="005F38F9">
            <w:pPr>
              <w:pStyle w:val="TableParagraph"/>
              <w:numPr>
                <w:ilvl w:val="0"/>
                <w:numId w:val="10"/>
              </w:numPr>
              <w:tabs>
                <w:tab w:val="left" w:pos="460"/>
                <w:tab w:val="left" w:pos="461"/>
              </w:tabs>
              <w:spacing w:before="0" w:line="254" w:lineRule="exact"/>
              <w:rPr>
                <w:sz w:val="20"/>
              </w:rPr>
            </w:pPr>
            <w:r>
              <w:rPr>
                <w:sz w:val="20"/>
              </w:rPr>
              <w:t>Any</w:t>
            </w:r>
            <w:r>
              <w:rPr>
                <w:spacing w:val="-8"/>
                <w:sz w:val="20"/>
              </w:rPr>
              <w:t xml:space="preserve"> </w:t>
            </w:r>
            <w:r>
              <w:rPr>
                <w:sz w:val="20"/>
              </w:rPr>
              <w:t>service.</w:t>
            </w:r>
          </w:p>
          <w:p w:rsidR="002C6C4F" w:rsidRDefault="005F38F9">
            <w:pPr>
              <w:pStyle w:val="TableParagraph"/>
              <w:numPr>
                <w:ilvl w:val="0"/>
                <w:numId w:val="10"/>
              </w:numPr>
              <w:tabs>
                <w:tab w:val="left" w:pos="460"/>
                <w:tab w:val="left" w:pos="461"/>
              </w:tabs>
              <w:spacing w:before="0"/>
              <w:rPr>
                <w:sz w:val="20"/>
              </w:rPr>
            </w:pPr>
            <w:r>
              <w:rPr>
                <w:sz w:val="20"/>
              </w:rPr>
              <w:t>Inpatient.</w:t>
            </w:r>
          </w:p>
        </w:tc>
      </w:tr>
    </w:tbl>
    <w:p w:rsidR="002C6C4F" w:rsidRDefault="002C6C4F">
      <w:pPr>
        <w:rPr>
          <w:sz w:val="20"/>
        </w:rPr>
        <w:sectPr w:rsidR="002C6C4F">
          <w:pgSz w:w="15840" w:h="12240" w:orient="landscape"/>
          <w:pgMar w:top="1620" w:right="1400" w:bottom="1020" w:left="1340" w:header="720" w:footer="828"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072"/>
        <w:gridCol w:w="1440"/>
        <w:gridCol w:w="1169"/>
        <w:gridCol w:w="2071"/>
        <w:gridCol w:w="3961"/>
      </w:tblGrid>
      <w:tr w:rsidR="002C6C4F">
        <w:trPr>
          <w:trHeight w:hRule="exact" w:val="766"/>
        </w:trPr>
        <w:tc>
          <w:tcPr>
            <w:tcW w:w="2156" w:type="dxa"/>
            <w:vMerge w:val="restart"/>
          </w:tcPr>
          <w:p w:rsidR="002C6C4F" w:rsidRDefault="002C6C4F"/>
        </w:tc>
        <w:tc>
          <w:tcPr>
            <w:tcW w:w="2072" w:type="dxa"/>
          </w:tcPr>
          <w:p w:rsidR="002C6C4F" w:rsidRDefault="002C6C4F"/>
        </w:tc>
        <w:tc>
          <w:tcPr>
            <w:tcW w:w="1440" w:type="dxa"/>
          </w:tcPr>
          <w:p w:rsidR="002C6C4F" w:rsidRDefault="002C6C4F"/>
        </w:tc>
        <w:tc>
          <w:tcPr>
            <w:tcW w:w="1169" w:type="dxa"/>
          </w:tcPr>
          <w:p w:rsidR="002C6C4F" w:rsidRDefault="002C6C4F"/>
        </w:tc>
        <w:tc>
          <w:tcPr>
            <w:tcW w:w="2071" w:type="dxa"/>
          </w:tcPr>
          <w:p w:rsidR="002C6C4F" w:rsidRDefault="002C6C4F"/>
        </w:tc>
        <w:tc>
          <w:tcPr>
            <w:tcW w:w="3961" w:type="dxa"/>
          </w:tcPr>
          <w:p w:rsidR="002C6C4F" w:rsidRDefault="005F38F9">
            <w:pPr>
              <w:pStyle w:val="TableParagraph"/>
              <w:numPr>
                <w:ilvl w:val="0"/>
                <w:numId w:val="9"/>
              </w:numPr>
              <w:tabs>
                <w:tab w:val="left" w:pos="460"/>
                <w:tab w:val="left" w:pos="461"/>
              </w:tabs>
              <w:spacing w:before="3"/>
              <w:ind w:right="1050"/>
              <w:rPr>
                <w:sz w:val="20"/>
              </w:rPr>
            </w:pPr>
            <w:r>
              <w:rPr>
                <w:sz w:val="20"/>
              </w:rPr>
              <w:t>Intensive outpatient or</w:t>
            </w:r>
            <w:r>
              <w:rPr>
                <w:spacing w:val="-11"/>
                <w:sz w:val="20"/>
              </w:rPr>
              <w:t xml:space="preserve"> </w:t>
            </w:r>
            <w:r>
              <w:rPr>
                <w:sz w:val="20"/>
              </w:rPr>
              <w:t>partial hospitalization.</w:t>
            </w:r>
          </w:p>
          <w:p w:rsidR="002C6C4F" w:rsidRDefault="005F38F9">
            <w:pPr>
              <w:pStyle w:val="TableParagraph"/>
              <w:numPr>
                <w:ilvl w:val="0"/>
                <w:numId w:val="9"/>
              </w:numPr>
              <w:tabs>
                <w:tab w:val="left" w:pos="460"/>
                <w:tab w:val="left" w:pos="461"/>
              </w:tabs>
              <w:spacing w:before="0" w:line="254" w:lineRule="exact"/>
              <w:rPr>
                <w:sz w:val="20"/>
              </w:rPr>
            </w:pPr>
            <w:r>
              <w:rPr>
                <w:sz w:val="20"/>
              </w:rPr>
              <w:t>Outpatient or</w:t>
            </w:r>
            <w:r>
              <w:rPr>
                <w:spacing w:val="-9"/>
                <w:sz w:val="20"/>
              </w:rPr>
              <w:t xml:space="preserve"> </w:t>
            </w:r>
            <w:r>
              <w:rPr>
                <w:sz w:val="20"/>
              </w:rPr>
              <w:t>ED.</w:t>
            </w:r>
          </w:p>
        </w:tc>
      </w:tr>
      <w:tr w:rsidR="002C6C4F">
        <w:trPr>
          <w:trHeight w:hRule="exact" w:val="1762"/>
        </w:trPr>
        <w:tc>
          <w:tcPr>
            <w:tcW w:w="2156" w:type="dxa"/>
            <w:vMerge/>
          </w:tcPr>
          <w:p w:rsidR="002C6C4F" w:rsidRDefault="002C6C4F"/>
        </w:tc>
        <w:tc>
          <w:tcPr>
            <w:tcW w:w="2072" w:type="dxa"/>
          </w:tcPr>
          <w:p w:rsidR="002C6C4F" w:rsidRDefault="005F38F9">
            <w:pPr>
              <w:pStyle w:val="TableParagraph"/>
              <w:spacing w:before="0"/>
              <w:ind w:right="791"/>
              <w:rPr>
                <w:sz w:val="20"/>
              </w:rPr>
            </w:pPr>
            <w:r>
              <w:rPr>
                <w:sz w:val="20"/>
              </w:rPr>
              <w:t>Mental health utilization</w:t>
            </w:r>
          </w:p>
        </w:tc>
        <w:tc>
          <w:tcPr>
            <w:tcW w:w="1440" w:type="dxa"/>
          </w:tcPr>
          <w:p w:rsidR="002C6C4F" w:rsidRDefault="005F38F9">
            <w:pPr>
              <w:pStyle w:val="TableParagraph"/>
              <w:spacing w:before="0" w:line="243" w:lineRule="exact"/>
              <w:ind w:left="100"/>
              <w:rPr>
                <w:sz w:val="20"/>
              </w:rPr>
            </w:pPr>
            <w:r>
              <w:rPr>
                <w:sz w:val="20"/>
              </w:rPr>
              <w:t>In HEDIS</w:t>
            </w:r>
          </w:p>
        </w:tc>
        <w:tc>
          <w:tcPr>
            <w:tcW w:w="1169" w:type="dxa"/>
          </w:tcPr>
          <w:p w:rsidR="002C6C4F" w:rsidRDefault="005F38F9">
            <w:pPr>
              <w:pStyle w:val="TableParagraph"/>
              <w:spacing w:before="0" w:line="243" w:lineRule="exact"/>
              <w:ind w:left="100"/>
              <w:rPr>
                <w:sz w:val="20"/>
              </w:rPr>
            </w:pPr>
            <w:r>
              <w:rPr>
                <w:sz w:val="20"/>
              </w:rPr>
              <w:t>Claims</w:t>
            </w:r>
          </w:p>
        </w:tc>
        <w:tc>
          <w:tcPr>
            <w:tcW w:w="2071" w:type="dxa"/>
          </w:tcPr>
          <w:p w:rsidR="002C6C4F" w:rsidRDefault="005F38F9">
            <w:pPr>
              <w:pStyle w:val="TableParagraph"/>
              <w:spacing w:before="0" w:line="243" w:lineRule="exact"/>
              <w:rPr>
                <w:sz w:val="20"/>
              </w:rPr>
            </w:pPr>
            <w:r>
              <w:rPr>
                <w:sz w:val="20"/>
              </w:rPr>
              <w:t>All members</w:t>
            </w:r>
          </w:p>
        </w:tc>
        <w:tc>
          <w:tcPr>
            <w:tcW w:w="3961" w:type="dxa"/>
          </w:tcPr>
          <w:p w:rsidR="002C6C4F" w:rsidRDefault="005F38F9">
            <w:pPr>
              <w:pStyle w:val="TableParagraph"/>
              <w:spacing w:before="0"/>
              <w:ind w:left="100"/>
              <w:rPr>
                <w:sz w:val="20"/>
              </w:rPr>
            </w:pPr>
            <w:r>
              <w:rPr>
                <w:sz w:val="20"/>
              </w:rPr>
              <w:t>Members who received the following mental health services during the measurement year:</w:t>
            </w:r>
          </w:p>
          <w:p w:rsidR="002C6C4F" w:rsidRDefault="005F38F9">
            <w:pPr>
              <w:pStyle w:val="TableParagraph"/>
              <w:numPr>
                <w:ilvl w:val="0"/>
                <w:numId w:val="8"/>
              </w:numPr>
              <w:tabs>
                <w:tab w:val="left" w:pos="460"/>
                <w:tab w:val="left" w:pos="461"/>
              </w:tabs>
              <w:spacing w:line="254" w:lineRule="exact"/>
              <w:rPr>
                <w:sz w:val="20"/>
              </w:rPr>
            </w:pPr>
            <w:r>
              <w:rPr>
                <w:sz w:val="20"/>
              </w:rPr>
              <w:t>Any</w:t>
            </w:r>
            <w:r>
              <w:rPr>
                <w:spacing w:val="-8"/>
                <w:sz w:val="20"/>
              </w:rPr>
              <w:t xml:space="preserve"> </w:t>
            </w:r>
            <w:r>
              <w:rPr>
                <w:sz w:val="20"/>
              </w:rPr>
              <w:t>service.</w:t>
            </w:r>
          </w:p>
          <w:p w:rsidR="002C6C4F" w:rsidRDefault="005F38F9">
            <w:pPr>
              <w:pStyle w:val="TableParagraph"/>
              <w:numPr>
                <w:ilvl w:val="0"/>
                <w:numId w:val="8"/>
              </w:numPr>
              <w:tabs>
                <w:tab w:val="left" w:pos="460"/>
                <w:tab w:val="left" w:pos="461"/>
              </w:tabs>
              <w:spacing w:before="0"/>
              <w:rPr>
                <w:sz w:val="20"/>
              </w:rPr>
            </w:pPr>
            <w:r>
              <w:rPr>
                <w:sz w:val="20"/>
              </w:rPr>
              <w:t>Inpatient.</w:t>
            </w:r>
          </w:p>
          <w:p w:rsidR="002C6C4F" w:rsidRDefault="005F38F9">
            <w:pPr>
              <w:pStyle w:val="TableParagraph"/>
              <w:numPr>
                <w:ilvl w:val="0"/>
                <w:numId w:val="8"/>
              </w:numPr>
              <w:tabs>
                <w:tab w:val="left" w:pos="460"/>
                <w:tab w:val="left" w:pos="461"/>
              </w:tabs>
              <w:spacing w:before="0"/>
              <w:ind w:right="1050"/>
              <w:rPr>
                <w:sz w:val="20"/>
              </w:rPr>
            </w:pPr>
            <w:r>
              <w:rPr>
                <w:sz w:val="20"/>
              </w:rPr>
              <w:t>Intensive outpatient or</w:t>
            </w:r>
            <w:r>
              <w:rPr>
                <w:spacing w:val="-11"/>
                <w:sz w:val="20"/>
              </w:rPr>
              <w:t xml:space="preserve"> </w:t>
            </w:r>
            <w:r>
              <w:rPr>
                <w:sz w:val="20"/>
              </w:rPr>
              <w:t>partial hospitalization.</w:t>
            </w:r>
          </w:p>
          <w:p w:rsidR="002C6C4F" w:rsidRDefault="005F38F9">
            <w:pPr>
              <w:pStyle w:val="TableParagraph"/>
              <w:numPr>
                <w:ilvl w:val="0"/>
                <w:numId w:val="8"/>
              </w:numPr>
              <w:tabs>
                <w:tab w:val="left" w:pos="460"/>
                <w:tab w:val="left" w:pos="461"/>
              </w:tabs>
              <w:spacing w:before="0" w:line="254" w:lineRule="exact"/>
              <w:rPr>
                <w:sz w:val="20"/>
              </w:rPr>
            </w:pPr>
            <w:r>
              <w:rPr>
                <w:sz w:val="20"/>
              </w:rPr>
              <w:t>Outpatient or</w:t>
            </w:r>
            <w:r>
              <w:rPr>
                <w:spacing w:val="-9"/>
                <w:sz w:val="20"/>
              </w:rPr>
              <w:t xml:space="preserve"> </w:t>
            </w:r>
            <w:r>
              <w:rPr>
                <w:sz w:val="20"/>
              </w:rPr>
              <w:t>ED.</w:t>
            </w:r>
          </w:p>
        </w:tc>
      </w:tr>
      <w:tr w:rsidR="002C6C4F">
        <w:trPr>
          <w:trHeight w:hRule="exact" w:val="1474"/>
        </w:trPr>
        <w:tc>
          <w:tcPr>
            <w:tcW w:w="2156" w:type="dxa"/>
            <w:vMerge/>
          </w:tcPr>
          <w:p w:rsidR="002C6C4F" w:rsidRDefault="002C6C4F"/>
        </w:tc>
        <w:tc>
          <w:tcPr>
            <w:tcW w:w="2072" w:type="dxa"/>
          </w:tcPr>
          <w:p w:rsidR="002C6C4F" w:rsidRDefault="005F38F9">
            <w:pPr>
              <w:pStyle w:val="TableParagraph"/>
              <w:spacing w:before="0"/>
              <w:ind w:right="202"/>
              <w:rPr>
                <w:sz w:val="20"/>
              </w:rPr>
            </w:pPr>
            <w:r>
              <w:rPr>
                <w:sz w:val="20"/>
              </w:rPr>
              <w:t>Use of first-line psychosocial care for children and adolescent on antipsychotics</w:t>
            </w:r>
          </w:p>
        </w:tc>
        <w:tc>
          <w:tcPr>
            <w:tcW w:w="1440" w:type="dxa"/>
          </w:tcPr>
          <w:p w:rsidR="002C6C4F" w:rsidRDefault="005F38F9">
            <w:pPr>
              <w:pStyle w:val="TableParagraph"/>
              <w:spacing w:before="0" w:line="243" w:lineRule="exact"/>
              <w:ind w:left="100"/>
              <w:rPr>
                <w:sz w:val="20"/>
              </w:rPr>
            </w:pPr>
            <w:r>
              <w:rPr>
                <w:sz w:val="20"/>
              </w:rPr>
              <w:t>In HEDIS</w:t>
            </w:r>
          </w:p>
        </w:tc>
        <w:tc>
          <w:tcPr>
            <w:tcW w:w="1169" w:type="dxa"/>
          </w:tcPr>
          <w:p w:rsidR="002C6C4F" w:rsidRDefault="005F38F9">
            <w:pPr>
              <w:pStyle w:val="TableParagraph"/>
              <w:spacing w:before="0" w:line="243" w:lineRule="exact"/>
              <w:ind w:left="100"/>
              <w:rPr>
                <w:sz w:val="20"/>
              </w:rPr>
            </w:pPr>
            <w:r>
              <w:rPr>
                <w:sz w:val="20"/>
              </w:rPr>
              <w:t>Claims</w:t>
            </w:r>
          </w:p>
        </w:tc>
        <w:tc>
          <w:tcPr>
            <w:tcW w:w="2071" w:type="dxa"/>
          </w:tcPr>
          <w:p w:rsidR="002C6C4F" w:rsidRDefault="005F38F9">
            <w:pPr>
              <w:pStyle w:val="TableParagraph"/>
              <w:spacing w:before="0"/>
              <w:ind w:right="142"/>
              <w:rPr>
                <w:sz w:val="20"/>
              </w:rPr>
            </w:pPr>
            <w:r>
              <w:rPr>
                <w:sz w:val="20"/>
              </w:rPr>
              <w:t>Children and adolescents 1–17 years of age who had a new prescription for an antipsychotic medication.</w:t>
            </w:r>
          </w:p>
        </w:tc>
        <w:tc>
          <w:tcPr>
            <w:tcW w:w="3961" w:type="dxa"/>
          </w:tcPr>
          <w:p w:rsidR="002C6C4F" w:rsidRDefault="005F38F9">
            <w:pPr>
              <w:pStyle w:val="TableParagraph"/>
              <w:spacing w:before="0"/>
              <w:ind w:left="100" w:right="179"/>
              <w:rPr>
                <w:sz w:val="20"/>
              </w:rPr>
            </w:pPr>
            <w:r>
              <w:rPr>
                <w:sz w:val="20"/>
              </w:rPr>
              <w:t>Members who had documentation of psychosocial care in the 121-day period from 90 days prior to the IPSD through 30 days after the IPSD.</w:t>
            </w:r>
          </w:p>
        </w:tc>
      </w:tr>
      <w:tr w:rsidR="002C6C4F">
        <w:trPr>
          <w:trHeight w:hRule="exact" w:val="1476"/>
        </w:trPr>
        <w:tc>
          <w:tcPr>
            <w:tcW w:w="2156" w:type="dxa"/>
          </w:tcPr>
          <w:p w:rsidR="002C6C4F" w:rsidRDefault="005F38F9">
            <w:pPr>
              <w:pStyle w:val="TableParagraph"/>
              <w:rPr>
                <w:sz w:val="20"/>
              </w:rPr>
            </w:pPr>
            <w:r>
              <w:rPr>
                <w:sz w:val="20"/>
              </w:rPr>
              <w:t>Outcomes</w:t>
            </w:r>
          </w:p>
        </w:tc>
        <w:tc>
          <w:tcPr>
            <w:tcW w:w="2072" w:type="dxa"/>
          </w:tcPr>
          <w:p w:rsidR="002C6C4F" w:rsidRDefault="005F38F9">
            <w:pPr>
              <w:pStyle w:val="TableParagraph"/>
              <w:rPr>
                <w:sz w:val="20"/>
              </w:rPr>
            </w:pPr>
            <w:r>
              <w:rPr>
                <w:sz w:val="20"/>
              </w:rPr>
              <w:t xml:space="preserve">Depression </w:t>
            </w:r>
            <w:r>
              <w:rPr>
                <w:w w:val="95"/>
                <w:sz w:val="20"/>
              </w:rPr>
              <w:t>remission/response</w:t>
            </w:r>
          </w:p>
        </w:tc>
        <w:tc>
          <w:tcPr>
            <w:tcW w:w="1440" w:type="dxa"/>
          </w:tcPr>
          <w:p w:rsidR="002C6C4F" w:rsidRDefault="005F38F9">
            <w:pPr>
              <w:pStyle w:val="TableParagraph"/>
              <w:ind w:left="100"/>
              <w:rPr>
                <w:sz w:val="20"/>
              </w:rPr>
            </w:pPr>
            <w:r>
              <w:rPr>
                <w:sz w:val="20"/>
              </w:rPr>
              <w:t xml:space="preserve">Under </w:t>
            </w:r>
            <w:r>
              <w:rPr>
                <w:w w:val="95"/>
                <w:sz w:val="20"/>
              </w:rPr>
              <w:t>development</w:t>
            </w:r>
          </w:p>
        </w:tc>
        <w:tc>
          <w:tcPr>
            <w:tcW w:w="1169" w:type="dxa"/>
          </w:tcPr>
          <w:p w:rsidR="002C6C4F" w:rsidRDefault="005F38F9">
            <w:pPr>
              <w:pStyle w:val="TableParagraph"/>
              <w:ind w:left="100"/>
              <w:rPr>
                <w:sz w:val="20"/>
              </w:rPr>
            </w:pPr>
            <w:r>
              <w:rPr>
                <w:sz w:val="20"/>
              </w:rPr>
              <w:t>ECDS</w:t>
            </w:r>
          </w:p>
        </w:tc>
        <w:tc>
          <w:tcPr>
            <w:tcW w:w="2071" w:type="dxa"/>
          </w:tcPr>
          <w:p w:rsidR="002C6C4F" w:rsidRDefault="005F38F9">
            <w:pPr>
              <w:pStyle w:val="TableParagraph"/>
              <w:ind w:right="132"/>
              <w:rPr>
                <w:sz w:val="20"/>
              </w:rPr>
            </w:pPr>
            <w:r>
              <w:rPr>
                <w:sz w:val="20"/>
              </w:rPr>
              <w:t>Member 12 years of age and older with a diagnosis of major depression or dysthymia and an elevated PHQ-9 score.</w:t>
            </w:r>
          </w:p>
        </w:tc>
        <w:tc>
          <w:tcPr>
            <w:tcW w:w="3961" w:type="dxa"/>
          </w:tcPr>
          <w:p w:rsidR="002C6C4F" w:rsidRDefault="005F38F9">
            <w:pPr>
              <w:pStyle w:val="TableParagraph"/>
              <w:ind w:left="100" w:right="176"/>
              <w:rPr>
                <w:sz w:val="20"/>
              </w:rPr>
            </w:pPr>
            <w:r>
              <w:rPr>
                <w:sz w:val="20"/>
              </w:rPr>
              <w:t>Members who had evidence of response or remission within 5–7 months of the elevated PHQ-9 score.</w:t>
            </w:r>
          </w:p>
        </w:tc>
      </w:tr>
    </w:tbl>
    <w:p w:rsidR="002C6C4F" w:rsidRDefault="002C6C4F">
      <w:pPr>
        <w:pStyle w:val="BodyText"/>
        <w:rPr>
          <w:rFonts w:ascii="Arial"/>
          <w:sz w:val="20"/>
        </w:rPr>
      </w:pPr>
    </w:p>
    <w:p w:rsidR="002C6C4F" w:rsidRDefault="002C6C4F">
      <w:pPr>
        <w:pStyle w:val="BodyText"/>
        <w:spacing w:before="2"/>
        <w:rPr>
          <w:rFonts w:ascii="Arial"/>
          <w:sz w:val="18"/>
        </w:rPr>
      </w:pPr>
    </w:p>
    <w:p w:rsidR="002C6C4F" w:rsidRDefault="005F38F9">
      <w:pPr>
        <w:spacing w:before="60"/>
        <w:ind w:left="100"/>
        <w:rPr>
          <w:b/>
          <w:sz w:val="20"/>
        </w:rPr>
      </w:pPr>
      <w:r>
        <w:rPr>
          <w:b/>
          <w:sz w:val="20"/>
        </w:rPr>
        <w:t>Additional NCQA measures address “integrated care” for behavioral health conditions (not in HEDIS)</w:t>
      </w:r>
    </w:p>
    <w:p w:rsidR="002C6C4F" w:rsidRDefault="002C6C4F">
      <w:pPr>
        <w:pStyle w:val="BodyText"/>
        <w:spacing w:before="4" w:after="1"/>
        <w:rPr>
          <w:b/>
          <w:sz w:val="19"/>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811"/>
        <w:gridCol w:w="4861"/>
        <w:gridCol w:w="4681"/>
      </w:tblGrid>
      <w:tr w:rsidR="002C6C4F">
        <w:trPr>
          <w:trHeight w:hRule="exact" w:val="500"/>
        </w:trPr>
        <w:tc>
          <w:tcPr>
            <w:tcW w:w="2516" w:type="dxa"/>
          </w:tcPr>
          <w:p w:rsidR="002C6C4F" w:rsidRDefault="005F38F9">
            <w:pPr>
              <w:pStyle w:val="TableParagraph"/>
              <w:rPr>
                <w:sz w:val="20"/>
              </w:rPr>
            </w:pPr>
            <w:r>
              <w:rPr>
                <w:sz w:val="20"/>
              </w:rPr>
              <w:t>Measure</w:t>
            </w:r>
          </w:p>
        </w:tc>
        <w:tc>
          <w:tcPr>
            <w:tcW w:w="811" w:type="dxa"/>
          </w:tcPr>
          <w:p w:rsidR="002C6C4F" w:rsidRDefault="005F38F9">
            <w:pPr>
              <w:pStyle w:val="TableParagraph"/>
              <w:rPr>
                <w:sz w:val="20"/>
              </w:rPr>
            </w:pPr>
            <w:r>
              <w:rPr>
                <w:sz w:val="20"/>
              </w:rPr>
              <w:t xml:space="preserve">Data </w:t>
            </w:r>
            <w:r>
              <w:rPr>
                <w:w w:val="95"/>
                <w:sz w:val="20"/>
              </w:rPr>
              <w:t>Source</w:t>
            </w:r>
          </w:p>
        </w:tc>
        <w:tc>
          <w:tcPr>
            <w:tcW w:w="4861" w:type="dxa"/>
          </w:tcPr>
          <w:p w:rsidR="002C6C4F" w:rsidRDefault="005F38F9">
            <w:pPr>
              <w:pStyle w:val="TableParagraph"/>
              <w:ind w:left="101"/>
              <w:rPr>
                <w:sz w:val="20"/>
              </w:rPr>
            </w:pPr>
            <w:r>
              <w:rPr>
                <w:sz w:val="20"/>
              </w:rPr>
              <w:t>Denominator</w:t>
            </w:r>
          </w:p>
        </w:tc>
        <w:tc>
          <w:tcPr>
            <w:tcW w:w="4681" w:type="dxa"/>
          </w:tcPr>
          <w:p w:rsidR="002C6C4F" w:rsidRDefault="005F38F9">
            <w:pPr>
              <w:pStyle w:val="TableParagraph"/>
              <w:ind w:left="100"/>
              <w:rPr>
                <w:sz w:val="20"/>
              </w:rPr>
            </w:pPr>
            <w:r>
              <w:rPr>
                <w:sz w:val="20"/>
              </w:rPr>
              <w:t>Numerator</w:t>
            </w:r>
          </w:p>
        </w:tc>
      </w:tr>
      <w:tr w:rsidR="002C6C4F">
        <w:trPr>
          <w:trHeight w:hRule="exact" w:val="986"/>
        </w:trPr>
        <w:tc>
          <w:tcPr>
            <w:tcW w:w="2516" w:type="dxa"/>
          </w:tcPr>
          <w:p w:rsidR="002C6C4F" w:rsidRDefault="005F38F9">
            <w:pPr>
              <w:pStyle w:val="TableParagraph"/>
              <w:ind w:right="109"/>
              <w:rPr>
                <w:sz w:val="20"/>
              </w:rPr>
            </w:pPr>
            <w:r>
              <w:rPr>
                <w:sz w:val="20"/>
              </w:rPr>
              <w:t>Alcohol Screening and Follow-up for People with Serious Mental Illness (SMI)</w:t>
            </w:r>
          </w:p>
        </w:tc>
        <w:tc>
          <w:tcPr>
            <w:tcW w:w="811" w:type="dxa"/>
          </w:tcPr>
          <w:p w:rsidR="002C6C4F" w:rsidRDefault="005F38F9">
            <w:pPr>
              <w:pStyle w:val="TableParagraph"/>
              <w:rPr>
                <w:sz w:val="20"/>
              </w:rPr>
            </w:pPr>
            <w:r>
              <w:rPr>
                <w:sz w:val="20"/>
              </w:rPr>
              <w:t>Claims</w:t>
            </w:r>
          </w:p>
        </w:tc>
        <w:tc>
          <w:tcPr>
            <w:tcW w:w="4861" w:type="dxa"/>
          </w:tcPr>
          <w:p w:rsidR="002C6C4F" w:rsidRDefault="005F38F9">
            <w:pPr>
              <w:pStyle w:val="TableParagraph"/>
              <w:ind w:left="101" w:right="95"/>
              <w:rPr>
                <w:sz w:val="20"/>
              </w:rPr>
            </w:pPr>
            <w:r>
              <w:rPr>
                <w:sz w:val="20"/>
              </w:rPr>
              <w:t>Members 18 years of age and older with at least one inpatient visit or two outpatient visits for schizophrenia or bipolar I disorder, or at least one inpatient visit for ma</w:t>
            </w:r>
            <w:r>
              <w:rPr>
                <w:sz w:val="20"/>
              </w:rPr>
              <w:t>jor depression during the measurement year.</w:t>
            </w:r>
          </w:p>
        </w:tc>
        <w:tc>
          <w:tcPr>
            <w:tcW w:w="4681" w:type="dxa"/>
          </w:tcPr>
          <w:p w:rsidR="002C6C4F" w:rsidRDefault="005F38F9">
            <w:pPr>
              <w:pStyle w:val="TableParagraph"/>
              <w:ind w:left="100" w:right="104"/>
              <w:rPr>
                <w:sz w:val="20"/>
              </w:rPr>
            </w:pPr>
            <w:r>
              <w:rPr>
                <w:sz w:val="20"/>
              </w:rPr>
              <w:t>Members who were screened for unhealthy alcohol use and received two events of counseling if identified as an unhealthy alcohol user.</w:t>
            </w:r>
          </w:p>
        </w:tc>
      </w:tr>
      <w:tr w:rsidR="002C6C4F">
        <w:trPr>
          <w:trHeight w:hRule="exact" w:val="754"/>
        </w:trPr>
        <w:tc>
          <w:tcPr>
            <w:tcW w:w="2516" w:type="dxa"/>
          </w:tcPr>
          <w:p w:rsidR="002C6C4F" w:rsidRDefault="005F38F9">
            <w:pPr>
              <w:pStyle w:val="TableParagraph"/>
              <w:ind w:right="141"/>
              <w:rPr>
                <w:sz w:val="20"/>
              </w:rPr>
            </w:pPr>
            <w:r>
              <w:rPr>
                <w:sz w:val="20"/>
              </w:rPr>
              <w:t>Tobacco Use Screening and Follow-up for People with Serious Mental Illness or</w:t>
            </w:r>
          </w:p>
        </w:tc>
        <w:tc>
          <w:tcPr>
            <w:tcW w:w="811" w:type="dxa"/>
          </w:tcPr>
          <w:p w:rsidR="002C6C4F" w:rsidRDefault="005F38F9">
            <w:pPr>
              <w:pStyle w:val="TableParagraph"/>
              <w:rPr>
                <w:sz w:val="20"/>
              </w:rPr>
            </w:pPr>
            <w:r>
              <w:rPr>
                <w:sz w:val="20"/>
              </w:rPr>
              <w:t>Claims</w:t>
            </w:r>
          </w:p>
        </w:tc>
        <w:tc>
          <w:tcPr>
            <w:tcW w:w="4861" w:type="dxa"/>
          </w:tcPr>
          <w:p w:rsidR="002C6C4F" w:rsidRDefault="005F38F9">
            <w:pPr>
              <w:pStyle w:val="TableParagraph"/>
              <w:numPr>
                <w:ilvl w:val="0"/>
                <w:numId w:val="7"/>
              </w:numPr>
              <w:tabs>
                <w:tab w:val="left" w:pos="461"/>
                <w:tab w:val="left" w:pos="462"/>
              </w:tabs>
              <w:spacing w:before="0"/>
              <w:ind w:right="279"/>
              <w:rPr>
                <w:sz w:val="20"/>
              </w:rPr>
            </w:pPr>
            <w:r>
              <w:rPr>
                <w:sz w:val="20"/>
              </w:rPr>
              <w:t>SMI: Members 18 years of age and older with at least one inpatient visit or two outpatient visits</w:t>
            </w:r>
            <w:r>
              <w:rPr>
                <w:spacing w:val="-26"/>
                <w:sz w:val="20"/>
              </w:rPr>
              <w:t xml:space="preserve"> </w:t>
            </w:r>
            <w:r>
              <w:rPr>
                <w:sz w:val="20"/>
              </w:rPr>
              <w:t>for schizophrenia or bipolar I disorder, or at least</w:t>
            </w:r>
            <w:r>
              <w:rPr>
                <w:spacing w:val="-22"/>
                <w:sz w:val="20"/>
              </w:rPr>
              <w:t xml:space="preserve"> </w:t>
            </w:r>
            <w:r>
              <w:rPr>
                <w:sz w:val="20"/>
              </w:rPr>
              <w:t>one</w:t>
            </w:r>
          </w:p>
        </w:tc>
        <w:tc>
          <w:tcPr>
            <w:tcW w:w="4681" w:type="dxa"/>
          </w:tcPr>
          <w:p w:rsidR="002C6C4F" w:rsidRDefault="005F38F9">
            <w:pPr>
              <w:pStyle w:val="TableParagraph"/>
              <w:numPr>
                <w:ilvl w:val="0"/>
                <w:numId w:val="6"/>
              </w:numPr>
              <w:tabs>
                <w:tab w:val="left" w:pos="460"/>
                <w:tab w:val="left" w:pos="461"/>
              </w:tabs>
              <w:spacing w:before="0"/>
              <w:ind w:right="282"/>
              <w:rPr>
                <w:sz w:val="20"/>
              </w:rPr>
            </w:pPr>
            <w:r>
              <w:rPr>
                <w:sz w:val="20"/>
              </w:rPr>
              <w:t>SMI: Members who were screened for tobacco use and received follow-up care if identified as</w:t>
            </w:r>
            <w:r>
              <w:rPr>
                <w:spacing w:val="-17"/>
                <w:sz w:val="20"/>
              </w:rPr>
              <w:t xml:space="preserve"> </w:t>
            </w:r>
            <w:r>
              <w:rPr>
                <w:sz w:val="20"/>
              </w:rPr>
              <w:t>a</w:t>
            </w:r>
            <w:r>
              <w:rPr>
                <w:sz w:val="20"/>
              </w:rPr>
              <w:t xml:space="preserve"> current tobacco</w:t>
            </w:r>
            <w:r>
              <w:rPr>
                <w:spacing w:val="-9"/>
                <w:sz w:val="20"/>
              </w:rPr>
              <w:t xml:space="preserve"> </w:t>
            </w:r>
            <w:r>
              <w:rPr>
                <w:sz w:val="20"/>
              </w:rPr>
              <w:t>user.</w:t>
            </w:r>
          </w:p>
        </w:tc>
      </w:tr>
    </w:tbl>
    <w:p w:rsidR="002C6C4F" w:rsidRDefault="002C6C4F">
      <w:pPr>
        <w:rPr>
          <w:sz w:val="20"/>
        </w:rPr>
        <w:sectPr w:rsidR="002C6C4F">
          <w:pgSz w:w="15840" w:h="12240" w:orient="landscape"/>
          <w:pgMar w:top="1620" w:right="1400" w:bottom="1020" w:left="1340" w:header="720" w:footer="828"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811"/>
        <w:gridCol w:w="4861"/>
        <w:gridCol w:w="4681"/>
      </w:tblGrid>
      <w:tr w:rsidR="002C6C4F">
        <w:trPr>
          <w:trHeight w:hRule="exact" w:val="1486"/>
        </w:trPr>
        <w:tc>
          <w:tcPr>
            <w:tcW w:w="2516" w:type="dxa"/>
          </w:tcPr>
          <w:p w:rsidR="002C6C4F" w:rsidRDefault="005F38F9">
            <w:pPr>
              <w:pStyle w:val="TableParagraph"/>
              <w:ind w:right="467"/>
              <w:rPr>
                <w:sz w:val="20"/>
              </w:rPr>
            </w:pPr>
            <w:r>
              <w:rPr>
                <w:sz w:val="20"/>
              </w:rPr>
              <w:lastRenderedPageBreak/>
              <w:t>Alcohol and Other Drug Dependence</w:t>
            </w:r>
          </w:p>
        </w:tc>
        <w:tc>
          <w:tcPr>
            <w:tcW w:w="811" w:type="dxa"/>
          </w:tcPr>
          <w:p w:rsidR="002C6C4F" w:rsidRDefault="002C6C4F"/>
        </w:tc>
        <w:tc>
          <w:tcPr>
            <w:tcW w:w="4861" w:type="dxa"/>
          </w:tcPr>
          <w:p w:rsidR="002C6C4F" w:rsidRDefault="005F38F9">
            <w:pPr>
              <w:pStyle w:val="TableParagraph"/>
              <w:ind w:left="461"/>
              <w:rPr>
                <w:sz w:val="20"/>
              </w:rPr>
            </w:pPr>
            <w:r>
              <w:rPr>
                <w:sz w:val="20"/>
              </w:rPr>
              <w:t>inpatient visit for major depression during the measurement year.</w:t>
            </w:r>
          </w:p>
          <w:p w:rsidR="002C6C4F" w:rsidRDefault="005F38F9">
            <w:pPr>
              <w:pStyle w:val="TableParagraph"/>
              <w:numPr>
                <w:ilvl w:val="0"/>
                <w:numId w:val="5"/>
              </w:numPr>
              <w:tabs>
                <w:tab w:val="left" w:pos="461"/>
                <w:tab w:val="left" w:pos="462"/>
              </w:tabs>
              <w:spacing w:before="0"/>
              <w:ind w:right="447"/>
              <w:rPr>
                <w:sz w:val="20"/>
              </w:rPr>
            </w:pPr>
            <w:r>
              <w:rPr>
                <w:sz w:val="20"/>
              </w:rPr>
              <w:t>AOD: All members 18 years of age or older as of December 31 of the measurement year with</w:t>
            </w:r>
            <w:r>
              <w:rPr>
                <w:spacing w:val="-17"/>
                <w:sz w:val="20"/>
              </w:rPr>
              <w:t xml:space="preserve"> </w:t>
            </w:r>
            <w:r>
              <w:rPr>
                <w:sz w:val="20"/>
              </w:rPr>
              <w:t>any diagnosis of alcohol or other drug dependence during the measurement</w:t>
            </w:r>
            <w:r>
              <w:rPr>
                <w:spacing w:val="-12"/>
                <w:sz w:val="20"/>
              </w:rPr>
              <w:t xml:space="preserve"> </w:t>
            </w:r>
            <w:r>
              <w:rPr>
                <w:sz w:val="20"/>
              </w:rPr>
              <w:t>year.</w:t>
            </w:r>
          </w:p>
        </w:tc>
        <w:tc>
          <w:tcPr>
            <w:tcW w:w="4681" w:type="dxa"/>
          </w:tcPr>
          <w:p w:rsidR="002C6C4F" w:rsidRDefault="005F38F9">
            <w:pPr>
              <w:pStyle w:val="TableParagraph"/>
              <w:numPr>
                <w:ilvl w:val="0"/>
                <w:numId w:val="4"/>
              </w:numPr>
              <w:tabs>
                <w:tab w:val="left" w:pos="460"/>
                <w:tab w:val="left" w:pos="461"/>
              </w:tabs>
              <w:spacing w:before="3"/>
              <w:ind w:right="283"/>
              <w:rPr>
                <w:sz w:val="20"/>
              </w:rPr>
            </w:pPr>
            <w:r>
              <w:rPr>
                <w:sz w:val="20"/>
              </w:rPr>
              <w:t>AOD: Members who were screened for tobacco use and received follow-up care if identified as</w:t>
            </w:r>
            <w:r>
              <w:rPr>
                <w:spacing w:val="-18"/>
                <w:sz w:val="20"/>
              </w:rPr>
              <w:t xml:space="preserve"> </w:t>
            </w:r>
            <w:r>
              <w:rPr>
                <w:sz w:val="20"/>
              </w:rPr>
              <w:t>a current tobacco</w:t>
            </w:r>
            <w:r>
              <w:rPr>
                <w:spacing w:val="-9"/>
                <w:sz w:val="20"/>
              </w:rPr>
              <w:t xml:space="preserve"> </w:t>
            </w:r>
            <w:r>
              <w:rPr>
                <w:sz w:val="20"/>
              </w:rPr>
              <w:t>user.</w:t>
            </w:r>
          </w:p>
        </w:tc>
      </w:tr>
      <w:tr w:rsidR="002C6C4F">
        <w:trPr>
          <w:trHeight w:hRule="exact" w:val="2230"/>
        </w:trPr>
        <w:tc>
          <w:tcPr>
            <w:tcW w:w="2516" w:type="dxa"/>
          </w:tcPr>
          <w:p w:rsidR="002C6C4F" w:rsidRDefault="005F38F9">
            <w:pPr>
              <w:pStyle w:val="TableParagraph"/>
              <w:ind w:right="109"/>
              <w:rPr>
                <w:sz w:val="20"/>
              </w:rPr>
            </w:pPr>
            <w:r>
              <w:rPr>
                <w:sz w:val="20"/>
              </w:rPr>
              <w:t>Body Mass Index Screening and Follow-up for People with Serious Mental Illness</w:t>
            </w:r>
          </w:p>
        </w:tc>
        <w:tc>
          <w:tcPr>
            <w:tcW w:w="811" w:type="dxa"/>
          </w:tcPr>
          <w:p w:rsidR="002C6C4F" w:rsidRDefault="005F38F9">
            <w:pPr>
              <w:pStyle w:val="TableParagraph"/>
              <w:rPr>
                <w:sz w:val="20"/>
              </w:rPr>
            </w:pPr>
            <w:r>
              <w:rPr>
                <w:sz w:val="20"/>
              </w:rPr>
              <w:t>Claims</w:t>
            </w:r>
          </w:p>
        </w:tc>
        <w:tc>
          <w:tcPr>
            <w:tcW w:w="4861" w:type="dxa"/>
          </w:tcPr>
          <w:p w:rsidR="002C6C4F" w:rsidRDefault="005F38F9">
            <w:pPr>
              <w:pStyle w:val="TableParagraph"/>
              <w:ind w:left="101" w:right="95"/>
              <w:rPr>
                <w:sz w:val="20"/>
              </w:rPr>
            </w:pPr>
            <w:r>
              <w:rPr>
                <w:sz w:val="20"/>
              </w:rPr>
              <w:t>Members 18 years of age and older with at least one inpatient visit or two outpatient visits for schizophrenia or bipolar I disorder, or at least one inpatient visit for major depression during the measurement year.</w:t>
            </w:r>
          </w:p>
        </w:tc>
        <w:tc>
          <w:tcPr>
            <w:tcW w:w="4681" w:type="dxa"/>
          </w:tcPr>
          <w:p w:rsidR="002C6C4F" w:rsidRDefault="005F38F9">
            <w:pPr>
              <w:pStyle w:val="TableParagraph"/>
              <w:ind w:left="100" w:right="164"/>
              <w:rPr>
                <w:sz w:val="20"/>
              </w:rPr>
            </w:pPr>
            <w:r>
              <w:rPr>
                <w:sz w:val="20"/>
              </w:rPr>
              <w:t>Members who had calculated body mass ind</w:t>
            </w:r>
            <w:r>
              <w:rPr>
                <w:sz w:val="20"/>
              </w:rPr>
              <w:t>ex documented and were provided two events of follow- up care if body mass index was greater than or equal to 30 kg/m2. Follow-up includes:</w:t>
            </w:r>
          </w:p>
          <w:p w:rsidR="002C6C4F" w:rsidRDefault="005F38F9">
            <w:pPr>
              <w:pStyle w:val="TableParagraph"/>
              <w:numPr>
                <w:ilvl w:val="0"/>
                <w:numId w:val="3"/>
              </w:numPr>
              <w:tabs>
                <w:tab w:val="left" w:pos="460"/>
                <w:tab w:val="left" w:pos="461"/>
              </w:tabs>
              <w:spacing w:before="0"/>
              <w:ind w:right="142"/>
              <w:rPr>
                <w:sz w:val="20"/>
              </w:rPr>
            </w:pPr>
            <w:r>
              <w:rPr>
                <w:sz w:val="20"/>
              </w:rPr>
              <w:t>Two events of counseling, on different dates, for weight management (such as nutrition or</w:t>
            </w:r>
            <w:r>
              <w:rPr>
                <w:spacing w:val="-17"/>
                <w:sz w:val="20"/>
              </w:rPr>
              <w:t xml:space="preserve"> </w:t>
            </w:r>
            <w:r>
              <w:rPr>
                <w:sz w:val="20"/>
              </w:rPr>
              <w:t>exercise counseling)</w:t>
            </w:r>
            <w:r>
              <w:rPr>
                <w:spacing w:val="-7"/>
                <w:sz w:val="20"/>
              </w:rPr>
              <w:t xml:space="preserve"> </w:t>
            </w:r>
            <w:r>
              <w:rPr>
                <w:sz w:val="20"/>
              </w:rPr>
              <w:t>or</w:t>
            </w:r>
          </w:p>
          <w:p w:rsidR="002C6C4F" w:rsidRDefault="005F38F9">
            <w:pPr>
              <w:pStyle w:val="TableParagraph"/>
              <w:numPr>
                <w:ilvl w:val="0"/>
                <w:numId w:val="3"/>
              </w:numPr>
              <w:tabs>
                <w:tab w:val="left" w:pos="460"/>
                <w:tab w:val="left" w:pos="461"/>
              </w:tabs>
              <w:spacing w:before="0"/>
              <w:ind w:right="120"/>
              <w:rPr>
                <w:sz w:val="20"/>
              </w:rPr>
            </w:pPr>
            <w:r>
              <w:rPr>
                <w:sz w:val="20"/>
              </w:rPr>
              <w:t>One event of counseling and one fill of</w:t>
            </w:r>
            <w:r>
              <w:rPr>
                <w:spacing w:val="-22"/>
                <w:sz w:val="20"/>
              </w:rPr>
              <w:t xml:space="preserve"> </w:t>
            </w:r>
            <w:r>
              <w:rPr>
                <w:sz w:val="20"/>
              </w:rPr>
              <w:t>medication (Orlistat) for weight</w:t>
            </w:r>
            <w:r>
              <w:rPr>
                <w:spacing w:val="-17"/>
                <w:sz w:val="20"/>
              </w:rPr>
              <w:t xml:space="preserve"> </w:t>
            </w:r>
            <w:r>
              <w:rPr>
                <w:sz w:val="20"/>
              </w:rPr>
              <w:t>management.</w:t>
            </w:r>
          </w:p>
        </w:tc>
      </w:tr>
      <w:tr w:rsidR="002C6C4F">
        <w:trPr>
          <w:trHeight w:hRule="exact" w:val="2727"/>
        </w:trPr>
        <w:tc>
          <w:tcPr>
            <w:tcW w:w="2516" w:type="dxa"/>
          </w:tcPr>
          <w:p w:rsidR="002C6C4F" w:rsidRDefault="005F38F9">
            <w:pPr>
              <w:pStyle w:val="TableParagraph"/>
              <w:ind w:right="388"/>
              <w:rPr>
                <w:sz w:val="20"/>
              </w:rPr>
            </w:pPr>
            <w:r>
              <w:rPr>
                <w:sz w:val="20"/>
              </w:rPr>
              <w:t>Controlling High Blood Pressure for People with Serious Mental Illness</w:t>
            </w:r>
          </w:p>
        </w:tc>
        <w:tc>
          <w:tcPr>
            <w:tcW w:w="811" w:type="dxa"/>
          </w:tcPr>
          <w:p w:rsidR="002C6C4F" w:rsidRDefault="005F38F9">
            <w:pPr>
              <w:pStyle w:val="TableParagraph"/>
              <w:rPr>
                <w:sz w:val="20"/>
              </w:rPr>
            </w:pPr>
            <w:r>
              <w:rPr>
                <w:sz w:val="20"/>
              </w:rPr>
              <w:t>Claims</w:t>
            </w:r>
          </w:p>
        </w:tc>
        <w:tc>
          <w:tcPr>
            <w:tcW w:w="4861" w:type="dxa"/>
          </w:tcPr>
          <w:p w:rsidR="002C6C4F" w:rsidRDefault="005F38F9">
            <w:pPr>
              <w:pStyle w:val="TableParagraph"/>
              <w:ind w:left="101" w:right="95"/>
              <w:rPr>
                <w:sz w:val="20"/>
              </w:rPr>
            </w:pPr>
            <w:r>
              <w:rPr>
                <w:sz w:val="20"/>
              </w:rPr>
              <w:t xml:space="preserve">Members 18-85 years of age with at least one acute inpatient visit or two outpatient visits </w:t>
            </w:r>
            <w:r>
              <w:rPr>
                <w:sz w:val="20"/>
              </w:rPr>
              <w:t>for schizophrenia or bipolar I disorder, or at least one inpatient visit for major depression during the measurement year AND a diagnosis of hypertension.</w:t>
            </w:r>
          </w:p>
        </w:tc>
        <w:tc>
          <w:tcPr>
            <w:tcW w:w="4681" w:type="dxa"/>
          </w:tcPr>
          <w:p w:rsidR="002C6C4F" w:rsidRDefault="005F38F9">
            <w:pPr>
              <w:pStyle w:val="TableParagraph"/>
              <w:ind w:left="100"/>
              <w:rPr>
                <w:sz w:val="20"/>
              </w:rPr>
            </w:pPr>
            <w:r>
              <w:rPr>
                <w:sz w:val="20"/>
              </w:rPr>
              <w:t>Members whose most recent blood pressure (BP) was adequately controlled (after the diagnosis of hyper</w:t>
            </w:r>
            <w:r>
              <w:rPr>
                <w:sz w:val="20"/>
              </w:rPr>
              <w:t>tension) based on the following criteria:</w:t>
            </w:r>
          </w:p>
          <w:p w:rsidR="002C6C4F" w:rsidRDefault="005F38F9">
            <w:pPr>
              <w:pStyle w:val="TableParagraph"/>
              <w:numPr>
                <w:ilvl w:val="0"/>
                <w:numId w:val="2"/>
              </w:numPr>
              <w:tabs>
                <w:tab w:val="left" w:pos="460"/>
                <w:tab w:val="left" w:pos="461"/>
              </w:tabs>
              <w:spacing w:before="0" w:line="254" w:lineRule="exact"/>
              <w:rPr>
                <w:sz w:val="20"/>
              </w:rPr>
            </w:pPr>
            <w:r>
              <w:rPr>
                <w:sz w:val="20"/>
              </w:rPr>
              <w:t>Members 18-59 years of age whose BP</w:t>
            </w:r>
            <w:r>
              <w:rPr>
                <w:spacing w:val="-13"/>
                <w:sz w:val="20"/>
              </w:rPr>
              <w:t xml:space="preserve"> </w:t>
            </w:r>
            <w:r>
              <w:rPr>
                <w:sz w:val="20"/>
              </w:rPr>
              <w:t>was</w:t>
            </w:r>
          </w:p>
          <w:p w:rsidR="002C6C4F" w:rsidRDefault="005F38F9">
            <w:pPr>
              <w:pStyle w:val="TableParagraph"/>
              <w:spacing w:line="244" w:lineRule="exact"/>
              <w:ind w:left="460"/>
              <w:rPr>
                <w:sz w:val="20"/>
              </w:rPr>
            </w:pPr>
            <w:r>
              <w:rPr>
                <w:sz w:val="20"/>
              </w:rPr>
              <w:t>&lt;140/90 mm Hg.</w:t>
            </w:r>
          </w:p>
          <w:p w:rsidR="002C6C4F" w:rsidRDefault="005F38F9">
            <w:pPr>
              <w:pStyle w:val="TableParagraph"/>
              <w:numPr>
                <w:ilvl w:val="0"/>
                <w:numId w:val="2"/>
              </w:numPr>
              <w:tabs>
                <w:tab w:val="left" w:pos="460"/>
                <w:tab w:val="left" w:pos="461"/>
              </w:tabs>
              <w:spacing w:before="0"/>
              <w:ind w:right="214"/>
              <w:rPr>
                <w:sz w:val="20"/>
              </w:rPr>
            </w:pPr>
            <w:r>
              <w:rPr>
                <w:sz w:val="20"/>
              </w:rPr>
              <w:t>Members 60-85 years of age and flagged with a diagnosis of diabetes whose BP was &lt;140/90</w:t>
            </w:r>
            <w:r>
              <w:rPr>
                <w:spacing w:val="-17"/>
                <w:sz w:val="20"/>
              </w:rPr>
              <w:t xml:space="preserve"> </w:t>
            </w:r>
            <w:r>
              <w:rPr>
                <w:sz w:val="20"/>
              </w:rPr>
              <w:t>mm Hg.</w:t>
            </w:r>
          </w:p>
          <w:p w:rsidR="002C6C4F" w:rsidRDefault="005F38F9">
            <w:pPr>
              <w:pStyle w:val="TableParagraph"/>
              <w:numPr>
                <w:ilvl w:val="0"/>
                <w:numId w:val="2"/>
              </w:numPr>
              <w:tabs>
                <w:tab w:val="left" w:pos="460"/>
                <w:tab w:val="left" w:pos="461"/>
              </w:tabs>
              <w:spacing w:before="0"/>
              <w:ind w:right="356"/>
              <w:rPr>
                <w:sz w:val="20"/>
              </w:rPr>
            </w:pPr>
            <w:r>
              <w:rPr>
                <w:sz w:val="20"/>
              </w:rPr>
              <w:t>Members 60-85 years of age and flagged as</w:t>
            </w:r>
            <w:r>
              <w:rPr>
                <w:spacing w:val="-19"/>
                <w:sz w:val="20"/>
              </w:rPr>
              <w:t xml:space="preserve"> </w:t>
            </w:r>
            <w:r>
              <w:rPr>
                <w:sz w:val="20"/>
              </w:rPr>
              <w:t>not having a diagnosis of diabetes whose BP</w:t>
            </w:r>
            <w:r>
              <w:rPr>
                <w:spacing w:val="-15"/>
                <w:sz w:val="20"/>
              </w:rPr>
              <w:t xml:space="preserve"> </w:t>
            </w:r>
            <w:r>
              <w:rPr>
                <w:sz w:val="20"/>
              </w:rPr>
              <w:t>was</w:t>
            </w:r>
          </w:p>
          <w:p w:rsidR="002C6C4F" w:rsidRDefault="005F38F9">
            <w:pPr>
              <w:pStyle w:val="TableParagraph"/>
              <w:spacing w:before="0" w:line="242" w:lineRule="exact"/>
              <w:ind w:left="460"/>
              <w:rPr>
                <w:sz w:val="20"/>
              </w:rPr>
            </w:pPr>
            <w:r>
              <w:rPr>
                <w:sz w:val="20"/>
              </w:rPr>
              <w:t>&lt;150/90 mm Hg.</w:t>
            </w:r>
          </w:p>
        </w:tc>
      </w:tr>
      <w:tr w:rsidR="002C6C4F">
        <w:trPr>
          <w:trHeight w:hRule="exact" w:val="1232"/>
        </w:trPr>
        <w:tc>
          <w:tcPr>
            <w:tcW w:w="2516" w:type="dxa"/>
          </w:tcPr>
          <w:p w:rsidR="002C6C4F" w:rsidRDefault="005F38F9">
            <w:pPr>
              <w:pStyle w:val="TableParagraph"/>
              <w:ind w:right="347"/>
              <w:rPr>
                <w:sz w:val="20"/>
              </w:rPr>
            </w:pPr>
            <w:r>
              <w:rPr>
                <w:sz w:val="20"/>
              </w:rPr>
              <w:t>Comprehensive Diabetes Care for People with Serious Mental Illness: Hemoglobin A1c (HbA1c) Testing</w:t>
            </w:r>
          </w:p>
        </w:tc>
        <w:tc>
          <w:tcPr>
            <w:tcW w:w="811" w:type="dxa"/>
          </w:tcPr>
          <w:p w:rsidR="002C6C4F" w:rsidRDefault="005F38F9">
            <w:pPr>
              <w:pStyle w:val="TableParagraph"/>
              <w:rPr>
                <w:sz w:val="20"/>
              </w:rPr>
            </w:pPr>
            <w:r>
              <w:rPr>
                <w:sz w:val="20"/>
              </w:rPr>
              <w:t>Claims</w:t>
            </w:r>
          </w:p>
        </w:tc>
        <w:tc>
          <w:tcPr>
            <w:tcW w:w="4861" w:type="dxa"/>
          </w:tcPr>
          <w:p w:rsidR="002C6C4F" w:rsidRDefault="005F38F9">
            <w:pPr>
              <w:pStyle w:val="TableParagraph"/>
              <w:ind w:left="101" w:right="95"/>
              <w:rPr>
                <w:sz w:val="20"/>
              </w:rPr>
            </w:pPr>
            <w:r>
              <w:rPr>
                <w:sz w:val="20"/>
              </w:rPr>
              <w:t>Members 18-75 years of age with at least one acute inpatient visit or two outpatient visits for schizophrenia or bipolar I disorder, or at least one inpatient visit for major depression during the measurement year AND diabetes (type 1 and type 2).</w:t>
            </w:r>
          </w:p>
        </w:tc>
        <w:tc>
          <w:tcPr>
            <w:tcW w:w="4681" w:type="dxa"/>
          </w:tcPr>
          <w:p w:rsidR="002C6C4F" w:rsidRDefault="005F38F9">
            <w:pPr>
              <w:pStyle w:val="TableParagraph"/>
              <w:ind w:left="100"/>
              <w:rPr>
                <w:sz w:val="20"/>
              </w:rPr>
            </w:pPr>
            <w:r>
              <w:rPr>
                <w:sz w:val="20"/>
              </w:rPr>
              <w:t xml:space="preserve">Members </w:t>
            </w:r>
            <w:r>
              <w:rPr>
                <w:sz w:val="20"/>
              </w:rPr>
              <w:t>who had an HbA1c test performed.</w:t>
            </w:r>
          </w:p>
        </w:tc>
      </w:tr>
      <w:tr w:rsidR="002C6C4F">
        <w:trPr>
          <w:trHeight w:hRule="exact" w:val="1231"/>
        </w:trPr>
        <w:tc>
          <w:tcPr>
            <w:tcW w:w="2516" w:type="dxa"/>
          </w:tcPr>
          <w:p w:rsidR="002C6C4F" w:rsidRDefault="005F38F9">
            <w:pPr>
              <w:pStyle w:val="TableParagraph"/>
              <w:ind w:right="347"/>
              <w:rPr>
                <w:sz w:val="20"/>
              </w:rPr>
            </w:pPr>
            <w:r>
              <w:rPr>
                <w:sz w:val="20"/>
              </w:rPr>
              <w:t>Comprehensive Diabetes Care for People with Serious Mental Illness: Hemoglobin A1c (HbA1c) Poor Control (&gt;9.0%)</w:t>
            </w:r>
          </w:p>
        </w:tc>
        <w:tc>
          <w:tcPr>
            <w:tcW w:w="811" w:type="dxa"/>
          </w:tcPr>
          <w:p w:rsidR="002C6C4F" w:rsidRDefault="005F38F9">
            <w:pPr>
              <w:pStyle w:val="TableParagraph"/>
              <w:rPr>
                <w:sz w:val="20"/>
              </w:rPr>
            </w:pPr>
            <w:r>
              <w:rPr>
                <w:sz w:val="20"/>
              </w:rPr>
              <w:t>Claims</w:t>
            </w:r>
          </w:p>
        </w:tc>
        <w:tc>
          <w:tcPr>
            <w:tcW w:w="4861" w:type="dxa"/>
          </w:tcPr>
          <w:p w:rsidR="002C6C4F" w:rsidRDefault="005F38F9">
            <w:pPr>
              <w:pStyle w:val="TableParagraph"/>
              <w:ind w:left="101" w:right="95"/>
              <w:rPr>
                <w:sz w:val="20"/>
              </w:rPr>
            </w:pPr>
            <w:r>
              <w:rPr>
                <w:sz w:val="20"/>
              </w:rPr>
              <w:t>Members 18-75 years of age with at least one acute inpatient visit or two outpatient visits for schizop</w:t>
            </w:r>
            <w:r>
              <w:rPr>
                <w:sz w:val="20"/>
              </w:rPr>
              <w:t>hrenia or bipolar I disorder, or at least one inpatient visit for major depression during the measurement year AND diabetes (type 1 and type 2).</w:t>
            </w:r>
          </w:p>
        </w:tc>
        <w:tc>
          <w:tcPr>
            <w:tcW w:w="4681" w:type="dxa"/>
          </w:tcPr>
          <w:p w:rsidR="002C6C4F" w:rsidRDefault="005F38F9">
            <w:pPr>
              <w:pStyle w:val="TableParagraph"/>
              <w:ind w:left="100" w:right="104"/>
              <w:rPr>
                <w:sz w:val="20"/>
              </w:rPr>
            </w:pPr>
            <w:r>
              <w:rPr>
                <w:sz w:val="20"/>
              </w:rPr>
              <w:t xml:space="preserve">Members whose most recent HbA1c level was greater than 9.0% or was missing a result, or for whom an HbA1c test </w:t>
            </w:r>
            <w:r>
              <w:rPr>
                <w:sz w:val="20"/>
              </w:rPr>
              <w:t>was not done.</w:t>
            </w:r>
          </w:p>
        </w:tc>
      </w:tr>
    </w:tbl>
    <w:p w:rsidR="002C6C4F" w:rsidRDefault="002C6C4F">
      <w:pPr>
        <w:rPr>
          <w:sz w:val="20"/>
        </w:rPr>
        <w:sectPr w:rsidR="002C6C4F">
          <w:pgSz w:w="15840" w:h="12240" w:orient="landscape"/>
          <w:pgMar w:top="1620" w:right="1400" w:bottom="1020" w:left="1340" w:header="720" w:footer="828"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811"/>
        <w:gridCol w:w="4861"/>
        <w:gridCol w:w="4681"/>
      </w:tblGrid>
      <w:tr w:rsidR="002C6C4F">
        <w:trPr>
          <w:trHeight w:hRule="exact" w:val="1231"/>
        </w:trPr>
        <w:tc>
          <w:tcPr>
            <w:tcW w:w="2516" w:type="dxa"/>
          </w:tcPr>
          <w:p w:rsidR="002C6C4F" w:rsidRDefault="005F38F9">
            <w:pPr>
              <w:pStyle w:val="TableParagraph"/>
              <w:ind w:right="353"/>
              <w:rPr>
                <w:sz w:val="20"/>
              </w:rPr>
            </w:pPr>
            <w:bookmarkStart w:id="0" w:name="_GoBack"/>
            <w:r>
              <w:rPr>
                <w:sz w:val="20"/>
              </w:rPr>
              <w:lastRenderedPageBreak/>
              <w:t>Comprehensive Diabetes Care for People with Serious Mental Illness: Medical Attention to Nephropathy</w:t>
            </w:r>
          </w:p>
        </w:tc>
        <w:tc>
          <w:tcPr>
            <w:tcW w:w="811" w:type="dxa"/>
          </w:tcPr>
          <w:p w:rsidR="002C6C4F" w:rsidRDefault="005F38F9">
            <w:pPr>
              <w:pStyle w:val="TableParagraph"/>
              <w:rPr>
                <w:sz w:val="20"/>
              </w:rPr>
            </w:pPr>
            <w:r>
              <w:rPr>
                <w:sz w:val="20"/>
              </w:rPr>
              <w:t>Claims</w:t>
            </w:r>
          </w:p>
        </w:tc>
        <w:tc>
          <w:tcPr>
            <w:tcW w:w="4861" w:type="dxa"/>
          </w:tcPr>
          <w:p w:rsidR="002C6C4F" w:rsidRDefault="005F38F9">
            <w:pPr>
              <w:pStyle w:val="TableParagraph"/>
              <w:ind w:left="101" w:right="95"/>
              <w:rPr>
                <w:sz w:val="20"/>
              </w:rPr>
            </w:pPr>
            <w:r>
              <w:rPr>
                <w:sz w:val="20"/>
              </w:rPr>
              <w:t>Members 18-75 years of age with at least one acute inpatient visit or two outpatient visits for schizophrenia or bipolar I disorder, or at least one inpatient visit for major depression during the measurement year AND diabetes (type 1 and type 2).</w:t>
            </w:r>
          </w:p>
        </w:tc>
        <w:tc>
          <w:tcPr>
            <w:tcW w:w="4681" w:type="dxa"/>
          </w:tcPr>
          <w:p w:rsidR="002C6C4F" w:rsidRDefault="005F38F9">
            <w:pPr>
              <w:pStyle w:val="TableParagraph"/>
              <w:ind w:left="100" w:right="104"/>
              <w:rPr>
                <w:sz w:val="20"/>
              </w:rPr>
            </w:pPr>
            <w:r>
              <w:rPr>
                <w:sz w:val="20"/>
              </w:rPr>
              <w:t xml:space="preserve">Members </w:t>
            </w:r>
            <w:r>
              <w:rPr>
                <w:sz w:val="20"/>
              </w:rPr>
              <w:t>who received a nephropathy screening test or had evidence of nephropathy.</w:t>
            </w:r>
          </w:p>
        </w:tc>
      </w:tr>
      <w:tr w:rsidR="002C6C4F">
        <w:trPr>
          <w:trHeight w:hRule="exact" w:val="1232"/>
        </w:trPr>
        <w:tc>
          <w:tcPr>
            <w:tcW w:w="2516" w:type="dxa"/>
          </w:tcPr>
          <w:p w:rsidR="002C6C4F" w:rsidRDefault="005F38F9">
            <w:pPr>
              <w:pStyle w:val="TableParagraph"/>
              <w:ind w:right="353"/>
              <w:rPr>
                <w:sz w:val="20"/>
              </w:rPr>
            </w:pPr>
            <w:r>
              <w:rPr>
                <w:sz w:val="20"/>
              </w:rPr>
              <w:t>Comprehensive Diabetes Care for People with Serious Mental Illness: Blood Pressure Control (&lt;140/90 mm Hg)</w:t>
            </w:r>
          </w:p>
        </w:tc>
        <w:tc>
          <w:tcPr>
            <w:tcW w:w="811" w:type="dxa"/>
          </w:tcPr>
          <w:p w:rsidR="002C6C4F" w:rsidRDefault="005F38F9">
            <w:pPr>
              <w:pStyle w:val="TableParagraph"/>
              <w:rPr>
                <w:sz w:val="20"/>
              </w:rPr>
            </w:pPr>
            <w:r>
              <w:rPr>
                <w:sz w:val="20"/>
              </w:rPr>
              <w:t>Claims</w:t>
            </w:r>
          </w:p>
        </w:tc>
        <w:tc>
          <w:tcPr>
            <w:tcW w:w="4861" w:type="dxa"/>
          </w:tcPr>
          <w:p w:rsidR="002C6C4F" w:rsidRDefault="005F38F9">
            <w:pPr>
              <w:pStyle w:val="TableParagraph"/>
              <w:ind w:left="101" w:right="95"/>
              <w:rPr>
                <w:sz w:val="20"/>
              </w:rPr>
            </w:pPr>
            <w:r>
              <w:rPr>
                <w:sz w:val="20"/>
              </w:rPr>
              <w:t xml:space="preserve">Members 18-75 years of age with at least one acute inpatient visit </w:t>
            </w:r>
            <w:r>
              <w:rPr>
                <w:sz w:val="20"/>
              </w:rPr>
              <w:t>or two outpatient visits for schizophrenia or bipolar I disorder, or at least one inpatient visit for major depression during the measurement year AND diabetes (type 1 and type 2).</w:t>
            </w:r>
          </w:p>
        </w:tc>
        <w:tc>
          <w:tcPr>
            <w:tcW w:w="4681" w:type="dxa"/>
          </w:tcPr>
          <w:p w:rsidR="002C6C4F" w:rsidRDefault="005F38F9">
            <w:pPr>
              <w:pStyle w:val="TableParagraph"/>
              <w:ind w:left="100" w:right="164"/>
              <w:rPr>
                <w:sz w:val="20"/>
              </w:rPr>
            </w:pPr>
            <w:r>
              <w:rPr>
                <w:sz w:val="20"/>
              </w:rPr>
              <w:t>Members whose most recent blood pressure screening result was &lt;140/90mm Hg.</w:t>
            </w:r>
          </w:p>
        </w:tc>
      </w:tr>
      <w:tr w:rsidR="002C6C4F">
        <w:trPr>
          <w:trHeight w:hRule="exact" w:val="1231"/>
        </w:trPr>
        <w:tc>
          <w:tcPr>
            <w:tcW w:w="2516" w:type="dxa"/>
          </w:tcPr>
          <w:p w:rsidR="002C6C4F" w:rsidRDefault="005F38F9">
            <w:pPr>
              <w:pStyle w:val="TableParagraph"/>
              <w:ind w:right="347"/>
              <w:rPr>
                <w:sz w:val="20"/>
              </w:rPr>
            </w:pPr>
            <w:r>
              <w:rPr>
                <w:sz w:val="20"/>
              </w:rPr>
              <w:t>Comprehensive Diabetes Care for People with Serious Mental Illness: Hemoglobin A1c (HbA1c) Control (&lt;8.0%)</w:t>
            </w:r>
          </w:p>
        </w:tc>
        <w:tc>
          <w:tcPr>
            <w:tcW w:w="811" w:type="dxa"/>
          </w:tcPr>
          <w:p w:rsidR="002C6C4F" w:rsidRDefault="005F38F9">
            <w:pPr>
              <w:pStyle w:val="TableParagraph"/>
              <w:rPr>
                <w:sz w:val="20"/>
              </w:rPr>
            </w:pPr>
            <w:r>
              <w:rPr>
                <w:sz w:val="20"/>
              </w:rPr>
              <w:t>Claims</w:t>
            </w:r>
          </w:p>
        </w:tc>
        <w:tc>
          <w:tcPr>
            <w:tcW w:w="4861" w:type="dxa"/>
          </w:tcPr>
          <w:p w:rsidR="002C6C4F" w:rsidRDefault="005F38F9">
            <w:pPr>
              <w:pStyle w:val="TableParagraph"/>
              <w:ind w:left="101" w:right="95"/>
              <w:rPr>
                <w:sz w:val="20"/>
              </w:rPr>
            </w:pPr>
            <w:r>
              <w:rPr>
                <w:sz w:val="20"/>
              </w:rPr>
              <w:t>Members 18-75 years of age with at least one acute inpatient visit or two outpatient visits for schizophrenia or bipolar I disorder, or at least one inpatient visit for major depression during the measurement year AND diabetes (type 1 and type 2).</w:t>
            </w:r>
          </w:p>
        </w:tc>
        <w:tc>
          <w:tcPr>
            <w:tcW w:w="4681" w:type="dxa"/>
          </w:tcPr>
          <w:p w:rsidR="002C6C4F" w:rsidRDefault="005F38F9">
            <w:pPr>
              <w:pStyle w:val="TableParagraph"/>
              <w:ind w:left="100" w:right="453"/>
              <w:rPr>
                <w:sz w:val="20"/>
              </w:rPr>
            </w:pPr>
            <w:r>
              <w:rPr>
                <w:sz w:val="20"/>
              </w:rPr>
              <w:t xml:space="preserve">Members </w:t>
            </w:r>
            <w:r>
              <w:rPr>
                <w:sz w:val="20"/>
              </w:rPr>
              <w:t>whose most recent HbA1c level was less than 8.0%.</w:t>
            </w:r>
          </w:p>
        </w:tc>
      </w:tr>
      <w:tr w:rsidR="002C6C4F">
        <w:trPr>
          <w:trHeight w:hRule="exact" w:val="987"/>
        </w:trPr>
        <w:tc>
          <w:tcPr>
            <w:tcW w:w="2516" w:type="dxa"/>
          </w:tcPr>
          <w:p w:rsidR="002C6C4F" w:rsidRDefault="005F38F9">
            <w:pPr>
              <w:pStyle w:val="TableParagraph"/>
              <w:ind w:right="163"/>
              <w:rPr>
                <w:sz w:val="20"/>
              </w:rPr>
            </w:pPr>
            <w:r>
              <w:rPr>
                <w:sz w:val="20"/>
              </w:rPr>
              <w:t>Comprehensive Diabetes Care for People with Serious Mental Illness: Eye Exam</w:t>
            </w:r>
          </w:p>
        </w:tc>
        <w:tc>
          <w:tcPr>
            <w:tcW w:w="811" w:type="dxa"/>
          </w:tcPr>
          <w:p w:rsidR="002C6C4F" w:rsidRDefault="005F38F9">
            <w:pPr>
              <w:pStyle w:val="TableParagraph"/>
              <w:rPr>
                <w:sz w:val="20"/>
              </w:rPr>
            </w:pPr>
            <w:r>
              <w:rPr>
                <w:sz w:val="20"/>
              </w:rPr>
              <w:t>Claims</w:t>
            </w:r>
          </w:p>
        </w:tc>
        <w:tc>
          <w:tcPr>
            <w:tcW w:w="4861" w:type="dxa"/>
          </w:tcPr>
          <w:p w:rsidR="002C6C4F" w:rsidRDefault="005F38F9">
            <w:pPr>
              <w:pStyle w:val="TableParagraph"/>
              <w:ind w:left="101" w:right="95"/>
              <w:rPr>
                <w:sz w:val="20"/>
              </w:rPr>
            </w:pPr>
            <w:r>
              <w:rPr>
                <w:sz w:val="20"/>
              </w:rPr>
              <w:t>Members 18-75 with at least 1 acute inpatient visit or 2 outpatient visits for schizophrenia or bipolar disorder, or at least 1 inpatient visit for major depression during the measurement year AND diabetes (type 1 and type 2).</w:t>
            </w:r>
          </w:p>
        </w:tc>
        <w:tc>
          <w:tcPr>
            <w:tcW w:w="4681" w:type="dxa"/>
          </w:tcPr>
          <w:p w:rsidR="002C6C4F" w:rsidRDefault="005F38F9">
            <w:pPr>
              <w:pStyle w:val="TableParagraph"/>
              <w:ind w:left="100"/>
              <w:rPr>
                <w:sz w:val="20"/>
              </w:rPr>
            </w:pPr>
            <w:r>
              <w:rPr>
                <w:sz w:val="20"/>
              </w:rPr>
              <w:t>Members who received an eye e</w:t>
            </w:r>
            <w:r>
              <w:rPr>
                <w:sz w:val="20"/>
              </w:rPr>
              <w:t>xam.</w:t>
            </w:r>
          </w:p>
        </w:tc>
      </w:tr>
      <w:bookmarkEnd w:id="0"/>
    </w:tbl>
    <w:p w:rsidR="00000000" w:rsidRDefault="005F38F9"/>
    <w:sectPr w:rsidR="00000000">
      <w:pgSz w:w="15840" w:h="12240" w:orient="landscape"/>
      <w:pgMar w:top="1620" w:right="1400" w:bottom="1020" w:left="1340" w:header="720" w:footer="8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F38F9">
      <w:r>
        <w:separator/>
      </w:r>
    </w:p>
  </w:endnote>
  <w:endnote w:type="continuationSeparator" w:id="0">
    <w:p w:rsidR="00000000" w:rsidRDefault="005F3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C4F" w:rsidRDefault="005F38F9">
    <w:pPr>
      <w:pStyle w:val="BodyText"/>
      <w:spacing w:line="14" w:lineRule="auto"/>
      <w:rPr>
        <w:sz w:val="20"/>
      </w:rPr>
    </w:pPr>
    <w:r>
      <w:pict>
        <v:line id="_x0000_s2055" style="position:absolute;z-index:-22192;mso-position-horizontal-relative:page;mso-position-vertical-relative:page" from="85pt,747.35pt" to="310pt,747.7pt" strokecolor="#bebebe">
          <w10:wrap anchorx="page" anchory="page"/>
        </v:line>
      </w:pict>
    </w:r>
    <w:r>
      <w:pict>
        <v:shapetype id="_x0000_t202" coordsize="21600,21600" o:spt="202" path="m,l,21600r21600,l21600,xe">
          <v:stroke joinstyle="miter"/>
          <v:path gradientshapeok="t" o:connecttype="rect"/>
        </v:shapetype>
        <v:shape id="_x0000_s2054" type="#_x0000_t202" style="position:absolute;margin-left:313.45pt;margin-top:739.6pt;width:227.6pt;height:13.15pt;z-index:-22168;mso-position-horizontal-relative:page;mso-position-vertical-relative:page" filled="f" stroked="f">
          <v:textbox inset="0,0,0,0">
            <w:txbxContent>
              <w:p w:rsidR="002C6C4F" w:rsidRDefault="005F38F9">
                <w:pPr>
                  <w:spacing w:before="12"/>
                  <w:ind w:left="20"/>
                  <w:rPr>
                    <w:rFonts w:ascii="Arial"/>
                    <w:b/>
                    <w:sz w:val="20"/>
                  </w:rPr>
                </w:pPr>
                <w:r>
                  <w:rPr>
                    <w:rFonts w:ascii="Arial"/>
                    <w:b/>
                    <w:color w:val="4F758A"/>
                    <w:sz w:val="20"/>
                  </w:rPr>
                  <w:t>Better healthcare. Better choices. Better health.</w:t>
                </w:r>
              </w:p>
            </w:txbxContent>
          </v:textbox>
          <w10:wrap anchorx="page" anchory="page"/>
        </v:shape>
      </w:pict>
    </w:r>
    <w:r>
      <w:pict>
        <v:shape id="_x0000_s2053" type="#_x0000_t202" style="position:absolute;margin-left:70pt;margin-top:741pt;width:8.5pt;height:11pt;z-index:-22144;mso-position-horizontal-relative:page;mso-position-vertical-relative:page" filled="f" stroked="f">
          <v:textbox inset="0,0,0,0">
            <w:txbxContent>
              <w:p w:rsidR="002C6C4F" w:rsidRDefault="005F38F9">
                <w:pPr>
                  <w:spacing w:before="15"/>
                  <w:ind w:left="40"/>
                  <w:rPr>
                    <w:rFonts w:ascii="Arial"/>
                    <w:sz w:val="16"/>
                  </w:rPr>
                </w:pPr>
                <w:r>
                  <w:fldChar w:fldCharType="begin"/>
                </w:r>
                <w:r>
                  <w:rPr>
                    <w:rFonts w:ascii="Arial"/>
                    <w:color w:val="A6A6A6"/>
                    <w:sz w:val="16"/>
                  </w:rPr>
                  <w:instrText xml:space="preserve"> PAGE </w:instrText>
                </w:r>
                <w:r>
                  <w:fldChar w:fldCharType="separate"/>
                </w:r>
                <w:r>
                  <w:rPr>
                    <w:rFonts w:ascii="Arial"/>
                    <w:noProof/>
                    <w:color w:val="A6A6A6"/>
                    <w:sz w:val="16"/>
                  </w:rPr>
                  <w:t>6</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C4F" w:rsidRDefault="002C6C4F">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C4F" w:rsidRDefault="005F38F9">
    <w:pPr>
      <w:pStyle w:val="BodyText"/>
      <w:spacing w:line="14" w:lineRule="auto"/>
      <w:rPr>
        <w:sz w:val="20"/>
      </w:rPr>
    </w:pPr>
    <w:r>
      <w:pict>
        <v:line id="_x0000_s2051" style="position:absolute;z-index:-22072;mso-position-horizontal-relative:page;mso-position-vertical-relative:page" from="85pt,567.35pt" to="310pt,567.7pt" strokecolor="#bebebe">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20.05pt;margin-top:559.6pt;width:227.6pt;height:13.15pt;z-index:-22048;mso-position-horizontal-relative:page;mso-position-vertical-relative:page" filled="f" stroked="f">
          <v:textbox inset="0,0,0,0">
            <w:txbxContent>
              <w:p w:rsidR="002C6C4F" w:rsidRDefault="005F38F9">
                <w:pPr>
                  <w:spacing w:before="12"/>
                  <w:ind w:left="20"/>
                  <w:rPr>
                    <w:rFonts w:ascii="Arial"/>
                    <w:b/>
                    <w:sz w:val="20"/>
                  </w:rPr>
                </w:pPr>
                <w:r>
                  <w:rPr>
                    <w:rFonts w:ascii="Arial"/>
                    <w:b/>
                    <w:color w:val="4F758A"/>
                    <w:sz w:val="20"/>
                  </w:rPr>
                  <w:t>Better healthcare. Better choices. Better health.</w:t>
                </w:r>
              </w:p>
            </w:txbxContent>
          </v:textbox>
          <w10:wrap anchorx="page" anchory="page"/>
        </v:shape>
      </w:pict>
    </w:r>
    <w:r>
      <w:pict>
        <v:shape id="_x0000_s2049" type="#_x0000_t202" style="position:absolute;margin-left:70pt;margin-top:561pt;width:12.9pt;height:11pt;z-index:-22024;mso-position-horizontal-relative:page;mso-position-vertical-relative:page" filled="f" stroked="f">
          <v:textbox inset="0,0,0,0">
            <w:txbxContent>
              <w:p w:rsidR="002C6C4F" w:rsidRDefault="005F38F9">
                <w:pPr>
                  <w:spacing w:before="15"/>
                  <w:ind w:left="40"/>
                  <w:rPr>
                    <w:rFonts w:ascii="Arial"/>
                    <w:sz w:val="16"/>
                  </w:rPr>
                </w:pPr>
                <w:r>
                  <w:fldChar w:fldCharType="begin"/>
                </w:r>
                <w:r>
                  <w:rPr>
                    <w:rFonts w:ascii="Arial"/>
                    <w:color w:val="A6A6A6"/>
                    <w:sz w:val="16"/>
                  </w:rPr>
                  <w:instrText xml:space="preserve"> PAGE </w:instrText>
                </w:r>
                <w:r>
                  <w:fldChar w:fldCharType="separate"/>
                </w:r>
                <w:r>
                  <w:rPr>
                    <w:rFonts w:ascii="Arial"/>
                    <w:noProof/>
                    <w:color w:val="A6A6A6"/>
                    <w:sz w:val="16"/>
                  </w:rPr>
                  <w:t>13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F38F9">
      <w:r>
        <w:separator/>
      </w:r>
    </w:p>
  </w:footnote>
  <w:footnote w:type="continuationSeparator" w:id="0">
    <w:p w:rsidR="00000000" w:rsidRDefault="005F38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C4F" w:rsidRDefault="005F38F9">
    <w:pPr>
      <w:pStyle w:val="BodyText"/>
      <w:spacing w:line="14" w:lineRule="auto"/>
      <w:rPr>
        <w:sz w:val="20"/>
      </w:rPr>
    </w:pPr>
    <w:r>
      <w:rPr>
        <w:noProof/>
      </w:rPr>
      <w:drawing>
        <wp:anchor distT="0" distB="0" distL="0" distR="0" simplePos="0" relativeHeight="268413215" behindDoc="1" locked="0" layoutInCell="1" allowOverlap="1">
          <wp:simplePos x="0" y="0"/>
          <wp:positionH relativeFrom="page">
            <wp:posOffset>914400</wp:posOffset>
          </wp:positionH>
          <wp:positionV relativeFrom="page">
            <wp:posOffset>457200</wp:posOffset>
          </wp:positionV>
          <wp:extent cx="965835" cy="5715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965835" cy="57150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88.45pt;margin-top:43.1pt;width:52.65pt;height:11pt;z-index:-22216;mso-position-horizontal-relative:page;mso-position-vertical-relative:page" filled="f" stroked="f">
          <v:textbox inset="0,0,0,0">
            <w:txbxContent>
              <w:p w:rsidR="002C6C4F" w:rsidRDefault="005F38F9">
                <w:pPr>
                  <w:spacing w:before="15"/>
                  <w:ind w:left="20"/>
                  <w:rPr>
                    <w:rFonts w:ascii="Arial"/>
                    <w:sz w:val="16"/>
                  </w:rPr>
                </w:pPr>
                <w:hyperlink r:id="rId2">
                  <w:r>
                    <w:rPr>
                      <w:rFonts w:ascii="Arial"/>
                      <w:color w:val="6F7371"/>
                      <w:sz w:val="16"/>
                    </w:rPr>
                    <w:t>www.ncqa.org</w:t>
                  </w:r>
                </w:hyperlink>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C4F" w:rsidRDefault="002C6C4F">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C4F" w:rsidRDefault="005F38F9">
    <w:pPr>
      <w:pStyle w:val="BodyText"/>
      <w:spacing w:line="14" w:lineRule="auto"/>
      <w:rPr>
        <w:sz w:val="20"/>
      </w:rPr>
    </w:pPr>
    <w:r>
      <w:rPr>
        <w:noProof/>
      </w:rPr>
      <w:drawing>
        <wp:anchor distT="0" distB="0" distL="0" distR="0" simplePos="0" relativeHeight="268413335" behindDoc="1" locked="0" layoutInCell="1" allowOverlap="1">
          <wp:simplePos x="0" y="0"/>
          <wp:positionH relativeFrom="page">
            <wp:posOffset>914400</wp:posOffset>
          </wp:positionH>
          <wp:positionV relativeFrom="page">
            <wp:posOffset>457200</wp:posOffset>
          </wp:positionV>
          <wp:extent cx="965835" cy="57150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 cstate="print"/>
                  <a:stretch>
                    <a:fillRect/>
                  </a:stretch>
                </pic:blipFill>
                <pic:spPr>
                  <a:xfrm>
                    <a:off x="0" y="0"/>
                    <a:ext cx="965835" cy="57150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2" type="#_x0000_t202" style="position:absolute;margin-left:488.45pt;margin-top:43.1pt;width:52.65pt;height:11pt;z-index:-22096;mso-position-horizontal-relative:page;mso-position-vertical-relative:page" filled="f" stroked="f">
          <v:textbox inset="0,0,0,0">
            <w:txbxContent>
              <w:p w:rsidR="002C6C4F" w:rsidRDefault="005F38F9">
                <w:pPr>
                  <w:spacing w:before="15"/>
                  <w:ind w:left="20"/>
                  <w:rPr>
                    <w:rFonts w:ascii="Arial"/>
                    <w:sz w:val="16"/>
                  </w:rPr>
                </w:pPr>
                <w:hyperlink r:id="rId2">
                  <w:r>
                    <w:rPr>
                      <w:rFonts w:ascii="Arial"/>
                      <w:color w:val="6F7371"/>
                      <w:sz w:val="16"/>
                    </w:rPr>
                    <w:t>www.ncqa.org</w:t>
                  </w:r>
                </w:hyperlink>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96DD1"/>
    <w:multiLevelType w:val="hybridMultilevel"/>
    <w:tmpl w:val="5C9C2D1E"/>
    <w:lvl w:ilvl="0" w:tplc="2996E9CA">
      <w:numFmt w:val="bullet"/>
      <w:lvlText w:val=""/>
      <w:lvlJc w:val="left"/>
      <w:pPr>
        <w:ind w:left="461" w:hanging="360"/>
      </w:pPr>
      <w:rPr>
        <w:rFonts w:ascii="Symbol" w:eastAsia="Symbol" w:hAnsi="Symbol" w:cs="Symbol" w:hint="default"/>
        <w:w w:val="99"/>
        <w:sz w:val="20"/>
        <w:szCs w:val="20"/>
      </w:rPr>
    </w:lvl>
    <w:lvl w:ilvl="1" w:tplc="AEBCEDA6">
      <w:numFmt w:val="bullet"/>
      <w:lvlText w:val="•"/>
      <w:lvlJc w:val="left"/>
      <w:pPr>
        <w:ind w:left="899" w:hanging="360"/>
      </w:pPr>
      <w:rPr>
        <w:rFonts w:hint="default"/>
      </w:rPr>
    </w:lvl>
    <w:lvl w:ilvl="2" w:tplc="876CC292">
      <w:numFmt w:val="bullet"/>
      <w:lvlText w:val="•"/>
      <w:lvlJc w:val="left"/>
      <w:pPr>
        <w:ind w:left="1338" w:hanging="360"/>
      </w:pPr>
      <w:rPr>
        <w:rFonts w:hint="default"/>
      </w:rPr>
    </w:lvl>
    <w:lvl w:ilvl="3" w:tplc="D0724400">
      <w:numFmt w:val="bullet"/>
      <w:lvlText w:val="•"/>
      <w:lvlJc w:val="left"/>
      <w:pPr>
        <w:ind w:left="1777" w:hanging="360"/>
      </w:pPr>
      <w:rPr>
        <w:rFonts w:hint="default"/>
      </w:rPr>
    </w:lvl>
    <w:lvl w:ilvl="4" w:tplc="421EF5B0">
      <w:numFmt w:val="bullet"/>
      <w:lvlText w:val="•"/>
      <w:lvlJc w:val="left"/>
      <w:pPr>
        <w:ind w:left="2216" w:hanging="360"/>
      </w:pPr>
      <w:rPr>
        <w:rFonts w:hint="default"/>
      </w:rPr>
    </w:lvl>
    <w:lvl w:ilvl="5" w:tplc="FD6801F0">
      <w:numFmt w:val="bullet"/>
      <w:lvlText w:val="•"/>
      <w:lvlJc w:val="left"/>
      <w:pPr>
        <w:ind w:left="2655" w:hanging="360"/>
      </w:pPr>
      <w:rPr>
        <w:rFonts w:hint="default"/>
      </w:rPr>
    </w:lvl>
    <w:lvl w:ilvl="6" w:tplc="A0686872">
      <w:numFmt w:val="bullet"/>
      <w:lvlText w:val="•"/>
      <w:lvlJc w:val="left"/>
      <w:pPr>
        <w:ind w:left="3094" w:hanging="360"/>
      </w:pPr>
      <w:rPr>
        <w:rFonts w:hint="default"/>
      </w:rPr>
    </w:lvl>
    <w:lvl w:ilvl="7" w:tplc="619C0DD0">
      <w:numFmt w:val="bullet"/>
      <w:lvlText w:val="•"/>
      <w:lvlJc w:val="left"/>
      <w:pPr>
        <w:ind w:left="3534" w:hanging="360"/>
      </w:pPr>
      <w:rPr>
        <w:rFonts w:hint="default"/>
      </w:rPr>
    </w:lvl>
    <w:lvl w:ilvl="8" w:tplc="380C9680">
      <w:numFmt w:val="bullet"/>
      <w:lvlText w:val="•"/>
      <w:lvlJc w:val="left"/>
      <w:pPr>
        <w:ind w:left="3973" w:hanging="360"/>
      </w:pPr>
      <w:rPr>
        <w:rFonts w:hint="default"/>
      </w:rPr>
    </w:lvl>
  </w:abstractNum>
  <w:abstractNum w:abstractNumId="1" w15:restartNumberingAfterBreak="0">
    <w:nsid w:val="0A1B63AD"/>
    <w:multiLevelType w:val="hybridMultilevel"/>
    <w:tmpl w:val="3BC2DEC8"/>
    <w:lvl w:ilvl="0" w:tplc="5A04AD54">
      <w:numFmt w:val="bullet"/>
      <w:lvlText w:val=""/>
      <w:lvlJc w:val="left"/>
      <w:pPr>
        <w:ind w:left="460" w:hanging="360"/>
      </w:pPr>
      <w:rPr>
        <w:rFonts w:ascii="Symbol" w:eastAsia="Symbol" w:hAnsi="Symbol" w:cs="Symbol" w:hint="default"/>
        <w:w w:val="99"/>
        <w:sz w:val="20"/>
        <w:szCs w:val="20"/>
      </w:rPr>
    </w:lvl>
    <w:lvl w:ilvl="1" w:tplc="EE9C90A6">
      <w:numFmt w:val="bullet"/>
      <w:lvlText w:val="•"/>
      <w:lvlJc w:val="left"/>
      <w:pPr>
        <w:ind w:left="809" w:hanging="360"/>
      </w:pPr>
      <w:rPr>
        <w:rFonts w:hint="default"/>
      </w:rPr>
    </w:lvl>
    <w:lvl w:ilvl="2" w:tplc="A38C9CA4">
      <w:numFmt w:val="bullet"/>
      <w:lvlText w:val="•"/>
      <w:lvlJc w:val="left"/>
      <w:pPr>
        <w:ind w:left="1158" w:hanging="360"/>
      </w:pPr>
      <w:rPr>
        <w:rFonts w:hint="default"/>
      </w:rPr>
    </w:lvl>
    <w:lvl w:ilvl="3" w:tplc="EBB28A62">
      <w:numFmt w:val="bullet"/>
      <w:lvlText w:val="•"/>
      <w:lvlJc w:val="left"/>
      <w:pPr>
        <w:ind w:left="1507" w:hanging="360"/>
      </w:pPr>
      <w:rPr>
        <w:rFonts w:hint="default"/>
      </w:rPr>
    </w:lvl>
    <w:lvl w:ilvl="4" w:tplc="3546218C">
      <w:numFmt w:val="bullet"/>
      <w:lvlText w:val="•"/>
      <w:lvlJc w:val="left"/>
      <w:pPr>
        <w:ind w:left="1856" w:hanging="360"/>
      </w:pPr>
      <w:rPr>
        <w:rFonts w:hint="default"/>
      </w:rPr>
    </w:lvl>
    <w:lvl w:ilvl="5" w:tplc="70AA8A3A">
      <w:numFmt w:val="bullet"/>
      <w:lvlText w:val="•"/>
      <w:lvlJc w:val="left"/>
      <w:pPr>
        <w:ind w:left="2205" w:hanging="360"/>
      </w:pPr>
      <w:rPr>
        <w:rFonts w:hint="default"/>
      </w:rPr>
    </w:lvl>
    <w:lvl w:ilvl="6" w:tplc="4B486018">
      <w:numFmt w:val="bullet"/>
      <w:lvlText w:val="•"/>
      <w:lvlJc w:val="left"/>
      <w:pPr>
        <w:ind w:left="2554" w:hanging="360"/>
      </w:pPr>
      <w:rPr>
        <w:rFonts w:hint="default"/>
      </w:rPr>
    </w:lvl>
    <w:lvl w:ilvl="7" w:tplc="FBAA5D80">
      <w:numFmt w:val="bullet"/>
      <w:lvlText w:val="•"/>
      <w:lvlJc w:val="left"/>
      <w:pPr>
        <w:ind w:left="2903" w:hanging="360"/>
      </w:pPr>
      <w:rPr>
        <w:rFonts w:hint="default"/>
      </w:rPr>
    </w:lvl>
    <w:lvl w:ilvl="8" w:tplc="83D4EB68">
      <w:numFmt w:val="bullet"/>
      <w:lvlText w:val="•"/>
      <w:lvlJc w:val="left"/>
      <w:pPr>
        <w:ind w:left="3252" w:hanging="360"/>
      </w:pPr>
      <w:rPr>
        <w:rFonts w:hint="default"/>
      </w:rPr>
    </w:lvl>
  </w:abstractNum>
  <w:abstractNum w:abstractNumId="2" w15:restartNumberingAfterBreak="0">
    <w:nsid w:val="0AF57B21"/>
    <w:multiLevelType w:val="hybridMultilevel"/>
    <w:tmpl w:val="F174B38A"/>
    <w:lvl w:ilvl="0" w:tplc="22BE3610">
      <w:numFmt w:val="bullet"/>
      <w:lvlText w:val=""/>
      <w:lvlJc w:val="left"/>
      <w:pPr>
        <w:ind w:left="460" w:hanging="360"/>
      </w:pPr>
      <w:rPr>
        <w:rFonts w:ascii="Symbol" w:eastAsia="Symbol" w:hAnsi="Symbol" w:cs="Symbol" w:hint="default"/>
        <w:w w:val="99"/>
        <w:sz w:val="20"/>
        <w:szCs w:val="20"/>
      </w:rPr>
    </w:lvl>
    <w:lvl w:ilvl="1" w:tplc="5900BA28">
      <w:numFmt w:val="bullet"/>
      <w:lvlText w:val="•"/>
      <w:lvlJc w:val="left"/>
      <w:pPr>
        <w:ind w:left="881" w:hanging="360"/>
      </w:pPr>
      <w:rPr>
        <w:rFonts w:hint="default"/>
      </w:rPr>
    </w:lvl>
    <w:lvl w:ilvl="2" w:tplc="3EFEFB34">
      <w:numFmt w:val="bullet"/>
      <w:lvlText w:val="•"/>
      <w:lvlJc w:val="left"/>
      <w:pPr>
        <w:ind w:left="1302" w:hanging="360"/>
      </w:pPr>
      <w:rPr>
        <w:rFonts w:hint="default"/>
      </w:rPr>
    </w:lvl>
    <w:lvl w:ilvl="3" w:tplc="9984CC70">
      <w:numFmt w:val="bullet"/>
      <w:lvlText w:val="•"/>
      <w:lvlJc w:val="left"/>
      <w:pPr>
        <w:ind w:left="1723" w:hanging="360"/>
      </w:pPr>
      <w:rPr>
        <w:rFonts w:hint="default"/>
      </w:rPr>
    </w:lvl>
    <w:lvl w:ilvl="4" w:tplc="91F62016">
      <w:numFmt w:val="bullet"/>
      <w:lvlText w:val="•"/>
      <w:lvlJc w:val="left"/>
      <w:pPr>
        <w:ind w:left="2144" w:hanging="360"/>
      </w:pPr>
      <w:rPr>
        <w:rFonts w:hint="default"/>
      </w:rPr>
    </w:lvl>
    <w:lvl w:ilvl="5" w:tplc="48C8930A">
      <w:numFmt w:val="bullet"/>
      <w:lvlText w:val="•"/>
      <w:lvlJc w:val="left"/>
      <w:pPr>
        <w:ind w:left="2565" w:hanging="360"/>
      </w:pPr>
      <w:rPr>
        <w:rFonts w:hint="default"/>
      </w:rPr>
    </w:lvl>
    <w:lvl w:ilvl="6" w:tplc="7CDA33EE">
      <w:numFmt w:val="bullet"/>
      <w:lvlText w:val="•"/>
      <w:lvlJc w:val="left"/>
      <w:pPr>
        <w:ind w:left="2986" w:hanging="360"/>
      </w:pPr>
      <w:rPr>
        <w:rFonts w:hint="default"/>
      </w:rPr>
    </w:lvl>
    <w:lvl w:ilvl="7" w:tplc="B2A03654">
      <w:numFmt w:val="bullet"/>
      <w:lvlText w:val="•"/>
      <w:lvlJc w:val="left"/>
      <w:pPr>
        <w:ind w:left="3407" w:hanging="360"/>
      </w:pPr>
      <w:rPr>
        <w:rFonts w:hint="default"/>
      </w:rPr>
    </w:lvl>
    <w:lvl w:ilvl="8" w:tplc="A836B330">
      <w:numFmt w:val="bullet"/>
      <w:lvlText w:val="•"/>
      <w:lvlJc w:val="left"/>
      <w:pPr>
        <w:ind w:left="3828" w:hanging="360"/>
      </w:pPr>
      <w:rPr>
        <w:rFonts w:hint="default"/>
      </w:rPr>
    </w:lvl>
  </w:abstractNum>
  <w:abstractNum w:abstractNumId="3" w15:restartNumberingAfterBreak="0">
    <w:nsid w:val="22375482"/>
    <w:multiLevelType w:val="hybridMultilevel"/>
    <w:tmpl w:val="A3241C9E"/>
    <w:lvl w:ilvl="0" w:tplc="20BC1AB2">
      <w:numFmt w:val="bullet"/>
      <w:lvlText w:val=""/>
      <w:lvlJc w:val="left"/>
      <w:pPr>
        <w:ind w:left="460" w:hanging="360"/>
      </w:pPr>
      <w:rPr>
        <w:rFonts w:ascii="Symbol" w:eastAsia="Symbol" w:hAnsi="Symbol" w:cs="Symbol" w:hint="default"/>
        <w:w w:val="99"/>
        <w:sz w:val="20"/>
        <w:szCs w:val="20"/>
      </w:rPr>
    </w:lvl>
    <w:lvl w:ilvl="1" w:tplc="A30EDCF6">
      <w:numFmt w:val="bullet"/>
      <w:lvlText w:val="•"/>
      <w:lvlJc w:val="left"/>
      <w:pPr>
        <w:ind w:left="881" w:hanging="360"/>
      </w:pPr>
      <w:rPr>
        <w:rFonts w:hint="default"/>
      </w:rPr>
    </w:lvl>
    <w:lvl w:ilvl="2" w:tplc="82C8AE18">
      <w:numFmt w:val="bullet"/>
      <w:lvlText w:val="•"/>
      <w:lvlJc w:val="left"/>
      <w:pPr>
        <w:ind w:left="1302" w:hanging="360"/>
      </w:pPr>
      <w:rPr>
        <w:rFonts w:hint="default"/>
      </w:rPr>
    </w:lvl>
    <w:lvl w:ilvl="3" w:tplc="79BCB928">
      <w:numFmt w:val="bullet"/>
      <w:lvlText w:val="•"/>
      <w:lvlJc w:val="left"/>
      <w:pPr>
        <w:ind w:left="1723" w:hanging="360"/>
      </w:pPr>
      <w:rPr>
        <w:rFonts w:hint="default"/>
      </w:rPr>
    </w:lvl>
    <w:lvl w:ilvl="4" w:tplc="B7CA2E20">
      <w:numFmt w:val="bullet"/>
      <w:lvlText w:val="•"/>
      <w:lvlJc w:val="left"/>
      <w:pPr>
        <w:ind w:left="2144" w:hanging="360"/>
      </w:pPr>
      <w:rPr>
        <w:rFonts w:hint="default"/>
      </w:rPr>
    </w:lvl>
    <w:lvl w:ilvl="5" w:tplc="D4CC392A">
      <w:numFmt w:val="bullet"/>
      <w:lvlText w:val="•"/>
      <w:lvlJc w:val="left"/>
      <w:pPr>
        <w:ind w:left="2565" w:hanging="360"/>
      </w:pPr>
      <w:rPr>
        <w:rFonts w:hint="default"/>
      </w:rPr>
    </w:lvl>
    <w:lvl w:ilvl="6" w:tplc="51D84F58">
      <w:numFmt w:val="bullet"/>
      <w:lvlText w:val="•"/>
      <w:lvlJc w:val="left"/>
      <w:pPr>
        <w:ind w:left="2986" w:hanging="360"/>
      </w:pPr>
      <w:rPr>
        <w:rFonts w:hint="default"/>
      </w:rPr>
    </w:lvl>
    <w:lvl w:ilvl="7" w:tplc="741CC838">
      <w:numFmt w:val="bullet"/>
      <w:lvlText w:val="•"/>
      <w:lvlJc w:val="left"/>
      <w:pPr>
        <w:ind w:left="3407" w:hanging="360"/>
      </w:pPr>
      <w:rPr>
        <w:rFonts w:hint="default"/>
      </w:rPr>
    </w:lvl>
    <w:lvl w:ilvl="8" w:tplc="AB3A4E90">
      <w:numFmt w:val="bullet"/>
      <w:lvlText w:val="•"/>
      <w:lvlJc w:val="left"/>
      <w:pPr>
        <w:ind w:left="3828" w:hanging="360"/>
      </w:pPr>
      <w:rPr>
        <w:rFonts w:hint="default"/>
      </w:rPr>
    </w:lvl>
  </w:abstractNum>
  <w:abstractNum w:abstractNumId="4" w15:restartNumberingAfterBreak="0">
    <w:nsid w:val="2BA04D2D"/>
    <w:multiLevelType w:val="hybridMultilevel"/>
    <w:tmpl w:val="1EA85C6E"/>
    <w:lvl w:ilvl="0" w:tplc="42CAC832">
      <w:numFmt w:val="bullet"/>
      <w:lvlText w:val=""/>
      <w:lvlJc w:val="left"/>
      <w:pPr>
        <w:ind w:left="460" w:hanging="360"/>
      </w:pPr>
      <w:rPr>
        <w:rFonts w:ascii="Symbol" w:eastAsia="Symbol" w:hAnsi="Symbol" w:cs="Symbol" w:hint="default"/>
        <w:w w:val="99"/>
        <w:sz w:val="20"/>
        <w:szCs w:val="20"/>
      </w:rPr>
    </w:lvl>
    <w:lvl w:ilvl="1" w:tplc="A6EC33FE">
      <w:numFmt w:val="bullet"/>
      <w:lvlText w:val="•"/>
      <w:lvlJc w:val="left"/>
      <w:pPr>
        <w:ind w:left="809" w:hanging="360"/>
      </w:pPr>
      <w:rPr>
        <w:rFonts w:hint="default"/>
      </w:rPr>
    </w:lvl>
    <w:lvl w:ilvl="2" w:tplc="1C46F454">
      <w:numFmt w:val="bullet"/>
      <w:lvlText w:val="•"/>
      <w:lvlJc w:val="left"/>
      <w:pPr>
        <w:ind w:left="1158" w:hanging="360"/>
      </w:pPr>
      <w:rPr>
        <w:rFonts w:hint="default"/>
      </w:rPr>
    </w:lvl>
    <w:lvl w:ilvl="3" w:tplc="05B2D332">
      <w:numFmt w:val="bullet"/>
      <w:lvlText w:val="•"/>
      <w:lvlJc w:val="left"/>
      <w:pPr>
        <w:ind w:left="1507" w:hanging="360"/>
      </w:pPr>
      <w:rPr>
        <w:rFonts w:hint="default"/>
      </w:rPr>
    </w:lvl>
    <w:lvl w:ilvl="4" w:tplc="9B906526">
      <w:numFmt w:val="bullet"/>
      <w:lvlText w:val="•"/>
      <w:lvlJc w:val="left"/>
      <w:pPr>
        <w:ind w:left="1856" w:hanging="360"/>
      </w:pPr>
      <w:rPr>
        <w:rFonts w:hint="default"/>
      </w:rPr>
    </w:lvl>
    <w:lvl w:ilvl="5" w:tplc="F39EA8F8">
      <w:numFmt w:val="bullet"/>
      <w:lvlText w:val="•"/>
      <w:lvlJc w:val="left"/>
      <w:pPr>
        <w:ind w:left="2205" w:hanging="360"/>
      </w:pPr>
      <w:rPr>
        <w:rFonts w:hint="default"/>
      </w:rPr>
    </w:lvl>
    <w:lvl w:ilvl="6" w:tplc="C706E928">
      <w:numFmt w:val="bullet"/>
      <w:lvlText w:val="•"/>
      <w:lvlJc w:val="left"/>
      <w:pPr>
        <w:ind w:left="2554" w:hanging="360"/>
      </w:pPr>
      <w:rPr>
        <w:rFonts w:hint="default"/>
      </w:rPr>
    </w:lvl>
    <w:lvl w:ilvl="7" w:tplc="2AF45290">
      <w:numFmt w:val="bullet"/>
      <w:lvlText w:val="•"/>
      <w:lvlJc w:val="left"/>
      <w:pPr>
        <w:ind w:left="2903" w:hanging="360"/>
      </w:pPr>
      <w:rPr>
        <w:rFonts w:hint="default"/>
      </w:rPr>
    </w:lvl>
    <w:lvl w:ilvl="8" w:tplc="F976B2F4">
      <w:numFmt w:val="bullet"/>
      <w:lvlText w:val="•"/>
      <w:lvlJc w:val="left"/>
      <w:pPr>
        <w:ind w:left="3252" w:hanging="360"/>
      </w:pPr>
      <w:rPr>
        <w:rFonts w:hint="default"/>
      </w:rPr>
    </w:lvl>
  </w:abstractNum>
  <w:abstractNum w:abstractNumId="5" w15:restartNumberingAfterBreak="0">
    <w:nsid w:val="2F482404"/>
    <w:multiLevelType w:val="hybridMultilevel"/>
    <w:tmpl w:val="DBBA22D4"/>
    <w:lvl w:ilvl="0" w:tplc="8D2A2BE4">
      <w:numFmt w:val="bullet"/>
      <w:lvlText w:val=""/>
      <w:lvlJc w:val="left"/>
      <w:pPr>
        <w:ind w:left="460" w:hanging="360"/>
      </w:pPr>
      <w:rPr>
        <w:rFonts w:ascii="Symbol" w:eastAsia="Symbol" w:hAnsi="Symbol" w:cs="Symbol" w:hint="default"/>
        <w:w w:val="99"/>
        <w:sz w:val="20"/>
        <w:szCs w:val="20"/>
      </w:rPr>
    </w:lvl>
    <w:lvl w:ilvl="1" w:tplc="3AE25F90">
      <w:numFmt w:val="bullet"/>
      <w:lvlText w:val="•"/>
      <w:lvlJc w:val="left"/>
      <w:pPr>
        <w:ind w:left="881" w:hanging="360"/>
      </w:pPr>
      <w:rPr>
        <w:rFonts w:hint="default"/>
      </w:rPr>
    </w:lvl>
    <w:lvl w:ilvl="2" w:tplc="840436C6">
      <w:numFmt w:val="bullet"/>
      <w:lvlText w:val="•"/>
      <w:lvlJc w:val="left"/>
      <w:pPr>
        <w:ind w:left="1302" w:hanging="360"/>
      </w:pPr>
      <w:rPr>
        <w:rFonts w:hint="default"/>
      </w:rPr>
    </w:lvl>
    <w:lvl w:ilvl="3" w:tplc="A96E568E">
      <w:numFmt w:val="bullet"/>
      <w:lvlText w:val="•"/>
      <w:lvlJc w:val="left"/>
      <w:pPr>
        <w:ind w:left="1723" w:hanging="360"/>
      </w:pPr>
      <w:rPr>
        <w:rFonts w:hint="default"/>
      </w:rPr>
    </w:lvl>
    <w:lvl w:ilvl="4" w:tplc="D93ED4E4">
      <w:numFmt w:val="bullet"/>
      <w:lvlText w:val="•"/>
      <w:lvlJc w:val="left"/>
      <w:pPr>
        <w:ind w:left="2144" w:hanging="360"/>
      </w:pPr>
      <w:rPr>
        <w:rFonts w:hint="default"/>
      </w:rPr>
    </w:lvl>
    <w:lvl w:ilvl="5" w:tplc="C964ABA2">
      <w:numFmt w:val="bullet"/>
      <w:lvlText w:val="•"/>
      <w:lvlJc w:val="left"/>
      <w:pPr>
        <w:ind w:left="2565" w:hanging="360"/>
      </w:pPr>
      <w:rPr>
        <w:rFonts w:hint="default"/>
      </w:rPr>
    </w:lvl>
    <w:lvl w:ilvl="6" w:tplc="E2E895D2">
      <w:numFmt w:val="bullet"/>
      <w:lvlText w:val="•"/>
      <w:lvlJc w:val="left"/>
      <w:pPr>
        <w:ind w:left="2986" w:hanging="360"/>
      </w:pPr>
      <w:rPr>
        <w:rFonts w:hint="default"/>
      </w:rPr>
    </w:lvl>
    <w:lvl w:ilvl="7" w:tplc="3F8414D8">
      <w:numFmt w:val="bullet"/>
      <w:lvlText w:val="•"/>
      <w:lvlJc w:val="left"/>
      <w:pPr>
        <w:ind w:left="3407" w:hanging="360"/>
      </w:pPr>
      <w:rPr>
        <w:rFonts w:hint="default"/>
      </w:rPr>
    </w:lvl>
    <w:lvl w:ilvl="8" w:tplc="2272EE9E">
      <w:numFmt w:val="bullet"/>
      <w:lvlText w:val="•"/>
      <w:lvlJc w:val="left"/>
      <w:pPr>
        <w:ind w:left="3828" w:hanging="360"/>
      </w:pPr>
      <w:rPr>
        <w:rFonts w:hint="default"/>
      </w:rPr>
    </w:lvl>
  </w:abstractNum>
  <w:abstractNum w:abstractNumId="6" w15:restartNumberingAfterBreak="0">
    <w:nsid w:val="34C4721A"/>
    <w:multiLevelType w:val="hybridMultilevel"/>
    <w:tmpl w:val="5E2E96B2"/>
    <w:lvl w:ilvl="0" w:tplc="96B8BC84">
      <w:numFmt w:val="bullet"/>
      <w:lvlText w:val=""/>
      <w:lvlJc w:val="left"/>
      <w:pPr>
        <w:ind w:left="460" w:hanging="360"/>
      </w:pPr>
      <w:rPr>
        <w:rFonts w:ascii="Symbol" w:eastAsia="Symbol" w:hAnsi="Symbol" w:cs="Symbol" w:hint="default"/>
        <w:w w:val="99"/>
        <w:sz w:val="20"/>
        <w:szCs w:val="20"/>
      </w:rPr>
    </w:lvl>
    <w:lvl w:ilvl="1" w:tplc="8CBEF362">
      <w:numFmt w:val="bullet"/>
      <w:lvlText w:val="•"/>
      <w:lvlJc w:val="left"/>
      <w:pPr>
        <w:ind w:left="809" w:hanging="360"/>
      </w:pPr>
      <w:rPr>
        <w:rFonts w:hint="default"/>
      </w:rPr>
    </w:lvl>
    <w:lvl w:ilvl="2" w:tplc="A3569FDE">
      <w:numFmt w:val="bullet"/>
      <w:lvlText w:val="•"/>
      <w:lvlJc w:val="left"/>
      <w:pPr>
        <w:ind w:left="1158" w:hanging="360"/>
      </w:pPr>
      <w:rPr>
        <w:rFonts w:hint="default"/>
      </w:rPr>
    </w:lvl>
    <w:lvl w:ilvl="3" w:tplc="7444AFA2">
      <w:numFmt w:val="bullet"/>
      <w:lvlText w:val="•"/>
      <w:lvlJc w:val="left"/>
      <w:pPr>
        <w:ind w:left="1507" w:hanging="360"/>
      </w:pPr>
      <w:rPr>
        <w:rFonts w:hint="default"/>
      </w:rPr>
    </w:lvl>
    <w:lvl w:ilvl="4" w:tplc="7C6EEA9A">
      <w:numFmt w:val="bullet"/>
      <w:lvlText w:val="•"/>
      <w:lvlJc w:val="left"/>
      <w:pPr>
        <w:ind w:left="1856" w:hanging="360"/>
      </w:pPr>
      <w:rPr>
        <w:rFonts w:hint="default"/>
      </w:rPr>
    </w:lvl>
    <w:lvl w:ilvl="5" w:tplc="C240BE9A">
      <w:numFmt w:val="bullet"/>
      <w:lvlText w:val="•"/>
      <w:lvlJc w:val="left"/>
      <w:pPr>
        <w:ind w:left="2205" w:hanging="360"/>
      </w:pPr>
      <w:rPr>
        <w:rFonts w:hint="default"/>
      </w:rPr>
    </w:lvl>
    <w:lvl w:ilvl="6" w:tplc="8954C9C0">
      <w:numFmt w:val="bullet"/>
      <w:lvlText w:val="•"/>
      <w:lvlJc w:val="left"/>
      <w:pPr>
        <w:ind w:left="2554" w:hanging="360"/>
      </w:pPr>
      <w:rPr>
        <w:rFonts w:hint="default"/>
      </w:rPr>
    </w:lvl>
    <w:lvl w:ilvl="7" w:tplc="4BD6A580">
      <w:numFmt w:val="bullet"/>
      <w:lvlText w:val="•"/>
      <w:lvlJc w:val="left"/>
      <w:pPr>
        <w:ind w:left="2903" w:hanging="360"/>
      </w:pPr>
      <w:rPr>
        <w:rFonts w:hint="default"/>
      </w:rPr>
    </w:lvl>
    <w:lvl w:ilvl="8" w:tplc="B148ACC0">
      <w:numFmt w:val="bullet"/>
      <w:lvlText w:val="•"/>
      <w:lvlJc w:val="left"/>
      <w:pPr>
        <w:ind w:left="3252" w:hanging="360"/>
      </w:pPr>
      <w:rPr>
        <w:rFonts w:hint="default"/>
      </w:rPr>
    </w:lvl>
  </w:abstractNum>
  <w:abstractNum w:abstractNumId="7" w15:restartNumberingAfterBreak="0">
    <w:nsid w:val="481B6812"/>
    <w:multiLevelType w:val="hybridMultilevel"/>
    <w:tmpl w:val="6DA6D91E"/>
    <w:lvl w:ilvl="0" w:tplc="FF7851D6">
      <w:numFmt w:val="bullet"/>
      <w:lvlText w:val=""/>
      <w:lvlJc w:val="left"/>
      <w:pPr>
        <w:ind w:left="460" w:hanging="360"/>
      </w:pPr>
      <w:rPr>
        <w:rFonts w:ascii="Symbol" w:eastAsia="Symbol" w:hAnsi="Symbol" w:cs="Symbol" w:hint="default"/>
        <w:w w:val="99"/>
        <w:sz w:val="20"/>
        <w:szCs w:val="20"/>
      </w:rPr>
    </w:lvl>
    <w:lvl w:ilvl="1" w:tplc="09C883D2">
      <w:numFmt w:val="bullet"/>
      <w:lvlText w:val="•"/>
      <w:lvlJc w:val="left"/>
      <w:pPr>
        <w:ind w:left="809" w:hanging="360"/>
      </w:pPr>
      <w:rPr>
        <w:rFonts w:hint="default"/>
      </w:rPr>
    </w:lvl>
    <w:lvl w:ilvl="2" w:tplc="A3C689AA">
      <w:numFmt w:val="bullet"/>
      <w:lvlText w:val="•"/>
      <w:lvlJc w:val="left"/>
      <w:pPr>
        <w:ind w:left="1158" w:hanging="360"/>
      </w:pPr>
      <w:rPr>
        <w:rFonts w:hint="default"/>
      </w:rPr>
    </w:lvl>
    <w:lvl w:ilvl="3" w:tplc="C7AE0392">
      <w:numFmt w:val="bullet"/>
      <w:lvlText w:val="•"/>
      <w:lvlJc w:val="left"/>
      <w:pPr>
        <w:ind w:left="1507" w:hanging="360"/>
      </w:pPr>
      <w:rPr>
        <w:rFonts w:hint="default"/>
      </w:rPr>
    </w:lvl>
    <w:lvl w:ilvl="4" w:tplc="47BC8E44">
      <w:numFmt w:val="bullet"/>
      <w:lvlText w:val="•"/>
      <w:lvlJc w:val="left"/>
      <w:pPr>
        <w:ind w:left="1856" w:hanging="360"/>
      </w:pPr>
      <w:rPr>
        <w:rFonts w:hint="default"/>
      </w:rPr>
    </w:lvl>
    <w:lvl w:ilvl="5" w:tplc="624EB47C">
      <w:numFmt w:val="bullet"/>
      <w:lvlText w:val="•"/>
      <w:lvlJc w:val="left"/>
      <w:pPr>
        <w:ind w:left="2205" w:hanging="360"/>
      </w:pPr>
      <w:rPr>
        <w:rFonts w:hint="default"/>
      </w:rPr>
    </w:lvl>
    <w:lvl w:ilvl="6" w:tplc="76F064D2">
      <w:numFmt w:val="bullet"/>
      <w:lvlText w:val="•"/>
      <w:lvlJc w:val="left"/>
      <w:pPr>
        <w:ind w:left="2554" w:hanging="360"/>
      </w:pPr>
      <w:rPr>
        <w:rFonts w:hint="default"/>
      </w:rPr>
    </w:lvl>
    <w:lvl w:ilvl="7" w:tplc="3FFACEE8">
      <w:numFmt w:val="bullet"/>
      <w:lvlText w:val="•"/>
      <w:lvlJc w:val="left"/>
      <w:pPr>
        <w:ind w:left="2903" w:hanging="360"/>
      </w:pPr>
      <w:rPr>
        <w:rFonts w:hint="default"/>
      </w:rPr>
    </w:lvl>
    <w:lvl w:ilvl="8" w:tplc="341A310E">
      <w:numFmt w:val="bullet"/>
      <w:lvlText w:val="•"/>
      <w:lvlJc w:val="left"/>
      <w:pPr>
        <w:ind w:left="3252" w:hanging="360"/>
      </w:pPr>
      <w:rPr>
        <w:rFonts w:hint="default"/>
      </w:rPr>
    </w:lvl>
  </w:abstractNum>
  <w:abstractNum w:abstractNumId="8" w15:restartNumberingAfterBreak="0">
    <w:nsid w:val="49755691"/>
    <w:multiLevelType w:val="hybridMultilevel"/>
    <w:tmpl w:val="896203C6"/>
    <w:lvl w:ilvl="0" w:tplc="033A1606">
      <w:numFmt w:val="bullet"/>
      <w:lvlText w:val=""/>
      <w:lvlJc w:val="left"/>
      <w:pPr>
        <w:ind w:left="940" w:hanging="360"/>
      </w:pPr>
      <w:rPr>
        <w:rFonts w:ascii="Symbol" w:eastAsia="Symbol" w:hAnsi="Symbol" w:cs="Symbol" w:hint="default"/>
        <w:w w:val="100"/>
        <w:sz w:val="22"/>
        <w:szCs w:val="22"/>
      </w:rPr>
    </w:lvl>
    <w:lvl w:ilvl="1" w:tplc="2F90048E">
      <w:numFmt w:val="bullet"/>
      <w:lvlText w:val="•"/>
      <w:lvlJc w:val="left"/>
      <w:pPr>
        <w:ind w:left="1816" w:hanging="360"/>
      </w:pPr>
      <w:rPr>
        <w:rFonts w:hint="default"/>
      </w:rPr>
    </w:lvl>
    <w:lvl w:ilvl="2" w:tplc="3676B1CC">
      <w:numFmt w:val="bullet"/>
      <w:lvlText w:val="•"/>
      <w:lvlJc w:val="left"/>
      <w:pPr>
        <w:ind w:left="2692" w:hanging="360"/>
      </w:pPr>
      <w:rPr>
        <w:rFonts w:hint="default"/>
      </w:rPr>
    </w:lvl>
    <w:lvl w:ilvl="3" w:tplc="5A8C4752">
      <w:numFmt w:val="bullet"/>
      <w:lvlText w:val="•"/>
      <w:lvlJc w:val="left"/>
      <w:pPr>
        <w:ind w:left="3568" w:hanging="360"/>
      </w:pPr>
      <w:rPr>
        <w:rFonts w:hint="default"/>
      </w:rPr>
    </w:lvl>
    <w:lvl w:ilvl="4" w:tplc="6486C714">
      <w:numFmt w:val="bullet"/>
      <w:lvlText w:val="•"/>
      <w:lvlJc w:val="left"/>
      <w:pPr>
        <w:ind w:left="4444" w:hanging="360"/>
      </w:pPr>
      <w:rPr>
        <w:rFonts w:hint="default"/>
      </w:rPr>
    </w:lvl>
    <w:lvl w:ilvl="5" w:tplc="F0CC805C">
      <w:numFmt w:val="bullet"/>
      <w:lvlText w:val="•"/>
      <w:lvlJc w:val="left"/>
      <w:pPr>
        <w:ind w:left="5320" w:hanging="360"/>
      </w:pPr>
      <w:rPr>
        <w:rFonts w:hint="default"/>
      </w:rPr>
    </w:lvl>
    <w:lvl w:ilvl="6" w:tplc="DF86CD00">
      <w:numFmt w:val="bullet"/>
      <w:lvlText w:val="•"/>
      <w:lvlJc w:val="left"/>
      <w:pPr>
        <w:ind w:left="6196" w:hanging="360"/>
      </w:pPr>
      <w:rPr>
        <w:rFonts w:hint="default"/>
      </w:rPr>
    </w:lvl>
    <w:lvl w:ilvl="7" w:tplc="33166234">
      <w:numFmt w:val="bullet"/>
      <w:lvlText w:val="•"/>
      <w:lvlJc w:val="left"/>
      <w:pPr>
        <w:ind w:left="7072" w:hanging="360"/>
      </w:pPr>
      <w:rPr>
        <w:rFonts w:hint="default"/>
      </w:rPr>
    </w:lvl>
    <w:lvl w:ilvl="8" w:tplc="F2B46AF8">
      <w:numFmt w:val="bullet"/>
      <w:lvlText w:val="•"/>
      <w:lvlJc w:val="left"/>
      <w:pPr>
        <w:ind w:left="7948" w:hanging="360"/>
      </w:pPr>
      <w:rPr>
        <w:rFonts w:hint="default"/>
      </w:rPr>
    </w:lvl>
  </w:abstractNum>
  <w:abstractNum w:abstractNumId="9" w15:restartNumberingAfterBreak="0">
    <w:nsid w:val="5A4000BF"/>
    <w:multiLevelType w:val="hybridMultilevel"/>
    <w:tmpl w:val="A8B81D8E"/>
    <w:lvl w:ilvl="0" w:tplc="57F8325C">
      <w:numFmt w:val="bullet"/>
      <w:lvlText w:val=""/>
      <w:lvlJc w:val="left"/>
      <w:pPr>
        <w:ind w:left="460" w:hanging="360"/>
      </w:pPr>
      <w:rPr>
        <w:rFonts w:ascii="Symbol" w:eastAsia="Symbol" w:hAnsi="Symbol" w:cs="Symbol" w:hint="default"/>
        <w:w w:val="99"/>
        <w:sz w:val="20"/>
        <w:szCs w:val="20"/>
      </w:rPr>
    </w:lvl>
    <w:lvl w:ilvl="1" w:tplc="58D41366">
      <w:numFmt w:val="bullet"/>
      <w:lvlText w:val="•"/>
      <w:lvlJc w:val="left"/>
      <w:pPr>
        <w:ind w:left="809" w:hanging="360"/>
      </w:pPr>
      <w:rPr>
        <w:rFonts w:hint="default"/>
      </w:rPr>
    </w:lvl>
    <w:lvl w:ilvl="2" w:tplc="782E1438">
      <w:numFmt w:val="bullet"/>
      <w:lvlText w:val="•"/>
      <w:lvlJc w:val="left"/>
      <w:pPr>
        <w:ind w:left="1158" w:hanging="360"/>
      </w:pPr>
      <w:rPr>
        <w:rFonts w:hint="default"/>
      </w:rPr>
    </w:lvl>
    <w:lvl w:ilvl="3" w:tplc="08AC10F4">
      <w:numFmt w:val="bullet"/>
      <w:lvlText w:val="•"/>
      <w:lvlJc w:val="left"/>
      <w:pPr>
        <w:ind w:left="1507" w:hanging="360"/>
      </w:pPr>
      <w:rPr>
        <w:rFonts w:hint="default"/>
      </w:rPr>
    </w:lvl>
    <w:lvl w:ilvl="4" w:tplc="B25C17EE">
      <w:numFmt w:val="bullet"/>
      <w:lvlText w:val="•"/>
      <w:lvlJc w:val="left"/>
      <w:pPr>
        <w:ind w:left="1856" w:hanging="360"/>
      </w:pPr>
      <w:rPr>
        <w:rFonts w:hint="default"/>
      </w:rPr>
    </w:lvl>
    <w:lvl w:ilvl="5" w:tplc="4DA63AC2">
      <w:numFmt w:val="bullet"/>
      <w:lvlText w:val="•"/>
      <w:lvlJc w:val="left"/>
      <w:pPr>
        <w:ind w:left="2205" w:hanging="360"/>
      </w:pPr>
      <w:rPr>
        <w:rFonts w:hint="default"/>
      </w:rPr>
    </w:lvl>
    <w:lvl w:ilvl="6" w:tplc="B748BCCC">
      <w:numFmt w:val="bullet"/>
      <w:lvlText w:val="•"/>
      <w:lvlJc w:val="left"/>
      <w:pPr>
        <w:ind w:left="2554" w:hanging="360"/>
      </w:pPr>
      <w:rPr>
        <w:rFonts w:hint="default"/>
      </w:rPr>
    </w:lvl>
    <w:lvl w:ilvl="7" w:tplc="8598B302">
      <w:numFmt w:val="bullet"/>
      <w:lvlText w:val="•"/>
      <w:lvlJc w:val="left"/>
      <w:pPr>
        <w:ind w:left="2903" w:hanging="360"/>
      </w:pPr>
      <w:rPr>
        <w:rFonts w:hint="default"/>
      </w:rPr>
    </w:lvl>
    <w:lvl w:ilvl="8" w:tplc="C1A8D4D8">
      <w:numFmt w:val="bullet"/>
      <w:lvlText w:val="•"/>
      <w:lvlJc w:val="left"/>
      <w:pPr>
        <w:ind w:left="3252" w:hanging="360"/>
      </w:pPr>
      <w:rPr>
        <w:rFonts w:hint="default"/>
      </w:rPr>
    </w:lvl>
  </w:abstractNum>
  <w:abstractNum w:abstractNumId="10" w15:restartNumberingAfterBreak="0">
    <w:nsid w:val="5B0B0C6F"/>
    <w:multiLevelType w:val="hybridMultilevel"/>
    <w:tmpl w:val="82544C82"/>
    <w:lvl w:ilvl="0" w:tplc="94760984">
      <w:numFmt w:val="bullet"/>
      <w:lvlText w:val=""/>
      <w:lvlJc w:val="left"/>
      <w:pPr>
        <w:ind w:left="460" w:hanging="360"/>
      </w:pPr>
      <w:rPr>
        <w:rFonts w:ascii="Symbol" w:eastAsia="Symbol" w:hAnsi="Symbol" w:cs="Symbol" w:hint="default"/>
        <w:w w:val="99"/>
        <w:sz w:val="20"/>
        <w:szCs w:val="20"/>
      </w:rPr>
    </w:lvl>
    <w:lvl w:ilvl="1" w:tplc="867492B0">
      <w:numFmt w:val="bullet"/>
      <w:lvlText w:val="•"/>
      <w:lvlJc w:val="left"/>
      <w:pPr>
        <w:ind w:left="809" w:hanging="360"/>
      </w:pPr>
      <w:rPr>
        <w:rFonts w:hint="default"/>
      </w:rPr>
    </w:lvl>
    <w:lvl w:ilvl="2" w:tplc="F4EC9E90">
      <w:numFmt w:val="bullet"/>
      <w:lvlText w:val="•"/>
      <w:lvlJc w:val="left"/>
      <w:pPr>
        <w:ind w:left="1158" w:hanging="360"/>
      </w:pPr>
      <w:rPr>
        <w:rFonts w:hint="default"/>
      </w:rPr>
    </w:lvl>
    <w:lvl w:ilvl="3" w:tplc="A28C65BA">
      <w:numFmt w:val="bullet"/>
      <w:lvlText w:val="•"/>
      <w:lvlJc w:val="left"/>
      <w:pPr>
        <w:ind w:left="1507" w:hanging="360"/>
      </w:pPr>
      <w:rPr>
        <w:rFonts w:hint="default"/>
      </w:rPr>
    </w:lvl>
    <w:lvl w:ilvl="4" w:tplc="26FCD792">
      <w:numFmt w:val="bullet"/>
      <w:lvlText w:val="•"/>
      <w:lvlJc w:val="left"/>
      <w:pPr>
        <w:ind w:left="1856" w:hanging="360"/>
      </w:pPr>
      <w:rPr>
        <w:rFonts w:hint="default"/>
      </w:rPr>
    </w:lvl>
    <w:lvl w:ilvl="5" w:tplc="B35A19E6">
      <w:numFmt w:val="bullet"/>
      <w:lvlText w:val="•"/>
      <w:lvlJc w:val="left"/>
      <w:pPr>
        <w:ind w:left="2205" w:hanging="360"/>
      </w:pPr>
      <w:rPr>
        <w:rFonts w:hint="default"/>
      </w:rPr>
    </w:lvl>
    <w:lvl w:ilvl="6" w:tplc="E64EC83E">
      <w:numFmt w:val="bullet"/>
      <w:lvlText w:val="•"/>
      <w:lvlJc w:val="left"/>
      <w:pPr>
        <w:ind w:left="2554" w:hanging="360"/>
      </w:pPr>
      <w:rPr>
        <w:rFonts w:hint="default"/>
      </w:rPr>
    </w:lvl>
    <w:lvl w:ilvl="7" w:tplc="92F2CE66">
      <w:numFmt w:val="bullet"/>
      <w:lvlText w:val="•"/>
      <w:lvlJc w:val="left"/>
      <w:pPr>
        <w:ind w:left="2903" w:hanging="360"/>
      </w:pPr>
      <w:rPr>
        <w:rFonts w:hint="default"/>
      </w:rPr>
    </w:lvl>
    <w:lvl w:ilvl="8" w:tplc="97D698B4">
      <w:numFmt w:val="bullet"/>
      <w:lvlText w:val="•"/>
      <w:lvlJc w:val="left"/>
      <w:pPr>
        <w:ind w:left="3252" w:hanging="360"/>
      </w:pPr>
      <w:rPr>
        <w:rFonts w:hint="default"/>
      </w:rPr>
    </w:lvl>
  </w:abstractNum>
  <w:abstractNum w:abstractNumId="11" w15:restartNumberingAfterBreak="0">
    <w:nsid w:val="5D4B55AA"/>
    <w:multiLevelType w:val="hybridMultilevel"/>
    <w:tmpl w:val="43C41764"/>
    <w:lvl w:ilvl="0" w:tplc="D9400F22">
      <w:numFmt w:val="bullet"/>
      <w:lvlText w:val=""/>
      <w:lvlJc w:val="left"/>
      <w:pPr>
        <w:ind w:left="460" w:hanging="360"/>
      </w:pPr>
      <w:rPr>
        <w:rFonts w:ascii="Symbol" w:eastAsia="Symbol" w:hAnsi="Symbol" w:cs="Symbol" w:hint="default"/>
        <w:w w:val="99"/>
        <w:sz w:val="20"/>
        <w:szCs w:val="20"/>
      </w:rPr>
    </w:lvl>
    <w:lvl w:ilvl="1" w:tplc="050E4364">
      <w:numFmt w:val="bullet"/>
      <w:lvlText w:val="•"/>
      <w:lvlJc w:val="left"/>
      <w:pPr>
        <w:ind w:left="809" w:hanging="360"/>
      </w:pPr>
      <w:rPr>
        <w:rFonts w:hint="default"/>
      </w:rPr>
    </w:lvl>
    <w:lvl w:ilvl="2" w:tplc="C58652C6">
      <w:numFmt w:val="bullet"/>
      <w:lvlText w:val="•"/>
      <w:lvlJc w:val="left"/>
      <w:pPr>
        <w:ind w:left="1158" w:hanging="360"/>
      </w:pPr>
      <w:rPr>
        <w:rFonts w:hint="default"/>
      </w:rPr>
    </w:lvl>
    <w:lvl w:ilvl="3" w:tplc="CC3EFCC8">
      <w:numFmt w:val="bullet"/>
      <w:lvlText w:val="•"/>
      <w:lvlJc w:val="left"/>
      <w:pPr>
        <w:ind w:left="1507" w:hanging="360"/>
      </w:pPr>
      <w:rPr>
        <w:rFonts w:hint="default"/>
      </w:rPr>
    </w:lvl>
    <w:lvl w:ilvl="4" w:tplc="448ACEEE">
      <w:numFmt w:val="bullet"/>
      <w:lvlText w:val="•"/>
      <w:lvlJc w:val="left"/>
      <w:pPr>
        <w:ind w:left="1856" w:hanging="360"/>
      </w:pPr>
      <w:rPr>
        <w:rFonts w:hint="default"/>
      </w:rPr>
    </w:lvl>
    <w:lvl w:ilvl="5" w:tplc="0B42408A">
      <w:numFmt w:val="bullet"/>
      <w:lvlText w:val="•"/>
      <w:lvlJc w:val="left"/>
      <w:pPr>
        <w:ind w:left="2205" w:hanging="360"/>
      </w:pPr>
      <w:rPr>
        <w:rFonts w:hint="default"/>
      </w:rPr>
    </w:lvl>
    <w:lvl w:ilvl="6" w:tplc="3DEE1F3C">
      <w:numFmt w:val="bullet"/>
      <w:lvlText w:val="•"/>
      <w:lvlJc w:val="left"/>
      <w:pPr>
        <w:ind w:left="2554" w:hanging="360"/>
      </w:pPr>
      <w:rPr>
        <w:rFonts w:hint="default"/>
      </w:rPr>
    </w:lvl>
    <w:lvl w:ilvl="7" w:tplc="865E621C">
      <w:numFmt w:val="bullet"/>
      <w:lvlText w:val="•"/>
      <w:lvlJc w:val="left"/>
      <w:pPr>
        <w:ind w:left="2903" w:hanging="360"/>
      </w:pPr>
      <w:rPr>
        <w:rFonts w:hint="default"/>
      </w:rPr>
    </w:lvl>
    <w:lvl w:ilvl="8" w:tplc="23524920">
      <w:numFmt w:val="bullet"/>
      <w:lvlText w:val="•"/>
      <w:lvlJc w:val="left"/>
      <w:pPr>
        <w:ind w:left="3252" w:hanging="360"/>
      </w:pPr>
      <w:rPr>
        <w:rFonts w:hint="default"/>
      </w:rPr>
    </w:lvl>
  </w:abstractNum>
  <w:abstractNum w:abstractNumId="12" w15:restartNumberingAfterBreak="0">
    <w:nsid w:val="62EC4637"/>
    <w:multiLevelType w:val="hybridMultilevel"/>
    <w:tmpl w:val="FB78F614"/>
    <w:lvl w:ilvl="0" w:tplc="F63E5BDA">
      <w:numFmt w:val="bullet"/>
      <w:lvlText w:val=""/>
      <w:lvlJc w:val="left"/>
      <w:pPr>
        <w:ind w:left="461" w:hanging="360"/>
      </w:pPr>
      <w:rPr>
        <w:rFonts w:ascii="Symbol" w:eastAsia="Symbol" w:hAnsi="Symbol" w:cs="Symbol" w:hint="default"/>
        <w:w w:val="99"/>
        <w:sz w:val="20"/>
        <w:szCs w:val="20"/>
      </w:rPr>
    </w:lvl>
    <w:lvl w:ilvl="1" w:tplc="44A2697E">
      <w:numFmt w:val="bullet"/>
      <w:lvlText w:val="•"/>
      <w:lvlJc w:val="left"/>
      <w:pPr>
        <w:ind w:left="899" w:hanging="360"/>
      </w:pPr>
      <w:rPr>
        <w:rFonts w:hint="default"/>
      </w:rPr>
    </w:lvl>
    <w:lvl w:ilvl="2" w:tplc="743A2ED0">
      <w:numFmt w:val="bullet"/>
      <w:lvlText w:val="•"/>
      <w:lvlJc w:val="left"/>
      <w:pPr>
        <w:ind w:left="1338" w:hanging="360"/>
      </w:pPr>
      <w:rPr>
        <w:rFonts w:hint="default"/>
      </w:rPr>
    </w:lvl>
    <w:lvl w:ilvl="3" w:tplc="35241C2A">
      <w:numFmt w:val="bullet"/>
      <w:lvlText w:val="•"/>
      <w:lvlJc w:val="left"/>
      <w:pPr>
        <w:ind w:left="1777" w:hanging="360"/>
      </w:pPr>
      <w:rPr>
        <w:rFonts w:hint="default"/>
      </w:rPr>
    </w:lvl>
    <w:lvl w:ilvl="4" w:tplc="F98AD5B2">
      <w:numFmt w:val="bullet"/>
      <w:lvlText w:val="•"/>
      <w:lvlJc w:val="left"/>
      <w:pPr>
        <w:ind w:left="2216" w:hanging="360"/>
      </w:pPr>
      <w:rPr>
        <w:rFonts w:hint="default"/>
      </w:rPr>
    </w:lvl>
    <w:lvl w:ilvl="5" w:tplc="ADD65BF0">
      <w:numFmt w:val="bullet"/>
      <w:lvlText w:val="•"/>
      <w:lvlJc w:val="left"/>
      <w:pPr>
        <w:ind w:left="2655" w:hanging="360"/>
      </w:pPr>
      <w:rPr>
        <w:rFonts w:hint="default"/>
      </w:rPr>
    </w:lvl>
    <w:lvl w:ilvl="6" w:tplc="84D08012">
      <w:numFmt w:val="bullet"/>
      <w:lvlText w:val="•"/>
      <w:lvlJc w:val="left"/>
      <w:pPr>
        <w:ind w:left="3094" w:hanging="360"/>
      </w:pPr>
      <w:rPr>
        <w:rFonts w:hint="default"/>
      </w:rPr>
    </w:lvl>
    <w:lvl w:ilvl="7" w:tplc="AB54449C">
      <w:numFmt w:val="bullet"/>
      <w:lvlText w:val="•"/>
      <w:lvlJc w:val="left"/>
      <w:pPr>
        <w:ind w:left="3534" w:hanging="360"/>
      </w:pPr>
      <w:rPr>
        <w:rFonts w:hint="default"/>
      </w:rPr>
    </w:lvl>
    <w:lvl w:ilvl="8" w:tplc="8F0AE360">
      <w:numFmt w:val="bullet"/>
      <w:lvlText w:val="•"/>
      <w:lvlJc w:val="left"/>
      <w:pPr>
        <w:ind w:left="3973" w:hanging="360"/>
      </w:pPr>
      <w:rPr>
        <w:rFonts w:hint="default"/>
      </w:rPr>
    </w:lvl>
  </w:abstractNum>
  <w:abstractNum w:abstractNumId="13" w15:restartNumberingAfterBreak="0">
    <w:nsid w:val="639C2228"/>
    <w:multiLevelType w:val="hybridMultilevel"/>
    <w:tmpl w:val="315E73F6"/>
    <w:lvl w:ilvl="0" w:tplc="0FB039AE">
      <w:numFmt w:val="bullet"/>
      <w:lvlText w:val=""/>
      <w:lvlJc w:val="left"/>
      <w:pPr>
        <w:ind w:left="460" w:hanging="360"/>
      </w:pPr>
      <w:rPr>
        <w:rFonts w:ascii="Symbol" w:eastAsia="Symbol" w:hAnsi="Symbol" w:cs="Symbol" w:hint="default"/>
        <w:w w:val="99"/>
        <w:sz w:val="20"/>
        <w:szCs w:val="20"/>
      </w:rPr>
    </w:lvl>
    <w:lvl w:ilvl="1" w:tplc="1E0AB6C2">
      <w:numFmt w:val="bullet"/>
      <w:lvlText w:val="•"/>
      <w:lvlJc w:val="left"/>
      <w:pPr>
        <w:ind w:left="809" w:hanging="360"/>
      </w:pPr>
      <w:rPr>
        <w:rFonts w:hint="default"/>
      </w:rPr>
    </w:lvl>
    <w:lvl w:ilvl="2" w:tplc="A8C642B4">
      <w:numFmt w:val="bullet"/>
      <w:lvlText w:val="•"/>
      <w:lvlJc w:val="left"/>
      <w:pPr>
        <w:ind w:left="1158" w:hanging="360"/>
      </w:pPr>
      <w:rPr>
        <w:rFonts w:hint="default"/>
      </w:rPr>
    </w:lvl>
    <w:lvl w:ilvl="3" w:tplc="808CDF92">
      <w:numFmt w:val="bullet"/>
      <w:lvlText w:val="•"/>
      <w:lvlJc w:val="left"/>
      <w:pPr>
        <w:ind w:left="1507" w:hanging="360"/>
      </w:pPr>
      <w:rPr>
        <w:rFonts w:hint="default"/>
      </w:rPr>
    </w:lvl>
    <w:lvl w:ilvl="4" w:tplc="8758A07E">
      <w:numFmt w:val="bullet"/>
      <w:lvlText w:val="•"/>
      <w:lvlJc w:val="left"/>
      <w:pPr>
        <w:ind w:left="1856" w:hanging="360"/>
      </w:pPr>
      <w:rPr>
        <w:rFonts w:hint="default"/>
      </w:rPr>
    </w:lvl>
    <w:lvl w:ilvl="5" w:tplc="8168DC0E">
      <w:numFmt w:val="bullet"/>
      <w:lvlText w:val="•"/>
      <w:lvlJc w:val="left"/>
      <w:pPr>
        <w:ind w:left="2205" w:hanging="360"/>
      </w:pPr>
      <w:rPr>
        <w:rFonts w:hint="default"/>
      </w:rPr>
    </w:lvl>
    <w:lvl w:ilvl="6" w:tplc="AFB2C060">
      <w:numFmt w:val="bullet"/>
      <w:lvlText w:val="•"/>
      <w:lvlJc w:val="left"/>
      <w:pPr>
        <w:ind w:left="2554" w:hanging="360"/>
      </w:pPr>
      <w:rPr>
        <w:rFonts w:hint="default"/>
      </w:rPr>
    </w:lvl>
    <w:lvl w:ilvl="7" w:tplc="A8DA6106">
      <w:numFmt w:val="bullet"/>
      <w:lvlText w:val="•"/>
      <w:lvlJc w:val="left"/>
      <w:pPr>
        <w:ind w:left="2903" w:hanging="360"/>
      </w:pPr>
      <w:rPr>
        <w:rFonts w:hint="default"/>
      </w:rPr>
    </w:lvl>
    <w:lvl w:ilvl="8" w:tplc="A3928C8A">
      <w:numFmt w:val="bullet"/>
      <w:lvlText w:val="•"/>
      <w:lvlJc w:val="left"/>
      <w:pPr>
        <w:ind w:left="3252" w:hanging="360"/>
      </w:pPr>
      <w:rPr>
        <w:rFonts w:hint="default"/>
      </w:rPr>
    </w:lvl>
  </w:abstractNum>
  <w:abstractNum w:abstractNumId="14" w15:restartNumberingAfterBreak="0">
    <w:nsid w:val="67335CBB"/>
    <w:multiLevelType w:val="hybridMultilevel"/>
    <w:tmpl w:val="6A385FDA"/>
    <w:lvl w:ilvl="0" w:tplc="AB1254FA">
      <w:numFmt w:val="bullet"/>
      <w:lvlText w:val=""/>
      <w:lvlJc w:val="left"/>
      <w:pPr>
        <w:ind w:left="460" w:hanging="360"/>
      </w:pPr>
      <w:rPr>
        <w:rFonts w:ascii="Symbol" w:eastAsia="Symbol" w:hAnsi="Symbol" w:cs="Symbol" w:hint="default"/>
        <w:w w:val="99"/>
        <w:sz w:val="20"/>
        <w:szCs w:val="20"/>
      </w:rPr>
    </w:lvl>
    <w:lvl w:ilvl="1" w:tplc="83E430FC">
      <w:numFmt w:val="bullet"/>
      <w:lvlText w:val="•"/>
      <w:lvlJc w:val="left"/>
      <w:pPr>
        <w:ind w:left="809" w:hanging="360"/>
      </w:pPr>
      <w:rPr>
        <w:rFonts w:hint="default"/>
      </w:rPr>
    </w:lvl>
    <w:lvl w:ilvl="2" w:tplc="B70E2E20">
      <w:numFmt w:val="bullet"/>
      <w:lvlText w:val="•"/>
      <w:lvlJc w:val="left"/>
      <w:pPr>
        <w:ind w:left="1158" w:hanging="360"/>
      </w:pPr>
      <w:rPr>
        <w:rFonts w:hint="default"/>
      </w:rPr>
    </w:lvl>
    <w:lvl w:ilvl="3" w:tplc="EDA8F64C">
      <w:numFmt w:val="bullet"/>
      <w:lvlText w:val="•"/>
      <w:lvlJc w:val="left"/>
      <w:pPr>
        <w:ind w:left="1507" w:hanging="360"/>
      </w:pPr>
      <w:rPr>
        <w:rFonts w:hint="default"/>
      </w:rPr>
    </w:lvl>
    <w:lvl w:ilvl="4" w:tplc="70120364">
      <w:numFmt w:val="bullet"/>
      <w:lvlText w:val="•"/>
      <w:lvlJc w:val="left"/>
      <w:pPr>
        <w:ind w:left="1856" w:hanging="360"/>
      </w:pPr>
      <w:rPr>
        <w:rFonts w:hint="default"/>
      </w:rPr>
    </w:lvl>
    <w:lvl w:ilvl="5" w:tplc="71ECFD08">
      <w:numFmt w:val="bullet"/>
      <w:lvlText w:val="•"/>
      <w:lvlJc w:val="left"/>
      <w:pPr>
        <w:ind w:left="2205" w:hanging="360"/>
      </w:pPr>
      <w:rPr>
        <w:rFonts w:hint="default"/>
      </w:rPr>
    </w:lvl>
    <w:lvl w:ilvl="6" w:tplc="DE668AB6">
      <w:numFmt w:val="bullet"/>
      <w:lvlText w:val="•"/>
      <w:lvlJc w:val="left"/>
      <w:pPr>
        <w:ind w:left="2554" w:hanging="360"/>
      </w:pPr>
      <w:rPr>
        <w:rFonts w:hint="default"/>
      </w:rPr>
    </w:lvl>
    <w:lvl w:ilvl="7" w:tplc="D35C02EE">
      <w:numFmt w:val="bullet"/>
      <w:lvlText w:val="•"/>
      <w:lvlJc w:val="left"/>
      <w:pPr>
        <w:ind w:left="2903" w:hanging="360"/>
      </w:pPr>
      <w:rPr>
        <w:rFonts w:hint="default"/>
      </w:rPr>
    </w:lvl>
    <w:lvl w:ilvl="8" w:tplc="D9006BD0">
      <w:numFmt w:val="bullet"/>
      <w:lvlText w:val="•"/>
      <w:lvlJc w:val="left"/>
      <w:pPr>
        <w:ind w:left="3252" w:hanging="360"/>
      </w:pPr>
      <w:rPr>
        <w:rFonts w:hint="default"/>
      </w:rPr>
    </w:lvl>
  </w:abstractNum>
  <w:abstractNum w:abstractNumId="15" w15:restartNumberingAfterBreak="0">
    <w:nsid w:val="6E364B5C"/>
    <w:multiLevelType w:val="hybridMultilevel"/>
    <w:tmpl w:val="AC6C1C18"/>
    <w:lvl w:ilvl="0" w:tplc="3B1890C2">
      <w:numFmt w:val="bullet"/>
      <w:lvlText w:val=""/>
      <w:lvlJc w:val="left"/>
      <w:pPr>
        <w:ind w:left="460" w:hanging="360"/>
      </w:pPr>
      <w:rPr>
        <w:rFonts w:ascii="Symbol" w:eastAsia="Symbol" w:hAnsi="Symbol" w:cs="Symbol" w:hint="default"/>
        <w:w w:val="99"/>
        <w:sz w:val="20"/>
        <w:szCs w:val="20"/>
      </w:rPr>
    </w:lvl>
    <w:lvl w:ilvl="1" w:tplc="F7366438">
      <w:numFmt w:val="bullet"/>
      <w:lvlText w:val="•"/>
      <w:lvlJc w:val="left"/>
      <w:pPr>
        <w:ind w:left="881" w:hanging="360"/>
      </w:pPr>
      <w:rPr>
        <w:rFonts w:hint="default"/>
      </w:rPr>
    </w:lvl>
    <w:lvl w:ilvl="2" w:tplc="1A6CF566">
      <w:numFmt w:val="bullet"/>
      <w:lvlText w:val="•"/>
      <w:lvlJc w:val="left"/>
      <w:pPr>
        <w:ind w:left="1302" w:hanging="360"/>
      </w:pPr>
      <w:rPr>
        <w:rFonts w:hint="default"/>
      </w:rPr>
    </w:lvl>
    <w:lvl w:ilvl="3" w:tplc="0AEC817E">
      <w:numFmt w:val="bullet"/>
      <w:lvlText w:val="•"/>
      <w:lvlJc w:val="left"/>
      <w:pPr>
        <w:ind w:left="1723" w:hanging="360"/>
      </w:pPr>
      <w:rPr>
        <w:rFonts w:hint="default"/>
      </w:rPr>
    </w:lvl>
    <w:lvl w:ilvl="4" w:tplc="4412EC9E">
      <w:numFmt w:val="bullet"/>
      <w:lvlText w:val="•"/>
      <w:lvlJc w:val="left"/>
      <w:pPr>
        <w:ind w:left="2144" w:hanging="360"/>
      </w:pPr>
      <w:rPr>
        <w:rFonts w:hint="default"/>
      </w:rPr>
    </w:lvl>
    <w:lvl w:ilvl="5" w:tplc="279AC49A">
      <w:numFmt w:val="bullet"/>
      <w:lvlText w:val="•"/>
      <w:lvlJc w:val="left"/>
      <w:pPr>
        <w:ind w:left="2565" w:hanging="360"/>
      </w:pPr>
      <w:rPr>
        <w:rFonts w:hint="default"/>
      </w:rPr>
    </w:lvl>
    <w:lvl w:ilvl="6" w:tplc="E83E3512">
      <w:numFmt w:val="bullet"/>
      <w:lvlText w:val="•"/>
      <w:lvlJc w:val="left"/>
      <w:pPr>
        <w:ind w:left="2986" w:hanging="360"/>
      </w:pPr>
      <w:rPr>
        <w:rFonts w:hint="default"/>
      </w:rPr>
    </w:lvl>
    <w:lvl w:ilvl="7" w:tplc="44062E88">
      <w:numFmt w:val="bullet"/>
      <w:lvlText w:val="•"/>
      <w:lvlJc w:val="left"/>
      <w:pPr>
        <w:ind w:left="3407" w:hanging="360"/>
      </w:pPr>
      <w:rPr>
        <w:rFonts w:hint="default"/>
      </w:rPr>
    </w:lvl>
    <w:lvl w:ilvl="8" w:tplc="9E8CF768">
      <w:numFmt w:val="bullet"/>
      <w:lvlText w:val="•"/>
      <w:lvlJc w:val="left"/>
      <w:pPr>
        <w:ind w:left="3828" w:hanging="360"/>
      </w:pPr>
      <w:rPr>
        <w:rFonts w:hint="default"/>
      </w:rPr>
    </w:lvl>
  </w:abstractNum>
  <w:abstractNum w:abstractNumId="16" w15:restartNumberingAfterBreak="0">
    <w:nsid w:val="7C064B7A"/>
    <w:multiLevelType w:val="hybridMultilevel"/>
    <w:tmpl w:val="786ADDDE"/>
    <w:lvl w:ilvl="0" w:tplc="5292FAC4">
      <w:numFmt w:val="bullet"/>
      <w:lvlText w:val=""/>
      <w:lvlJc w:val="left"/>
      <w:pPr>
        <w:ind w:left="460" w:hanging="360"/>
      </w:pPr>
      <w:rPr>
        <w:rFonts w:hint="default"/>
        <w:w w:val="100"/>
      </w:rPr>
    </w:lvl>
    <w:lvl w:ilvl="1" w:tplc="F678F960">
      <w:numFmt w:val="bullet"/>
      <w:lvlText w:val=""/>
      <w:lvlJc w:val="left"/>
      <w:pPr>
        <w:ind w:left="840" w:hanging="360"/>
      </w:pPr>
      <w:rPr>
        <w:rFonts w:ascii="Symbol" w:eastAsia="Symbol" w:hAnsi="Symbol" w:cs="Symbol" w:hint="default"/>
        <w:w w:val="100"/>
        <w:sz w:val="22"/>
        <w:szCs w:val="22"/>
      </w:rPr>
    </w:lvl>
    <w:lvl w:ilvl="2" w:tplc="6D969074">
      <w:numFmt w:val="bullet"/>
      <w:lvlText w:val="•"/>
      <w:lvlJc w:val="left"/>
      <w:pPr>
        <w:ind w:left="1811" w:hanging="360"/>
      </w:pPr>
      <w:rPr>
        <w:rFonts w:hint="default"/>
      </w:rPr>
    </w:lvl>
    <w:lvl w:ilvl="3" w:tplc="24BA4E16">
      <w:numFmt w:val="bullet"/>
      <w:lvlText w:val="•"/>
      <w:lvlJc w:val="left"/>
      <w:pPr>
        <w:ind w:left="2782" w:hanging="360"/>
      </w:pPr>
      <w:rPr>
        <w:rFonts w:hint="default"/>
      </w:rPr>
    </w:lvl>
    <w:lvl w:ilvl="4" w:tplc="12A0C82E">
      <w:numFmt w:val="bullet"/>
      <w:lvlText w:val="•"/>
      <w:lvlJc w:val="left"/>
      <w:pPr>
        <w:ind w:left="3753" w:hanging="360"/>
      </w:pPr>
      <w:rPr>
        <w:rFonts w:hint="default"/>
      </w:rPr>
    </w:lvl>
    <w:lvl w:ilvl="5" w:tplc="3730A512">
      <w:numFmt w:val="bullet"/>
      <w:lvlText w:val="•"/>
      <w:lvlJc w:val="left"/>
      <w:pPr>
        <w:ind w:left="4724" w:hanging="360"/>
      </w:pPr>
      <w:rPr>
        <w:rFonts w:hint="default"/>
      </w:rPr>
    </w:lvl>
    <w:lvl w:ilvl="6" w:tplc="1828302C">
      <w:numFmt w:val="bullet"/>
      <w:lvlText w:val="•"/>
      <w:lvlJc w:val="left"/>
      <w:pPr>
        <w:ind w:left="5695" w:hanging="360"/>
      </w:pPr>
      <w:rPr>
        <w:rFonts w:hint="default"/>
      </w:rPr>
    </w:lvl>
    <w:lvl w:ilvl="7" w:tplc="6896995E">
      <w:numFmt w:val="bullet"/>
      <w:lvlText w:val="•"/>
      <w:lvlJc w:val="left"/>
      <w:pPr>
        <w:ind w:left="6666" w:hanging="360"/>
      </w:pPr>
      <w:rPr>
        <w:rFonts w:hint="default"/>
      </w:rPr>
    </w:lvl>
    <w:lvl w:ilvl="8" w:tplc="3490F664">
      <w:numFmt w:val="bullet"/>
      <w:lvlText w:val="•"/>
      <w:lvlJc w:val="left"/>
      <w:pPr>
        <w:ind w:left="7637" w:hanging="360"/>
      </w:pPr>
      <w:rPr>
        <w:rFonts w:hint="default"/>
      </w:rPr>
    </w:lvl>
  </w:abstractNum>
  <w:num w:numId="1">
    <w:abstractNumId w:val="8"/>
  </w:num>
  <w:num w:numId="2">
    <w:abstractNumId w:val="3"/>
  </w:num>
  <w:num w:numId="3">
    <w:abstractNumId w:val="5"/>
  </w:num>
  <w:num w:numId="4">
    <w:abstractNumId w:val="15"/>
  </w:num>
  <w:num w:numId="5">
    <w:abstractNumId w:val="0"/>
  </w:num>
  <w:num w:numId="6">
    <w:abstractNumId w:val="2"/>
  </w:num>
  <w:num w:numId="7">
    <w:abstractNumId w:val="12"/>
  </w:num>
  <w:num w:numId="8">
    <w:abstractNumId w:val="7"/>
  </w:num>
  <w:num w:numId="9">
    <w:abstractNumId w:val="4"/>
  </w:num>
  <w:num w:numId="10">
    <w:abstractNumId w:val="11"/>
  </w:num>
  <w:num w:numId="11">
    <w:abstractNumId w:val="10"/>
  </w:num>
  <w:num w:numId="12">
    <w:abstractNumId w:val="14"/>
  </w:num>
  <w:num w:numId="13">
    <w:abstractNumId w:val="6"/>
  </w:num>
  <w:num w:numId="14">
    <w:abstractNumId w:val="13"/>
  </w:num>
  <w:num w:numId="15">
    <w:abstractNumId w:val="1"/>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C6C4F"/>
    <w:rsid w:val="002C6C4F"/>
    <w:rsid w:val="005F3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43BB41DC-587C-4E00-BF9C-0DF48AE6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before="1"/>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ncqa.org/" TargetMode="External"/><Relationship Id="rId13" Type="http://schemas.openxmlformats.org/officeDocument/2006/relationships/image" Target="media/image3.jpeg"/><Relationship Id="rId18" Type="http://schemas.openxmlformats.org/officeDocument/2006/relationships/hyperlink" Target="http://www.ncqa.org/"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reportcards.ncqa.org/%23/health-plans/lis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mailto:cotton@ncqa.or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behavioraleconomics.com/mini-encyclopedia-of-be/choice-overload/"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sph.umich.edu/vbidcenter" TargetMode="External"/><Relationship Id="rId14" Type="http://schemas.openxmlformats.org/officeDocument/2006/relationships/hyperlink" Target="http://www.ncqa.org/Portals/0/Public%20Policy/NCQA%20MA%20Accred%20Benefits%20Fact%20sheet.pdf?ver=2017-12-19-220843-763"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hyperlink" Target="http://www.ncqa.org/" TargetMode="External"/><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hyperlink" Target="http://www.ncqa.or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4483</Words>
  <Characters>25119</Characters>
  <Application>Microsoft Office Word</Application>
  <DocSecurity>0</DocSecurity>
  <Lines>825</Lines>
  <Paragraphs>268</Paragraphs>
  <ScaleCrop>false</ScaleCrop>
  <Company>CMS</Company>
  <LinksUpToDate>false</LinksUpToDate>
  <CharactersWithSpaces>29361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Cotton</dc:creator>
  <cp:lastModifiedBy>Arthur Pignotti</cp:lastModifiedBy>
  <cp:revision>2</cp:revision>
  <dcterms:created xsi:type="dcterms:W3CDTF">2018-06-14T21:25:00Z</dcterms:created>
  <dcterms:modified xsi:type="dcterms:W3CDTF">2018-06-15T02:02:00Z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2018-01-09T00:00:00Z</vt:filetime>
  </property>
  <property fmtid="{D5CDD505-2E9C-101B-9397-08002B2CF9AE}" pid="3" name="Creator">
    <vt:lpwstr>Microsoft® Word 2016</vt:lpwstr>
  </property>
  <property fmtid="{D5CDD505-2E9C-101B-9397-08002B2CF9AE}" pid="4" name="LastSaved">
    <vt:filetime>2018-06-15T00:00:00Z</vt:filetime>
  </property>
</Properties>
</file>