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873" w:rsidRDefault="006D7873">
      <w:pPr>
        <w:pStyle w:val="BodyText"/>
        <w:rPr>
          <w:sz w:val="24"/>
        </w:rPr>
      </w:pPr>
    </w:p>
    <w:p w:rsidR="006D7873" w:rsidRDefault="006D7873">
      <w:pPr>
        <w:pStyle w:val="BodyText"/>
        <w:rPr>
          <w:sz w:val="24"/>
        </w:rPr>
      </w:pPr>
    </w:p>
    <w:p w:rsidR="006D7873" w:rsidRDefault="006D7873">
      <w:pPr>
        <w:pStyle w:val="BodyText"/>
        <w:rPr>
          <w:sz w:val="24"/>
        </w:rPr>
      </w:pPr>
    </w:p>
    <w:p w:rsidR="006D7873" w:rsidRDefault="006D7873">
      <w:pPr>
        <w:pStyle w:val="BodyText"/>
        <w:rPr>
          <w:sz w:val="24"/>
        </w:rPr>
      </w:pPr>
    </w:p>
    <w:p w:rsidR="006D7873" w:rsidRDefault="006D7873">
      <w:pPr>
        <w:pStyle w:val="BodyText"/>
        <w:rPr>
          <w:sz w:val="24"/>
        </w:rPr>
      </w:pPr>
    </w:p>
    <w:p w:rsidR="006D7873" w:rsidRDefault="00EC37B3">
      <w:pPr>
        <w:pStyle w:val="BodyText"/>
        <w:spacing w:before="161"/>
        <w:ind w:left="100"/>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-796550</wp:posOffset>
            </wp:positionV>
            <wp:extent cx="1421685" cy="6537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421685" cy="653796"/>
                    </a:xfrm>
                    <a:prstGeom prst="rect">
                      <a:avLst/>
                    </a:prstGeom>
                  </pic:spPr>
                </pic:pic>
              </a:graphicData>
            </a:graphic>
          </wp:anchor>
        </w:drawing>
      </w:r>
      <w:r>
        <w:t>January 10, 2018</w:t>
      </w:r>
    </w:p>
    <w:p w:rsidR="006D7873" w:rsidRDefault="00EC37B3">
      <w:pPr>
        <w:spacing w:before="121" w:line="168" w:lineRule="auto"/>
        <w:ind w:left="90" w:right="4712"/>
        <w:rPr>
          <w:rFonts w:ascii="Tunga"/>
          <w:b/>
          <w:sz w:val="18"/>
        </w:rPr>
      </w:pPr>
      <w:r>
        <w:br w:type="column"/>
      </w:r>
      <w:r>
        <w:rPr>
          <w:rFonts w:ascii="Tunga"/>
          <w:b/>
          <w:sz w:val="18"/>
        </w:rPr>
        <w:t>NEW YORK CITY DEPARTMENT OF HEALTH AND MENTAL HYGIENE</w:t>
      </w:r>
    </w:p>
    <w:p w:rsidR="006D7873" w:rsidRDefault="00EC37B3">
      <w:pPr>
        <w:spacing w:before="2" w:line="168" w:lineRule="auto"/>
        <w:ind w:left="90" w:right="4712"/>
        <w:rPr>
          <w:rFonts w:ascii="Tunga"/>
          <w:sz w:val="18"/>
        </w:rPr>
      </w:pPr>
      <w:r>
        <w:rPr>
          <w:rFonts w:ascii="Tunga"/>
          <w:sz w:val="18"/>
        </w:rPr>
        <w:t>Mary T. Bassett, MD, MPH Commissioner</w:t>
      </w:r>
    </w:p>
    <w:p w:rsidR="006D7873" w:rsidRDefault="006D7873">
      <w:pPr>
        <w:spacing w:line="168" w:lineRule="auto"/>
        <w:rPr>
          <w:rFonts w:ascii="Tunga"/>
          <w:sz w:val="18"/>
        </w:rPr>
        <w:sectPr w:rsidR="006D7873">
          <w:type w:val="continuous"/>
          <w:pgSz w:w="12240" w:h="15840"/>
          <w:pgMar w:top="320" w:right="1320" w:bottom="280" w:left="1340" w:header="720" w:footer="720" w:gutter="0"/>
          <w:cols w:num="2" w:space="720" w:equalWidth="0">
            <w:col w:w="2318" w:space="40"/>
            <w:col w:w="7222"/>
          </w:cols>
        </w:sectPr>
      </w:pPr>
    </w:p>
    <w:p w:rsidR="006D7873" w:rsidRDefault="006D7873">
      <w:pPr>
        <w:pStyle w:val="BodyText"/>
        <w:spacing w:before="7"/>
        <w:rPr>
          <w:rFonts w:ascii="Tunga"/>
          <w:sz w:val="9"/>
        </w:rPr>
      </w:pPr>
    </w:p>
    <w:p w:rsidR="006D7873" w:rsidRDefault="00EC37B3">
      <w:pPr>
        <w:pStyle w:val="Heading1"/>
        <w:spacing w:before="91"/>
        <w:jc w:val="left"/>
      </w:pPr>
      <w:r>
        <w:rPr>
          <w:u w:val="thick"/>
        </w:rPr>
        <w:t>via electronic submission</w:t>
      </w:r>
    </w:p>
    <w:p w:rsidR="006D7873" w:rsidRDefault="006D7873">
      <w:pPr>
        <w:pStyle w:val="BodyText"/>
        <w:spacing w:before="9"/>
        <w:rPr>
          <w:b/>
          <w:sz w:val="13"/>
        </w:rPr>
      </w:pPr>
    </w:p>
    <w:p w:rsidR="006D7873" w:rsidRDefault="00EC37B3">
      <w:pPr>
        <w:spacing w:before="92"/>
        <w:ind w:left="100"/>
        <w:jc w:val="both"/>
        <w:rPr>
          <w:b/>
        </w:rPr>
      </w:pPr>
      <w:r>
        <w:rPr>
          <w:b/>
        </w:rPr>
        <w:t>Re: Medicare Program; Contract Year 2019 Policy and Technical Changes to the</w:t>
      </w:r>
    </w:p>
    <w:p w:rsidR="006D7873" w:rsidRDefault="00EC37B3">
      <w:pPr>
        <w:spacing w:before="1"/>
        <w:ind w:left="100" w:right="116"/>
        <w:jc w:val="both"/>
        <w:rPr>
          <w:b/>
        </w:rPr>
      </w:pPr>
      <w:r>
        <w:rPr>
          <w:b/>
        </w:rPr>
        <w:t>Medicare Advantage, Medicare Cost Plan, Medicare Fee-for-Service, the Medicare Prescription Drug Benefit Programs, and the PACE Program</w:t>
      </w:r>
    </w:p>
    <w:p w:rsidR="006D7873" w:rsidRDefault="00EC37B3">
      <w:pPr>
        <w:spacing w:before="1"/>
        <w:ind w:left="100"/>
        <w:jc w:val="both"/>
        <w:rPr>
          <w:b/>
        </w:rPr>
      </w:pPr>
      <w:r>
        <w:rPr>
          <w:b/>
        </w:rPr>
        <w:t>[CMS–4182–P] RIN 0938–AT08 (82 FR 56336)</w:t>
      </w:r>
    </w:p>
    <w:p w:rsidR="006D7873" w:rsidRDefault="006D7873">
      <w:pPr>
        <w:pStyle w:val="BodyText"/>
        <w:spacing w:before="4"/>
        <w:rPr>
          <w:b/>
          <w:sz w:val="21"/>
        </w:rPr>
      </w:pPr>
    </w:p>
    <w:p w:rsidR="006D7873" w:rsidRDefault="00EC37B3">
      <w:pPr>
        <w:pStyle w:val="BodyText"/>
        <w:ind w:left="100"/>
        <w:jc w:val="both"/>
      </w:pPr>
      <w:r>
        <w:t>To Whom It May Concern:</w:t>
      </w:r>
    </w:p>
    <w:p w:rsidR="006D7873" w:rsidRDefault="006D7873">
      <w:pPr>
        <w:pStyle w:val="BodyText"/>
        <w:spacing w:before="11"/>
        <w:rPr>
          <w:sz w:val="21"/>
        </w:rPr>
      </w:pPr>
    </w:p>
    <w:p w:rsidR="006D7873" w:rsidRDefault="00EC37B3">
      <w:pPr>
        <w:pStyle w:val="BodyText"/>
        <w:ind w:left="100" w:right="113"/>
        <w:jc w:val="both"/>
      </w:pPr>
      <w:r>
        <w:t>The New York City (NYC) Department of Health and Mental Hygiene (DOHMH) appreciates the opportunity to comment on the above-referenced proposed changes to the Medicare Program, and particularly to the Medication Therapy Management and E-Prescribing standar</w:t>
      </w:r>
      <w:r>
        <w:t>ds under Medicare Part D. The Primary Care Information Project (PCIP), a bureau within the DOHMH Division of Prevention and Primary Care, works with providers and pharmacies in NYC to help them improve their quality of care. PCIP operates NYC’s federally d</w:t>
      </w:r>
      <w:r>
        <w:t>esignated Health Information Technology Regional Extension Center, NYC REACH, which has supported over 15,000 New York City providers in achieving Meaningful Use, and</w:t>
      </w:r>
      <w:r>
        <w:rPr>
          <w:spacing w:val="-14"/>
        </w:rPr>
        <w:t xml:space="preserve"> </w:t>
      </w:r>
      <w:r>
        <w:t>now</w:t>
      </w:r>
      <w:r>
        <w:rPr>
          <w:spacing w:val="-15"/>
        </w:rPr>
        <w:t xml:space="preserve"> </w:t>
      </w:r>
      <w:r>
        <w:t>provides</w:t>
      </w:r>
      <w:r>
        <w:rPr>
          <w:spacing w:val="-14"/>
        </w:rPr>
        <w:t xml:space="preserve"> </w:t>
      </w:r>
      <w:r>
        <w:t>technical</w:t>
      </w:r>
      <w:r>
        <w:rPr>
          <w:spacing w:val="-15"/>
        </w:rPr>
        <w:t xml:space="preserve"> </w:t>
      </w:r>
      <w:r>
        <w:t>assistance</w:t>
      </w:r>
      <w:r>
        <w:rPr>
          <w:spacing w:val="-16"/>
        </w:rPr>
        <w:t xml:space="preserve"> </w:t>
      </w:r>
      <w:r>
        <w:t>to</w:t>
      </w:r>
      <w:r>
        <w:rPr>
          <w:spacing w:val="-12"/>
        </w:rPr>
        <w:t xml:space="preserve"> </w:t>
      </w:r>
      <w:r>
        <w:t>NYC</w:t>
      </w:r>
      <w:r>
        <w:rPr>
          <w:spacing w:val="-15"/>
        </w:rPr>
        <w:t xml:space="preserve"> </w:t>
      </w:r>
      <w:r>
        <w:t>providers</w:t>
      </w:r>
      <w:r>
        <w:rPr>
          <w:spacing w:val="-14"/>
        </w:rPr>
        <w:t xml:space="preserve"> </w:t>
      </w:r>
      <w:r>
        <w:t>participating</w:t>
      </w:r>
      <w:r>
        <w:rPr>
          <w:spacing w:val="-17"/>
        </w:rPr>
        <w:t xml:space="preserve"> </w:t>
      </w:r>
      <w:r>
        <w:t>in</w:t>
      </w:r>
      <w:r>
        <w:rPr>
          <w:spacing w:val="-12"/>
        </w:rPr>
        <w:t xml:space="preserve"> </w:t>
      </w:r>
      <w:r>
        <w:t>the</w:t>
      </w:r>
      <w:r>
        <w:rPr>
          <w:spacing w:val="-14"/>
        </w:rPr>
        <w:t xml:space="preserve"> </w:t>
      </w:r>
      <w:r>
        <w:t>Merit-based</w:t>
      </w:r>
      <w:r>
        <w:rPr>
          <w:spacing w:val="-14"/>
        </w:rPr>
        <w:t xml:space="preserve"> </w:t>
      </w:r>
      <w:r>
        <w:t>Incen</w:t>
      </w:r>
      <w:r>
        <w:t>tive</w:t>
      </w:r>
      <w:r>
        <w:rPr>
          <w:spacing w:val="-14"/>
        </w:rPr>
        <w:t xml:space="preserve"> </w:t>
      </w:r>
      <w:r>
        <w:t>Payment System (MIPS) through the QPP Small Underserved and Rural Support</w:t>
      </w:r>
      <w:r>
        <w:rPr>
          <w:spacing w:val="-18"/>
        </w:rPr>
        <w:t xml:space="preserve"> </w:t>
      </w:r>
      <w:r>
        <w:t>program.</w:t>
      </w:r>
    </w:p>
    <w:p w:rsidR="006D7873" w:rsidRDefault="006D7873">
      <w:pPr>
        <w:pStyle w:val="BodyText"/>
        <w:spacing w:before="9"/>
        <w:rPr>
          <w:sz w:val="21"/>
        </w:rPr>
      </w:pPr>
    </w:p>
    <w:p w:rsidR="006D7873" w:rsidRDefault="00EC37B3">
      <w:pPr>
        <w:pStyle w:val="BodyText"/>
        <w:ind w:left="100" w:right="114"/>
        <w:jc w:val="both"/>
      </w:pPr>
      <w:r>
        <w:rPr>
          <w:u w:val="single"/>
        </w:rPr>
        <w:t>DOHMH Supports Designating Medication Therapy Management Programs (MTMPs) as Quality Improvement Activities (QIA) [FR 56458]</w:t>
      </w:r>
    </w:p>
    <w:p w:rsidR="006D7873" w:rsidRDefault="006D7873">
      <w:pPr>
        <w:pStyle w:val="BodyText"/>
        <w:rPr>
          <w:sz w:val="14"/>
        </w:rPr>
      </w:pPr>
    </w:p>
    <w:p w:rsidR="006D7873" w:rsidRDefault="00EC37B3">
      <w:pPr>
        <w:pStyle w:val="BodyText"/>
        <w:spacing w:before="92"/>
        <w:ind w:left="100" w:right="118"/>
        <w:jc w:val="both"/>
      </w:pPr>
      <w:r>
        <w:t>The evidence shows that MTMPs improve patient care and save lives. DOHMH actively encourages our partner medical practices and pharmacies to engage in MTM, and we applaud CMS’s move to encourage Part D Sponsors to do the same. MTM is not a mere administrat</w:t>
      </w:r>
      <w:r>
        <w:t>ive function, but part of the care that the Part D Sponsor is making available to its members. It is therefore appropriate to clarify that MTMPs are QIA by definition, and may be counted in the numerator of a Part D Sponsor’s Medical Loss Ratio.</w:t>
      </w:r>
    </w:p>
    <w:p w:rsidR="006D7873" w:rsidRDefault="006D7873">
      <w:pPr>
        <w:pStyle w:val="BodyText"/>
      </w:pPr>
    </w:p>
    <w:p w:rsidR="006D7873" w:rsidRDefault="00EC37B3">
      <w:pPr>
        <w:pStyle w:val="BodyText"/>
        <w:ind w:left="100" w:right="114"/>
        <w:jc w:val="both"/>
      </w:pPr>
      <w:r>
        <w:t>In our wo</w:t>
      </w:r>
      <w:r>
        <w:t>rk among providers in New York City, we have observed that patients who might benefit from participation</w:t>
      </w:r>
      <w:r>
        <w:rPr>
          <w:spacing w:val="-10"/>
        </w:rPr>
        <w:t xml:space="preserve"> </w:t>
      </w:r>
      <w:r>
        <w:t>in</w:t>
      </w:r>
      <w:r>
        <w:rPr>
          <w:spacing w:val="-12"/>
        </w:rPr>
        <w:t xml:space="preserve"> </w:t>
      </w:r>
      <w:r>
        <w:t>an</w:t>
      </w:r>
      <w:r>
        <w:rPr>
          <w:spacing w:val="-9"/>
        </w:rPr>
        <w:t xml:space="preserve"> </w:t>
      </w:r>
      <w:r>
        <w:t>MTMP</w:t>
      </w:r>
      <w:r>
        <w:rPr>
          <w:spacing w:val="-10"/>
        </w:rPr>
        <w:t xml:space="preserve"> </w:t>
      </w:r>
      <w:r>
        <w:t>are</w:t>
      </w:r>
      <w:r>
        <w:rPr>
          <w:spacing w:val="-9"/>
        </w:rPr>
        <w:t xml:space="preserve"> </w:t>
      </w:r>
      <w:r>
        <w:t>not</w:t>
      </w:r>
      <w:r>
        <w:rPr>
          <w:spacing w:val="-9"/>
        </w:rPr>
        <w:t xml:space="preserve"> </w:t>
      </w:r>
      <w:r>
        <w:t>always</w:t>
      </w:r>
      <w:r>
        <w:rPr>
          <w:spacing w:val="-9"/>
        </w:rPr>
        <w:t xml:space="preserve"> </w:t>
      </w:r>
      <w:r>
        <w:t>enrolled</w:t>
      </w:r>
      <w:r>
        <w:rPr>
          <w:spacing w:val="-12"/>
        </w:rPr>
        <w:t xml:space="preserve"> </w:t>
      </w:r>
      <w:r>
        <w:t>in</w:t>
      </w:r>
      <w:r>
        <w:rPr>
          <w:spacing w:val="-10"/>
        </w:rPr>
        <w:t xml:space="preserve"> </w:t>
      </w:r>
      <w:r>
        <w:t>one;</w:t>
      </w:r>
      <w:r>
        <w:rPr>
          <w:spacing w:val="-8"/>
        </w:rPr>
        <w:t xml:space="preserve"> </w:t>
      </w:r>
      <w:r>
        <w:t>patients</w:t>
      </w:r>
      <w:r>
        <w:rPr>
          <w:spacing w:val="-9"/>
        </w:rPr>
        <w:t xml:space="preserve"> </w:t>
      </w:r>
      <w:r>
        <w:t>who</w:t>
      </w:r>
      <w:r>
        <w:rPr>
          <w:spacing w:val="-10"/>
        </w:rPr>
        <w:t xml:space="preserve"> </w:t>
      </w:r>
      <w:r>
        <w:t>are</w:t>
      </w:r>
      <w:r>
        <w:rPr>
          <w:spacing w:val="-9"/>
        </w:rPr>
        <w:t xml:space="preserve"> </w:t>
      </w:r>
      <w:r>
        <w:t>enrolled</w:t>
      </w:r>
      <w:r>
        <w:rPr>
          <w:spacing w:val="-12"/>
        </w:rPr>
        <w:t xml:space="preserve"> </w:t>
      </w:r>
      <w:r>
        <w:t>do</w:t>
      </w:r>
      <w:r>
        <w:rPr>
          <w:spacing w:val="-10"/>
        </w:rPr>
        <w:t xml:space="preserve"> </w:t>
      </w:r>
      <w:r>
        <w:t>not</w:t>
      </w:r>
      <w:r>
        <w:rPr>
          <w:spacing w:val="-9"/>
        </w:rPr>
        <w:t xml:space="preserve"> </w:t>
      </w:r>
      <w:r>
        <w:t>always</w:t>
      </w:r>
      <w:r>
        <w:rPr>
          <w:spacing w:val="-9"/>
        </w:rPr>
        <w:t xml:space="preserve"> </w:t>
      </w:r>
      <w:r>
        <w:t>complete the program. Insurers can help ensure that the right patien</w:t>
      </w:r>
      <w:r>
        <w:t>ts enroll in and complete appropriate MTMPs, but the same insurers have a financial disincentive to promote their MTMPs as long as MTMP expenses may be excluded from their MLR numerator. The issue that CMS seeks to address is real. We agree that this</w:t>
      </w:r>
      <w:r>
        <w:rPr>
          <w:spacing w:val="-10"/>
        </w:rPr>
        <w:t xml:space="preserve"> </w:t>
      </w:r>
      <w:r>
        <w:t>propo</w:t>
      </w:r>
      <w:r>
        <w:t>sed</w:t>
      </w:r>
      <w:r>
        <w:rPr>
          <w:spacing w:val="-11"/>
        </w:rPr>
        <w:t xml:space="preserve"> </w:t>
      </w:r>
      <w:r>
        <w:t>change</w:t>
      </w:r>
      <w:r>
        <w:rPr>
          <w:spacing w:val="-11"/>
        </w:rPr>
        <w:t xml:space="preserve"> </w:t>
      </w:r>
      <w:r>
        <w:t>could</w:t>
      </w:r>
      <w:r>
        <w:rPr>
          <w:spacing w:val="-13"/>
        </w:rPr>
        <w:t xml:space="preserve"> </w:t>
      </w:r>
      <w:r>
        <w:t>be</w:t>
      </w:r>
      <w:r>
        <w:rPr>
          <w:spacing w:val="-11"/>
        </w:rPr>
        <w:t xml:space="preserve"> </w:t>
      </w:r>
      <w:r>
        <w:t>sufficient</w:t>
      </w:r>
      <w:r>
        <w:rPr>
          <w:spacing w:val="-10"/>
        </w:rPr>
        <w:t xml:space="preserve"> </w:t>
      </w:r>
      <w:r>
        <w:t>to</w:t>
      </w:r>
      <w:r>
        <w:rPr>
          <w:spacing w:val="-11"/>
        </w:rPr>
        <w:t xml:space="preserve"> </w:t>
      </w:r>
      <w:r>
        <w:t>change</w:t>
      </w:r>
      <w:r>
        <w:rPr>
          <w:spacing w:val="-11"/>
        </w:rPr>
        <w:t xml:space="preserve"> </w:t>
      </w:r>
      <w:r>
        <w:t>the</w:t>
      </w:r>
      <w:r>
        <w:rPr>
          <w:spacing w:val="-11"/>
        </w:rPr>
        <w:t xml:space="preserve"> </w:t>
      </w:r>
      <w:r>
        <w:t>behavior</w:t>
      </w:r>
      <w:r>
        <w:rPr>
          <w:spacing w:val="-10"/>
        </w:rPr>
        <w:t xml:space="preserve"> </w:t>
      </w:r>
      <w:r>
        <w:t>of</w:t>
      </w:r>
      <w:r>
        <w:rPr>
          <w:spacing w:val="-10"/>
        </w:rPr>
        <w:t xml:space="preserve"> </w:t>
      </w:r>
      <w:r>
        <w:t>Part</w:t>
      </w:r>
      <w:r>
        <w:rPr>
          <w:spacing w:val="-10"/>
        </w:rPr>
        <w:t xml:space="preserve"> </w:t>
      </w:r>
      <w:r>
        <w:t>D</w:t>
      </w:r>
      <w:r>
        <w:rPr>
          <w:spacing w:val="-12"/>
        </w:rPr>
        <w:t xml:space="preserve"> </w:t>
      </w:r>
      <w:r>
        <w:t>Sponsors</w:t>
      </w:r>
      <w:r>
        <w:rPr>
          <w:spacing w:val="-10"/>
        </w:rPr>
        <w:t xml:space="preserve"> </w:t>
      </w:r>
      <w:r>
        <w:t>in</w:t>
      </w:r>
      <w:r>
        <w:rPr>
          <w:spacing w:val="-11"/>
        </w:rPr>
        <w:t xml:space="preserve"> </w:t>
      </w:r>
      <w:r>
        <w:t>making</w:t>
      </w:r>
      <w:r>
        <w:rPr>
          <w:spacing w:val="-13"/>
        </w:rPr>
        <w:t xml:space="preserve"> </w:t>
      </w:r>
      <w:r>
        <w:t>their</w:t>
      </w:r>
      <w:r>
        <w:rPr>
          <w:spacing w:val="-10"/>
        </w:rPr>
        <w:t xml:space="preserve"> </w:t>
      </w:r>
      <w:r>
        <w:t>MTMPs available</w:t>
      </w:r>
      <w:r>
        <w:rPr>
          <w:spacing w:val="-16"/>
        </w:rPr>
        <w:t xml:space="preserve"> </w:t>
      </w:r>
      <w:r>
        <w:t>to</w:t>
      </w:r>
      <w:r>
        <w:rPr>
          <w:spacing w:val="-17"/>
        </w:rPr>
        <w:t xml:space="preserve"> </w:t>
      </w:r>
      <w:r>
        <w:t>more</w:t>
      </w:r>
      <w:r>
        <w:rPr>
          <w:spacing w:val="-16"/>
        </w:rPr>
        <w:t xml:space="preserve"> </w:t>
      </w:r>
      <w:r>
        <w:t>patients.</w:t>
      </w:r>
      <w:r>
        <w:rPr>
          <w:spacing w:val="-16"/>
        </w:rPr>
        <w:t xml:space="preserve"> </w:t>
      </w:r>
      <w:r>
        <w:t>For</w:t>
      </w:r>
      <w:r>
        <w:rPr>
          <w:spacing w:val="-16"/>
        </w:rPr>
        <w:t xml:space="preserve"> </w:t>
      </w:r>
      <w:r>
        <w:t>that</w:t>
      </w:r>
      <w:r>
        <w:rPr>
          <w:spacing w:val="-16"/>
        </w:rPr>
        <w:t xml:space="preserve"> </w:t>
      </w:r>
      <w:r>
        <w:t>reason,</w:t>
      </w:r>
      <w:r>
        <w:rPr>
          <w:spacing w:val="-16"/>
        </w:rPr>
        <w:t xml:space="preserve"> </w:t>
      </w:r>
      <w:r>
        <w:t>we</w:t>
      </w:r>
      <w:r>
        <w:rPr>
          <w:spacing w:val="-16"/>
        </w:rPr>
        <w:t xml:space="preserve"> </w:t>
      </w:r>
      <w:r>
        <w:t>believe</w:t>
      </w:r>
      <w:r>
        <w:rPr>
          <w:spacing w:val="-16"/>
        </w:rPr>
        <w:t xml:space="preserve"> </w:t>
      </w:r>
      <w:r>
        <w:t>that</w:t>
      </w:r>
      <w:r>
        <w:rPr>
          <w:spacing w:val="-15"/>
        </w:rPr>
        <w:t xml:space="preserve"> </w:t>
      </w:r>
      <w:r>
        <w:t>this</w:t>
      </w:r>
      <w:r>
        <w:rPr>
          <w:spacing w:val="-16"/>
        </w:rPr>
        <w:t xml:space="preserve"> </w:t>
      </w:r>
      <w:r>
        <w:t>change</w:t>
      </w:r>
      <w:r>
        <w:rPr>
          <w:spacing w:val="-16"/>
        </w:rPr>
        <w:t xml:space="preserve"> </w:t>
      </w:r>
      <w:r>
        <w:t>is</w:t>
      </w:r>
      <w:r>
        <w:rPr>
          <w:spacing w:val="-16"/>
        </w:rPr>
        <w:t xml:space="preserve"> </w:t>
      </w:r>
      <w:r>
        <w:t>not</w:t>
      </w:r>
      <w:r>
        <w:rPr>
          <w:spacing w:val="-16"/>
        </w:rPr>
        <w:t xml:space="preserve"> </w:t>
      </w:r>
      <w:r>
        <w:t>only</w:t>
      </w:r>
      <w:r>
        <w:rPr>
          <w:spacing w:val="-19"/>
        </w:rPr>
        <w:t xml:space="preserve"> </w:t>
      </w:r>
      <w:r>
        <w:t>appropriate,</w:t>
      </w:r>
      <w:r>
        <w:rPr>
          <w:spacing w:val="-16"/>
        </w:rPr>
        <w:t xml:space="preserve"> </w:t>
      </w:r>
      <w:r>
        <w:t>but</w:t>
      </w:r>
      <w:r>
        <w:rPr>
          <w:spacing w:val="-16"/>
        </w:rPr>
        <w:t xml:space="preserve"> </w:t>
      </w:r>
      <w:r>
        <w:t>necessary.</w:t>
      </w:r>
    </w:p>
    <w:p w:rsidR="006D7873" w:rsidRDefault="006D7873">
      <w:pPr>
        <w:pStyle w:val="BodyText"/>
        <w:spacing w:before="9"/>
        <w:rPr>
          <w:sz w:val="21"/>
        </w:rPr>
      </w:pPr>
    </w:p>
    <w:p w:rsidR="006D7873" w:rsidRDefault="00EC37B3">
      <w:pPr>
        <w:pStyle w:val="BodyText"/>
        <w:spacing w:line="242" w:lineRule="auto"/>
        <w:ind w:left="100" w:right="115"/>
        <w:jc w:val="both"/>
      </w:pPr>
      <w:r>
        <w:rPr>
          <w:u w:val="single"/>
        </w:rPr>
        <w:t>DOHMH supports adopting NCPDP SCRIPT 2017071 as the official Part D e-prescribing standard for transmitting prescriptions and prescription-related information [FR 56440]</w:t>
      </w:r>
    </w:p>
    <w:p w:rsidR="006D7873" w:rsidRDefault="006D7873">
      <w:pPr>
        <w:pStyle w:val="BodyText"/>
        <w:spacing w:before="9"/>
        <w:rPr>
          <w:sz w:val="13"/>
        </w:rPr>
      </w:pPr>
    </w:p>
    <w:p w:rsidR="006D7873" w:rsidRDefault="00EC37B3">
      <w:pPr>
        <w:pStyle w:val="BodyText"/>
        <w:spacing w:before="92"/>
        <w:ind w:left="100" w:right="113"/>
        <w:jc w:val="both"/>
      </w:pPr>
      <w:r>
        <w:t>NCPDP SCRIPT 2017071 includes several elements not present in the existing NCPDP SCRI</w:t>
      </w:r>
      <w:r>
        <w:t>PT 10.6 standard, particularly patient primary language and diagnosis. We support adopting the updated standard, to</w:t>
      </w:r>
      <w:r>
        <w:rPr>
          <w:spacing w:val="-14"/>
        </w:rPr>
        <w:t xml:space="preserve"> </w:t>
      </w:r>
      <w:r>
        <w:t>be</w:t>
      </w:r>
      <w:r>
        <w:rPr>
          <w:spacing w:val="-14"/>
        </w:rPr>
        <w:t xml:space="preserve"> </w:t>
      </w:r>
      <w:r>
        <w:t>codified</w:t>
      </w:r>
      <w:r>
        <w:rPr>
          <w:spacing w:val="-14"/>
        </w:rPr>
        <w:t xml:space="preserve"> </w:t>
      </w:r>
      <w:r>
        <w:t>as</w:t>
      </w:r>
      <w:r>
        <w:rPr>
          <w:spacing w:val="-14"/>
        </w:rPr>
        <w:t xml:space="preserve"> </w:t>
      </w:r>
      <w:r>
        <w:t>42</w:t>
      </w:r>
      <w:r>
        <w:rPr>
          <w:spacing w:val="-14"/>
        </w:rPr>
        <w:t xml:space="preserve"> </w:t>
      </w:r>
      <w:r>
        <w:t>CFR</w:t>
      </w:r>
      <w:r>
        <w:rPr>
          <w:spacing w:val="-16"/>
        </w:rPr>
        <w:t xml:space="preserve"> </w:t>
      </w:r>
      <w:r>
        <w:t>§ 423.160(b)(1)(v),</w:t>
      </w:r>
      <w:r>
        <w:rPr>
          <w:spacing w:val="-13"/>
        </w:rPr>
        <w:t xml:space="preserve"> </w:t>
      </w:r>
      <w:r>
        <w:t>because</w:t>
      </w:r>
      <w:r>
        <w:rPr>
          <w:spacing w:val="-14"/>
        </w:rPr>
        <w:t xml:space="preserve"> </w:t>
      </w:r>
      <w:r>
        <w:t>we</w:t>
      </w:r>
      <w:r>
        <w:rPr>
          <w:spacing w:val="-14"/>
        </w:rPr>
        <w:t xml:space="preserve"> </w:t>
      </w:r>
      <w:r>
        <w:t>believe</w:t>
      </w:r>
      <w:r>
        <w:rPr>
          <w:spacing w:val="-14"/>
        </w:rPr>
        <w:t xml:space="preserve"> </w:t>
      </w:r>
      <w:r>
        <w:t>these</w:t>
      </w:r>
      <w:r>
        <w:rPr>
          <w:spacing w:val="-14"/>
        </w:rPr>
        <w:t xml:space="preserve"> </w:t>
      </w:r>
      <w:r>
        <w:t>additions</w:t>
      </w:r>
      <w:r>
        <w:rPr>
          <w:spacing w:val="-12"/>
        </w:rPr>
        <w:t xml:space="preserve"> </w:t>
      </w:r>
      <w:r>
        <w:t>will</w:t>
      </w:r>
      <w:r>
        <w:rPr>
          <w:spacing w:val="-13"/>
        </w:rPr>
        <w:t xml:space="preserve"> </w:t>
      </w:r>
      <w:r>
        <w:t>contribute</w:t>
      </w:r>
      <w:r>
        <w:rPr>
          <w:spacing w:val="-14"/>
        </w:rPr>
        <w:t xml:space="preserve"> </w:t>
      </w:r>
      <w:r>
        <w:t>to</w:t>
      </w:r>
      <w:r>
        <w:rPr>
          <w:spacing w:val="-17"/>
        </w:rPr>
        <w:t xml:space="preserve"> </w:t>
      </w:r>
      <w:r>
        <w:t>improved patient</w:t>
      </w:r>
      <w:r>
        <w:rPr>
          <w:spacing w:val="-6"/>
        </w:rPr>
        <w:t xml:space="preserve"> </w:t>
      </w:r>
      <w:r>
        <w:t>safety.</w:t>
      </w:r>
    </w:p>
    <w:p w:rsidR="006D7873" w:rsidRDefault="006D7873">
      <w:pPr>
        <w:pStyle w:val="BodyText"/>
      </w:pPr>
    </w:p>
    <w:p w:rsidR="006D7873" w:rsidRDefault="00EC37B3">
      <w:pPr>
        <w:pStyle w:val="BodyText"/>
        <w:ind w:left="100" w:right="115"/>
        <w:jc w:val="both"/>
      </w:pPr>
      <w:r>
        <w:t>E-prescriptions se</w:t>
      </w:r>
      <w:r>
        <w:t>nt using NCPDP SCRIPT 2017071 will contain a structured field indicating a patient’s primary language, the “language name code”. The pharmacists we work with serve a diverse patient community. Often, English is not these patients’ first language. Many of t</w:t>
      </w:r>
      <w:r>
        <w:t>hese patients would better</w:t>
      </w:r>
    </w:p>
    <w:p w:rsidR="006D7873" w:rsidRDefault="006D7873">
      <w:pPr>
        <w:jc w:val="both"/>
        <w:sectPr w:rsidR="006D7873">
          <w:type w:val="continuous"/>
          <w:pgSz w:w="12240" w:h="15840"/>
          <w:pgMar w:top="320" w:right="1320" w:bottom="280" w:left="1340" w:header="720" w:footer="720" w:gutter="0"/>
          <w:cols w:space="720"/>
        </w:sectPr>
      </w:pPr>
    </w:p>
    <w:p w:rsidR="006D7873" w:rsidRDefault="00EC37B3">
      <w:pPr>
        <w:spacing w:before="78"/>
        <w:ind w:left="5121" w:right="4038"/>
        <w:jc w:val="center"/>
        <w:rPr>
          <w:sz w:val="24"/>
        </w:rPr>
      </w:pPr>
      <w:bookmarkStart w:id="0" w:name="_GoBack"/>
      <w:r>
        <w:rPr>
          <w:sz w:val="24"/>
        </w:rPr>
        <w:lastRenderedPageBreak/>
        <w:t>- 2 -</w:t>
      </w:r>
    </w:p>
    <w:p w:rsidR="006D7873" w:rsidRDefault="006D7873">
      <w:pPr>
        <w:pStyle w:val="BodyText"/>
        <w:rPr>
          <w:sz w:val="26"/>
        </w:rPr>
      </w:pPr>
    </w:p>
    <w:p w:rsidR="006D7873" w:rsidRDefault="006D7873">
      <w:pPr>
        <w:pStyle w:val="BodyText"/>
        <w:spacing w:before="6"/>
        <w:rPr>
          <w:sz w:val="36"/>
        </w:rPr>
      </w:pPr>
    </w:p>
    <w:p w:rsidR="006D7873" w:rsidRDefault="00EC37B3">
      <w:pPr>
        <w:pStyle w:val="BodyText"/>
        <w:ind w:left="120" w:right="112"/>
        <w:jc w:val="both"/>
      </w:pPr>
      <w:r>
        <w:t>understand medication labels and instructions printed in their own primary language, instead of English. The</w:t>
      </w:r>
      <w:r>
        <w:rPr>
          <w:spacing w:val="-9"/>
        </w:rPr>
        <w:t xml:space="preserve"> </w:t>
      </w:r>
      <w:r>
        <w:t>language</w:t>
      </w:r>
      <w:r>
        <w:rPr>
          <w:spacing w:val="-8"/>
        </w:rPr>
        <w:t xml:space="preserve"> </w:t>
      </w:r>
      <w:r>
        <w:t>field</w:t>
      </w:r>
      <w:r>
        <w:rPr>
          <w:spacing w:val="-10"/>
        </w:rPr>
        <w:t xml:space="preserve"> </w:t>
      </w:r>
      <w:r>
        <w:t>included</w:t>
      </w:r>
      <w:r>
        <w:rPr>
          <w:spacing w:val="-9"/>
        </w:rPr>
        <w:t xml:space="preserve"> </w:t>
      </w:r>
      <w:r>
        <w:t>in</w:t>
      </w:r>
      <w:r>
        <w:rPr>
          <w:spacing w:val="-7"/>
        </w:rPr>
        <w:t xml:space="preserve"> </w:t>
      </w:r>
      <w:r>
        <w:t>NCPDP</w:t>
      </w:r>
      <w:r>
        <w:rPr>
          <w:spacing w:val="-8"/>
        </w:rPr>
        <w:t xml:space="preserve"> </w:t>
      </w:r>
      <w:r>
        <w:t>SCRIPT</w:t>
      </w:r>
      <w:r>
        <w:rPr>
          <w:spacing w:val="-7"/>
        </w:rPr>
        <w:t xml:space="preserve"> </w:t>
      </w:r>
      <w:r>
        <w:t>2017071</w:t>
      </w:r>
      <w:r>
        <w:rPr>
          <w:spacing w:val="-7"/>
        </w:rPr>
        <w:t xml:space="preserve"> </w:t>
      </w:r>
      <w:r>
        <w:t>e-prescriptions</w:t>
      </w:r>
      <w:r>
        <w:rPr>
          <w:spacing w:val="-7"/>
        </w:rPr>
        <w:t xml:space="preserve"> </w:t>
      </w:r>
      <w:r>
        <w:t>will</w:t>
      </w:r>
      <w:r>
        <w:rPr>
          <w:spacing w:val="-7"/>
        </w:rPr>
        <w:t xml:space="preserve"> </w:t>
      </w:r>
      <w:r>
        <w:t>allow</w:t>
      </w:r>
      <w:r>
        <w:rPr>
          <w:spacing w:val="-7"/>
        </w:rPr>
        <w:t xml:space="preserve"> </w:t>
      </w:r>
      <w:r>
        <w:t>a</w:t>
      </w:r>
      <w:r>
        <w:rPr>
          <w:spacing w:val="-8"/>
        </w:rPr>
        <w:t xml:space="preserve"> </w:t>
      </w:r>
      <w:r>
        <w:t>prescriber</w:t>
      </w:r>
      <w:r>
        <w:rPr>
          <w:spacing w:val="-8"/>
        </w:rPr>
        <w:t xml:space="preserve"> </w:t>
      </w:r>
      <w:r>
        <w:t>to</w:t>
      </w:r>
      <w:r>
        <w:rPr>
          <w:spacing w:val="-10"/>
        </w:rPr>
        <w:t xml:space="preserve"> </w:t>
      </w:r>
      <w:r>
        <w:t>identify patients with limited English proficiency, so a pharmacist can print the label and other materials in the patient’s preferred</w:t>
      </w:r>
      <w:r>
        <w:rPr>
          <w:spacing w:val="-7"/>
        </w:rPr>
        <w:t xml:space="preserve"> </w:t>
      </w:r>
      <w:r>
        <w:t>language.</w:t>
      </w:r>
    </w:p>
    <w:p w:rsidR="006D7873" w:rsidRDefault="006D7873">
      <w:pPr>
        <w:pStyle w:val="BodyText"/>
      </w:pPr>
    </w:p>
    <w:p w:rsidR="006D7873" w:rsidRDefault="00EC37B3">
      <w:pPr>
        <w:pStyle w:val="BodyText"/>
        <w:ind w:left="120" w:right="122"/>
        <w:jc w:val="both"/>
      </w:pPr>
      <w:r>
        <w:t>We hope that future versions of NCPDP SCRIPT will make “language name code” a mandatory field for all e-prescr</w:t>
      </w:r>
      <w:r>
        <w:t>iptions, to ensure that all prescriptions will be printed in the best language for each patient.</w:t>
      </w:r>
    </w:p>
    <w:p w:rsidR="006D7873" w:rsidRDefault="006D7873">
      <w:pPr>
        <w:pStyle w:val="BodyText"/>
      </w:pPr>
    </w:p>
    <w:p w:rsidR="006D7873" w:rsidRDefault="00EC37B3">
      <w:pPr>
        <w:pStyle w:val="BodyText"/>
        <w:ind w:left="120" w:right="111"/>
        <w:jc w:val="both"/>
      </w:pPr>
      <w:r>
        <w:t xml:space="preserve">NCPDP SCRIPT 2017071 also now allows a prescriber to indicate a patient’s diagnosis in each </w:t>
      </w:r>
      <w:r>
        <w:rPr>
          <w:spacing w:val="3"/>
        </w:rPr>
        <w:t xml:space="preserve">e-  </w:t>
      </w:r>
      <w:r>
        <w:t>prescription.</w:t>
      </w:r>
      <w:r>
        <w:rPr>
          <w:spacing w:val="-14"/>
        </w:rPr>
        <w:t xml:space="preserve"> </w:t>
      </w:r>
      <w:r>
        <w:t>Pharmacists</w:t>
      </w:r>
      <w:r>
        <w:rPr>
          <w:spacing w:val="-12"/>
        </w:rPr>
        <w:t xml:space="preserve"> </w:t>
      </w:r>
      <w:r>
        <w:t>need</w:t>
      </w:r>
      <w:r>
        <w:rPr>
          <w:spacing w:val="-14"/>
        </w:rPr>
        <w:t xml:space="preserve"> </w:t>
      </w:r>
      <w:r>
        <w:t>this</w:t>
      </w:r>
      <w:r>
        <w:rPr>
          <w:spacing w:val="-14"/>
        </w:rPr>
        <w:t xml:space="preserve"> </w:t>
      </w:r>
      <w:r>
        <w:t>information</w:t>
      </w:r>
      <w:r>
        <w:rPr>
          <w:spacing w:val="-14"/>
        </w:rPr>
        <w:t xml:space="preserve"> </w:t>
      </w:r>
      <w:r>
        <w:t>to</w:t>
      </w:r>
      <w:r>
        <w:rPr>
          <w:spacing w:val="-14"/>
        </w:rPr>
        <w:t xml:space="preserve"> </w:t>
      </w:r>
      <w:r>
        <w:t>confirm</w:t>
      </w:r>
      <w:r>
        <w:rPr>
          <w:spacing w:val="-15"/>
        </w:rPr>
        <w:t xml:space="preserve"> </w:t>
      </w:r>
      <w:r>
        <w:t>whe</w:t>
      </w:r>
      <w:r>
        <w:t>ther</w:t>
      </w:r>
      <w:r>
        <w:rPr>
          <w:spacing w:val="-14"/>
        </w:rPr>
        <w:t xml:space="preserve"> </w:t>
      </w:r>
      <w:r>
        <w:t>the</w:t>
      </w:r>
      <w:r>
        <w:rPr>
          <w:spacing w:val="-14"/>
        </w:rPr>
        <w:t xml:space="preserve"> </w:t>
      </w:r>
      <w:r>
        <w:t>medication</w:t>
      </w:r>
      <w:r>
        <w:rPr>
          <w:spacing w:val="-14"/>
        </w:rPr>
        <w:t xml:space="preserve"> </w:t>
      </w:r>
      <w:r>
        <w:t>prescribed</w:t>
      </w:r>
      <w:r>
        <w:rPr>
          <w:spacing w:val="-14"/>
        </w:rPr>
        <w:t xml:space="preserve"> </w:t>
      </w:r>
      <w:r>
        <w:t>is</w:t>
      </w:r>
      <w:r>
        <w:rPr>
          <w:spacing w:val="-12"/>
        </w:rPr>
        <w:t xml:space="preserve"> </w:t>
      </w:r>
      <w:r>
        <w:t>appropriate to the patient’s condition. Prescribers can make mistakes, and the diagnosis field in the new standard will help pharmacists fix them. The scientific literature is clear: this improves patient safety.</w:t>
      </w:r>
      <w:r>
        <w:rPr>
          <w:position w:val="8"/>
          <w:sz w:val="14"/>
        </w:rPr>
        <w:t xml:space="preserve">1 </w:t>
      </w:r>
      <w:r>
        <w:t>In addit</w:t>
      </w:r>
      <w:r>
        <w:t xml:space="preserve">ion, a pharmacy that knows the diagnosis a medication was prescribed for can print patient-friendly medication labels and patient education materials that are directly relevant to the use of that medication for that diagnosis. These improved materials can </w:t>
      </w:r>
      <w:r>
        <w:t>lead to better patient understanding and adherence to their medication</w:t>
      </w:r>
      <w:r>
        <w:rPr>
          <w:spacing w:val="-7"/>
        </w:rPr>
        <w:t xml:space="preserve"> </w:t>
      </w:r>
      <w:r>
        <w:t>regimen.</w:t>
      </w:r>
    </w:p>
    <w:p w:rsidR="006D7873" w:rsidRDefault="006D7873">
      <w:pPr>
        <w:pStyle w:val="BodyText"/>
      </w:pPr>
    </w:p>
    <w:p w:rsidR="006D7873" w:rsidRDefault="00EC37B3">
      <w:pPr>
        <w:pStyle w:val="BodyText"/>
        <w:spacing w:line="480" w:lineRule="auto"/>
        <w:ind w:left="120" w:right="5641"/>
      </w:pPr>
      <w:r>
        <w:rPr>
          <w:noProof/>
        </w:rPr>
        <w:drawing>
          <wp:anchor distT="0" distB="0" distL="0" distR="0" simplePos="0" relativeHeight="268432007" behindDoc="1" locked="0" layoutInCell="1" allowOverlap="1">
            <wp:simplePos x="0" y="0"/>
            <wp:positionH relativeFrom="page">
              <wp:posOffset>914400</wp:posOffset>
            </wp:positionH>
            <wp:positionV relativeFrom="paragraph">
              <wp:posOffset>485134</wp:posOffset>
            </wp:positionV>
            <wp:extent cx="1666875" cy="7715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666875" cy="771525"/>
                    </a:xfrm>
                    <a:prstGeom prst="rect">
                      <a:avLst/>
                    </a:prstGeom>
                  </pic:spPr>
                </pic:pic>
              </a:graphicData>
            </a:graphic>
          </wp:anchor>
        </w:drawing>
      </w:r>
      <w:r>
        <w:t>Thank you for the opportunity to comment. Sincerely,</w:t>
      </w:r>
    </w:p>
    <w:p w:rsidR="006D7873" w:rsidRDefault="006D7873">
      <w:pPr>
        <w:pStyle w:val="BodyText"/>
        <w:rPr>
          <w:sz w:val="24"/>
        </w:rPr>
      </w:pPr>
    </w:p>
    <w:p w:rsidR="006D7873" w:rsidRDefault="006D7873">
      <w:pPr>
        <w:pStyle w:val="BodyText"/>
        <w:rPr>
          <w:sz w:val="24"/>
        </w:rPr>
      </w:pPr>
    </w:p>
    <w:p w:rsidR="006D7873" w:rsidRDefault="006D7873">
      <w:pPr>
        <w:pStyle w:val="BodyText"/>
        <w:rPr>
          <w:sz w:val="24"/>
        </w:rPr>
      </w:pPr>
    </w:p>
    <w:p w:rsidR="006D7873" w:rsidRDefault="00EC37B3">
      <w:pPr>
        <w:pStyle w:val="BodyText"/>
        <w:spacing w:before="158"/>
        <w:ind w:left="120" w:right="6997"/>
      </w:pPr>
      <w:r>
        <w:t>Mary T. Bassett, MD, MPH Commissioner</w:t>
      </w: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6D7873">
      <w:pPr>
        <w:pStyle w:val="BodyText"/>
        <w:rPr>
          <w:sz w:val="20"/>
        </w:rPr>
      </w:pPr>
    </w:p>
    <w:p w:rsidR="006D7873" w:rsidRDefault="00EC37B3">
      <w:pPr>
        <w:pStyle w:val="BodyText"/>
        <w:spacing w:before="6"/>
      </w:pPr>
      <w:r>
        <w:pict>
          <v:line id="_x0000_s1026" style="position:absolute;z-index:1048;mso-wrap-distance-left:0;mso-wrap-distance-right:0;mso-position-horizontal-relative:page" from="1in,15.25pt" to="216.05pt,15.25pt" strokeweight=".6pt">
            <w10:wrap type="topAndBottom" anchorx="page"/>
          </v:line>
        </w:pict>
      </w:r>
    </w:p>
    <w:p w:rsidR="006D7873" w:rsidRDefault="00EC37B3">
      <w:pPr>
        <w:spacing w:before="70"/>
        <w:ind w:left="120" w:right="342"/>
        <w:rPr>
          <w:sz w:val="20"/>
        </w:rPr>
      </w:pPr>
      <w:r>
        <w:rPr>
          <w:position w:val="7"/>
          <w:sz w:val="13"/>
        </w:rPr>
        <w:t xml:space="preserve">1 </w:t>
      </w:r>
      <w:r>
        <w:rPr>
          <w:sz w:val="20"/>
        </w:rPr>
        <w:t>Warholak-Juarez T, Rupp MT, Salazar TA, Foster S. Effect of patient information on the quality of pharmacists’ drug use review decisions. J Am Pharm Assoc (Wash). 2000;40(4):500-08.</w:t>
      </w:r>
      <w:bookmarkEnd w:id="0"/>
    </w:p>
    <w:sectPr w:rsidR="006D7873">
      <w:pgSz w:w="12240" w:h="15840"/>
      <w:pgMar w:top="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D7873"/>
    <w:rsid w:val="006D7873"/>
    <w:rsid w:val="00EC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AD4BA3F-1032-4A09-AB21-3120F49B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4242</Characters>
  <Application>Microsoft Office Word</Application>
  <DocSecurity>0</DocSecurity>
  <Lines>200</Lines>
  <Paragraphs>22</Paragraphs>
  <ScaleCrop>false</ScaleCrop>
  <Company>CMS</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Commissioner name</dc:title>
  <dc:creator>Alexandra Nudelman</dc:creator>
  <cp:lastModifiedBy>Arthur Pignotti</cp:lastModifiedBy>
  <cp:revision>2</cp:revision>
  <dcterms:created xsi:type="dcterms:W3CDTF">2018-06-14T21:25:00Z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Microsoft® Word 2013</vt:lpwstr>
  </property>
  <property fmtid="{D5CDD505-2E9C-101B-9397-08002B2CF9AE}" pid="4" name="LastSaved">
    <vt:filetime>2018-06-15T00:00:00Z</vt:filetime>
  </property>
</Properties>
</file>