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92" w:rsidRDefault="000877A0">
      <w:pPr>
        <w:spacing w:before="67" w:line="243" w:lineRule="exact"/>
        <w:ind w:left="558"/>
        <w:rPr>
          <w:rFonts w:ascii="Arial"/>
          <w:b/>
          <w:sz w:val="23"/>
        </w:rPr>
      </w:pPr>
      <w:r>
        <w:rPr>
          <w:rFonts w:ascii="Arial"/>
          <w:b/>
          <w:color w:val="5987D1"/>
          <w:w w:val="95"/>
          <w:sz w:val="23"/>
        </w:rPr>
        <w:t>UAW RETIREE</w:t>
      </w:r>
    </w:p>
    <w:p w:rsidR="00F27392" w:rsidRDefault="000877A0">
      <w:pPr>
        <w:spacing w:line="323" w:lineRule="exact"/>
        <w:ind w:left="538"/>
        <w:rPr>
          <w:b/>
          <w:sz w:val="38"/>
        </w:rPr>
      </w:pPr>
      <w:r>
        <w:rPr>
          <w:b/>
          <w:color w:val="384B80"/>
          <w:w w:val="105"/>
          <w:sz w:val="38"/>
        </w:rPr>
        <w:t>Medical</w:t>
      </w:r>
      <w:r>
        <w:rPr>
          <w:b/>
          <w:color w:val="384B80"/>
          <w:spacing w:val="85"/>
          <w:w w:val="105"/>
          <w:sz w:val="38"/>
        </w:rPr>
        <w:t xml:space="preserve"> </w:t>
      </w:r>
      <w:r>
        <w:rPr>
          <w:b/>
          <w:color w:val="505D85"/>
          <w:w w:val="105"/>
          <w:sz w:val="38"/>
        </w:rPr>
        <w:t>B</w:t>
      </w:r>
      <w:r>
        <w:rPr>
          <w:b/>
          <w:color w:val="384B80"/>
          <w:w w:val="105"/>
          <w:sz w:val="38"/>
        </w:rPr>
        <w:t>enefits'Ihtst</w:t>
      </w:r>
    </w:p>
    <w:p w:rsidR="00F27392" w:rsidRDefault="000877A0">
      <w:pPr>
        <w:spacing w:line="494" w:lineRule="exact"/>
        <w:ind w:left="3270"/>
        <w:rPr>
          <w:b/>
          <w:i/>
          <w:sz w:val="51"/>
        </w:rPr>
      </w:pPr>
      <w:r>
        <w:rPr>
          <w:b/>
          <w:i/>
          <w:color w:val="384B80"/>
          <w:w w:val="115"/>
          <w:sz w:val="51"/>
        </w:rPr>
        <w:t>"-.,,I</w:t>
      </w:r>
    </w:p>
    <w:p w:rsidR="00F27392" w:rsidRDefault="00F27392">
      <w:pPr>
        <w:pStyle w:val="BodyText"/>
        <w:spacing w:before="3"/>
        <w:rPr>
          <w:b/>
          <w:i/>
          <w:sz w:val="13"/>
        </w:rPr>
      </w:pPr>
    </w:p>
    <w:p w:rsidR="00F27392" w:rsidRDefault="000877A0">
      <w:pPr>
        <w:pStyle w:val="BodyText"/>
        <w:spacing w:before="91"/>
        <w:ind w:left="210"/>
      </w:pPr>
      <w:r>
        <w:rPr>
          <w:color w:val="131313"/>
          <w:w w:val="105"/>
        </w:rPr>
        <w:t>January 11, 2018</w:t>
      </w:r>
    </w:p>
    <w:p w:rsidR="00F27392" w:rsidRDefault="00F27392">
      <w:pPr>
        <w:pStyle w:val="BodyText"/>
        <w:rPr>
          <w:sz w:val="24"/>
        </w:rPr>
      </w:pPr>
    </w:p>
    <w:p w:rsidR="00F27392" w:rsidRDefault="00F27392">
      <w:pPr>
        <w:pStyle w:val="BodyText"/>
        <w:rPr>
          <w:sz w:val="25"/>
        </w:rPr>
      </w:pPr>
    </w:p>
    <w:p w:rsidR="00F27392" w:rsidRDefault="000877A0">
      <w:pPr>
        <w:pStyle w:val="BodyText"/>
        <w:spacing w:line="252" w:lineRule="auto"/>
        <w:ind w:left="211" w:right="5702" w:hanging="5"/>
      </w:pPr>
      <w:r>
        <w:rPr>
          <w:color w:val="131313"/>
          <w:w w:val="105"/>
        </w:rPr>
        <w:t>Centers for Medicare and Medicaid Services Department of Health and Human Services Baltimore, MD 21244-8013</w:t>
      </w:r>
    </w:p>
    <w:p w:rsidR="00F27392" w:rsidRDefault="00F27392">
      <w:pPr>
        <w:pStyle w:val="BodyText"/>
        <w:rPr>
          <w:sz w:val="24"/>
        </w:rPr>
      </w:pPr>
    </w:p>
    <w:p w:rsidR="00F27392" w:rsidRDefault="000877A0">
      <w:pPr>
        <w:spacing w:before="1"/>
        <w:ind w:left="211"/>
        <w:rPr>
          <w:b/>
          <w:sz w:val="23"/>
        </w:rPr>
      </w:pPr>
      <w:r>
        <w:rPr>
          <w:color w:val="131313"/>
          <w:sz w:val="23"/>
        </w:rPr>
        <w:t xml:space="preserve">Re:  </w:t>
      </w:r>
      <w:r>
        <w:rPr>
          <w:b/>
          <w:color w:val="131313"/>
          <w:sz w:val="23"/>
        </w:rPr>
        <w:t>CMS-4182-P</w:t>
      </w:r>
    </w:p>
    <w:p w:rsidR="00F27392" w:rsidRDefault="00F27392">
      <w:pPr>
        <w:pStyle w:val="BodyText"/>
        <w:spacing w:before="8"/>
        <w:rPr>
          <w:b/>
        </w:rPr>
      </w:pPr>
    </w:p>
    <w:p w:rsidR="00F27392" w:rsidRDefault="000877A0">
      <w:pPr>
        <w:pStyle w:val="BodyText"/>
        <w:spacing w:before="1"/>
        <w:ind w:left="193"/>
      </w:pPr>
      <w:r>
        <w:rPr>
          <w:color w:val="131313"/>
          <w:w w:val="105"/>
        </w:rPr>
        <w:t xml:space="preserve">To Whom </w:t>
      </w:r>
      <w:r>
        <w:rPr>
          <w:color w:val="131313"/>
          <w:w w:val="105"/>
          <w:sz w:val="24"/>
        </w:rPr>
        <w:t xml:space="preserve">It </w:t>
      </w:r>
      <w:r>
        <w:rPr>
          <w:color w:val="131313"/>
          <w:w w:val="105"/>
        </w:rPr>
        <w:t>May Concern,</w:t>
      </w:r>
    </w:p>
    <w:p w:rsidR="00F27392" w:rsidRDefault="00F27392">
      <w:pPr>
        <w:pStyle w:val="BodyText"/>
        <w:spacing w:before="3"/>
        <w:rPr>
          <w:sz w:val="26"/>
        </w:rPr>
      </w:pPr>
    </w:p>
    <w:p w:rsidR="00F27392" w:rsidRDefault="000877A0">
      <w:pPr>
        <w:pStyle w:val="BodyText"/>
        <w:spacing w:line="247" w:lineRule="auto"/>
        <w:ind w:left="192" w:firstLine="1"/>
      </w:pPr>
      <w:r>
        <w:rPr>
          <w:color w:val="131313"/>
          <w:w w:val="105"/>
        </w:rPr>
        <w:t xml:space="preserve">The UAW Retiree Medical Benefits Trust </w:t>
      </w:r>
      <w:r>
        <w:rPr>
          <w:color w:val="464646"/>
          <w:w w:val="105"/>
        </w:rPr>
        <w:t>(</w:t>
      </w:r>
      <w:r>
        <w:rPr>
          <w:color w:val="131313"/>
          <w:w w:val="105"/>
        </w:rPr>
        <w:t xml:space="preserve">the "Trust" </w:t>
      </w:r>
      <w:r>
        <w:rPr>
          <w:color w:val="464646"/>
          <w:w w:val="105"/>
        </w:rPr>
        <w:t xml:space="preserve">) </w:t>
      </w:r>
      <w:r>
        <w:rPr>
          <w:color w:val="131313"/>
          <w:w w:val="105"/>
        </w:rPr>
        <w:t>welcomes this opportunity to provide some feedback to the Centers for Medicare and Medicaid Services on its proposed rules in publication</w:t>
      </w:r>
    </w:p>
    <w:p w:rsidR="00F27392" w:rsidRDefault="000877A0">
      <w:pPr>
        <w:pStyle w:val="BodyText"/>
        <w:spacing w:before="8"/>
        <w:ind w:left="192" w:hanging="2"/>
      </w:pPr>
      <w:r>
        <w:rPr>
          <w:b/>
          <w:color w:val="131313"/>
          <w:w w:val="105"/>
        </w:rPr>
        <w:t xml:space="preserve">CMS-4182-P. </w:t>
      </w:r>
      <w:r>
        <w:rPr>
          <w:color w:val="131313"/>
          <w:w w:val="105"/>
        </w:rPr>
        <w:t>We believe the proposals contain a number of provisions that could improve the Part C and D programs, as well as a few proposals that raise additional considerations.</w:t>
      </w:r>
    </w:p>
    <w:p w:rsidR="00F27392" w:rsidRDefault="00F27392">
      <w:pPr>
        <w:pStyle w:val="BodyText"/>
        <w:spacing w:before="10"/>
      </w:pPr>
    </w:p>
    <w:p w:rsidR="00F27392" w:rsidRDefault="000877A0">
      <w:pPr>
        <w:pStyle w:val="BodyText"/>
        <w:ind w:left="196"/>
      </w:pPr>
      <w:r>
        <w:rPr>
          <w:color w:val="131313"/>
          <w:w w:val="105"/>
          <w:u w:val="thick" w:color="000000"/>
        </w:rPr>
        <w:t>Back</w:t>
      </w:r>
      <w:r>
        <w:rPr>
          <w:color w:val="343434"/>
          <w:w w:val="105"/>
          <w:u w:val="thick" w:color="000000"/>
        </w:rPr>
        <w:t>g</w:t>
      </w:r>
      <w:r>
        <w:rPr>
          <w:color w:val="131313"/>
          <w:w w:val="105"/>
          <w:u w:val="thick" w:color="000000"/>
        </w:rPr>
        <w:t>round on the Trust</w:t>
      </w:r>
    </w:p>
    <w:p w:rsidR="00F27392" w:rsidRDefault="000877A0">
      <w:pPr>
        <w:pStyle w:val="BodyText"/>
        <w:spacing w:before="23" w:line="252" w:lineRule="auto"/>
        <w:ind w:left="181" w:right="134" w:hanging="3"/>
      </w:pPr>
      <w:r>
        <w:rPr>
          <w:color w:val="131313"/>
          <w:w w:val="105"/>
        </w:rPr>
        <w:t xml:space="preserve">The Trust is a Voluntary Employees' Beneficiary Association </w:t>
      </w:r>
      <w:r>
        <w:rPr>
          <w:color w:val="464646"/>
          <w:w w:val="105"/>
        </w:rPr>
        <w:t>(</w:t>
      </w:r>
      <w:r>
        <w:rPr>
          <w:color w:val="131313"/>
          <w:w w:val="105"/>
        </w:rPr>
        <w:t>VEBA) covering 680,000 UAW retirees and their dependent</w:t>
      </w:r>
      <w:r>
        <w:rPr>
          <w:color w:val="343434"/>
          <w:w w:val="105"/>
        </w:rPr>
        <w:t xml:space="preserve">s </w:t>
      </w:r>
      <w:r>
        <w:rPr>
          <w:color w:val="131313"/>
          <w:w w:val="105"/>
        </w:rPr>
        <w:t xml:space="preserve">nationwide.  About </w:t>
      </w:r>
      <w:r>
        <w:rPr>
          <w:color w:val="131313"/>
          <w:spacing w:val="-3"/>
          <w:w w:val="105"/>
        </w:rPr>
        <w:t>78</w:t>
      </w:r>
      <w:r>
        <w:rPr>
          <w:color w:val="464646"/>
          <w:spacing w:val="-3"/>
          <w:w w:val="105"/>
        </w:rPr>
        <w:t xml:space="preserve">% </w:t>
      </w:r>
      <w:r>
        <w:rPr>
          <w:color w:val="131313"/>
          <w:w w:val="105"/>
        </w:rPr>
        <w:t>of the Trust's population is covered by Medicare. For those enrollees in Medicare, the Trust offers through selected carriers a nationwide Part D plan, a nationwide MA PPO plan</w:t>
      </w:r>
      <w:r>
        <w:rPr>
          <w:color w:val="131313"/>
          <w:w w:val="105"/>
        </w:rPr>
        <w:t>, and several local MA HMO plans. Each of these is considered an Employer/Union Group Waiver Plan (EGWP</w:t>
      </w:r>
      <w:r>
        <w:rPr>
          <w:color w:val="464646"/>
          <w:w w:val="105"/>
        </w:rPr>
        <w:t>)</w:t>
      </w:r>
      <w:r>
        <w:rPr>
          <w:color w:val="131313"/>
          <w:w w:val="105"/>
        </w:rPr>
        <w:t>. The Trust's standalone Part D EGWP has 512,099 members.  The Trust's MA membership was over 188,000 as of December 1,</w:t>
      </w:r>
      <w:r>
        <w:rPr>
          <w:color w:val="131313"/>
          <w:spacing w:val="21"/>
          <w:w w:val="105"/>
        </w:rPr>
        <w:t xml:space="preserve"> </w:t>
      </w:r>
      <w:r>
        <w:rPr>
          <w:color w:val="131313"/>
          <w:w w:val="105"/>
        </w:rPr>
        <w:t>2017.</w:t>
      </w:r>
    </w:p>
    <w:p w:rsidR="00F27392" w:rsidRDefault="00F27392">
      <w:pPr>
        <w:pStyle w:val="BodyText"/>
        <w:spacing w:before="5"/>
      </w:pPr>
    </w:p>
    <w:p w:rsidR="00F27392" w:rsidRDefault="000877A0">
      <w:pPr>
        <w:pStyle w:val="BodyText"/>
        <w:ind w:left="172"/>
      </w:pPr>
      <w:r>
        <w:rPr>
          <w:color w:val="131313"/>
          <w:w w:val="105"/>
          <w:u w:val="thick" w:color="000000"/>
        </w:rPr>
        <w:t>Substitution of New-to-Ma</w:t>
      </w:r>
      <w:r>
        <w:rPr>
          <w:color w:val="131313"/>
          <w:w w:val="105"/>
          <w:u w:val="thick" w:color="000000"/>
        </w:rPr>
        <w:t>rket Generics Mid-year</w:t>
      </w:r>
    </w:p>
    <w:p w:rsidR="00F27392" w:rsidRDefault="000877A0">
      <w:pPr>
        <w:pStyle w:val="BodyText"/>
        <w:spacing w:before="15" w:line="247" w:lineRule="auto"/>
        <w:ind w:left="165" w:right="158"/>
      </w:pPr>
      <w:r>
        <w:rPr>
          <w:color w:val="131313"/>
          <w:w w:val="105"/>
        </w:rPr>
        <w:t>The Trust supports the proposed changes to allow Part D plans to introduce new-to-market generic alternatives mid-year without advance notice to individual beneficiaries. Generic drugs provide new alternatives for therapy for benefic</w:t>
      </w:r>
      <w:r>
        <w:rPr>
          <w:color w:val="131313"/>
          <w:w w:val="105"/>
        </w:rPr>
        <w:t>iaries, and at a lower price for purchasers, such as Medicare and the Trust, and a lower cost to the beneficiaries.</w:t>
      </w:r>
    </w:p>
    <w:p w:rsidR="00F27392" w:rsidRDefault="00F27392">
      <w:pPr>
        <w:pStyle w:val="BodyText"/>
        <w:spacing w:before="8"/>
        <w:rPr>
          <w:sz w:val="25"/>
        </w:rPr>
      </w:pPr>
    </w:p>
    <w:p w:rsidR="00F27392" w:rsidRDefault="000877A0">
      <w:pPr>
        <w:pStyle w:val="BodyText"/>
        <w:spacing w:line="244" w:lineRule="auto"/>
        <w:ind w:left="160" w:firstLine="4"/>
      </w:pPr>
      <w:r>
        <w:rPr>
          <w:color w:val="131313"/>
          <w:w w:val="105"/>
        </w:rPr>
        <w:t>The Trust urges CMS to allow similar substitution in the case of a new-to-market biosimilar, or at least for an interchangeable follow-on b</w:t>
      </w:r>
      <w:r>
        <w:rPr>
          <w:color w:val="131313"/>
          <w:w w:val="105"/>
        </w:rPr>
        <w:t>iologic. These follow-on biologics offer the same opportunity for significant savings for purchasers.</w:t>
      </w:r>
    </w:p>
    <w:p w:rsidR="00F27392" w:rsidRDefault="00F27392">
      <w:pPr>
        <w:pStyle w:val="BodyText"/>
        <w:spacing w:before="4"/>
        <w:rPr>
          <w:sz w:val="25"/>
        </w:rPr>
      </w:pPr>
    </w:p>
    <w:p w:rsidR="00F27392" w:rsidRDefault="000877A0">
      <w:pPr>
        <w:pStyle w:val="BodyText"/>
        <w:spacing w:line="247" w:lineRule="auto"/>
        <w:ind w:left="149" w:right="158" w:firstLine="1"/>
      </w:pPr>
      <w:r>
        <w:rPr>
          <w:color w:val="131313"/>
          <w:w w:val="105"/>
        </w:rPr>
        <w:t>The Trust would also like to take this opportunity to suggest that CMS consider other mid-year changes to be appropriate when implementing that change wo</w:t>
      </w:r>
      <w:r>
        <w:rPr>
          <w:color w:val="131313"/>
          <w:w w:val="105"/>
        </w:rPr>
        <w:t xml:space="preserve">uld prevent fraud, waste, and abuse. The Trust has been able to make such changes for its non-Medicare drug plans with desirable impacts. In cases of fraud, waste, or abuse by beneficiaries, prescribers, pharmacies, or even drug manufacturers, the ability </w:t>
      </w:r>
      <w:r>
        <w:rPr>
          <w:color w:val="131313"/>
          <w:w w:val="105"/>
        </w:rPr>
        <w:t>to make mid-year changes quickly is crucial to the ability of Medicare and Part D plans to reduce unnecessary</w:t>
      </w:r>
      <w:r>
        <w:rPr>
          <w:color w:val="131313"/>
          <w:spacing w:val="4"/>
          <w:w w:val="105"/>
        </w:rPr>
        <w:t xml:space="preserve"> </w:t>
      </w:r>
      <w:r>
        <w:rPr>
          <w:color w:val="131313"/>
          <w:w w:val="105"/>
        </w:rPr>
        <w:t>costs.</w:t>
      </w:r>
    </w:p>
    <w:p w:rsidR="00F27392" w:rsidRDefault="00F27392">
      <w:pPr>
        <w:pStyle w:val="BodyText"/>
        <w:spacing w:before="1"/>
        <w:rPr>
          <w:sz w:val="25"/>
        </w:rPr>
      </w:pPr>
    </w:p>
    <w:p w:rsidR="00F27392" w:rsidRDefault="000877A0">
      <w:pPr>
        <w:pStyle w:val="BodyText"/>
        <w:spacing w:before="1"/>
        <w:ind w:left="149" w:right="158" w:firstLine="4"/>
      </w:pPr>
      <w:r>
        <w:rPr>
          <w:color w:val="131313"/>
          <w:w w:val="105"/>
          <w:u w:val="thick" w:color="000000"/>
        </w:rPr>
        <w:t>Follow-on Biologics for Low-Income Subsidy Recipients and for non-LIS Beneficiaries in Catastrophic Coverage</w:t>
      </w:r>
    </w:p>
    <w:p w:rsidR="00F27392" w:rsidRDefault="000877A0">
      <w:pPr>
        <w:pStyle w:val="BodyText"/>
        <w:spacing w:before="23" w:line="254" w:lineRule="auto"/>
        <w:ind w:left="158" w:right="550" w:hanging="8"/>
      </w:pPr>
      <w:r>
        <w:rPr>
          <w:color w:val="131313"/>
          <w:w w:val="105"/>
        </w:rPr>
        <w:t>The Trust supports the propos</w:t>
      </w:r>
      <w:r>
        <w:rPr>
          <w:color w:val="131313"/>
          <w:w w:val="105"/>
        </w:rPr>
        <w:t>al to consider follow-on biologics "generics" for the purposes of LIS beneficiaries and for non-LIS beneficiaries above the Catastrophic Coverage level.  However, the</w:t>
      </w:r>
    </w:p>
    <w:p w:rsidR="00F27392" w:rsidRDefault="00F27392">
      <w:pPr>
        <w:pStyle w:val="BodyText"/>
        <w:rPr>
          <w:sz w:val="20"/>
        </w:rPr>
      </w:pPr>
    </w:p>
    <w:p w:rsidR="00F27392" w:rsidRDefault="000877A0">
      <w:pPr>
        <w:pStyle w:val="BodyText"/>
        <w:rPr>
          <w:sz w:val="10"/>
        </w:rPr>
      </w:pPr>
      <w:r>
        <w:pict>
          <v:line id="_x0000_s1031" style="position:absolute;z-index:251656192;mso-wrap-distance-left:0;mso-wrap-distance-right:0;mso-position-horizontal-relative:page" from="37.45pt,8.25pt" to="120.95pt,8.25pt" strokecolor="#b3b3b3" strokeweight="1.08pt">
            <w10:wrap type="topAndBottom" anchorx="page"/>
          </v:line>
        </w:pict>
      </w:r>
      <w:r>
        <w:pict>
          <v:line id="_x0000_s1030" style="position:absolute;z-index:251657216;mso-wrap-distance-left:0;mso-wrap-distance-right:0;mso-position-horizontal-relative:page" from="208.8pt,8.6pt" to="306.7pt,8.6pt" strokecolor="#acacac" strokeweight=".72pt">
            <w10:wrap type="topAndBottom" anchorx="page"/>
          </v:line>
        </w:pict>
      </w:r>
      <w:r>
        <w:pict>
          <v:group id="_x0000_s1027" style="position:absolute;margin-left:382.3pt;margin-top:8.95pt;width:155.4pt;height:1.3pt;z-index:251658240;mso-wrap-distance-left:0;mso-wrap-distance-right:0;mso-position-horizontal-relative:page" coordorigin="7646,179" coordsize="3108,26">
            <v:line id="_x0000_s1029" style="position:absolute" from="7654,187" to="9187,187" strokecolor="#a3a3a3" strokeweight=".72pt"/>
            <v:line id="_x0000_s1028" style="position:absolute" from="7690,194" to="10742,194" strokecolor="#b8b8b8" strokeweight="1.08pt"/>
            <w10:wrap type="topAndBottom" anchorx="page"/>
          </v:group>
        </w:pict>
      </w:r>
    </w:p>
    <w:p w:rsidR="00F27392" w:rsidRDefault="000877A0">
      <w:pPr>
        <w:ind w:left="3382"/>
        <w:rPr>
          <w:rFonts w:ascii="Arial"/>
          <w:sz w:val="19"/>
        </w:rPr>
      </w:pPr>
      <w:r>
        <w:rPr>
          <w:rFonts w:ascii="Arial"/>
          <w:color w:val="131313"/>
          <w:w w:val="115"/>
          <w:sz w:val="19"/>
        </w:rPr>
        <w:t>P.O. Box  14309, Detroit, Ml  48214</w:t>
      </w:r>
    </w:p>
    <w:p w:rsidR="00F27392" w:rsidRDefault="00F27392">
      <w:pPr>
        <w:rPr>
          <w:rFonts w:ascii="Arial"/>
          <w:sz w:val="19"/>
        </w:rPr>
        <w:sectPr w:rsidR="00F27392">
          <w:type w:val="continuous"/>
          <w:pgSz w:w="12240" w:h="15840"/>
          <w:pgMar w:top="480" w:right="1380" w:bottom="280" w:left="620" w:header="720" w:footer="720" w:gutter="0"/>
          <w:cols w:space="720"/>
        </w:sectPr>
      </w:pPr>
    </w:p>
    <w:p w:rsidR="00F27392" w:rsidRDefault="000877A0">
      <w:pPr>
        <w:pStyle w:val="BodyText"/>
        <w:spacing w:before="79" w:line="247" w:lineRule="auto"/>
        <w:ind w:left="133" w:right="97" w:firstLine="1"/>
      </w:pPr>
      <w:r>
        <w:rPr>
          <w:color w:val="1F1F1F"/>
          <w:w w:val="105"/>
        </w:rPr>
        <w:lastRenderedPageBreak/>
        <w:t>Trust also urges CMS to go a step further in clarifying the status of follow-on biologics in the coverage gap. The Trust (along with many others</w:t>
      </w:r>
      <w:r>
        <w:rPr>
          <w:color w:val="4B4B4B"/>
          <w:w w:val="105"/>
        </w:rPr>
        <w:t xml:space="preserve">) </w:t>
      </w:r>
      <w:r>
        <w:rPr>
          <w:color w:val="1F1F1F"/>
          <w:w w:val="105"/>
        </w:rPr>
        <w:t xml:space="preserve">have recently urged that follow-on biologics </w:t>
      </w:r>
      <w:r>
        <w:rPr>
          <w:color w:val="1F1F1F"/>
          <w:w w:val="105"/>
          <w:sz w:val="22"/>
        </w:rPr>
        <w:t xml:space="preserve">be </w:t>
      </w:r>
      <w:r>
        <w:rPr>
          <w:color w:val="1F1F1F"/>
          <w:w w:val="105"/>
        </w:rPr>
        <w:t>considered "applicable drugs"</w:t>
      </w:r>
      <w:r>
        <w:rPr>
          <w:color w:val="1F1F1F"/>
          <w:w w:val="105"/>
        </w:rPr>
        <w:t xml:space="preserve"> in the coverage gap. Doing so would be compatible with the proposed definition of "generic drug," which does not include follow-on biologics for all purposes of the word (as it would be "an applicable drug" in the coverage gap context).</w:t>
      </w:r>
    </w:p>
    <w:p w:rsidR="00F27392" w:rsidRDefault="00F27392">
      <w:pPr>
        <w:pStyle w:val="BodyText"/>
        <w:spacing w:before="2"/>
        <w:rPr>
          <w:sz w:val="24"/>
        </w:rPr>
      </w:pPr>
    </w:p>
    <w:p w:rsidR="00F27392" w:rsidRDefault="000877A0">
      <w:pPr>
        <w:pStyle w:val="BodyText"/>
        <w:ind w:left="143"/>
      </w:pPr>
      <w:r>
        <w:rPr>
          <w:color w:val="1F1F1F"/>
          <w:w w:val="105"/>
          <w:u w:val="thick" w:color="000000"/>
        </w:rPr>
        <w:t>Im</w:t>
      </w:r>
      <w:r>
        <w:rPr>
          <w:color w:val="3B3B3B"/>
          <w:w w:val="105"/>
          <w:u w:val="thick" w:color="000000"/>
        </w:rPr>
        <w:t>p</w:t>
      </w:r>
      <w:r>
        <w:rPr>
          <w:color w:val="1F1F1F"/>
          <w:w w:val="105"/>
          <w:u w:val="thick" w:color="000000"/>
        </w:rPr>
        <w:t>lementation of</w:t>
      </w:r>
      <w:r>
        <w:rPr>
          <w:color w:val="1F1F1F"/>
          <w:w w:val="105"/>
          <w:u w:val="thick" w:color="000000"/>
        </w:rPr>
        <w:t xml:space="preserve"> CARA "Lock</w:t>
      </w:r>
      <w:r>
        <w:rPr>
          <w:color w:val="3B3B3B"/>
          <w:w w:val="105"/>
          <w:u w:val="thick" w:color="000000"/>
        </w:rPr>
        <w:t>-</w:t>
      </w:r>
      <w:r>
        <w:rPr>
          <w:color w:val="1F1F1F"/>
          <w:w w:val="105"/>
          <w:u w:val="thick" w:color="000000"/>
        </w:rPr>
        <w:t>in" Procedures</w:t>
      </w:r>
    </w:p>
    <w:p w:rsidR="00F27392" w:rsidRDefault="000877A0">
      <w:pPr>
        <w:pStyle w:val="BodyText"/>
        <w:spacing w:before="14" w:line="247" w:lineRule="auto"/>
        <w:ind w:left="133" w:right="97" w:firstLine="1"/>
      </w:pPr>
      <w:r>
        <w:rPr>
          <w:color w:val="1F1F1F"/>
          <w:w w:val="105"/>
        </w:rPr>
        <w:t xml:space="preserve">The Trust welcomes the proposed rules for Part D to implement the Comprehensive Addiction and Recovery Act's </w:t>
      </w:r>
      <w:r>
        <w:rPr>
          <w:color w:val="3B3B3B"/>
          <w:spacing w:val="-4"/>
          <w:w w:val="105"/>
        </w:rPr>
        <w:t>(</w:t>
      </w:r>
      <w:r>
        <w:rPr>
          <w:color w:val="1F1F1F"/>
          <w:spacing w:val="-4"/>
          <w:w w:val="105"/>
        </w:rPr>
        <w:t>CARA</w:t>
      </w:r>
      <w:r>
        <w:rPr>
          <w:color w:val="3B3B3B"/>
          <w:spacing w:val="-4"/>
          <w:w w:val="105"/>
        </w:rPr>
        <w:t xml:space="preserve">) </w:t>
      </w:r>
      <w:r>
        <w:rPr>
          <w:color w:val="1F1F1F"/>
          <w:w w:val="105"/>
        </w:rPr>
        <w:t>provisions allowing plans to "lock" an enrollee into a particular pharmacy or prescriber.</w:t>
      </w:r>
      <w:r>
        <w:rPr>
          <w:color w:val="1F1F1F"/>
          <w:spacing w:val="52"/>
          <w:w w:val="105"/>
        </w:rPr>
        <w:t xml:space="preserve"> </w:t>
      </w:r>
      <w:r>
        <w:rPr>
          <w:color w:val="1F1F1F"/>
          <w:w w:val="105"/>
        </w:rPr>
        <w:t>The Trust has used a si</w:t>
      </w:r>
      <w:r>
        <w:rPr>
          <w:color w:val="1F1F1F"/>
          <w:w w:val="105"/>
        </w:rPr>
        <w:t>milar strategy to great effect with its non-Medicare population and, it would be very helpful to have that tool available to the Trust's Medicare population as well, as part of a comprehensive strategy to address this is</w:t>
      </w:r>
      <w:r>
        <w:rPr>
          <w:color w:val="4B4B4B"/>
          <w:w w:val="105"/>
        </w:rPr>
        <w:t>s</w:t>
      </w:r>
      <w:r>
        <w:rPr>
          <w:color w:val="1F1F1F"/>
          <w:w w:val="105"/>
        </w:rPr>
        <w:t>ue and aid the Trust's enrollees wh</w:t>
      </w:r>
      <w:r>
        <w:rPr>
          <w:color w:val="1F1F1F"/>
          <w:w w:val="105"/>
        </w:rPr>
        <w:t>o are seeking treatment for addiction</w:t>
      </w:r>
      <w:r>
        <w:rPr>
          <w:color w:val="4B4B4B"/>
          <w:w w:val="105"/>
        </w:rPr>
        <w:t>.</w:t>
      </w:r>
    </w:p>
    <w:p w:rsidR="00F27392" w:rsidRDefault="00F27392">
      <w:pPr>
        <w:pStyle w:val="BodyText"/>
        <w:spacing w:before="1"/>
        <w:rPr>
          <w:sz w:val="24"/>
        </w:rPr>
      </w:pPr>
    </w:p>
    <w:p w:rsidR="00F27392" w:rsidRDefault="000877A0">
      <w:pPr>
        <w:pStyle w:val="BodyText"/>
        <w:spacing w:before="1" w:line="247" w:lineRule="auto"/>
        <w:ind w:left="126" w:hanging="6"/>
      </w:pPr>
      <w:r>
        <w:rPr>
          <w:color w:val="1F1F1F"/>
          <w:w w:val="105"/>
        </w:rPr>
        <w:t>The Trust seeks clarification on parts of the application of the rules to EGWPs</w:t>
      </w:r>
      <w:r>
        <w:rPr>
          <w:color w:val="4B4B4B"/>
          <w:w w:val="105"/>
        </w:rPr>
        <w:t xml:space="preserve">. </w:t>
      </w:r>
      <w:r>
        <w:rPr>
          <w:color w:val="1F1F1F"/>
          <w:w w:val="105"/>
        </w:rPr>
        <w:t>The Trust provides the drug plan for its enrollees prior to becoming Medicare eligible and then through an EGWP once they enter Medicar</w:t>
      </w:r>
      <w:r>
        <w:rPr>
          <w:color w:val="1F1F1F"/>
          <w:w w:val="105"/>
        </w:rPr>
        <w:t>e.</w:t>
      </w:r>
      <w:r>
        <w:rPr>
          <w:color w:val="1F1F1F"/>
          <w:spacing w:val="52"/>
          <w:w w:val="105"/>
        </w:rPr>
        <w:t xml:space="preserve"> </w:t>
      </w:r>
      <w:r>
        <w:rPr>
          <w:color w:val="1F1F1F"/>
          <w:w w:val="105"/>
        </w:rPr>
        <w:t>For some of these enrollees, the Trust will have already engaged some manner of</w:t>
      </w:r>
    </w:p>
    <w:p w:rsidR="00F27392" w:rsidRDefault="000877A0">
      <w:pPr>
        <w:pStyle w:val="BodyText"/>
        <w:spacing w:line="249" w:lineRule="auto"/>
        <w:ind w:left="119" w:right="97" w:firstLine="15"/>
      </w:pPr>
      <w:r>
        <w:rPr>
          <w:color w:val="1F1F1F"/>
          <w:w w:val="105"/>
        </w:rPr>
        <w:t>lock-in</w:t>
      </w:r>
      <w:r>
        <w:rPr>
          <w:color w:val="1F1F1F"/>
          <w:spacing w:val="6"/>
          <w:w w:val="105"/>
        </w:rPr>
        <w:t xml:space="preserve"> </w:t>
      </w:r>
      <w:r>
        <w:rPr>
          <w:color w:val="1F1F1F"/>
          <w:w w:val="105"/>
        </w:rPr>
        <w:t>provision,</w:t>
      </w:r>
      <w:r>
        <w:rPr>
          <w:color w:val="1F1F1F"/>
          <w:spacing w:val="-3"/>
          <w:w w:val="105"/>
        </w:rPr>
        <w:t xml:space="preserve"> </w:t>
      </w:r>
      <w:r>
        <w:rPr>
          <w:color w:val="1F1F1F"/>
          <w:w w:val="105"/>
        </w:rPr>
        <w:t>and</w:t>
      </w:r>
      <w:r>
        <w:rPr>
          <w:color w:val="1F1F1F"/>
          <w:spacing w:val="-7"/>
          <w:w w:val="105"/>
        </w:rPr>
        <w:t xml:space="preserve"> </w:t>
      </w:r>
      <w:r>
        <w:rPr>
          <w:color w:val="1F1F1F"/>
          <w:w w:val="105"/>
        </w:rPr>
        <w:t>the</w:t>
      </w:r>
      <w:r>
        <w:rPr>
          <w:color w:val="1F1F1F"/>
          <w:spacing w:val="-25"/>
          <w:w w:val="105"/>
        </w:rPr>
        <w:t xml:space="preserve"> </w:t>
      </w:r>
      <w:r>
        <w:rPr>
          <w:color w:val="1F1F1F"/>
          <w:w w:val="105"/>
        </w:rPr>
        <w:t>enrollee</w:t>
      </w:r>
      <w:r>
        <w:rPr>
          <w:color w:val="1F1F1F"/>
          <w:spacing w:val="-3"/>
          <w:w w:val="105"/>
        </w:rPr>
        <w:t xml:space="preserve"> </w:t>
      </w:r>
      <w:r>
        <w:rPr>
          <w:color w:val="1F1F1F"/>
          <w:w w:val="105"/>
        </w:rPr>
        <w:t>will</w:t>
      </w:r>
      <w:r>
        <w:rPr>
          <w:color w:val="1F1F1F"/>
          <w:spacing w:val="-1"/>
          <w:w w:val="105"/>
        </w:rPr>
        <w:t xml:space="preserve"> </w:t>
      </w:r>
      <w:r>
        <w:rPr>
          <w:color w:val="1F1F1F"/>
          <w:w w:val="105"/>
        </w:rPr>
        <w:t>be</w:t>
      </w:r>
      <w:r>
        <w:rPr>
          <w:color w:val="1F1F1F"/>
          <w:spacing w:val="-19"/>
          <w:w w:val="105"/>
        </w:rPr>
        <w:t xml:space="preserve"> </w:t>
      </w:r>
      <w:r>
        <w:rPr>
          <w:color w:val="1F1F1F"/>
          <w:w w:val="105"/>
        </w:rPr>
        <w:t>on</w:t>
      </w:r>
      <w:r>
        <w:rPr>
          <w:color w:val="1F1F1F"/>
          <w:spacing w:val="-2"/>
          <w:w w:val="105"/>
        </w:rPr>
        <w:t xml:space="preserve"> </w:t>
      </w:r>
      <w:r>
        <w:rPr>
          <w:color w:val="1F1F1F"/>
          <w:w w:val="105"/>
        </w:rPr>
        <w:t>their</w:t>
      </w:r>
      <w:r>
        <w:rPr>
          <w:color w:val="1F1F1F"/>
          <w:spacing w:val="-9"/>
          <w:w w:val="105"/>
        </w:rPr>
        <w:t xml:space="preserve"> </w:t>
      </w:r>
      <w:r>
        <w:rPr>
          <w:color w:val="1F1F1F"/>
          <w:w w:val="105"/>
        </w:rPr>
        <w:t>way</w:t>
      </w:r>
      <w:r>
        <w:rPr>
          <w:color w:val="1F1F1F"/>
          <w:spacing w:val="-14"/>
          <w:w w:val="105"/>
        </w:rPr>
        <w:t xml:space="preserve"> </w:t>
      </w:r>
      <w:r>
        <w:rPr>
          <w:color w:val="1F1F1F"/>
          <w:w w:val="105"/>
        </w:rPr>
        <w:t>to</w:t>
      </w:r>
      <w:r>
        <w:rPr>
          <w:color w:val="1F1F1F"/>
          <w:spacing w:val="-4"/>
          <w:w w:val="105"/>
        </w:rPr>
        <w:t xml:space="preserve"> </w:t>
      </w:r>
      <w:r>
        <w:rPr>
          <w:color w:val="1F1F1F"/>
          <w:w w:val="105"/>
        </w:rPr>
        <w:t>recovery</w:t>
      </w:r>
      <w:r>
        <w:rPr>
          <w:color w:val="1F1F1F"/>
          <w:spacing w:val="-6"/>
          <w:w w:val="105"/>
        </w:rPr>
        <w:t xml:space="preserve"> </w:t>
      </w:r>
      <w:r>
        <w:rPr>
          <w:color w:val="1F1F1F"/>
          <w:w w:val="105"/>
        </w:rPr>
        <w:t>from</w:t>
      </w:r>
      <w:r>
        <w:rPr>
          <w:color w:val="1F1F1F"/>
          <w:spacing w:val="-8"/>
          <w:w w:val="105"/>
        </w:rPr>
        <w:t xml:space="preserve"> </w:t>
      </w:r>
      <w:r>
        <w:rPr>
          <w:color w:val="1F1F1F"/>
          <w:w w:val="105"/>
        </w:rPr>
        <w:t>addiction.</w:t>
      </w:r>
      <w:r>
        <w:rPr>
          <w:color w:val="1F1F1F"/>
          <w:spacing w:val="59"/>
          <w:w w:val="105"/>
        </w:rPr>
        <w:t xml:space="preserve"> </w:t>
      </w:r>
      <w:r>
        <w:rPr>
          <w:color w:val="1F1F1F"/>
          <w:w w:val="105"/>
        </w:rPr>
        <w:t>As</w:t>
      </w:r>
      <w:r>
        <w:rPr>
          <w:color w:val="1F1F1F"/>
          <w:spacing w:val="-15"/>
          <w:w w:val="105"/>
        </w:rPr>
        <w:t xml:space="preserve"> </w:t>
      </w:r>
      <w:r>
        <w:rPr>
          <w:color w:val="1F1F1F"/>
          <w:w w:val="105"/>
        </w:rPr>
        <w:t>the</w:t>
      </w:r>
      <w:r>
        <w:rPr>
          <w:color w:val="1F1F1F"/>
          <w:spacing w:val="-25"/>
          <w:w w:val="105"/>
        </w:rPr>
        <w:t xml:space="preserve"> </w:t>
      </w:r>
      <w:r>
        <w:rPr>
          <w:color w:val="1F1F1F"/>
          <w:w w:val="105"/>
        </w:rPr>
        <w:t xml:space="preserve">enrollee transitions to the Part D plan, the Trust wants to be able to continue the success with that enrollee, either through adopting the same </w:t>
      </w:r>
      <w:r>
        <w:rPr>
          <w:color w:val="1F1F1F"/>
          <w:spacing w:val="-3"/>
          <w:w w:val="105"/>
        </w:rPr>
        <w:t>lock</w:t>
      </w:r>
      <w:r>
        <w:rPr>
          <w:color w:val="3B3B3B"/>
          <w:spacing w:val="-3"/>
          <w:w w:val="105"/>
        </w:rPr>
        <w:t>-</w:t>
      </w:r>
      <w:r>
        <w:rPr>
          <w:color w:val="1F1F1F"/>
          <w:spacing w:val="-3"/>
          <w:w w:val="105"/>
        </w:rPr>
        <w:t xml:space="preserve">in </w:t>
      </w:r>
      <w:r>
        <w:rPr>
          <w:color w:val="1F1F1F"/>
          <w:w w:val="105"/>
        </w:rPr>
        <w:t>(which would be consistent for the enrollee) or by considering</w:t>
      </w:r>
      <w:r>
        <w:rPr>
          <w:color w:val="1F1F1F"/>
          <w:spacing w:val="7"/>
          <w:w w:val="105"/>
        </w:rPr>
        <w:t xml:space="preserve"> </w:t>
      </w:r>
      <w:r>
        <w:rPr>
          <w:color w:val="1F1F1F"/>
          <w:w w:val="105"/>
        </w:rPr>
        <w:t>the</w:t>
      </w:r>
      <w:r>
        <w:rPr>
          <w:color w:val="1F1F1F"/>
          <w:spacing w:val="-11"/>
          <w:w w:val="105"/>
        </w:rPr>
        <w:t xml:space="preserve"> </w:t>
      </w:r>
      <w:r>
        <w:rPr>
          <w:color w:val="1F1F1F"/>
          <w:w w:val="105"/>
        </w:rPr>
        <w:t>prior</w:t>
      </w:r>
      <w:r>
        <w:rPr>
          <w:color w:val="1F1F1F"/>
          <w:spacing w:val="-8"/>
          <w:w w:val="105"/>
        </w:rPr>
        <w:t xml:space="preserve"> </w:t>
      </w:r>
      <w:r>
        <w:rPr>
          <w:color w:val="1F1F1F"/>
          <w:w w:val="105"/>
        </w:rPr>
        <w:t>lock-in</w:t>
      </w:r>
      <w:r>
        <w:rPr>
          <w:color w:val="1F1F1F"/>
          <w:spacing w:val="-8"/>
          <w:w w:val="105"/>
        </w:rPr>
        <w:t xml:space="preserve"> </w:t>
      </w:r>
      <w:r>
        <w:rPr>
          <w:color w:val="1F1F1F"/>
          <w:w w:val="105"/>
        </w:rPr>
        <w:t>as</w:t>
      </w:r>
      <w:r>
        <w:rPr>
          <w:color w:val="1F1F1F"/>
          <w:spacing w:val="7"/>
          <w:w w:val="105"/>
        </w:rPr>
        <w:t xml:space="preserve"> </w:t>
      </w:r>
      <w:r>
        <w:rPr>
          <w:color w:val="1F1F1F"/>
          <w:w w:val="105"/>
        </w:rPr>
        <w:t>part</w:t>
      </w:r>
      <w:r>
        <w:rPr>
          <w:color w:val="1F1F1F"/>
          <w:spacing w:val="-15"/>
          <w:w w:val="105"/>
        </w:rPr>
        <w:t xml:space="preserve"> </w:t>
      </w:r>
      <w:r>
        <w:rPr>
          <w:color w:val="1F1F1F"/>
          <w:w w:val="105"/>
        </w:rPr>
        <w:t>of</w:t>
      </w:r>
      <w:r>
        <w:rPr>
          <w:color w:val="1F1F1F"/>
          <w:spacing w:val="-12"/>
          <w:w w:val="105"/>
        </w:rPr>
        <w:t xml:space="preserve"> </w:t>
      </w:r>
      <w:r>
        <w:rPr>
          <w:color w:val="1F1F1F"/>
          <w:w w:val="105"/>
        </w:rPr>
        <w:t>a</w:t>
      </w:r>
      <w:r>
        <w:rPr>
          <w:color w:val="1F1F1F"/>
          <w:spacing w:val="-2"/>
          <w:w w:val="105"/>
        </w:rPr>
        <w:t xml:space="preserve"> </w:t>
      </w:r>
      <w:r>
        <w:rPr>
          <w:color w:val="1F1F1F"/>
          <w:w w:val="105"/>
        </w:rPr>
        <w:t>new</w:t>
      </w:r>
      <w:r>
        <w:rPr>
          <w:color w:val="1F1F1F"/>
          <w:spacing w:val="-15"/>
          <w:w w:val="105"/>
        </w:rPr>
        <w:t xml:space="preserve"> </w:t>
      </w:r>
      <w:r>
        <w:rPr>
          <w:color w:val="1F1F1F"/>
          <w:w w:val="105"/>
        </w:rPr>
        <w:t>deter</w:t>
      </w:r>
      <w:r>
        <w:rPr>
          <w:color w:val="1F1F1F"/>
          <w:w w:val="105"/>
        </w:rPr>
        <w:t>mination.</w:t>
      </w:r>
    </w:p>
    <w:p w:rsidR="00F27392" w:rsidRDefault="00F27392">
      <w:pPr>
        <w:pStyle w:val="BodyText"/>
        <w:spacing w:before="4"/>
      </w:pPr>
    </w:p>
    <w:p w:rsidR="00F27392" w:rsidRDefault="000877A0">
      <w:pPr>
        <w:pStyle w:val="BodyText"/>
        <w:ind w:left="119"/>
      </w:pPr>
      <w:r>
        <w:rPr>
          <w:color w:val="1F1F1F"/>
          <w:w w:val="105"/>
          <w:u w:val="thick" w:color="000000"/>
        </w:rPr>
        <w:t>Chan</w:t>
      </w:r>
      <w:r>
        <w:rPr>
          <w:color w:val="3B3B3B"/>
          <w:w w:val="105"/>
          <w:u w:val="thick" w:color="000000"/>
        </w:rPr>
        <w:t>g</w:t>
      </w:r>
      <w:r>
        <w:rPr>
          <w:color w:val="1F1F1F"/>
          <w:w w:val="105"/>
          <w:u w:val="thick" w:color="000000"/>
        </w:rPr>
        <w:t>es for Manufacturer Rebates and Pharmac</w:t>
      </w:r>
      <w:r>
        <w:rPr>
          <w:color w:val="3B3B3B"/>
          <w:w w:val="105"/>
          <w:u w:val="thick" w:color="000000"/>
        </w:rPr>
        <w:t xml:space="preserve">y </w:t>
      </w:r>
      <w:r>
        <w:rPr>
          <w:color w:val="1F1F1F"/>
          <w:w w:val="105"/>
          <w:u w:val="thick" w:color="000000"/>
        </w:rPr>
        <w:t>Price Concessions at Point-of-Sale</w:t>
      </w:r>
    </w:p>
    <w:p w:rsidR="00F27392" w:rsidRDefault="000877A0">
      <w:pPr>
        <w:pStyle w:val="BodyText"/>
        <w:spacing w:before="6" w:line="247" w:lineRule="auto"/>
        <w:ind w:left="119" w:right="97" w:firstLine="6"/>
      </w:pPr>
      <w:r>
        <w:rPr>
          <w:color w:val="1F1F1F"/>
          <w:w w:val="105"/>
        </w:rPr>
        <w:t>CMS has called for comments from EGWP about the discussed changes to manufacturer rebates and pharmacy price concessions</w:t>
      </w:r>
      <w:r>
        <w:rPr>
          <w:color w:val="3B3B3B"/>
          <w:w w:val="105"/>
        </w:rPr>
        <w:t xml:space="preserve">. </w:t>
      </w:r>
      <w:r>
        <w:rPr>
          <w:color w:val="1F1F1F"/>
          <w:w w:val="105"/>
        </w:rPr>
        <w:t>As the (in ERISA terms</w:t>
      </w:r>
      <w:r>
        <w:rPr>
          <w:color w:val="4B4B4B"/>
          <w:w w:val="105"/>
        </w:rPr>
        <w:t xml:space="preserve">) </w:t>
      </w:r>
      <w:r>
        <w:rPr>
          <w:color w:val="1F1F1F"/>
          <w:w w:val="105"/>
        </w:rPr>
        <w:t>sponsor of a large Part D EGWP, the Trust wants to respond to this call. However, due to the complexity of described changes, the Trust is uncertain about the impact at this time. The Trust urges CMS to delay any ultimate implementation of changes until fu</w:t>
      </w:r>
      <w:r>
        <w:rPr>
          <w:color w:val="1F1F1F"/>
          <w:w w:val="105"/>
        </w:rPr>
        <w:t>rther analysis by both CMS and by relevant stakeholder</w:t>
      </w:r>
      <w:r>
        <w:rPr>
          <w:color w:val="3B3B3B"/>
          <w:w w:val="105"/>
        </w:rPr>
        <w:t xml:space="preserve">s </w:t>
      </w:r>
      <w:r>
        <w:rPr>
          <w:color w:val="1F1F1F"/>
          <w:w w:val="105"/>
        </w:rPr>
        <w:t>can be completed. The Trust urges CMS to conduct an analysis of the impact of the rebate and price concession changes it is contemplating on the trends that CMS has noted, and an analysis of the impac</w:t>
      </w:r>
      <w:r>
        <w:rPr>
          <w:color w:val="1F1F1F"/>
          <w:w w:val="105"/>
        </w:rPr>
        <w:t>t on beneficiaries as a result of moving through the coverage phases more slowly.</w:t>
      </w:r>
    </w:p>
    <w:p w:rsidR="00F27392" w:rsidRDefault="00F27392">
      <w:pPr>
        <w:pStyle w:val="BodyText"/>
        <w:spacing w:before="1"/>
        <w:rPr>
          <w:sz w:val="24"/>
        </w:rPr>
      </w:pPr>
    </w:p>
    <w:p w:rsidR="00F27392" w:rsidRDefault="000877A0">
      <w:pPr>
        <w:pStyle w:val="BodyText"/>
        <w:ind w:left="121"/>
      </w:pPr>
      <w:r>
        <w:rPr>
          <w:color w:val="1F1F1F"/>
          <w:w w:val="105"/>
          <w:u w:val="single" w:color="000000"/>
        </w:rPr>
        <w:t>In</w:t>
      </w:r>
      <w:r>
        <w:rPr>
          <w:color w:val="1F1F1F"/>
          <w:w w:val="105"/>
        </w:rPr>
        <w:t>troduction of the Preclusion List</w:t>
      </w:r>
    </w:p>
    <w:p w:rsidR="00F27392" w:rsidRDefault="000877A0">
      <w:pPr>
        <w:pStyle w:val="BodyText"/>
        <w:spacing w:before="13"/>
        <w:ind w:left="119" w:right="97" w:firstLine="1"/>
      </w:pPr>
      <w:r>
        <w:rPr>
          <w:color w:val="1F1F1F"/>
          <w:w w:val="105"/>
        </w:rPr>
        <w:t>The</w:t>
      </w:r>
      <w:r>
        <w:rPr>
          <w:color w:val="1F1F1F"/>
          <w:spacing w:val="-24"/>
          <w:w w:val="105"/>
        </w:rPr>
        <w:t xml:space="preserve"> </w:t>
      </w:r>
      <w:r>
        <w:rPr>
          <w:color w:val="1F1F1F"/>
          <w:w w:val="105"/>
        </w:rPr>
        <w:t>Trust</w:t>
      </w:r>
      <w:r>
        <w:rPr>
          <w:color w:val="1F1F1F"/>
          <w:spacing w:val="2"/>
          <w:w w:val="105"/>
        </w:rPr>
        <w:t xml:space="preserve"> </w:t>
      </w:r>
      <w:r>
        <w:rPr>
          <w:color w:val="1F1F1F"/>
          <w:w w:val="105"/>
        </w:rPr>
        <w:t>is</w:t>
      </w:r>
      <w:r>
        <w:rPr>
          <w:color w:val="1F1F1F"/>
          <w:spacing w:val="-8"/>
          <w:w w:val="105"/>
        </w:rPr>
        <w:t xml:space="preserve"> </w:t>
      </w:r>
      <w:r>
        <w:rPr>
          <w:color w:val="1F1F1F"/>
          <w:w w:val="105"/>
        </w:rPr>
        <w:t>generally</w:t>
      </w:r>
      <w:r>
        <w:rPr>
          <w:color w:val="1F1F1F"/>
          <w:spacing w:val="-13"/>
          <w:w w:val="105"/>
        </w:rPr>
        <w:t xml:space="preserve"> </w:t>
      </w:r>
      <w:r>
        <w:rPr>
          <w:color w:val="1F1F1F"/>
          <w:w w:val="105"/>
        </w:rPr>
        <w:t>supportive</w:t>
      </w:r>
      <w:r>
        <w:rPr>
          <w:color w:val="1F1F1F"/>
          <w:spacing w:val="-6"/>
          <w:w w:val="105"/>
        </w:rPr>
        <w:t xml:space="preserve"> </w:t>
      </w:r>
      <w:r>
        <w:rPr>
          <w:color w:val="1F1F1F"/>
          <w:w w:val="105"/>
        </w:rPr>
        <w:t>of</w:t>
      </w:r>
      <w:r>
        <w:rPr>
          <w:color w:val="1F1F1F"/>
          <w:spacing w:val="-7"/>
          <w:w w:val="105"/>
        </w:rPr>
        <w:t xml:space="preserve"> </w:t>
      </w:r>
      <w:r>
        <w:rPr>
          <w:color w:val="1F1F1F"/>
          <w:w w:val="105"/>
        </w:rPr>
        <w:t>the</w:t>
      </w:r>
      <w:r>
        <w:rPr>
          <w:color w:val="1F1F1F"/>
          <w:spacing w:val="-17"/>
          <w:w w:val="105"/>
        </w:rPr>
        <w:t xml:space="preserve"> </w:t>
      </w:r>
      <w:r>
        <w:rPr>
          <w:color w:val="1F1F1F"/>
          <w:w w:val="105"/>
        </w:rPr>
        <w:t>introduction</w:t>
      </w:r>
      <w:r>
        <w:rPr>
          <w:color w:val="1F1F1F"/>
          <w:spacing w:val="-3"/>
          <w:w w:val="105"/>
        </w:rPr>
        <w:t xml:space="preserve"> </w:t>
      </w:r>
      <w:r>
        <w:rPr>
          <w:color w:val="1F1F1F"/>
          <w:w w:val="105"/>
        </w:rPr>
        <w:t>and</w:t>
      </w:r>
      <w:r>
        <w:rPr>
          <w:color w:val="1F1F1F"/>
          <w:spacing w:val="-7"/>
          <w:w w:val="105"/>
        </w:rPr>
        <w:t xml:space="preserve"> </w:t>
      </w:r>
      <w:r>
        <w:rPr>
          <w:color w:val="1F1F1F"/>
          <w:w w:val="105"/>
        </w:rPr>
        <w:t>proposed use</w:t>
      </w:r>
      <w:r>
        <w:rPr>
          <w:color w:val="1F1F1F"/>
          <w:spacing w:val="-24"/>
          <w:w w:val="105"/>
        </w:rPr>
        <w:t xml:space="preserve"> </w:t>
      </w:r>
      <w:r>
        <w:rPr>
          <w:color w:val="1F1F1F"/>
          <w:w w:val="105"/>
        </w:rPr>
        <w:t>of</w:t>
      </w:r>
      <w:r>
        <w:rPr>
          <w:color w:val="1F1F1F"/>
          <w:spacing w:val="7"/>
          <w:w w:val="105"/>
        </w:rPr>
        <w:t xml:space="preserve"> </w:t>
      </w:r>
      <w:r>
        <w:rPr>
          <w:color w:val="1F1F1F"/>
          <w:w w:val="105"/>
        </w:rPr>
        <w:t>the</w:t>
      </w:r>
      <w:r>
        <w:rPr>
          <w:color w:val="1F1F1F"/>
          <w:spacing w:val="-30"/>
          <w:w w:val="105"/>
        </w:rPr>
        <w:t xml:space="preserve"> </w:t>
      </w:r>
      <w:r>
        <w:rPr>
          <w:color w:val="1F1F1F"/>
          <w:w w:val="105"/>
        </w:rPr>
        <w:t>"preclusion</w:t>
      </w:r>
      <w:r>
        <w:rPr>
          <w:color w:val="1F1F1F"/>
          <w:spacing w:val="13"/>
          <w:w w:val="105"/>
        </w:rPr>
        <w:t xml:space="preserve"> </w:t>
      </w:r>
      <w:r>
        <w:rPr>
          <w:color w:val="1F1F1F"/>
          <w:w w:val="105"/>
        </w:rPr>
        <w:t>list</w:t>
      </w:r>
      <w:r>
        <w:rPr>
          <w:color w:val="3B3B3B"/>
          <w:w w:val="105"/>
        </w:rPr>
        <w:t>"</w:t>
      </w:r>
      <w:r>
        <w:rPr>
          <w:color w:val="3B3B3B"/>
          <w:spacing w:val="18"/>
          <w:w w:val="105"/>
        </w:rPr>
        <w:t xml:space="preserve"> </w:t>
      </w:r>
      <w:r>
        <w:rPr>
          <w:color w:val="1F1F1F"/>
          <w:w w:val="105"/>
        </w:rPr>
        <w:t>in</w:t>
      </w:r>
      <w:r>
        <w:rPr>
          <w:color w:val="1F1F1F"/>
          <w:spacing w:val="-10"/>
          <w:w w:val="105"/>
        </w:rPr>
        <w:t xml:space="preserve"> </w:t>
      </w:r>
      <w:r>
        <w:rPr>
          <w:color w:val="1F1F1F"/>
          <w:w w:val="105"/>
        </w:rPr>
        <w:t>MA and Part D. The Trust appreciates that CMS plans to retain the provisional period as part of the restrictions</w:t>
      </w:r>
      <w:r>
        <w:rPr>
          <w:color w:val="1F1F1F"/>
          <w:spacing w:val="-15"/>
          <w:w w:val="105"/>
        </w:rPr>
        <w:t xml:space="preserve"> </w:t>
      </w:r>
      <w:r>
        <w:rPr>
          <w:color w:val="1F1F1F"/>
          <w:w w:val="105"/>
        </w:rPr>
        <w:t>on</w:t>
      </w:r>
      <w:r>
        <w:rPr>
          <w:color w:val="1F1F1F"/>
          <w:spacing w:val="7"/>
          <w:w w:val="105"/>
        </w:rPr>
        <w:t xml:space="preserve"> </w:t>
      </w:r>
      <w:r>
        <w:rPr>
          <w:color w:val="1F1F1F"/>
          <w:w w:val="105"/>
        </w:rPr>
        <w:t>prescribers</w:t>
      </w:r>
      <w:r>
        <w:rPr>
          <w:color w:val="1F1F1F"/>
          <w:spacing w:val="-2"/>
          <w:w w:val="105"/>
        </w:rPr>
        <w:t xml:space="preserve"> </w:t>
      </w:r>
      <w:r>
        <w:rPr>
          <w:color w:val="1F1F1F"/>
          <w:w w:val="105"/>
        </w:rPr>
        <w:t>appearing</w:t>
      </w:r>
      <w:r>
        <w:rPr>
          <w:color w:val="1F1F1F"/>
          <w:spacing w:val="-4"/>
          <w:w w:val="105"/>
        </w:rPr>
        <w:t xml:space="preserve"> </w:t>
      </w:r>
      <w:r>
        <w:rPr>
          <w:color w:val="1F1F1F"/>
          <w:w w:val="105"/>
        </w:rPr>
        <w:t>on</w:t>
      </w:r>
      <w:r>
        <w:rPr>
          <w:color w:val="1F1F1F"/>
          <w:spacing w:val="-8"/>
          <w:w w:val="105"/>
        </w:rPr>
        <w:t xml:space="preserve"> </w:t>
      </w:r>
      <w:r>
        <w:rPr>
          <w:color w:val="1F1F1F"/>
          <w:w w:val="105"/>
        </w:rPr>
        <w:t>the</w:t>
      </w:r>
      <w:r>
        <w:rPr>
          <w:color w:val="1F1F1F"/>
          <w:spacing w:val="-15"/>
          <w:w w:val="105"/>
        </w:rPr>
        <w:t xml:space="preserve"> </w:t>
      </w:r>
      <w:r>
        <w:rPr>
          <w:color w:val="1F1F1F"/>
          <w:w w:val="105"/>
        </w:rPr>
        <w:t>preclusion list</w:t>
      </w:r>
      <w:r>
        <w:rPr>
          <w:color w:val="4B4B4B"/>
          <w:w w:val="105"/>
        </w:rPr>
        <w:t>,</w:t>
      </w:r>
      <w:r>
        <w:rPr>
          <w:color w:val="4B4B4B"/>
          <w:spacing w:val="-10"/>
          <w:w w:val="105"/>
        </w:rPr>
        <w:t xml:space="preserve"> </w:t>
      </w:r>
      <w:r>
        <w:rPr>
          <w:color w:val="1F1F1F"/>
          <w:w w:val="105"/>
        </w:rPr>
        <w:t>as</w:t>
      </w:r>
      <w:r>
        <w:rPr>
          <w:color w:val="1F1F1F"/>
          <w:spacing w:val="-26"/>
          <w:w w:val="105"/>
        </w:rPr>
        <w:t xml:space="preserve"> </w:t>
      </w:r>
      <w:r>
        <w:rPr>
          <w:color w:val="1F1F1F"/>
          <w:w w:val="105"/>
        </w:rPr>
        <w:t>it</w:t>
      </w:r>
      <w:r>
        <w:rPr>
          <w:color w:val="1F1F1F"/>
          <w:spacing w:val="-8"/>
          <w:w w:val="105"/>
        </w:rPr>
        <w:t xml:space="preserve"> </w:t>
      </w:r>
      <w:r>
        <w:rPr>
          <w:color w:val="1F1F1F"/>
          <w:w w:val="105"/>
        </w:rPr>
        <w:t>will</w:t>
      </w:r>
      <w:r>
        <w:rPr>
          <w:color w:val="1F1F1F"/>
          <w:spacing w:val="-15"/>
          <w:w w:val="105"/>
        </w:rPr>
        <w:t xml:space="preserve"> </w:t>
      </w:r>
      <w:r>
        <w:rPr>
          <w:color w:val="1F1F1F"/>
          <w:w w:val="105"/>
        </w:rPr>
        <w:t>ensure</w:t>
      </w:r>
      <w:r>
        <w:rPr>
          <w:color w:val="1F1F1F"/>
          <w:spacing w:val="-18"/>
          <w:w w:val="105"/>
        </w:rPr>
        <w:t xml:space="preserve"> </w:t>
      </w:r>
      <w:r>
        <w:rPr>
          <w:color w:val="1F1F1F"/>
          <w:w w:val="105"/>
        </w:rPr>
        <w:t>that</w:t>
      </w:r>
      <w:r>
        <w:rPr>
          <w:color w:val="1F1F1F"/>
          <w:spacing w:val="-12"/>
          <w:w w:val="105"/>
        </w:rPr>
        <w:t xml:space="preserve"> </w:t>
      </w:r>
      <w:r>
        <w:rPr>
          <w:color w:val="1F1F1F"/>
          <w:w w:val="105"/>
        </w:rPr>
        <w:t>the</w:t>
      </w:r>
      <w:r>
        <w:rPr>
          <w:color w:val="1F1F1F"/>
          <w:spacing w:val="-9"/>
          <w:w w:val="105"/>
        </w:rPr>
        <w:t xml:space="preserve"> </w:t>
      </w:r>
      <w:r>
        <w:rPr>
          <w:color w:val="1F1F1F"/>
          <w:w w:val="105"/>
        </w:rPr>
        <w:t>beneficiaries</w:t>
      </w:r>
      <w:r>
        <w:rPr>
          <w:color w:val="1F1F1F"/>
          <w:spacing w:val="4"/>
          <w:w w:val="105"/>
        </w:rPr>
        <w:t xml:space="preserve"> </w:t>
      </w:r>
      <w:r>
        <w:rPr>
          <w:color w:val="1F1F1F"/>
          <w:w w:val="105"/>
        </w:rPr>
        <w:t xml:space="preserve">have access to needed medications. </w:t>
      </w:r>
      <w:r>
        <w:rPr>
          <w:color w:val="1F1F1F"/>
          <w:w w:val="105"/>
          <w:sz w:val="25"/>
        </w:rPr>
        <w:t xml:space="preserve">In </w:t>
      </w:r>
      <w:r>
        <w:rPr>
          <w:color w:val="1F1F1F"/>
          <w:w w:val="105"/>
        </w:rPr>
        <w:t>implementing the preclusion list, the beneficiary should be held harmless (unless</w:t>
      </w:r>
      <w:r>
        <w:rPr>
          <w:color w:val="1F1F1F"/>
          <w:spacing w:val="-4"/>
          <w:w w:val="105"/>
        </w:rPr>
        <w:t xml:space="preserve"> </w:t>
      </w:r>
      <w:r>
        <w:rPr>
          <w:color w:val="1F1F1F"/>
          <w:w w:val="105"/>
        </w:rPr>
        <w:t>they</w:t>
      </w:r>
      <w:r>
        <w:rPr>
          <w:color w:val="1F1F1F"/>
          <w:spacing w:val="-10"/>
          <w:w w:val="105"/>
        </w:rPr>
        <w:t xml:space="preserve"> </w:t>
      </w:r>
      <w:r>
        <w:rPr>
          <w:color w:val="1F1F1F"/>
          <w:w w:val="105"/>
        </w:rPr>
        <w:t>too</w:t>
      </w:r>
      <w:r>
        <w:rPr>
          <w:color w:val="1F1F1F"/>
          <w:spacing w:val="-5"/>
          <w:w w:val="105"/>
        </w:rPr>
        <w:t xml:space="preserve"> </w:t>
      </w:r>
      <w:r>
        <w:rPr>
          <w:color w:val="1F1F1F"/>
          <w:w w:val="105"/>
        </w:rPr>
        <w:t>have</w:t>
      </w:r>
      <w:r>
        <w:rPr>
          <w:color w:val="1F1F1F"/>
          <w:spacing w:val="-22"/>
          <w:w w:val="105"/>
        </w:rPr>
        <w:t xml:space="preserve"> </w:t>
      </w:r>
      <w:r>
        <w:rPr>
          <w:color w:val="1F1F1F"/>
          <w:w w:val="105"/>
        </w:rPr>
        <w:t>committed</w:t>
      </w:r>
      <w:r>
        <w:rPr>
          <w:color w:val="1F1F1F"/>
          <w:spacing w:val="-4"/>
          <w:w w:val="105"/>
        </w:rPr>
        <w:t xml:space="preserve"> </w:t>
      </w:r>
      <w:r>
        <w:rPr>
          <w:color w:val="1F1F1F"/>
          <w:w w:val="105"/>
        </w:rPr>
        <w:t>some</w:t>
      </w:r>
      <w:r>
        <w:rPr>
          <w:color w:val="1F1F1F"/>
          <w:spacing w:val="-9"/>
          <w:w w:val="105"/>
        </w:rPr>
        <w:t xml:space="preserve"> </w:t>
      </w:r>
      <w:r>
        <w:rPr>
          <w:color w:val="1F1F1F"/>
          <w:w w:val="105"/>
        </w:rPr>
        <w:t>manner</w:t>
      </w:r>
      <w:r>
        <w:rPr>
          <w:color w:val="1F1F1F"/>
          <w:spacing w:val="-9"/>
          <w:w w:val="105"/>
        </w:rPr>
        <w:t xml:space="preserve"> </w:t>
      </w:r>
      <w:r>
        <w:rPr>
          <w:color w:val="1F1F1F"/>
          <w:w w:val="105"/>
        </w:rPr>
        <w:t>of</w:t>
      </w:r>
      <w:r>
        <w:rPr>
          <w:color w:val="1F1F1F"/>
          <w:spacing w:val="-17"/>
          <w:w w:val="105"/>
        </w:rPr>
        <w:t xml:space="preserve"> </w:t>
      </w:r>
      <w:r>
        <w:rPr>
          <w:color w:val="1F1F1F"/>
          <w:w w:val="105"/>
        </w:rPr>
        <w:t>fraud).</w:t>
      </w:r>
    </w:p>
    <w:p w:rsidR="00F27392" w:rsidRDefault="00F27392">
      <w:pPr>
        <w:pStyle w:val="BodyText"/>
        <w:spacing w:before="4"/>
        <w:rPr>
          <w:sz w:val="25"/>
        </w:rPr>
      </w:pPr>
    </w:p>
    <w:p w:rsidR="00F27392" w:rsidRDefault="000877A0">
      <w:pPr>
        <w:pStyle w:val="BodyText"/>
        <w:spacing w:line="247" w:lineRule="auto"/>
        <w:ind w:left="120" w:right="95" w:firstLine="3"/>
      </w:pPr>
      <w:r>
        <w:rPr>
          <w:color w:val="1F1F1F"/>
          <w:w w:val="105"/>
        </w:rPr>
        <w:t>Because of concerns for the beneficiaries</w:t>
      </w:r>
      <w:r>
        <w:rPr>
          <w:color w:val="3B3B3B"/>
          <w:w w:val="105"/>
        </w:rPr>
        <w:t xml:space="preserve">, </w:t>
      </w:r>
      <w:r>
        <w:rPr>
          <w:color w:val="1F1F1F"/>
          <w:w w:val="105"/>
        </w:rPr>
        <w:t xml:space="preserve">the Trust has a few </w:t>
      </w:r>
      <w:r>
        <w:rPr>
          <w:color w:val="3B3B3B"/>
          <w:w w:val="105"/>
        </w:rPr>
        <w:t>s</w:t>
      </w:r>
      <w:r>
        <w:rPr>
          <w:color w:val="1F1F1F"/>
          <w:w w:val="105"/>
        </w:rPr>
        <w:t>uggestions on certain parts of the proposed preclusion list ru</w:t>
      </w:r>
      <w:r>
        <w:rPr>
          <w:color w:val="1F1F1F"/>
          <w:w w:val="105"/>
        </w:rPr>
        <w:t xml:space="preserve">les.  First, in reinstituting the requirement for a valid NPI on drug claims, the Trust </w:t>
      </w:r>
      <w:r>
        <w:rPr>
          <w:color w:val="1F1F1F"/>
          <w:spacing w:val="-3"/>
          <w:w w:val="105"/>
        </w:rPr>
        <w:t>request</w:t>
      </w:r>
      <w:r>
        <w:rPr>
          <w:color w:val="3B3B3B"/>
          <w:spacing w:val="-3"/>
          <w:w w:val="105"/>
        </w:rPr>
        <w:t xml:space="preserve">s </w:t>
      </w:r>
      <w:r>
        <w:rPr>
          <w:color w:val="1F1F1F"/>
          <w:spacing w:val="-3"/>
          <w:w w:val="105"/>
        </w:rPr>
        <w:t>that</w:t>
      </w:r>
      <w:r>
        <w:rPr>
          <w:color w:val="1F1F1F"/>
          <w:w w:val="105"/>
        </w:rPr>
        <w:t xml:space="preserve"> CMS ensure that the beneficiary </w:t>
      </w:r>
      <w:r>
        <w:rPr>
          <w:color w:val="1F1F1F"/>
          <w:spacing w:val="-3"/>
          <w:w w:val="105"/>
        </w:rPr>
        <w:t>i</w:t>
      </w:r>
      <w:r>
        <w:rPr>
          <w:color w:val="3B3B3B"/>
          <w:spacing w:val="-3"/>
          <w:w w:val="105"/>
        </w:rPr>
        <w:t xml:space="preserve">s </w:t>
      </w:r>
      <w:r>
        <w:rPr>
          <w:color w:val="1F1F1F"/>
          <w:w w:val="105"/>
        </w:rPr>
        <w:t>not held responsible for the price of the drug in the event of an invalid NPI.</w:t>
      </w:r>
    </w:p>
    <w:p w:rsidR="00F27392" w:rsidRDefault="00F27392">
      <w:pPr>
        <w:pStyle w:val="BodyText"/>
        <w:spacing w:before="1"/>
        <w:rPr>
          <w:sz w:val="24"/>
        </w:rPr>
      </w:pPr>
    </w:p>
    <w:p w:rsidR="00F27392" w:rsidRDefault="000877A0">
      <w:pPr>
        <w:pStyle w:val="BodyText"/>
        <w:spacing w:line="249" w:lineRule="auto"/>
        <w:ind w:left="124" w:right="63" w:hanging="11"/>
      </w:pPr>
      <w:r>
        <w:rPr>
          <w:color w:val="1F1F1F"/>
          <w:w w:val="105"/>
        </w:rPr>
        <w:t xml:space="preserve">Second, in implementing the preclusion </w:t>
      </w:r>
      <w:r>
        <w:rPr>
          <w:color w:val="1F1F1F"/>
          <w:w w:val="105"/>
        </w:rPr>
        <w:t>list in MA</w:t>
      </w:r>
      <w:r>
        <w:rPr>
          <w:color w:val="3B3B3B"/>
          <w:w w:val="105"/>
        </w:rPr>
        <w:t xml:space="preserve">, </w:t>
      </w:r>
      <w:r>
        <w:rPr>
          <w:color w:val="1F1F1F"/>
          <w:w w:val="105"/>
        </w:rPr>
        <w:t>CMS has proposed to remove the requirement that MA plans ensure that all providers of services covered under Parts A and B of Medicare be enrolled with Medicare as a provider</w:t>
      </w:r>
      <w:r>
        <w:rPr>
          <w:color w:val="3B3B3B"/>
          <w:w w:val="105"/>
        </w:rPr>
        <w:t xml:space="preserve">. </w:t>
      </w:r>
      <w:r>
        <w:rPr>
          <w:color w:val="1F1F1F"/>
          <w:w w:val="105"/>
        </w:rPr>
        <w:t>This requirement is not mutually exclusive with the preclusion list,</w:t>
      </w:r>
      <w:r>
        <w:rPr>
          <w:color w:val="1F1F1F"/>
          <w:w w:val="105"/>
        </w:rPr>
        <w:t xml:space="preserve"> however. The Trust i</w:t>
      </w:r>
      <w:r>
        <w:rPr>
          <w:color w:val="3B3B3B"/>
          <w:w w:val="105"/>
        </w:rPr>
        <w:t xml:space="preserve">s </w:t>
      </w:r>
      <w:r>
        <w:rPr>
          <w:color w:val="1F1F1F"/>
          <w:w w:val="105"/>
        </w:rPr>
        <w:t xml:space="preserve">supportive of the prohibition against </w:t>
      </w:r>
      <w:r>
        <w:rPr>
          <w:color w:val="3B3B3B"/>
          <w:w w:val="105"/>
        </w:rPr>
        <w:t>c</w:t>
      </w:r>
      <w:r>
        <w:rPr>
          <w:color w:val="1F1F1F"/>
          <w:w w:val="105"/>
        </w:rPr>
        <w:t>overing any provider cl</w:t>
      </w:r>
      <w:r>
        <w:rPr>
          <w:color w:val="3B3B3B"/>
          <w:w w:val="105"/>
        </w:rPr>
        <w:t>a</w:t>
      </w:r>
      <w:r>
        <w:rPr>
          <w:color w:val="1F1F1F"/>
          <w:w w:val="105"/>
        </w:rPr>
        <w:t>ims coming fr</w:t>
      </w:r>
      <w:r>
        <w:rPr>
          <w:color w:val="3B3B3B"/>
          <w:w w:val="105"/>
        </w:rPr>
        <w:t>o</w:t>
      </w:r>
      <w:r>
        <w:rPr>
          <w:color w:val="1F1F1F"/>
          <w:w w:val="105"/>
        </w:rPr>
        <w:t>m</w:t>
      </w:r>
    </w:p>
    <w:p w:rsidR="00F27392" w:rsidRDefault="00F27392">
      <w:pPr>
        <w:spacing w:line="249" w:lineRule="auto"/>
        <w:sectPr w:rsidR="00F27392">
          <w:footerReference w:type="default" r:id="rId6"/>
          <w:pgSz w:w="12240" w:h="15840"/>
          <w:pgMar w:top="1320" w:right="1400" w:bottom="900" w:left="740" w:header="0" w:footer="708" w:gutter="0"/>
          <w:pgNumType w:start="2"/>
          <w:cols w:space="720"/>
        </w:sectPr>
      </w:pPr>
    </w:p>
    <w:p w:rsidR="00F27392" w:rsidRDefault="000877A0">
      <w:pPr>
        <w:pStyle w:val="BodyText"/>
        <w:spacing w:before="79" w:line="249" w:lineRule="auto"/>
        <w:ind w:left="855" w:right="111" w:firstLine="23"/>
      </w:pPr>
      <w:bookmarkStart w:id="0" w:name="_GoBack"/>
      <w:r>
        <w:lastRenderedPageBreak/>
        <w:pict>
          <v:line id="_x0000_s1026" style="position:absolute;left:0;text-align:left;z-index:251659264;mso-position-horizontal-relative:page;mso-position-vertical-relative:page" from="3.6pt,784.8pt" to="67.7pt,784.8pt" strokecolor="#b3b3b3" strokeweight="1.44pt">
            <w10:wrap anchorx="page" anchory="page"/>
          </v:line>
        </w:pict>
      </w:r>
      <w:r>
        <w:rPr>
          <w:color w:val="131313"/>
          <w:w w:val="105"/>
        </w:rPr>
        <w:t>providers on the preclusion list. Yet, the Trust is concerned that removal of the provider enrollment requirement from MA creates the opportunity for beneficiary disruption. In several different circumstances, an MA enrollee is able to disenroll from the M</w:t>
      </w:r>
      <w:r>
        <w:rPr>
          <w:color w:val="131313"/>
          <w:w w:val="105"/>
        </w:rPr>
        <w:t>A plan back to Original Medicare. With the provider enrollment requirement, the beneficiary would not experience any loss of continuity of care from that change for covered A and B services. However, without that requirement, disruption would be now possib</w:t>
      </w:r>
      <w:r>
        <w:rPr>
          <w:color w:val="131313"/>
          <w:w w:val="105"/>
        </w:rPr>
        <w:t>le for any beneficiary moving from MA to Original Medicare.</w:t>
      </w:r>
    </w:p>
    <w:p w:rsidR="00F27392" w:rsidRDefault="00F27392">
      <w:pPr>
        <w:pStyle w:val="BodyText"/>
        <w:spacing w:before="4"/>
        <w:rPr>
          <w:sz w:val="22"/>
        </w:rPr>
      </w:pPr>
    </w:p>
    <w:p w:rsidR="00F27392" w:rsidRDefault="000877A0">
      <w:pPr>
        <w:pStyle w:val="BodyText"/>
        <w:ind w:left="849"/>
      </w:pPr>
      <w:r>
        <w:rPr>
          <w:color w:val="131313"/>
          <w:w w:val="105"/>
          <w:u w:val="thick" w:color="000000"/>
        </w:rPr>
        <w:t>"Marketing" Definition Change</w:t>
      </w:r>
    </w:p>
    <w:p w:rsidR="00F27392" w:rsidRDefault="000877A0">
      <w:pPr>
        <w:pStyle w:val="BodyText"/>
        <w:spacing w:before="39" w:line="237" w:lineRule="auto"/>
        <w:ind w:left="834" w:right="111" w:firstLine="8"/>
      </w:pPr>
      <w:r>
        <w:rPr>
          <w:color w:val="131313"/>
          <w:w w:val="105"/>
        </w:rPr>
        <w:t>The Trust supports the proposed change to the definition of "marketing" and the introduction of "communication" as the overarching category. This change is logical a</w:t>
      </w:r>
      <w:r>
        <w:rPr>
          <w:color w:val="131313"/>
          <w:w w:val="105"/>
        </w:rPr>
        <w:t>nd aligns "marketing" closer to its lay sense.</w:t>
      </w:r>
    </w:p>
    <w:p w:rsidR="00F27392" w:rsidRDefault="00F27392">
      <w:pPr>
        <w:pStyle w:val="BodyText"/>
        <w:spacing w:before="5"/>
        <w:rPr>
          <w:sz w:val="26"/>
        </w:rPr>
      </w:pPr>
    </w:p>
    <w:p w:rsidR="00F27392" w:rsidRDefault="000877A0">
      <w:pPr>
        <w:pStyle w:val="BodyText"/>
        <w:ind w:left="843"/>
      </w:pPr>
      <w:r>
        <w:rPr>
          <w:color w:val="131313"/>
          <w:w w:val="105"/>
          <w:u w:val="thick" w:color="000000"/>
        </w:rPr>
        <w:t>Increased Flexibility in Plan Design for Medicare Advantage</w:t>
      </w:r>
    </w:p>
    <w:p w:rsidR="00F27392" w:rsidRDefault="000877A0">
      <w:pPr>
        <w:pStyle w:val="BodyText"/>
        <w:spacing w:before="23" w:line="244" w:lineRule="auto"/>
        <w:ind w:left="827" w:right="111" w:firstLine="1"/>
      </w:pPr>
      <w:r>
        <w:rPr>
          <w:color w:val="131313"/>
          <w:w w:val="105"/>
        </w:rPr>
        <w:t xml:space="preserve">The Trust supports the proposed increased flexibility through CMS' re-interpretation of the uniformity of benefit provisions for Medicare Advantage </w:t>
      </w:r>
      <w:r>
        <w:rPr>
          <w:color w:val="131313"/>
          <w:w w:val="105"/>
        </w:rPr>
        <w:t>plans. The Trust appreciates the potential opportunities in working with its MA carrier partners in developing benefit plan options for those with common chronic medical conditions.</w:t>
      </w:r>
    </w:p>
    <w:p w:rsidR="00F27392" w:rsidRDefault="00F27392">
      <w:pPr>
        <w:pStyle w:val="BodyText"/>
        <w:spacing w:before="8"/>
        <w:rPr>
          <w:sz w:val="24"/>
        </w:rPr>
      </w:pPr>
    </w:p>
    <w:p w:rsidR="00F27392" w:rsidRDefault="000877A0">
      <w:pPr>
        <w:pStyle w:val="BodyText"/>
        <w:ind w:left="831"/>
      </w:pPr>
      <w:r>
        <w:rPr>
          <w:color w:val="131313"/>
          <w:w w:val="105"/>
          <w:u w:val="thick" w:color="000000"/>
        </w:rPr>
        <w:t>Definitions of "retail pharmacy" and "mail order  pharmacy"</w:t>
      </w:r>
    </w:p>
    <w:p w:rsidR="00F27392" w:rsidRDefault="000877A0">
      <w:pPr>
        <w:pStyle w:val="BodyText"/>
        <w:spacing w:before="23" w:line="249" w:lineRule="auto"/>
        <w:ind w:left="798" w:right="111" w:firstLine="31"/>
      </w:pPr>
      <w:r>
        <w:rPr>
          <w:color w:val="131313"/>
          <w:w w:val="105"/>
        </w:rPr>
        <w:t>In the propos</w:t>
      </w:r>
      <w:r>
        <w:rPr>
          <w:color w:val="131313"/>
          <w:w w:val="105"/>
        </w:rPr>
        <w:t xml:space="preserve">ed rules relating to the "any willing pharmacy" requirements under Part D, CMS introduces an amended definition of "retail pharmacy" and a new definition of "mail order pharmacy" in order to address the situation where a traditional retail pharmacy begins </w:t>
      </w:r>
      <w:r>
        <w:rPr>
          <w:color w:val="131313"/>
          <w:w w:val="105"/>
        </w:rPr>
        <w:t>to offer drugs through mail order delivery. The Trust has a concern with these definitions as we do not believe that they achieve their purpose. These definitions would apply to all the different aspects of a Part D plan, including determination of the app</w:t>
      </w:r>
      <w:r>
        <w:rPr>
          <w:color w:val="131313"/>
          <w:w w:val="105"/>
        </w:rPr>
        <w:t>ropriate cost-sharing for a given supplier. By relying on the assigned cost­ sharing for a particular pharmacy in determining its type in the definition, plans are left in a logical circle about which cost</w:t>
      </w:r>
      <w:r>
        <w:rPr>
          <w:color w:val="6E6E6E"/>
          <w:w w:val="105"/>
        </w:rPr>
        <w:t>-</w:t>
      </w:r>
      <w:r>
        <w:rPr>
          <w:color w:val="131313"/>
          <w:w w:val="105"/>
        </w:rPr>
        <w:t>sharing to assign. The Trust urges CMS to adopt di</w:t>
      </w:r>
      <w:r>
        <w:rPr>
          <w:color w:val="131313"/>
          <w:w w:val="105"/>
        </w:rPr>
        <w:t>fferent definitions that do not depend on the cost</w:t>
      </w:r>
      <w:r>
        <w:rPr>
          <w:color w:val="6E6E6E"/>
          <w:w w:val="105"/>
        </w:rPr>
        <w:t>-</w:t>
      </w:r>
      <w:r>
        <w:rPr>
          <w:color w:val="131313"/>
          <w:w w:val="105"/>
        </w:rPr>
        <w:t>sharing attached to the pharmacy.</w:t>
      </w:r>
    </w:p>
    <w:p w:rsidR="00F27392" w:rsidRDefault="00F27392">
      <w:pPr>
        <w:pStyle w:val="BodyText"/>
        <w:spacing w:before="6"/>
        <w:rPr>
          <w:sz w:val="25"/>
        </w:rPr>
      </w:pPr>
    </w:p>
    <w:p w:rsidR="00F27392" w:rsidRDefault="000877A0">
      <w:pPr>
        <w:pStyle w:val="BodyText"/>
        <w:spacing w:line="247" w:lineRule="auto"/>
        <w:ind w:left="795" w:right="111" w:firstLine="3"/>
      </w:pPr>
      <w:r>
        <w:rPr>
          <w:color w:val="131313"/>
          <w:w w:val="105"/>
        </w:rPr>
        <w:t xml:space="preserve">On the topic of retail pharmacies engaging in mail order delivery, the Trust has concerns about the situation of a retail pharmacy filling prescriptions that cross state </w:t>
      </w:r>
      <w:r>
        <w:rPr>
          <w:color w:val="131313"/>
          <w:w w:val="105"/>
        </w:rPr>
        <w:t>lines. The Trust has encountered fraudulent claims in situations where beneficiaries rece</w:t>
      </w:r>
      <w:r>
        <w:rPr>
          <w:color w:val="2D2D2D"/>
          <w:w w:val="105"/>
        </w:rPr>
        <w:t>i</w:t>
      </w:r>
      <w:r>
        <w:rPr>
          <w:color w:val="131313"/>
          <w:w w:val="105"/>
        </w:rPr>
        <w:t>ved prescriptions by mail that they never requested from a pharmacy in another state and from a provider in yet another state.</w:t>
      </w:r>
    </w:p>
    <w:p w:rsidR="00F27392" w:rsidRDefault="00F27392">
      <w:pPr>
        <w:pStyle w:val="BodyText"/>
        <w:spacing w:before="6"/>
        <w:rPr>
          <w:sz w:val="22"/>
        </w:rPr>
      </w:pPr>
    </w:p>
    <w:p w:rsidR="00F27392" w:rsidRDefault="000877A0">
      <w:pPr>
        <w:pStyle w:val="BodyText"/>
        <w:spacing w:before="1"/>
        <w:ind w:left="783"/>
      </w:pPr>
      <w:r>
        <w:rPr>
          <w:color w:val="131313"/>
          <w:w w:val="105"/>
          <w:u w:val="thick" w:color="000000"/>
        </w:rPr>
        <w:t>Conclusion</w:t>
      </w:r>
    </w:p>
    <w:p w:rsidR="00F27392" w:rsidRDefault="000877A0">
      <w:pPr>
        <w:pStyle w:val="BodyText"/>
        <w:spacing w:before="30" w:line="249" w:lineRule="auto"/>
        <w:ind w:left="780" w:right="183" w:firstLine="4"/>
      </w:pPr>
      <w:r>
        <w:rPr>
          <w:color w:val="131313"/>
          <w:w w:val="105"/>
        </w:rPr>
        <w:t>The Trust appreciates the opportunity to comment on the proposed rule. Overall, the Trust is supportive of what CMS has proposed. The Trust i</w:t>
      </w:r>
      <w:r>
        <w:rPr>
          <w:color w:val="525252"/>
          <w:w w:val="105"/>
        </w:rPr>
        <w:t xml:space="preserve">s </w:t>
      </w:r>
      <w:r>
        <w:rPr>
          <w:color w:val="131313"/>
          <w:w w:val="105"/>
        </w:rPr>
        <w:t>eager to have new formulary tools and at-risk beneficiary management tools. The Trust is also eager to consider w</w:t>
      </w:r>
      <w:r>
        <w:rPr>
          <w:color w:val="131313"/>
          <w:w w:val="105"/>
        </w:rPr>
        <w:t>hat kinds of innovative plan designs might be possible for particular medical conditions in its Medicare population.</w:t>
      </w:r>
    </w:p>
    <w:p w:rsidR="00F27392" w:rsidRDefault="00F27392">
      <w:pPr>
        <w:pStyle w:val="BodyText"/>
        <w:rPr>
          <w:sz w:val="24"/>
        </w:rPr>
      </w:pPr>
    </w:p>
    <w:p w:rsidR="00F27392" w:rsidRDefault="00F27392">
      <w:pPr>
        <w:pStyle w:val="BodyText"/>
        <w:spacing w:before="2"/>
        <w:rPr>
          <w:sz w:val="22"/>
        </w:rPr>
      </w:pPr>
    </w:p>
    <w:p w:rsidR="00F27392" w:rsidRDefault="000877A0">
      <w:pPr>
        <w:pStyle w:val="BodyText"/>
        <w:ind w:left="777"/>
      </w:pPr>
      <w:r>
        <w:rPr>
          <w:color w:val="131313"/>
          <w:w w:val="105"/>
        </w:rPr>
        <w:t>Sincerely,</w:t>
      </w:r>
    </w:p>
    <w:p w:rsidR="00F27392" w:rsidRDefault="000877A0">
      <w:pPr>
        <w:spacing w:before="68"/>
        <w:ind w:left="694"/>
        <w:rPr>
          <w:rFonts w:ascii="Arial"/>
          <w:i/>
          <w:sz w:val="91"/>
        </w:rPr>
      </w:pPr>
      <w:r>
        <w:rPr>
          <w:rFonts w:ascii="Arial"/>
          <w:i/>
          <w:color w:val="383F72"/>
          <w:w w:val="70"/>
          <w:sz w:val="91"/>
        </w:rPr>
        <w:t>Q</w:t>
      </w:r>
      <w:r>
        <w:rPr>
          <w:rFonts w:ascii="Arial"/>
          <w:i/>
          <w:color w:val="1F2454"/>
          <w:w w:val="70"/>
          <w:sz w:val="91"/>
        </w:rPr>
        <w:t>:.:;;;.</w:t>
      </w:r>
    </w:p>
    <w:p w:rsidR="00F27392" w:rsidRDefault="000877A0">
      <w:pPr>
        <w:pStyle w:val="BodyText"/>
        <w:spacing w:before="2"/>
        <w:ind w:left="773"/>
      </w:pPr>
      <w:r>
        <w:rPr>
          <w:color w:val="131313"/>
          <w:w w:val="105"/>
        </w:rPr>
        <w:t>Executive Director</w:t>
      </w:r>
    </w:p>
    <w:p w:rsidR="00F27392" w:rsidRDefault="000877A0">
      <w:pPr>
        <w:pStyle w:val="BodyText"/>
        <w:spacing w:before="16"/>
        <w:ind w:left="776"/>
      </w:pPr>
      <w:r>
        <w:rPr>
          <w:color w:val="131313"/>
          <w:w w:val="105"/>
        </w:rPr>
        <w:t>UAW Retiree Medical Benefits Trust</w:t>
      </w:r>
      <w:bookmarkEnd w:id="0"/>
    </w:p>
    <w:sectPr w:rsidR="00F27392">
      <w:pgSz w:w="12240" w:h="15840"/>
      <w:pgMar w:top="1340" w:right="1340" w:bottom="900" w:left="0" w:header="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77A0">
      <w:r>
        <w:separator/>
      </w:r>
    </w:p>
  </w:endnote>
  <w:endnote w:type="continuationSeparator" w:id="0">
    <w:p w:rsidR="00000000" w:rsidRDefault="00087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392" w:rsidRDefault="000877A0">
    <w:pPr>
      <w:pStyle w:val="BodyText"/>
      <w:spacing w:line="14" w:lineRule="auto"/>
      <w:rPr>
        <w:sz w:val="11"/>
      </w:rPr>
    </w:pPr>
    <w:r>
      <w:pict>
        <v:shapetype id="_x0000_t202" coordsize="21600,21600" o:spt="202" path="m,l,21600r21600,l21600,xe">
          <v:stroke joinstyle="miter"/>
          <v:path gradientshapeok="t" o:connecttype="rect"/>
        </v:shapetype>
        <v:shape id="_x0000_s2049" type="#_x0000_t202" style="position:absolute;margin-left:526.8pt;margin-top:738.05pt;width:11.85pt;height:23.95pt;z-index:-251658752;mso-position-horizontal-relative:page;mso-position-vertical-relative:page" filled="f" stroked="f">
          <v:textbox inset="0,0,0,0">
            <w:txbxContent>
              <w:p w:rsidR="00F27392" w:rsidRDefault="000877A0">
                <w:pPr>
                  <w:spacing w:before="160"/>
                  <w:ind w:left="58"/>
                  <w:rPr>
                    <w:sz w:val="26"/>
                  </w:rPr>
                </w:pPr>
                <w:r>
                  <w:fldChar w:fldCharType="begin"/>
                </w:r>
                <w:r>
                  <w:rPr>
                    <w:color w:val="3F3F3F"/>
                    <w:w w:val="106"/>
                    <w:sz w:val="26"/>
                  </w:rPr>
                  <w:instrText xml:space="preserve"> PAGE </w:instrText>
                </w:r>
                <w:r>
                  <w:fldChar w:fldCharType="separate"/>
                </w:r>
                <w:r>
                  <w:rPr>
                    <w:noProof/>
                    <w:color w:val="3F3F3F"/>
                    <w:w w:val="106"/>
                    <w:sz w:val="26"/>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877A0">
      <w:r>
        <w:separator/>
      </w:r>
    </w:p>
  </w:footnote>
  <w:footnote w:type="continuationSeparator" w:id="0">
    <w:p w:rsidR="00000000" w:rsidRDefault="000877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27392"/>
    <w:rsid w:val="000877A0"/>
    <w:rsid w:val="00F2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210327E-A142-4B43-AE04-B9428730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1477</Words>
  <Characters>7935</Characters>
  <Application>Microsoft Office Word</Application>
  <DocSecurity>0</DocSecurity>
  <Lines>149</Lines>
  <Paragraphs>51</Paragraphs>
  <ScaleCrop>false</ScaleCrop>
  <Company>CMS</Company>
  <LinksUpToDate>false</LinksUpToDate>
  <CharactersWithSpaces>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Xerox AltaLink B8045</vt:lpwstr>
  </property>
  <property fmtid="{D5CDD505-2E9C-101B-9397-08002B2CF9AE}" pid="4" name="LastSaved">
    <vt:filetime>2018-06-15T00:00:00Z</vt:filetime>
  </property>
</Properties>
</file>