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9B" w:rsidRDefault="00367D9B">
      <w:pPr>
        <w:pStyle w:val="BodyText"/>
        <w:rPr>
          <w:rFonts w:ascii="Times New Roman"/>
          <w:sz w:val="20"/>
        </w:rPr>
      </w:pPr>
    </w:p>
    <w:p w:rsidR="00367D9B" w:rsidRDefault="00367D9B">
      <w:pPr>
        <w:pStyle w:val="BodyText"/>
        <w:rPr>
          <w:rFonts w:ascii="Times New Roman"/>
          <w:sz w:val="20"/>
        </w:rPr>
      </w:pPr>
    </w:p>
    <w:p w:rsidR="00367D9B" w:rsidRDefault="00367D9B">
      <w:pPr>
        <w:pStyle w:val="BodyText"/>
        <w:spacing w:before="9"/>
        <w:rPr>
          <w:rFonts w:ascii="Times New Roman"/>
          <w:sz w:val="28"/>
        </w:rPr>
      </w:pPr>
    </w:p>
    <w:p w:rsidR="00367D9B" w:rsidRDefault="00084B73">
      <w:pPr>
        <w:spacing w:before="98"/>
        <w:ind w:right="233"/>
        <w:jc w:val="right"/>
        <w:rPr>
          <w:rFonts w:ascii="Century Gothic"/>
          <w:b/>
          <w:sz w:val="16"/>
        </w:rPr>
      </w:pPr>
      <w:r>
        <w:rPr>
          <w:noProof/>
        </w:rPr>
        <w:drawing>
          <wp:anchor distT="0" distB="0" distL="0" distR="0" simplePos="0" relativeHeight="251658240" behindDoc="0" locked="0" layoutInCell="1" allowOverlap="1">
            <wp:simplePos x="0" y="0"/>
            <wp:positionH relativeFrom="page">
              <wp:posOffset>571499</wp:posOffset>
            </wp:positionH>
            <wp:positionV relativeFrom="paragraph">
              <wp:posOffset>-502324</wp:posOffset>
            </wp:positionV>
            <wp:extent cx="1783079" cy="73913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83079" cy="739139"/>
                    </a:xfrm>
                    <a:prstGeom prst="rect">
                      <a:avLst/>
                    </a:prstGeom>
                  </pic:spPr>
                </pic:pic>
              </a:graphicData>
            </a:graphic>
          </wp:anchor>
        </w:drawing>
      </w:r>
      <w:r>
        <w:rPr>
          <w:rFonts w:ascii="Century Gothic"/>
          <w:b/>
          <w:color w:val="A7A8A7"/>
          <w:sz w:val="16"/>
        </w:rPr>
        <w:t>OFFICERS &amp; DIRECTORS</w:t>
      </w:r>
    </w:p>
    <w:p w:rsidR="00367D9B" w:rsidRDefault="00367D9B">
      <w:pPr>
        <w:jc w:val="right"/>
        <w:rPr>
          <w:rFonts w:ascii="Century Gothic"/>
          <w:sz w:val="16"/>
        </w:rPr>
        <w:sectPr w:rsidR="00367D9B">
          <w:footerReference w:type="default" r:id="rId8"/>
          <w:type w:val="continuous"/>
          <w:pgSz w:w="12240" w:h="15840"/>
          <w:pgMar w:top="720" w:right="60" w:bottom="3020" w:left="60" w:header="720" w:footer="2824" w:gutter="0"/>
          <w:cols w:space="720"/>
        </w:sectPr>
      </w:pPr>
    </w:p>
    <w:p w:rsidR="00367D9B" w:rsidRDefault="00367D9B">
      <w:pPr>
        <w:pStyle w:val="BodyText"/>
        <w:rPr>
          <w:rFonts w:ascii="Century Gothic"/>
          <w:b/>
        </w:rPr>
      </w:pPr>
    </w:p>
    <w:p w:rsidR="00367D9B" w:rsidRDefault="00367D9B">
      <w:pPr>
        <w:pStyle w:val="BodyText"/>
        <w:rPr>
          <w:rFonts w:ascii="Century Gothic"/>
          <w:b/>
        </w:rPr>
      </w:pPr>
    </w:p>
    <w:p w:rsidR="00367D9B" w:rsidRDefault="00367D9B">
      <w:pPr>
        <w:pStyle w:val="BodyText"/>
        <w:rPr>
          <w:rFonts w:ascii="Century Gothic"/>
          <w:b/>
        </w:rPr>
      </w:pPr>
    </w:p>
    <w:p w:rsidR="00367D9B" w:rsidRDefault="00367D9B">
      <w:pPr>
        <w:pStyle w:val="BodyText"/>
        <w:spacing w:before="6"/>
        <w:rPr>
          <w:rFonts w:ascii="Century Gothic"/>
          <w:b/>
          <w:sz w:val="21"/>
        </w:rPr>
      </w:pPr>
    </w:p>
    <w:p w:rsidR="00367D9B" w:rsidRDefault="00084B73">
      <w:pPr>
        <w:pStyle w:val="BodyText"/>
        <w:ind w:left="1110"/>
        <w:jc w:val="both"/>
      </w:pPr>
      <w:r>
        <w:t>January 15, 2018</w:t>
      </w:r>
    </w:p>
    <w:p w:rsidR="00367D9B" w:rsidRDefault="00367D9B">
      <w:pPr>
        <w:pStyle w:val="BodyText"/>
      </w:pPr>
    </w:p>
    <w:p w:rsidR="00367D9B" w:rsidRDefault="00084B73">
      <w:pPr>
        <w:pStyle w:val="BodyText"/>
        <w:ind w:left="1110" w:right="5372"/>
      </w:pPr>
      <w:r>
        <w:t>The Honorable Seema Verma Administrator</w:t>
      </w:r>
    </w:p>
    <w:p w:rsidR="00367D9B" w:rsidRDefault="00084B73">
      <w:pPr>
        <w:pStyle w:val="BodyText"/>
        <w:ind w:left="1110" w:right="4210"/>
      </w:pPr>
      <w:r>
        <w:t>Centers for Medicare &amp; Medicaid Services Department of Health and Human Services 200 Independence Ave, S.W.</w:t>
      </w:r>
    </w:p>
    <w:p w:rsidR="00367D9B" w:rsidRDefault="00084B73">
      <w:pPr>
        <w:pStyle w:val="BodyText"/>
        <w:ind w:left="1110" w:right="5372"/>
      </w:pPr>
      <w:r>
        <w:t>Washington, DC 20201 Submitted via regulations.gov</w:t>
      </w:r>
    </w:p>
    <w:p w:rsidR="00367D9B" w:rsidRDefault="00367D9B">
      <w:pPr>
        <w:pStyle w:val="BodyText"/>
      </w:pPr>
    </w:p>
    <w:p w:rsidR="00367D9B" w:rsidRDefault="00084B73">
      <w:pPr>
        <w:pStyle w:val="BodyText"/>
        <w:ind w:left="1110"/>
      </w:pPr>
      <w:r>
        <w:t>RE: Contract Year 2019 Policy and Technical Changes to t</w:t>
      </w:r>
      <w:r>
        <w:t>he Medicare Advantage Program [CMS–4182–P]</w:t>
      </w:r>
    </w:p>
    <w:p w:rsidR="00367D9B" w:rsidRDefault="00367D9B">
      <w:pPr>
        <w:pStyle w:val="BodyText"/>
        <w:spacing w:before="11"/>
        <w:rPr>
          <w:sz w:val="21"/>
        </w:rPr>
      </w:pPr>
    </w:p>
    <w:p w:rsidR="00367D9B" w:rsidRDefault="00084B73">
      <w:pPr>
        <w:pStyle w:val="BodyText"/>
        <w:ind w:left="1109"/>
        <w:jc w:val="both"/>
      </w:pPr>
      <w:r>
        <w:t>Dear Administrator Verma,</w:t>
      </w:r>
    </w:p>
    <w:p w:rsidR="00367D9B" w:rsidRDefault="00367D9B">
      <w:pPr>
        <w:pStyle w:val="BodyText"/>
        <w:spacing w:before="12"/>
        <w:rPr>
          <w:sz w:val="21"/>
        </w:rPr>
      </w:pPr>
    </w:p>
    <w:p w:rsidR="00367D9B" w:rsidRDefault="00084B73">
      <w:pPr>
        <w:pStyle w:val="BodyText"/>
        <w:ind w:left="1109"/>
        <w:jc w:val="both"/>
      </w:pPr>
      <w:r>
        <w:t>The National Association of Dental Plans (NADP) appreciates the opportunity to comment on Centers for Medicare &amp; Medicaid Services’ (CMS) proposed rule regarding “Medicare Program; Cont</w:t>
      </w:r>
      <w:r>
        <w:t>ract Year 2019 Policy and Technical Changes to the Medicare Advantage, Medicare Cost Plan, Medicare Fee-for-Service, the Medicare Prescription Drug Benefit Programs, and the PACE Program,” published in the Federal Register on November 28, 2017.</w:t>
      </w:r>
    </w:p>
    <w:p w:rsidR="00367D9B" w:rsidRDefault="00367D9B">
      <w:pPr>
        <w:pStyle w:val="BodyText"/>
      </w:pPr>
    </w:p>
    <w:p w:rsidR="00367D9B" w:rsidRDefault="00084B73">
      <w:pPr>
        <w:ind w:left="1109"/>
        <w:jc w:val="both"/>
      </w:pPr>
      <w:r>
        <w:rPr>
          <w:b/>
        </w:rPr>
        <w:t>We strongl</w:t>
      </w:r>
      <w:r>
        <w:rPr>
          <w:b/>
        </w:rPr>
        <w:t xml:space="preserve">y support proposed changes to the enrollment requirement for Medicare Advantage (Part C) providers who are not otherwise required to enroll and who do not submit claims to Medicare. </w:t>
      </w:r>
      <w:r>
        <w:t>We also support the proposed “preclusion list” approach, which will includ</w:t>
      </w:r>
      <w:r>
        <w:t>e individuals and entities CMS identifies as:</w:t>
      </w:r>
    </w:p>
    <w:p w:rsidR="00367D9B" w:rsidRDefault="00084B73">
      <w:pPr>
        <w:pStyle w:val="ListParagraph"/>
        <w:numPr>
          <w:ilvl w:val="0"/>
          <w:numId w:val="1"/>
        </w:numPr>
        <w:tabs>
          <w:tab w:val="left" w:pos="1830"/>
        </w:tabs>
      </w:pPr>
      <w:r>
        <w:t>Being currently revoked from Medicare, are under a reenrollment bar, and CMS determines that the underlying conduct that led to the revocation is detrimental to the best interests of the Medicare program;</w:t>
      </w:r>
      <w:r>
        <w:rPr>
          <w:spacing w:val="-24"/>
        </w:rPr>
        <w:t xml:space="preserve"> </w:t>
      </w:r>
      <w:r>
        <w:t>or</w:t>
      </w:r>
    </w:p>
    <w:p w:rsidR="00367D9B" w:rsidRDefault="00084B73">
      <w:pPr>
        <w:pStyle w:val="ListParagraph"/>
        <w:numPr>
          <w:ilvl w:val="0"/>
          <w:numId w:val="1"/>
        </w:numPr>
        <w:tabs>
          <w:tab w:val="left" w:pos="1830"/>
        </w:tabs>
        <w:ind w:right="1"/>
      </w:pPr>
      <w:r>
        <w:t>Ha</w:t>
      </w:r>
      <w:r>
        <w:t>ving engaged in behavior for which CMS could have revoked the individual or entity to the extent applicable if they had been enrolled in Medicare, and CMS determines that the underlying conduct that would have led to the revocation is detrimental to the be</w:t>
      </w:r>
      <w:r>
        <w:t>st interests of the Medicare</w:t>
      </w:r>
      <w:r>
        <w:rPr>
          <w:spacing w:val="-32"/>
        </w:rPr>
        <w:t xml:space="preserve"> </w:t>
      </w:r>
      <w:r>
        <w:t>program.</w:t>
      </w:r>
    </w:p>
    <w:p w:rsidR="00367D9B" w:rsidRDefault="00367D9B">
      <w:pPr>
        <w:pStyle w:val="BodyText"/>
      </w:pPr>
    </w:p>
    <w:p w:rsidR="00367D9B" w:rsidRDefault="00084B73">
      <w:pPr>
        <w:pStyle w:val="BodyText"/>
        <w:ind w:left="1109"/>
      </w:pPr>
      <w:r>
        <w:t>MA organizations would be prohibited from making payment for an item or service furnished by an individual or entity that is on the preclusion list.</w:t>
      </w:r>
    </w:p>
    <w:p w:rsidR="00367D9B" w:rsidRDefault="00084B73">
      <w:pPr>
        <w:pStyle w:val="BodyText"/>
        <w:spacing w:before="11"/>
        <w:rPr>
          <w:sz w:val="13"/>
        </w:rPr>
      </w:pPr>
      <w:r>
        <w:br w:type="column"/>
      </w:r>
    </w:p>
    <w:p w:rsidR="00367D9B" w:rsidRDefault="00084B73">
      <w:pPr>
        <w:spacing w:before="1"/>
        <w:ind w:left="1092" w:right="231" w:firstLine="1224"/>
        <w:jc w:val="right"/>
        <w:rPr>
          <w:rFonts w:ascii="Century Gothic"/>
          <w:b/>
          <w:sz w:val="14"/>
        </w:rPr>
      </w:pPr>
      <w:r>
        <w:rPr>
          <w:rFonts w:ascii="Century Gothic"/>
          <w:b/>
          <w:color w:val="92D050"/>
          <w:sz w:val="14"/>
        </w:rPr>
        <w:t xml:space="preserve">Chair </w:t>
      </w:r>
      <w:r>
        <w:rPr>
          <w:rFonts w:ascii="Century Gothic"/>
          <w:b/>
          <w:color w:val="A7A8A7"/>
          <w:sz w:val="14"/>
        </w:rPr>
        <w:t>THERESA McCONEGHEY</w:t>
      </w:r>
    </w:p>
    <w:p w:rsidR="00367D9B" w:rsidRDefault="00084B73">
      <w:pPr>
        <w:ind w:right="231"/>
        <w:jc w:val="right"/>
        <w:rPr>
          <w:rFonts w:ascii="Century Gothic"/>
          <w:sz w:val="14"/>
        </w:rPr>
      </w:pPr>
      <w:r>
        <w:rPr>
          <w:rFonts w:ascii="Century Gothic"/>
          <w:color w:val="A7A8A7"/>
          <w:sz w:val="14"/>
        </w:rPr>
        <w:t>Principal Financial Group</w:t>
      </w:r>
    </w:p>
    <w:p w:rsidR="00367D9B" w:rsidRDefault="00084B73">
      <w:pPr>
        <w:ind w:right="230"/>
        <w:jc w:val="right"/>
        <w:rPr>
          <w:rFonts w:ascii="Century Gothic"/>
          <w:sz w:val="14"/>
        </w:rPr>
      </w:pPr>
      <w:r>
        <w:rPr>
          <w:rFonts w:ascii="Century Gothic"/>
          <w:color w:val="A7A8A7"/>
          <w:sz w:val="14"/>
        </w:rPr>
        <w:t>Des Moines, IA</w:t>
      </w:r>
    </w:p>
    <w:p w:rsidR="00367D9B" w:rsidRDefault="00367D9B">
      <w:pPr>
        <w:pStyle w:val="BodyText"/>
        <w:spacing w:before="1"/>
        <w:rPr>
          <w:rFonts w:ascii="Century Gothic"/>
          <w:sz w:val="14"/>
        </w:rPr>
      </w:pPr>
    </w:p>
    <w:p w:rsidR="00367D9B" w:rsidRDefault="00084B73">
      <w:pPr>
        <w:ind w:left="1804" w:right="230" w:firstLine="162"/>
        <w:jc w:val="right"/>
        <w:rPr>
          <w:rFonts w:ascii="Century Gothic"/>
          <w:b/>
          <w:sz w:val="14"/>
        </w:rPr>
      </w:pPr>
      <w:r>
        <w:rPr>
          <w:rFonts w:ascii="Century Gothic"/>
          <w:b/>
          <w:color w:val="92D050"/>
          <w:sz w:val="14"/>
        </w:rPr>
        <w:t>Vice Chair</w:t>
      </w:r>
      <w:r>
        <w:rPr>
          <w:rFonts w:ascii="Century Gothic"/>
          <w:b/>
          <w:color w:val="92D050"/>
          <w:sz w:val="14"/>
        </w:rPr>
        <w:t xml:space="preserve"> </w:t>
      </w:r>
      <w:r>
        <w:rPr>
          <w:rFonts w:ascii="Century Gothic"/>
          <w:b/>
          <w:color w:val="A7A8A7"/>
          <w:sz w:val="14"/>
        </w:rPr>
        <w:t>RON BOLDEN</w:t>
      </w:r>
    </w:p>
    <w:p w:rsidR="00367D9B" w:rsidRDefault="00084B73">
      <w:pPr>
        <w:ind w:left="1900" w:right="230" w:firstLine="361"/>
        <w:jc w:val="right"/>
        <w:rPr>
          <w:rFonts w:ascii="Century Gothic"/>
          <w:sz w:val="14"/>
        </w:rPr>
      </w:pPr>
      <w:r>
        <w:rPr>
          <w:rFonts w:ascii="Century Gothic"/>
          <w:color w:val="A7A8A7"/>
          <w:sz w:val="14"/>
        </w:rPr>
        <w:t>Cigna Phoenix, AZ</w:t>
      </w:r>
    </w:p>
    <w:p w:rsidR="00367D9B" w:rsidRDefault="00367D9B">
      <w:pPr>
        <w:pStyle w:val="BodyText"/>
        <w:rPr>
          <w:rFonts w:ascii="Century Gothic"/>
          <w:sz w:val="14"/>
        </w:rPr>
      </w:pPr>
    </w:p>
    <w:p w:rsidR="00367D9B" w:rsidRDefault="00084B73">
      <w:pPr>
        <w:ind w:left="1647" w:right="232" w:firstLine="385"/>
        <w:jc w:val="right"/>
        <w:rPr>
          <w:rFonts w:ascii="Century Gothic"/>
          <w:b/>
          <w:sz w:val="14"/>
        </w:rPr>
      </w:pPr>
      <w:r>
        <w:rPr>
          <w:rFonts w:ascii="Century Gothic"/>
          <w:b/>
          <w:color w:val="92D050"/>
          <w:sz w:val="14"/>
        </w:rPr>
        <w:t xml:space="preserve">Secretary </w:t>
      </w:r>
      <w:r>
        <w:rPr>
          <w:rFonts w:ascii="Century Gothic"/>
          <w:b/>
          <w:color w:val="A7A8A7"/>
          <w:sz w:val="14"/>
        </w:rPr>
        <w:t>KATE McCOWN</w:t>
      </w:r>
    </w:p>
    <w:p w:rsidR="00367D9B" w:rsidRDefault="00084B73">
      <w:pPr>
        <w:ind w:right="231"/>
        <w:jc w:val="right"/>
        <w:rPr>
          <w:rFonts w:ascii="Century Gothic"/>
          <w:sz w:val="14"/>
        </w:rPr>
      </w:pPr>
      <w:r>
        <w:rPr>
          <w:rFonts w:ascii="Century Gothic"/>
          <w:color w:val="A7A8A7"/>
          <w:sz w:val="14"/>
        </w:rPr>
        <w:t>Ameritas Life Insurance Corp.</w:t>
      </w:r>
    </w:p>
    <w:p w:rsidR="00367D9B" w:rsidRDefault="00084B73">
      <w:pPr>
        <w:ind w:right="230"/>
        <w:jc w:val="right"/>
        <w:rPr>
          <w:rFonts w:ascii="Century Gothic"/>
          <w:sz w:val="14"/>
        </w:rPr>
      </w:pPr>
      <w:r>
        <w:rPr>
          <w:rFonts w:ascii="Century Gothic"/>
          <w:color w:val="A7A8A7"/>
          <w:sz w:val="14"/>
        </w:rPr>
        <w:t>Lincoln, NE</w:t>
      </w:r>
    </w:p>
    <w:p w:rsidR="00367D9B" w:rsidRDefault="00367D9B">
      <w:pPr>
        <w:pStyle w:val="BodyText"/>
        <w:spacing w:before="11"/>
        <w:rPr>
          <w:rFonts w:ascii="Century Gothic"/>
          <w:sz w:val="13"/>
        </w:rPr>
      </w:pPr>
    </w:p>
    <w:p w:rsidR="00367D9B" w:rsidRDefault="00084B73">
      <w:pPr>
        <w:spacing w:before="1"/>
        <w:ind w:left="1485" w:right="230" w:firstLine="585"/>
        <w:jc w:val="right"/>
        <w:rPr>
          <w:rFonts w:ascii="Century Gothic"/>
          <w:b/>
          <w:sz w:val="14"/>
        </w:rPr>
      </w:pPr>
      <w:r>
        <w:rPr>
          <w:rFonts w:ascii="Century Gothic"/>
          <w:b/>
          <w:color w:val="92D050"/>
          <w:sz w:val="14"/>
        </w:rPr>
        <w:t xml:space="preserve">Treasurer </w:t>
      </w:r>
      <w:r>
        <w:rPr>
          <w:rFonts w:ascii="Century Gothic"/>
          <w:b/>
          <w:color w:val="A7A8A7"/>
          <w:sz w:val="14"/>
        </w:rPr>
        <w:t>STACIA ALMQUIST</w:t>
      </w:r>
    </w:p>
    <w:p w:rsidR="00367D9B" w:rsidRDefault="00084B73">
      <w:pPr>
        <w:ind w:left="1581" w:right="230" w:hanging="51"/>
        <w:jc w:val="right"/>
        <w:rPr>
          <w:rFonts w:ascii="Century Gothic"/>
          <w:sz w:val="14"/>
        </w:rPr>
      </w:pPr>
      <w:r>
        <w:rPr>
          <w:rFonts w:ascii="Century Gothic"/>
          <w:color w:val="A7A8A7"/>
          <w:sz w:val="14"/>
        </w:rPr>
        <w:t>Sun Life Financial</w:t>
      </w:r>
      <w:r>
        <w:rPr>
          <w:rFonts w:ascii="Century Gothic"/>
          <w:color w:val="A7A8A7"/>
          <w:sz w:val="14"/>
        </w:rPr>
        <w:t xml:space="preserve"> </w:t>
      </w:r>
      <w:r>
        <w:rPr>
          <w:rFonts w:ascii="Century Gothic"/>
          <w:color w:val="A7A8A7"/>
          <w:sz w:val="14"/>
        </w:rPr>
        <w:t>Kansas City, MO</w:t>
      </w:r>
    </w:p>
    <w:p w:rsidR="00367D9B" w:rsidRDefault="00367D9B">
      <w:pPr>
        <w:pStyle w:val="BodyText"/>
        <w:spacing w:before="3"/>
        <w:rPr>
          <w:rFonts w:ascii="Century Gothic"/>
          <w:sz w:val="14"/>
        </w:rPr>
      </w:pPr>
    </w:p>
    <w:p w:rsidR="00367D9B" w:rsidRDefault="00084B73">
      <w:pPr>
        <w:spacing w:line="340" w:lineRule="atLeast"/>
        <w:ind w:left="1905" w:right="229" w:firstLine="181"/>
        <w:jc w:val="right"/>
        <w:rPr>
          <w:rFonts w:ascii="Century Gothic"/>
          <w:b/>
          <w:sz w:val="14"/>
        </w:rPr>
      </w:pPr>
      <w:r>
        <w:rPr>
          <w:rFonts w:ascii="Century Gothic"/>
          <w:b/>
          <w:color w:val="92D050"/>
          <w:sz w:val="14"/>
        </w:rPr>
        <w:t xml:space="preserve">Directors </w:t>
      </w:r>
      <w:r>
        <w:rPr>
          <w:rFonts w:ascii="Century Gothic"/>
          <w:b/>
          <w:color w:val="A7A8A7"/>
          <w:sz w:val="14"/>
        </w:rPr>
        <w:t>JEFF ALBUM</w:t>
      </w:r>
    </w:p>
    <w:p w:rsidR="00367D9B" w:rsidRDefault="00084B73">
      <w:pPr>
        <w:ind w:left="1187" w:right="232" w:firstLine="460"/>
        <w:jc w:val="right"/>
        <w:rPr>
          <w:rFonts w:ascii="Century Gothic"/>
          <w:sz w:val="14"/>
        </w:rPr>
      </w:pPr>
      <w:r>
        <w:rPr>
          <w:rFonts w:ascii="Century Gothic"/>
          <w:color w:val="A7A8A7"/>
          <w:sz w:val="14"/>
        </w:rPr>
        <w:t>Delta Dental of</w:t>
      </w:r>
      <w:r>
        <w:rPr>
          <w:rFonts w:ascii="Century Gothic"/>
          <w:color w:val="A7A8A7"/>
          <w:sz w:val="14"/>
        </w:rPr>
        <w:t xml:space="preserve"> </w:t>
      </w:r>
      <w:r>
        <w:rPr>
          <w:rFonts w:ascii="Century Gothic"/>
          <w:color w:val="A7A8A7"/>
          <w:sz w:val="14"/>
        </w:rPr>
        <w:t>CA, NY, PA &amp; Affiliates</w:t>
      </w:r>
      <w:r>
        <w:rPr>
          <w:rFonts w:ascii="Century Gothic"/>
          <w:color w:val="A7A8A7"/>
          <w:sz w:val="14"/>
        </w:rPr>
        <w:t xml:space="preserve"> </w:t>
      </w:r>
      <w:r>
        <w:rPr>
          <w:rFonts w:ascii="Century Gothic"/>
          <w:color w:val="A7A8A7"/>
          <w:sz w:val="14"/>
        </w:rPr>
        <w:t>San Francisco, CA</w:t>
      </w:r>
    </w:p>
    <w:p w:rsidR="00367D9B" w:rsidRDefault="00367D9B">
      <w:pPr>
        <w:pStyle w:val="BodyText"/>
        <w:spacing w:before="1"/>
        <w:rPr>
          <w:rFonts w:ascii="Century Gothic"/>
          <w:sz w:val="14"/>
        </w:rPr>
      </w:pPr>
    </w:p>
    <w:p w:rsidR="00367D9B" w:rsidRDefault="00084B73">
      <w:pPr>
        <w:ind w:right="231"/>
        <w:jc w:val="right"/>
        <w:rPr>
          <w:rFonts w:ascii="Century Gothic"/>
          <w:b/>
          <w:sz w:val="14"/>
        </w:rPr>
      </w:pPr>
      <w:r>
        <w:rPr>
          <w:rFonts w:ascii="Century Gothic"/>
          <w:b/>
          <w:color w:val="A7A8A7"/>
          <w:sz w:val="14"/>
        </w:rPr>
        <w:t>DR. MARY LEE CONICELLA</w:t>
      </w:r>
    </w:p>
    <w:p w:rsidR="00367D9B" w:rsidRDefault="00084B73">
      <w:pPr>
        <w:ind w:left="1552" w:right="230" w:firstLine="705"/>
        <w:jc w:val="right"/>
        <w:rPr>
          <w:rFonts w:ascii="Century Gothic"/>
          <w:sz w:val="14"/>
        </w:rPr>
      </w:pPr>
      <w:r>
        <w:rPr>
          <w:rFonts w:ascii="Century Gothic"/>
          <w:color w:val="A7A8A7"/>
          <w:sz w:val="14"/>
        </w:rPr>
        <w:t>Aetna Hartford, CT</w:t>
      </w:r>
    </w:p>
    <w:p w:rsidR="00367D9B" w:rsidRDefault="00367D9B">
      <w:pPr>
        <w:pStyle w:val="BodyText"/>
        <w:rPr>
          <w:rFonts w:ascii="Century Gothic"/>
          <w:sz w:val="14"/>
        </w:rPr>
      </w:pPr>
    </w:p>
    <w:p w:rsidR="00367D9B" w:rsidRDefault="00084B73">
      <w:pPr>
        <w:ind w:right="231"/>
        <w:jc w:val="right"/>
        <w:rPr>
          <w:rFonts w:ascii="Century Gothic"/>
          <w:b/>
          <w:sz w:val="14"/>
        </w:rPr>
      </w:pPr>
      <w:r>
        <w:rPr>
          <w:rFonts w:ascii="Century Gothic"/>
          <w:b/>
          <w:color w:val="A7A8A7"/>
          <w:sz w:val="14"/>
        </w:rPr>
        <w:t>JEREMY HEDRICK</w:t>
      </w:r>
    </w:p>
    <w:p w:rsidR="00367D9B" w:rsidRDefault="00084B73">
      <w:pPr>
        <w:ind w:right="230"/>
        <w:jc w:val="right"/>
        <w:rPr>
          <w:rFonts w:ascii="Century Gothic"/>
          <w:sz w:val="14"/>
        </w:rPr>
      </w:pPr>
      <w:r>
        <w:rPr>
          <w:rFonts w:ascii="Century Gothic"/>
          <w:color w:val="A7A8A7"/>
          <w:sz w:val="14"/>
        </w:rPr>
        <w:t>Careington International</w:t>
      </w:r>
    </w:p>
    <w:p w:rsidR="00367D9B" w:rsidRDefault="00084B73">
      <w:pPr>
        <w:ind w:right="230"/>
        <w:jc w:val="right"/>
        <w:rPr>
          <w:rFonts w:ascii="Century Gothic"/>
          <w:sz w:val="14"/>
        </w:rPr>
      </w:pPr>
      <w:r>
        <w:rPr>
          <w:rFonts w:ascii="Century Gothic"/>
          <w:color w:val="A7A8A7"/>
          <w:sz w:val="14"/>
        </w:rPr>
        <w:t>Frisco, TX</w:t>
      </w:r>
    </w:p>
    <w:p w:rsidR="00367D9B" w:rsidRDefault="00367D9B">
      <w:pPr>
        <w:pStyle w:val="BodyText"/>
        <w:spacing w:before="11"/>
        <w:rPr>
          <w:rFonts w:ascii="Century Gothic"/>
          <w:sz w:val="13"/>
        </w:rPr>
      </w:pPr>
    </w:p>
    <w:p w:rsidR="00367D9B" w:rsidRDefault="00084B73">
      <w:pPr>
        <w:spacing w:before="1"/>
        <w:ind w:right="230"/>
        <w:jc w:val="right"/>
        <w:rPr>
          <w:rFonts w:ascii="Century Gothic"/>
          <w:b/>
          <w:sz w:val="14"/>
        </w:rPr>
      </w:pPr>
      <w:r>
        <w:rPr>
          <w:rFonts w:ascii="Century Gothic"/>
          <w:b/>
          <w:color w:val="A7A8A7"/>
          <w:sz w:val="14"/>
        </w:rPr>
        <w:t>JOSH NACE</w:t>
      </w:r>
    </w:p>
    <w:p w:rsidR="00367D9B" w:rsidRDefault="00084B73">
      <w:pPr>
        <w:ind w:right="231"/>
        <w:jc w:val="right"/>
        <w:rPr>
          <w:rFonts w:ascii="Century Gothic"/>
          <w:sz w:val="14"/>
        </w:rPr>
      </w:pPr>
      <w:r>
        <w:rPr>
          <w:rFonts w:ascii="Century Gothic"/>
          <w:color w:val="A7A8A7"/>
          <w:sz w:val="14"/>
        </w:rPr>
        <w:t>Dental Health Services of America</w:t>
      </w:r>
    </w:p>
    <w:p w:rsidR="00367D9B" w:rsidRDefault="00084B73">
      <w:pPr>
        <w:ind w:right="230"/>
        <w:jc w:val="right"/>
        <w:rPr>
          <w:rFonts w:ascii="Century Gothic"/>
          <w:sz w:val="14"/>
        </w:rPr>
      </w:pPr>
      <w:r>
        <w:rPr>
          <w:rFonts w:ascii="Century Gothic"/>
          <w:color w:val="A7A8A7"/>
          <w:sz w:val="14"/>
        </w:rPr>
        <w:t>Seattle, WA</w:t>
      </w:r>
    </w:p>
    <w:p w:rsidR="00367D9B" w:rsidRDefault="00367D9B">
      <w:pPr>
        <w:pStyle w:val="BodyText"/>
        <w:spacing w:before="12"/>
        <w:rPr>
          <w:rFonts w:ascii="Century Gothic"/>
          <w:sz w:val="13"/>
        </w:rPr>
      </w:pPr>
    </w:p>
    <w:p w:rsidR="00367D9B" w:rsidRDefault="00084B73">
      <w:pPr>
        <w:ind w:right="230"/>
        <w:jc w:val="right"/>
        <w:rPr>
          <w:rFonts w:ascii="Century Gothic"/>
          <w:b/>
          <w:sz w:val="14"/>
        </w:rPr>
      </w:pPr>
      <w:r>
        <w:rPr>
          <w:rFonts w:ascii="Century Gothic"/>
          <w:b/>
          <w:color w:val="A7A8A7"/>
          <w:sz w:val="14"/>
        </w:rPr>
        <w:t>SUE WRIGHT</w:t>
      </w:r>
    </w:p>
    <w:p w:rsidR="00367D9B" w:rsidRDefault="00084B73">
      <w:pPr>
        <w:ind w:right="230"/>
        <w:jc w:val="right"/>
        <w:rPr>
          <w:rFonts w:ascii="Century Gothic"/>
          <w:sz w:val="14"/>
        </w:rPr>
      </w:pPr>
      <w:r>
        <w:rPr>
          <w:rFonts w:ascii="Century Gothic"/>
          <w:color w:val="A7A8A7"/>
          <w:sz w:val="14"/>
        </w:rPr>
        <w:t>Lincoln Financial Group</w:t>
      </w:r>
    </w:p>
    <w:p w:rsidR="00367D9B" w:rsidRDefault="00084B73">
      <w:pPr>
        <w:ind w:right="231"/>
        <w:jc w:val="right"/>
        <w:rPr>
          <w:rFonts w:ascii="Century Gothic"/>
          <w:sz w:val="14"/>
        </w:rPr>
      </w:pPr>
      <w:r>
        <w:rPr>
          <w:rFonts w:ascii="Century Gothic"/>
          <w:color w:val="A7A8A7"/>
          <w:sz w:val="14"/>
        </w:rPr>
        <w:t>Omaha, NE</w:t>
      </w:r>
    </w:p>
    <w:p w:rsidR="00367D9B" w:rsidRDefault="00367D9B">
      <w:pPr>
        <w:pStyle w:val="BodyText"/>
        <w:spacing w:before="11"/>
        <w:rPr>
          <w:rFonts w:ascii="Century Gothic"/>
          <w:sz w:val="13"/>
        </w:rPr>
      </w:pPr>
    </w:p>
    <w:p w:rsidR="00367D9B" w:rsidRDefault="00084B73">
      <w:pPr>
        <w:spacing w:before="1"/>
        <w:ind w:left="760" w:right="231" w:firstLine="461"/>
        <w:jc w:val="right"/>
        <w:rPr>
          <w:rFonts w:ascii="Century Gothic"/>
          <w:b/>
          <w:sz w:val="14"/>
        </w:rPr>
      </w:pPr>
      <w:r>
        <w:rPr>
          <w:rFonts w:ascii="Century Gothic"/>
          <w:b/>
          <w:color w:val="92D050"/>
          <w:sz w:val="14"/>
        </w:rPr>
        <w:t>Immediate Past Chair</w:t>
      </w:r>
      <w:r>
        <w:rPr>
          <w:rFonts w:ascii="Century Gothic"/>
          <w:b/>
          <w:color w:val="92D050"/>
          <w:sz w:val="14"/>
        </w:rPr>
        <w:t xml:space="preserve"> </w:t>
      </w:r>
      <w:r>
        <w:rPr>
          <w:rFonts w:ascii="Century Gothic"/>
          <w:b/>
          <w:color w:val="A7A8A7"/>
          <w:sz w:val="14"/>
        </w:rPr>
        <w:t>CHRIS SWANKER, FSA, MAAA</w:t>
      </w:r>
    </w:p>
    <w:p w:rsidR="00367D9B" w:rsidRDefault="00084B73">
      <w:pPr>
        <w:ind w:right="231"/>
        <w:jc w:val="right"/>
        <w:rPr>
          <w:rFonts w:ascii="Century Gothic"/>
          <w:sz w:val="14"/>
        </w:rPr>
      </w:pPr>
      <w:r>
        <w:rPr>
          <w:rFonts w:ascii="Century Gothic"/>
          <w:color w:val="A7A8A7"/>
          <w:sz w:val="14"/>
        </w:rPr>
        <w:t>Guardian Life Insurance Company</w:t>
      </w:r>
    </w:p>
    <w:p w:rsidR="00367D9B" w:rsidRDefault="00084B73">
      <w:pPr>
        <w:ind w:left="1452" w:right="230" w:firstLine="472"/>
        <w:jc w:val="right"/>
        <w:rPr>
          <w:rFonts w:ascii="Century Gothic"/>
          <w:sz w:val="14"/>
        </w:rPr>
      </w:pPr>
      <w:r>
        <w:rPr>
          <w:rFonts w:ascii="Century Gothic"/>
          <w:color w:val="A7A8A7"/>
          <w:sz w:val="14"/>
        </w:rPr>
        <w:t>of America</w:t>
      </w:r>
      <w:r>
        <w:rPr>
          <w:rFonts w:ascii="Century Gothic"/>
          <w:color w:val="A7A8A7"/>
          <w:sz w:val="14"/>
        </w:rPr>
        <w:t xml:space="preserve"> </w:t>
      </w:r>
      <w:r>
        <w:rPr>
          <w:rFonts w:ascii="Century Gothic"/>
          <w:color w:val="A7A8A7"/>
          <w:sz w:val="14"/>
        </w:rPr>
        <w:t>Bethlehem, PA</w:t>
      </w:r>
    </w:p>
    <w:p w:rsidR="00367D9B" w:rsidRDefault="00367D9B">
      <w:pPr>
        <w:pStyle w:val="BodyText"/>
        <w:spacing w:before="12"/>
        <w:rPr>
          <w:rFonts w:ascii="Century Gothic"/>
          <w:sz w:val="13"/>
        </w:rPr>
      </w:pPr>
    </w:p>
    <w:p w:rsidR="00367D9B" w:rsidRDefault="00084B73">
      <w:pPr>
        <w:ind w:left="1076" w:right="230" w:firstLine="375"/>
        <w:jc w:val="right"/>
        <w:rPr>
          <w:rFonts w:ascii="Century Gothic"/>
          <w:b/>
          <w:sz w:val="14"/>
        </w:rPr>
      </w:pPr>
      <w:r>
        <w:rPr>
          <w:rFonts w:ascii="Century Gothic"/>
          <w:b/>
          <w:color w:val="92D050"/>
          <w:sz w:val="14"/>
        </w:rPr>
        <w:t>Executive Director</w:t>
      </w:r>
      <w:r>
        <w:rPr>
          <w:rFonts w:ascii="Century Gothic"/>
          <w:b/>
          <w:color w:val="92D050"/>
          <w:sz w:val="14"/>
        </w:rPr>
        <w:t xml:space="preserve"> </w:t>
      </w:r>
      <w:r>
        <w:rPr>
          <w:rFonts w:ascii="Century Gothic"/>
          <w:b/>
          <w:color w:val="A7A8A7"/>
          <w:sz w:val="14"/>
        </w:rPr>
        <w:t>EVELYN F. IRELAND, CAE</w:t>
      </w:r>
    </w:p>
    <w:p w:rsidR="00367D9B" w:rsidRDefault="00084B73">
      <w:pPr>
        <w:spacing w:before="1"/>
        <w:ind w:left="1670" w:right="231" w:hanging="375"/>
        <w:jc w:val="right"/>
        <w:rPr>
          <w:rFonts w:ascii="Century Gothic"/>
          <w:sz w:val="14"/>
        </w:rPr>
      </w:pPr>
      <w:r>
        <w:rPr>
          <w:rFonts w:ascii="Century Gothic"/>
          <w:color w:val="A7A8A7"/>
          <w:sz w:val="14"/>
        </w:rPr>
        <w:t>National Association</w:t>
      </w:r>
      <w:r>
        <w:rPr>
          <w:rFonts w:ascii="Century Gothic"/>
          <w:color w:val="A7A8A7"/>
          <w:sz w:val="14"/>
        </w:rPr>
        <w:t xml:space="preserve"> </w:t>
      </w:r>
      <w:r>
        <w:rPr>
          <w:rFonts w:ascii="Century Gothic"/>
          <w:color w:val="A7A8A7"/>
          <w:sz w:val="14"/>
        </w:rPr>
        <w:t>of Dental Plans</w:t>
      </w:r>
    </w:p>
    <w:p w:rsidR="00367D9B" w:rsidRDefault="00084B73">
      <w:pPr>
        <w:ind w:right="231"/>
        <w:jc w:val="right"/>
        <w:rPr>
          <w:rFonts w:ascii="Century Gothic"/>
          <w:sz w:val="14"/>
        </w:rPr>
      </w:pPr>
      <w:r>
        <w:rPr>
          <w:rFonts w:ascii="Century Gothic"/>
          <w:color w:val="A7A8A7"/>
          <w:sz w:val="14"/>
        </w:rPr>
        <w:t>Dallas, TX</w:t>
      </w:r>
    </w:p>
    <w:p w:rsidR="00367D9B" w:rsidRDefault="00367D9B">
      <w:pPr>
        <w:jc w:val="right"/>
        <w:rPr>
          <w:rFonts w:ascii="Century Gothic"/>
          <w:sz w:val="14"/>
        </w:rPr>
        <w:sectPr w:rsidR="00367D9B">
          <w:type w:val="continuous"/>
          <w:pgSz w:w="12240" w:h="15840"/>
          <w:pgMar w:top="720" w:right="60" w:bottom="3020" w:left="60" w:header="720" w:footer="720" w:gutter="0"/>
          <w:cols w:num="2" w:space="720" w:equalWidth="0">
            <w:col w:w="9166" w:space="40"/>
            <w:col w:w="2914"/>
          </w:cols>
        </w:sectPr>
      </w:pPr>
    </w:p>
    <w:p w:rsidR="00367D9B" w:rsidRDefault="00084B73">
      <w:pPr>
        <w:spacing w:before="32"/>
        <w:ind w:left="1110" w:right="1398"/>
        <w:jc w:val="both"/>
      </w:pPr>
      <w:bookmarkStart w:id="0" w:name="_GoBack"/>
      <w:r>
        <w:rPr>
          <w:b/>
        </w:rPr>
        <w:lastRenderedPageBreak/>
        <w:t>We agree with CMS that this approach is an appropriate balance between burden reducti</w:t>
      </w:r>
      <w:r>
        <w:rPr>
          <w:b/>
        </w:rPr>
        <w:t xml:space="preserve">on and the  need to protect Medicare beneficiaries and the Trust Funds. </w:t>
      </w:r>
      <w:r>
        <w:t xml:space="preserve">This new approach will utilize information available to CMS via Program Integrity initiatives, avoids duplication of effort, eases burden on providers, suppliers, MA organizations and </w:t>
      </w:r>
      <w:r>
        <w:t>beneficiaries—allowing Medicare beneficiaries to continue the ability to maintain their choice of dentist from broad networks of</w:t>
      </w:r>
      <w:r>
        <w:rPr>
          <w:spacing w:val="-28"/>
        </w:rPr>
        <w:t xml:space="preserve"> </w:t>
      </w:r>
      <w:r>
        <w:t>dentists.</w:t>
      </w:r>
    </w:p>
    <w:p w:rsidR="00367D9B" w:rsidRDefault="00367D9B">
      <w:pPr>
        <w:pStyle w:val="BodyText"/>
      </w:pPr>
    </w:p>
    <w:p w:rsidR="00367D9B" w:rsidRDefault="00084B73">
      <w:pPr>
        <w:pStyle w:val="BodyText"/>
        <w:ind w:left="1109" w:right="1396"/>
        <w:jc w:val="both"/>
      </w:pPr>
      <w:r>
        <w:t xml:space="preserve">To further increase MA beneficiary access to dental providers, </w:t>
      </w:r>
      <w:r>
        <w:rPr>
          <w:b/>
        </w:rPr>
        <w:t>we recommend CMS review and revise the opt-out proces</w:t>
      </w:r>
      <w:r>
        <w:rPr>
          <w:b/>
        </w:rPr>
        <w:t xml:space="preserve">s. </w:t>
      </w:r>
      <w:r>
        <w:t>We understand some dentists opted out of Medicare in response to the Part D enrollment requirement without understanding that this would impact their participation in MA plans. Unfortunately, dentists may not have realized this result until after the 90</w:t>
      </w:r>
      <w:r>
        <w:t>-day grace period to reverse the opt-out passed, and the opt-out is automatically renewed after two years. We encourage CMS to work with Medicare Contractors and dentists to provide more clear guidance and allow for a one-time opportunity to rescind an opt</w:t>
      </w:r>
      <w:r>
        <w:t>-out affidavit.</w:t>
      </w:r>
    </w:p>
    <w:p w:rsidR="00367D9B" w:rsidRDefault="00367D9B">
      <w:pPr>
        <w:pStyle w:val="BodyText"/>
        <w:spacing w:before="11"/>
        <w:rPr>
          <w:sz w:val="21"/>
        </w:rPr>
      </w:pPr>
    </w:p>
    <w:p w:rsidR="00367D9B" w:rsidRDefault="00084B73">
      <w:pPr>
        <w:pStyle w:val="BodyText"/>
        <w:ind w:left="1109" w:right="1397"/>
        <w:jc w:val="both"/>
      </w:pPr>
      <w:r>
        <w:t xml:space="preserve">NADP is appreciative of the opportunity to provide comments on this proposed rule. We look forward to supporting technical implementation of the preclusion list approach and provide feedback from the dental benefits industry as needed. Questions regarding </w:t>
      </w:r>
      <w:r>
        <w:t xml:space="preserve">our comments should be directed to Eme Augustini, Director of Government Relations at </w:t>
      </w:r>
      <w:hyperlink r:id="rId9">
        <w:r>
          <w:rPr>
            <w:color w:val="0000FF"/>
            <w:u w:val="single" w:color="0000FF"/>
          </w:rPr>
          <w:t xml:space="preserve">EAugustini@nadp.org </w:t>
        </w:r>
      </w:hyperlink>
      <w:r>
        <w:t>or (972) 458-6998 x111. Again, thank you for your consideration.</w:t>
      </w:r>
    </w:p>
    <w:p w:rsidR="00367D9B" w:rsidRDefault="00367D9B">
      <w:pPr>
        <w:pStyle w:val="BodyText"/>
      </w:pPr>
    </w:p>
    <w:p w:rsidR="00367D9B" w:rsidRDefault="00084B73">
      <w:pPr>
        <w:pStyle w:val="BodyText"/>
        <w:ind w:left="1110"/>
        <w:jc w:val="both"/>
      </w:pPr>
      <w:r>
        <w:rPr>
          <w:noProof/>
        </w:rPr>
        <w:drawing>
          <wp:anchor distT="0" distB="0" distL="0" distR="0" simplePos="0" relativeHeight="268431287" behindDoc="1" locked="0" layoutInCell="1" allowOverlap="1">
            <wp:simplePos x="0" y="0"/>
            <wp:positionH relativeFrom="page">
              <wp:posOffset>554354</wp:posOffset>
            </wp:positionH>
            <wp:positionV relativeFrom="paragraph">
              <wp:posOffset>161722</wp:posOffset>
            </wp:positionV>
            <wp:extent cx="1976119" cy="588644"/>
            <wp:effectExtent l="0" t="0" r="0" b="0"/>
            <wp:wrapNone/>
            <wp:docPr id="5" name="image3.png" descr="http://nadp.informz.net/NADP/data/images/EFI%20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976119" cy="588644"/>
                    </a:xfrm>
                    <a:prstGeom prst="rect">
                      <a:avLst/>
                    </a:prstGeom>
                  </pic:spPr>
                </pic:pic>
              </a:graphicData>
            </a:graphic>
          </wp:anchor>
        </w:drawing>
      </w:r>
      <w:r>
        <w:t>Sincerely,</w:t>
      </w:r>
    </w:p>
    <w:p w:rsidR="00367D9B" w:rsidRDefault="00367D9B">
      <w:pPr>
        <w:pStyle w:val="BodyText"/>
      </w:pPr>
    </w:p>
    <w:p w:rsidR="00367D9B" w:rsidRDefault="00367D9B">
      <w:pPr>
        <w:pStyle w:val="BodyText"/>
      </w:pPr>
    </w:p>
    <w:p w:rsidR="00367D9B" w:rsidRDefault="00367D9B">
      <w:pPr>
        <w:pStyle w:val="BodyText"/>
        <w:spacing w:before="11"/>
        <w:rPr>
          <w:sz w:val="21"/>
        </w:rPr>
      </w:pPr>
    </w:p>
    <w:p w:rsidR="00367D9B" w:rsidRDefault="00084B73">
      <w:pPr>
        <w:pStyle w:val="BodyText"/>
        <w:spacing w:before="1"/>
        <w:ind w:left="1109" w:right="9087"/>
      </w:pPr>
      <w:r>
        <w:t>Evelyn F. Ireland, CAE Executive Director</w:t>
      </w:r>
    </w:p>
    <w:p w:rsidR="00367D9B" w:rsidRDefault="00084B73">
      <w:pPr>
        <w:pStyle w:val="BodyText"/>
        <w:ind w:left="1109"/>
        <w:jc w:val="both"/>
      </w:pPr>
      <w:r>
        <w:t>National Association of Dental Plans (NADP)</w:t>
      </w:r>
    </w:p>
    <w:p w:rsidR="00367D9B" w:rsidRDefault="00367D9B">
      <w:pPr>
        <w:pStyle w:val="BodyText"/>
        <w:spacing w:before="11"/>
        <w:rPr>
          <w:sz w:val="21"/>
        </w:rPr>
      </w:pPr>
    </w:p>
    <w:p w:rsidR="00367D9B" w:rsidRDefault="00084B73">
      <w:pPr>
        <w:ind w:left="1109"/>
        <w:jc w:val="both"/>
        <w:rPr>
          <w:b/>
        </w:rPr>
      </w:pPr>
      <w:r>
        <w:rPr>
          <w:b/>
        </w:rPr>
        <w:t>NADP Description</w:t>
      </w:r>
    </w:p>
    <w:p w:rsidR="00367D9B" w:rsidRDefault="00084B73">
      <w:pPr>
        <w:pStyle w:val="BodyText"/>
        <w:ind w:left="1109" w:right="1397"/>
        <w:jc w:val="both"/>
      </w:pPr>
      <w:r>
        <w:t>NADP is the largest non-profit trade association focused exclusively on the dental benefits industry. NADP’s members provide dental HMO, dental PPO, den</w:t>
      </w:r>
      <w:r>
        <w:t>tal Indemnity and discount dental products to more than 184 million Americans with dental benefits. Our members include the entire spectrum of dental carriers: companies that provide both medical and dental coverage, companies that provide only dental cove</w:t>
      </w:r>
      <w:r>
        <w:t>rage, major national carriers, regional, and single state companies, as well as companies organized as non-profit plans.</w:t>
      </w:r>
      <w:bookmarkEnd w:id="0"/>
    </w:p>
    <w:sectPr w:rsidR="00367D9B">
      <w:pgSz w:w="12240" w:h="15840"/>
      <w:pgMar w:top="1040" w:right="40" w:bottom="3060" w:left="60" w:header="0" w:footer="28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4B73">
      <w:r>
        <w:separator/>
      </w:r>
    </w:p>
  </w:endnote>
  <w:endnote w:type="continuationSeparator" w:id="0">
    <w:p w:rsidR="00000000" w:rsidRDefault="0008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D9B" w:rsidRDefault="00084B73">
    <w:pPr>
      <w:pStyle w:val="BodyText"/>
      <w:spacing w:line="14" w:lineRule="auto"/>
      <w:rPr>
        <w:sz w:val="20"/>
      </w:rPr>
    </w:pPr>
    <w:r>
      <w:rPr>
        <w:noProof/>
      </w:rPr>
      <w:drawing>
        <wp:anchor distT="0" distB="0" distL="0" distR="0" simplePos="0" relativeHeight="268431263" behindDoc="1" locked="0" layoutInCell="1" allowOverlap="1">
          <wp:simplePos x="0" y="0"/>
          <wp:positionH relativeFrom="page">
            <wp:posOffset>102234</wp:posOffset>
          </wp:positionH>
          <wp:positionV relativeFrom="page">
            <wp:posOffset>8100058</wp:posOffset>
          </wp:positionV>
          <wp:extent cx="7565106" cy="190482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65106" cy="190482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48.85pt;margin-top:702.8pt;width:193.35pt;height:9.85pt;z-index:-4168;mso-position-horizontal-relative:page;mso-position-vertical-relative:page" filled="f" stroked="f">
          <v:textbox inset="0,0,0,0">
            <w:txbxContent>
              <w:p w:rsidR="00367D9B" w:rsidRDefault="00084B73">
                <w:pPr>
                  <w:spacing w:before="15"/>
                  <w:ind w:left="20"/>
                  <w:rPr>
                    <w:rFonts w:ascii="Arial" w:hAnsi="Arial"/>
                    <w:b/>
                    <w:sz w:val="14"/>
                  </w:rPr>
                </w:pPr>
                <w:r>
                  <w:rPr>
                    <w:rFonts w:ascii="Arial" w:hAnsi="Arial"/>
                    <w:b/>
                    <w:color w:val="C0C0C0"/>
                    <w:sz w:val="14"/>
                  </w:rPr>
                  <w:t>12700 Park Central Drive • Suite 400 • Dallas, Texas 75251</w:t>
                </w:r>
              </w:p>
            </w:txbxContent>
          </v:textbox>
          <w10:wrap anchorx="page" anchory="page"/>
        </v:shape>
      </w:pict>
    </w:r>
    <w:r>
      <w:pict>
        <v:shape id="_x0000_s1025" type="#_x0000_t202" style="position:absolute;margin-left:48.85pt;margin-top:718.95pt;width:112.7pt;height:9.85pt;z-index:-4144;mso-position-horizontal-relative:page;mso-position-vertical-relative:page" filled="f" stroked="f">
          <v:textbox inset="0,0,0,0">
            <w:txbxContent>
              <w:p w:rsidR="00367D9B" w:rsidRDefault="00084B73">
                <w:pPr>
                  <w:spacing w:before="15"/>
                  <w:ind w:left="20"/>
                  <w:rPr>
                    <w:rFonts w:ascii="Arial" w:hAnsi="Arial"/>
                    <w:b/>
                    <w:sz w:val="14"/>
                  </w:rPr>
                </w:pPr>
                <w:r>
                  <w:rPr>
                    <w:rFonts w:ascii="Arial" w:hAnsi="Arial"/>
                    <w:b/>
                    <w:color w:val="C0C0C0"/>
                    <w:sz w:val="14"/>
                  </w:rPr>
                  <w:t>972.458.6998 •  972.458.2258 [fax]</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4B73">
      <w:r>
        <w:separator/>
      </w:r>
    </w:p>
  </w:footnote>
  <w:footnote w:type="continuationSeparator" w:id="0">
    <w:p w:rsidR="00000000" w:rsidRDefault="00084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27C84"/>
    <w:multiLevelType w:val="hybridMultilevel"/>
    <w:tmpl w:val="32E03692"/>
    <w:lvl w:ilvl="0" w:tplc="075C8F2E">
      <w:numFmt w:val="bullet"/>
      <w:lvlText w:val=""/>
      <w:lvlJc w:val="left"/>
      <w:pPr>
        <w:ind w:left="1829" w:hanging="360"/>
      </w:pPr>
      <w:rPr>
        <w:rFonts w:ascii="Symbol" w:eastAsia="Symbol" w:hAnsi="Symbol" w:cs="Symbol" w:hint="default"/>
        <w:w w:val="99"/>
        <w:sz w:val="22"/>
        <w:szCs w:val="22"/>
      </w:rPr>
    </w:lvl>
    <w:lvl w:ilvl="1" w:tplc="47FE2D0E">
      <w:numFmt w:val="bullet"/>
      <w:lvlText w:val="•"/>
      <w:lvlJc w:val="left"/>
      <w:pPr>
        <w:ind w:left="2554" w:hanging="360"/>
      </w:pPr>
      <w:rPr>
        <w:rFonts w:hint="default"/>
      </w:rPr>
    </w:lvl>
    <w:lvl w:ilvl="2" w:tplc="EB8AAE58">
      <w:numFmt w:val="bullet"/>
      <w:lvlText w:val="•"/>
      <w:lvlJc w:val="left"/>
      <w:pPr>
        <w:ind w:left="3289" w:hanging="360"/>
      </w:pPr>
      <w:rPr>
        <w:rFonts w:hint="default"/>
      </w:rPr>
    </w:lvl>
    <w:lvl w:ilvl="3" w:tplc="10E2249C">
      <w:numFmt w:val="bullet"/>
      <w:lvlText w:val="•"/>
      <w:lvlJc w:val="left"/>
      <w:pPr>
        <w:ind w:left="4023" w:hanging="360"/>
      </w:pPr>
      <w:rPr>
        <w:rFonts w:hint="default"/>
      </w:rPr>
    </w:lvl>
    <w:lvl w:ilvl="4" w:tplc="EA986E4E">
      <w:numFmt w:val="bullet"/>
      <w:lvlText w:val="•"/>
      <w:lvlJc w:val="left"/>
      <w:pPr>
        <w:ind w:left="4758" w:hanging="360"/>
      </w:pPr>
      <w:rPr>
        <w:rFonts w:hint="default"/>
      </w:rPr>
    </w:lvl>
    <w:lvl w:ilvl="5" w:tplc="261EB060">
      <w:numFmt w:val="bullet"/>
      <w:lvlText w:val="•"/>
      <w:lvlJc w:val="left"/>
      <w:pPr>
        <w:ind w:left="5492" w:hanging="360"/>
      </w:pPr>
      <w:rPr>
        <w:rFonts w:hint="default"/>
      </w:rPr>
    </w:lvl>
    <w:lvl w:ilvl="6" w:tplc="C0FE718A">
      <w:numFmt w:val="bullet"/>
      <w:lvlText w:val="•"/>
      <w:lvlJc w:val="left"/>
      <w:pPr>
        <w:ind w:left="6227" w:hanging="360"/>
      </w:pPr>
      <w:rPr>
        <w:rFonts w:hint="default"/>
      </w:rPr>
    </w:lvl>
    <w:lvl w:ilvl="7" w:tplc="1CA2D1E6">
      <w:numFmt w:val="bullet"/>
      <w:lvlText w:val="•"/>
      <w:lvlJc w:val="left"/>
      <w:pPr>
        <w:ind w:left="6962" w:hanging="360"/>
      </w:pPr>
      <w:rPr>
        <w:rFonts w:hint="default"/>
      </w:rPr>
    </w:lvl>
    <w:lvl w:ilvl="8" w:tplc="FD70608E">
      <w:numFmt w:val="bullet"/>
      <w:lvlText w:val="•"/>
      <w:lvlJc w:val="left"/>
      <w:pPr>
        <w:ind w:left="76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67D9B"/>
    <w:rsid w:val="00084B73"/>
    <w:rsid w:val="0036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3F7CACE-7811-4C72-87B3-758F50A2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2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Augustini@nadp.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3962</Characters>
  <Application>Microsoft Office Word</Application>
  <DocSecurity>0</DocSecurity>
  <Lines>122</Lines>
  <Paragraphs>49</Paragraphs>
  <ScaleCrop>false</ScaleCrop>
  <Company>CMS</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 2005</dc:title>
  <dc:creator>Karie Johnson</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Acrobat PDFMaker 15 for Word</vt:lpwstr>
  </property>
  <property fmtid="{D5CDD505-2E9C-101B-9397-08002B2CF9AE}" pid="4" name="LastSaved">
    <vt:filetime>2018-06-15T00:00:00Z</vt:filetime>
  </property>
</Properties>
</file>