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D29" w:rsidRDefault="00004D29">
      <w:pPr>
        <w:pStyle w:val="BodyText"/>
        <w:rPr>
          <w:rFonts w:ascii="Times New Roman"/>
          <w:sz w:val="20"/>
        </w:rPr>
      </w:pPr>
    </w:p>
    <w:p w:rsidR="00004D29" w:rsidRDefault="00004D29">
      <w:pPr>
        <w:pStyle w:val="BodyText"/>
        <w:spacing w:after="1"/>
        <w:rPr>
          <w:rFonts w:ascii="Times New Roman"/>
          <w:sz w:val="28"/>
        </w:rPr>
      </w:pPr>
    </w:p>
    <w:tbl>
      <w:tblPr>
        <w:tblW w:w="0" w:type="auto"/>
        <w:tblInd w:w="1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849"/>
        <w:gridCol w:w="4194"/>
      </w:tblGrid>
      <w:tr w:rsidR="00004D29">
        <w:trPr>
          <w:trHeight w:hRule="exact" w:val="185"/>
        </w:trPr>
        <w:tc>
          <w:tcPr>
            <w:tcW w:w="4849" w:type="dxa"/>
          </w:tcPr>
          <w:p w:rsidR="00004D29" w:rsidRDefault="00C42DC8">
            <w:pPr>
              <w:pStyle w:val="TableParagraph"/>
              <w:rPr>
                <w:sz w:val="13"/>
              </w:rPr>
            </w:pPr>
            <w:r>
              <w:rPr>
                <w:color w:val="0000FF"/>
                <w:sz w:val="16"/>
              </w:rPr>
              <w:t>H</w:t>
            </w:r>
            <w:r>
              <w:rPr>
                <w:color w:val="0000FF"/>
                <w:sz w:val="13"/>
              </w:rPr>
              <w:t xml:space="preserve">EALTH </w:t>
            </w:r>
            <w:r>
              <w:rPr>
                <w:color w:val="0000FF"/>
                <w:sz w:val="16"/>
              </w:rPr>
              <w:t>P</w:t>
            </w:r>
            <w:r>
              <w:rPr>
                <w:color w:val="0000FF"/>
                <w:sz w:val="13"/>
              </w:rPr>
              <w:t>OLICY</w:t>
            </w:r>
          </w:p>
        </w:tc>
        <w:tc>
          <w:tcPr>
            <w:tcW w:w="4194" w:type="dxa"/>
          </w:tcPr>
          <w:p w:rsidR="00004D29" w:rsidRDefault="00C42DC8">
            <w:pPr>
              <w:pStyle w:val="TableParagraph"/>
              <w:ind w:left="0" w:right="198"/>
              <w:jc w:val="right"/>
              <w:rPr>
                <w:sz w:val="16"/>
              </w:rPr>
            </w:pPr>
            <w:r>
              <w:rPr>
                <w:color w:val="0000FF"/>
                <w:sz w:val="16"/>
              </w:rPr>
              <w:t>T</w:t>
            </w:r>
            <w:r>
              <w:rPr>
                <w:color w:val="0000FF"/>
                <w:sz w:val="13"/>
              </w:rPr>
              <w:t>EL</w:t>
            </w:r>
            <w:r>
              <w:rPr>
                <w:color w:val="0000FF"/>
                <w:sz w:val="16"/>
              </w:rPr>
              <w:t>. (202) 589-1000</w:t>
            </w:r>
          </w:p>
        </w:tc>
      </w:tr>
      <w:tr w:rsidR="00004D29">
        <w:trPr>
          <w:trHeight w:hRule="exact" w:val="184"/>
        </w:trPr>
        <w:tc>
          <w:tcPr>
            <w:tcW w:w="4849" w:type="dxa"/>
          </w:tcPr>
          <w:p w:rsidR="00004D29" w:rsidRDefault="00C42DC8">
            <w:pPr>
              <w:pStyle w:val="TableParagraph"/>
              <w:rPr>
                <w:sz w:val="13"/>
              </w:rPr>
            </w:pPr>
            <w:r>
              <w:rPr>
                <w:color w:val="0000FF"/>
                <w:sz w:val="16"/>
              </w:rPr>
              <w:t>G</w:t>
            </w:r>
            <w:r>
              <w:rPr>
                <w:color w:val="0000FF"/>
                <w:sz w:val="13"/>
              </w:rPr>
              <w:t xml:space="preserve">OVERNMENT </w:t>
            </w:r>
            <w:r>
              <w:rPr>
                <w:color w:val="0000FF"/>
                <w:sz w:val="16"/>
              </w:rPr>
              <w:t>A</w:t>
            </w:r>
            <w:r>
              <w:rPr>
                <w:color w:val="0000FF"/>
                <w:sz w:val="13"/>
              </w:rPr>
              <w:t xml:space="preserve">FFAIRS </w:t>
            </w:r>
            <w:r>
              <w:rPr>
                <w:color w:val="0000FF"/>
                <w:sz w:val="16"/>
              </w:rPr>
              <w:t>&amp; P</w:t>
            </w:r>
            <w:r>
              <w:rPr>
                <w:color w:val="0000FF"/>
                <w:sz w:val="13"/>
              </w:rPr>
              <w:t>OLICY</w:t>
            </w:r>
          </w:p>
        </w:tc>
        <w:tc>
          <w:tcPr>
            <w:tcW w:w="4194" w:type="dxa"/>
          </w:tcPr>
          <w:p w:rsidR="00004D29" w:rsidRDefault="00C42DC8">
            <w:pPr>
              <w:pStyle w:val="TableParagraph"/>
              <w:ind w:left="0" w:right="198"/>
              <w:jc w:val="right"/>
              <w:rPr>
                <w:sz w:val="16"/>
              </w:rPr>
            </w:pPr>
            <w:r>
              <w:rPr>
                <w:color w:val="0000FF"/>
                <w:sz w:val="16"/>
              </w:rPr>
              <w:t>F</w:t>
            </w:r>
            <w:r>
              <w:rPr>
                <w:color w:val="0000FF"/>
                <w:sz w:val="13"/>
              </w:rPr>
              <w:t>AX</w:t>
            </w:r>
            <w:r>
              <w:rPr>
                <w:color w:val="0000FF"/>
                <w:sz w:val="16"/>
              </w:rPr>
              <w:t>. (202) 589-1001</w:t>
            </w:r>
          </w:p>
        </w:tc>
      </w:tr>
      <w:tr w:rsidR="00004D29">
        <w:trPr>
          <w:trHeight w:hRule="exact" w:val="184"/>
        </w:trPr>
        <w:tc>
          <w:tcPr>
            <w:tcW w:w="4849" w:type="dxa"/>
          </w:tcPr>
          <w:p w:rsidR="00004D29" w:rsidRDefault="00C42DC8">
            <w:pPr>
              <w:pStyle w:val="TableParagraph"/>
              <w:spacing w:line="183" w:lineRule="exact"/>
              <w:rPr>
                <w:sz w:val="16"/>
              </w:rPr>
            </w:pPr>
            <w:r>
              <w:rPr>
                <w:color w:val="0000FF"/>
                <w:sz w:val="16"/>
              </w:rPr>
              <w:t>1350 E</w:t>
            </w:r>
            <w:r>
              <w:rPr>
                <w:color w:val="0000FF"/>
                <w:sz w:val="13"/>
              </w:rPr>
              <w:t xml:space="preserve">YE </w:t>
            </w:r>
            <w:r>
              <w:rPr>
                <w:color w:val="0000FF"/>
                <w:sz w:val="16"/>
              </w:rPr>
              <w:t>S</w:t>
            </w:r>
            <w:r>
              <w:rPr>
                <w:color w:val="0000FF"/>
                <w:sz w:val="13"/>
              </w:rPr>
              <w:t>TREET</w:t>
            </w:r>
            <w:r>
              <w:rPr>
                <w:color w:val="0000FF"/>
                <w:sz w:val="16"/>
              </w:rPr>
              <w:t>, N.W.</w:t>
            </w:r>
          </w:p>
        </w:tc>
        <w:tc>
          <w:tcPr>
            <w:tcW w:w="4194" w:type="dxa"/>
          </w:tcPr>
          <w:p w:rsidR="00004D29" w:rsidRDefault="00004D29"/>
        </w:tc>
      </w:tr>
      <w:tr w:rsidR="00004D29">
        <w:trPr>
          <w:trHeight w:hRule="exact" w:val="185"/>
        </w:trPr>
        <w:tc>
          <w:tcPr>
            <w:tcW w:w="4849" w:type="dxa"/>
          </w:tcPr>
          <w:p w:rsidR="00004D29" w:rsidRDefault="00C42DC8">
            <w:pPr>
              <w:pStyle w:val="TableParagraph"/>
              <w:rPr>
                <w:sz w:val="16"/>
              </w:rPr>
            </w:pPr>
            <w:r>
              <w:rPr>
                <w:color w:val="0000FF"/>
                <w:sz w:val="16"/>
              </w:rPr>
              <w:t>W</w:t>
            </w:r>
            <w:r>
              <w:rPr>
                <w:color w:val="0000FF"/>
                <w:sz w:val="13"/>
              </w:rPr>
              <w:t>ASHINGTON</w:t>
            </w:r>
            <w:r>
              <w:rPr>
                <w:color w:val="0000FF"/>
                <w:sz w:val="16"/>
              </w:rPr>
              <w:t>, D.C. 20005-3305</w:t>
            </w:r>
          </w:p>
        </w:tc>
        <w:tc>
          <w:tcPr>
            <w:tcW w:w="4194" w:type="dxa"/>
          </w:tcPr>
          <w:p w:rsidR="00004D29" w:rsidRDefault="00004D29"/>
        </w:tc>
      </w:tr>
    </w:tbl>
    <w:p w:rsidR="00004D29" w:rsidRDefault="00004D29">
      <w:pPr>
        <w:pStyle w:val="BodyText"/>
        <w:rPr>
          <w:rFonts w:ascii="Times New Roman"/>
          <w:sz w:val="20"/>
        </w:rPr>
      </w:pPr>
    </w:p>
    <w:p w:rsidR="00004D29" w:rsidRDefault="00C42DC8">
      <w:pPr>
        <w:pStyle w:val="BodyText"/>
        <w:spacing w:before="93"/>
        <w:ind w:left="200"/>
      </w:pPr>
      <w:r>
        <w:rPr>
          <w:noProof/>
        </w:rPr>
        <w:drawing>
          <wp:anchor distT="0" distB="0" distL="0" distR="0" simplePos="0" relativeHeight="268431527" behindDoc="1" locked="0" layoutInCell="1" allowOverlap="1">
            <wp:simplePos x="0" y="0"/>
            <wp:positionH relativeFrom="page">
              <wp:posOffset>2971980</wp:posOffset>
            </wp:positionH>
            <wp:positionV relativeFrom="paragraph">
              <wp:posOffset>-960833</wp:posOffset>
            </wp:positionV>
            <wp:extent cx="1834157" cy="34766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834157" cy="347662"/>
                    </a:xfrm>
                    <a:prstGeom prst="rect">
                      <a:avLst/>
                    </a:prstGeom>
                  </pic:spPr>
                </pic:pic>
              </a:graphicData>
            </a:graphic>
          </wp:anchor>
        </w:drawing>
      </w:r>
      <w:r>
        <w:t>January 16, 2018</w:t>
      </w:r>
    </w:p>
    <w:p w:rsidR="00004D29" w:rsidRDefault="00004D29">
      <w:pPr>
        <w:pStyle w:val="BodyText"/>
        <w:spacing w:before="3"/>
        <w:rPr>
          <w:sz w:val="20"/>
        </w:rPr>
      </w:pPr>
    </w:p>
    <w:p w:rsidR="00004D29" w:rsidRDefault="00C42DC8">
      <w:pPr>
        <w:pStyle w:val="BodyText"/>
        <w:spacing w:before="94" w:line="276" w:lineRule="auto"/>
        <w:ind w:left="200" w:right="6342"/>
      </w:pPr>
      <w:r>
        <w:t>Centers for Medicare &amp; Medicaid Services 7500 Security Blvd</w:t>
      </w:r>
    </w:p>
    <w:p w:rsidR="00004D29" w:rsidRDefault="00C42DC8">
      <w:pPr>
        <w:pStyle w:val="BodyText"/>
        <w:ind w:left="200"/>
        <w:jc w:val="both"/>
      </w:pPr>
      <w:r>
        <w:t>Baltimore, MD 21244</w:t>
      </w:r>
    </w:p>
    <w:p w:rsidR="00004D29" w:rsidRDefault="00004D29">
      <w:pPr>
        <w:pStyle w:val="BodyText"/>
        <w:spacing w:before="7"/>
        <w:rPr>
          <w:sz w:val="28"/>
        </w:rPr>
      </w:pPr>
    </w:p>
    <w:p w:rsidR="00004D29" w:rsidRDefault="00C42DC8">
      <w:pPr>
        <w:pStyle w:val="BodyText"/>
        <w:spacing w:before="1" w:line="276" w:lineRule="auto"/>
        <w:ind w:left="200" w:right="117"/>
        <w:jc w:val="both"/>
      </w:pPr>
      <w:r>
        <w:t>Re: Comments on CMS-4192-P, Medicare Program; Contract Year 2019 Policy and Technical Changes to the Medicare Advantage, Medicare Cost Plan, Medicare Fee-for-Service, the Medicare Prescription Drug Benefit Programs, and the PACE Program</w:t>
      </w:r>
    </w:p>
    <w:p w:rsidR="00004D29" w:rsidRDefault="00004D29">
      <w:pPr>
        <w:pStyle w:val="BodyText"/>
        <w:spacing w:before="6"/>
        <w:rPr>
          <w:sz w:val="25"/>
        </w:rPr>
      </w:pPr>
    </w:p>
    <w:p w:rsidR="00004D29" w:rsidRDefault="00C42DC8">
      <w:pPr>
        <w:ind w:left="200"/>
        <w:jc w:val="both"/>
        <w:rPr>
          <w:b/>
          <w:i/>
        </w:rPr>
      </w:pPr>
      <w:r>
        <w:t>SUBMITTED ELECTRON</w:t>
      </w:r>
      <w:r>
        <w:t xml:space="preserve">ICALLY VIA </w:t>
      </w:r>
      <w:r>
        <w:rPr>
          <w:b/>
          <w:i/>
        </w:rPr>
        <w:t>Regulations.gov</w:t>
      </w:r>
    </w:p>
    <w:p w:rsidR="00004D29" w:rsidRDefault="00004D29">
      <w:pPr>
        <w:pStyle w:val="BodyText"/>
        <w:spacing w:before="5"/>
        <w:rPr>
          <w:b/>
          <w:i/>
          <w:sz w:val="28"/>
        </w:rPr>
      </w:pPr>
    </w:p>
    <w:p w:rsidR="00004D29" w:rsidRDefault="00C42DC8">
      <w:pPr>
        <w:pStyle w:val="BodyText"/>
        <w:spacing w:line="276" w:lineRule="auto"/>
        <w:ind w:left="200" w:right="116"/>
        <w:jc w:val="both"/>
      </w:pPr>
      <w:r>
        <w:t>On Behalf of Johnson &amp; Johnson’s Operating Companies</w:t>
      </w:r>
      <w:r>
        <w:rPr>
          <w:sz w:val="20"/>
        </w:rPr>
        <w:t xml:space="preserve">, </w:t>
      </w:r>
      <w:r>
        <w:t>I am pleased to provide comments regarding CMS- 4192-P, Medicare Program; Contract Year 2019 Policy and Technical Changes to the Medicare Advantage, Medicare</w:t>
      </w:r>
      <w:r>
        <w:rPr>
          <w:spacing w:val="-13"/>
        </w:rPr>
        <w:t xml:space="preserve"> </w:t>
      </w:r>
      <w:r>
        <w:t>Cost</w:t>
      </w:r>
      <w:r>
        <w:rPr>
          <w:spacing w:val="-15"/>
        </w:rPr>
        <w:t xml:space="preserve"> </w:t>
      </w:r>
      <w:r>
        <w:t>Plan,</w:t>
      </w:r>
      <w:r>
        <w:rPr>
          <w:spacing w:val="-12"/>
        </w:rPr>
        <w:t xml:space="preserve"> </w:t>
      </w:r>
      <w:r>
        <w:t>Medicare</w:t>
      </w:r>
      <w:r>
        <w:rPr>
          <w:spacing w:val="-13"/>
        </w:rPr>
        <w:t xml:space="preserve"> </w:t>
      </w:r>
      <w:r>
        <w:t>Fee-for-Service,</w:t>
      </w:r>
      <w:r>
        <w:rPr>
          <w:spacing w:val="-15"/>
        </w:rPr>
        <w:t xml:space="preserve"> </w:t>
      </w:r>
      <w:r>
        <w:t>the</w:t>
      </w:r>
      <w:r>
        <w:rPr>
          <w:spacing w:val="-13"/>
        </w:rPr>
        <w:t xml:space="preserve"> </w:t>
      </w:r>
      <w:r>
        <w:t>Medicare</w:t>
      </w:r>
      <w:r>
        <w:rPr>
          <w:spacing w:val="-13"/>
        </w:rPr>
        <w:t xml:space="preserve"> </w:t>
      </w:r>
      <w:r>
        <w:t>Prescription</w:t>
      </w:r>
      <w:r>
        <w:rPr>
          <w:spacing w:val="-19"/>
        </w:rPr>
        <w:t xml:space="preserve"> </w:t>
      </w:r>
      <w:r>
        <w:t>Drug</w:t>
      </w:r>
      <w:r>
        <w:rPr>
          <w:spacing w:val="-14"/>
        </w:rPr>
        <w:t xml:space="preserve"> </w:t>
      </w:r>
      <w:r>
        <w:t>Benefit</w:t>
      </w:r>
      <w:r>
        <w:rPr>
          <w:spacing w:val="-15"/>
        </w:rPr>
        <w:t xml:space="preserve"> </w:t>
      </w:r>
      <w:r>
        <w:t>Programs,</w:t>
      </w:r>
      <w:r>
        <w:rPr>
          <w:spacing w:val="-15"/>
        </w:rPr>
        <w:t xml:space="preserve"> </w:t>
      </w:r>
      <w:r>
        <w:t>and</w:t>
      </w:r>
      <w:r>
        <w:rPr>
          <w:spacing w:val="-14"/>
        </w:rPr>
        <w:t xml:space="preserve"> </w:t>
      </w:r>
      <w:r>
        <w:t>the</w:t>
      </w:r>
      <w:r>
        <w:rPr>
          <w:spacing w:val="-16"/>
        </w:rPr>
        <w:t xml:space="preserve"> </w:t>
      </w:r>
      <w:r>
        <w:t>PACE Program.</w:t>
      </w:r>
    </w:p>
    <w:p w:rsidR="00004D29" w:rsidRDefault="00004D29">
      <w:pPr>
        <w:pStyle w:val="BodyText"/>
        <w:spacing w:before="3"/>
        <w:rPr>
          <w:sz w:val="25"/>
        </w:rPr>
      </w:pPr>
    </w:p>
    <w:p w:rsidR="00004D29" w:rsidRDefault="00C42DC8">
      <w:pPr>
        <w:pStyle w:val="BodyText"/>
        <w:spacing w:line="276" w:lineRule="auto"/>
        <w:ind w:left="200" w:right="113"/>
        <w:jc w:val="both"/>
      </w:pPr>
      <w:r>
        <w:t xml:space="preserve">Johnson &amp; Johnson (J&amp;J) is the world’s most comprehensive and broadly-based manufacturer of health care products for the consumer, pharmaceutical and medical </w:t>
      </w:r>
      <w:r>
        <w:t>devices and diagnostics markets. For more than 125 years, J&amp;J Companies have supplied the health system with a broad range of products and has led the way in innovation, beginning with the first antiseptic bandages and sutures.</w:t>
      </w:r>
    </w:p>
    <w:p w:rsidR="00004D29" w:rsidRDefault="00004D29">
      <w:pPr>
        <w:pStyle w:val="BodyText"/>
        <w:spacing w:before="3"/>
        <w:rPr>
          <w:sz w:val="25"/>
        </w:rPr>
      </w:pPr>
    </w:p>
    <w:p w:rsidR="00004D29" w:rsidRDefault="00C42DC8">
      <w:pPr>
        <w:pStyle w:val="BodyText"/>
        <w:spacing w:line="278" w:lineRule="auto"/>
        <w:ind w:left="200" w:right="120"/>
        <w:jc w:val="both"/>
      </w:pPr>
      <w:r>
        <w:t>J&amp;J is a member of the Phar</w:t>
      </w:r>
      <w:r>
        <w:t>maceutical Research and Manufacturers’ Association (PhRMA) and the Biotechnology Innovation Organization (BIO), and we support and endorse their comments on CMS-4192-P.</w:t>
      </w:r>
    </w:p>
    <w:p w:rsidR="00004D29" w:rsidRDefault="00004D29">
      <w:pPr>
        <w:pStyle w:val="BodyText"/>
        <w:rPr>
          <w:sz w:val="25"/>
        </w:rPr>
      </w:pPr>
    </w:p>
    <w:p w:rsidR="00004D29" w:rsidRDefault="00C42DC8">
      <w:pPr>
        <w:pStyle w:val="BodyText"/>
        <w:spacing w:line="276" w:lineRule="auto"/>
        <w:ind w:left="200" w:right="114"/>
        <w:jc w:val="both"/>
      </w:pPr>
      <w:r>
        <w:t>Below,</w:t>
      </w:r>
      <w:r>
        <w:rPr>
          <w:spacing w:val="-3"/>
        </w:rPr>
        <w:t xml:space="preserve"> </w:t>
      </w:r>
      <w:r>
        <w:t>we</w:t>
      </w:r>
      <w:r>
        <w:rPr>
          <w:spacing w:val="-4"/>
        </w:rPr>
        <w:t xml:space="preserve"> </w:t>
      </w:r>
      <w:r>
        <w:t>provide</w:t>
      </w:r>
      <w:r>
        <w:rPr>
          <w:spacing w:val="-4"/>
        </w:rPr>
        <w:t xml:space="preserve"> </w:t>
      </w:r>
      <w:r>
        <w:t>our</w:t>
      </w:r>
      <w:r>
        <w:rPr>
          <w:spacing w:val="-3"/>
        </w:rPr>
        <w:t xml:space="preserve"> </w:t>
      </w:r>
      <w:r>
        <w:t>comments</w:t>
      </w:r>
      <w:r>
        <w:rPr>
          <w:spacing w:val="-6"/>
        </w:rPr>
        <w:t xml:space="preserve"> </w:t>
      </w:r>
      <w:r>
        <w:t>on</w:t>
      </w:r>
      <w:r>
        <w:rPr>
          <w:spacing w:val="-7"/>
        </w:rPr>
        <w:t xml:space="preserve"> </w:t>
      </w:r>
      <w:r>
        <w:t>the</w:t>
      </w:r>
      <w:r>
        <w:rPr>
          <w:spacing w:val="-7"/>
        </w:rPr>
        <w:t xml:space="preserve"> </w:t>
      </w:r>
      <w:r>
        <w:t>proposal</w:t>
      </w:r>
      <w:r>
        <w:rPr>
          <w:spacing w:val="-9"/>
        </w:rPr>
        <w:t xml:space="preserve"> </w:t>
      </w:r>
      <w:r>
        <w:t>to</w:t>
      </w:r>
      <w:r>
        <w:rPr>
          <w:spacing w:val="-6"/>
        </w:rPr>
        <w:t xml:space="preserve"> </w:t>
      </w:r>
      <w:r>
        <w:t>treat</w:t>
      </w:r>
      <w:r>
        <w:rPr>
          <w:spacing w:val="-3"/>
        </w:rPr>
        <w:t xml:space="preserve"> </w:t>
      </w:r>
      <w:r>
        <w:t>biosimilars</w:t>
      </w:r>
      <w:r>
        <w:rPr>
          <w:spacing w:val="-3"/>
        </w:rPr>
        <w:t xml:space="preserve"> </w:t>
      </w:r>
      <w:r>
        <w:t>as</w:t>
      </w:r>
      <w:r>
        <w:rPr>
          <w:spacing w:val="-9"/>
        </w:rPr>
        <w:t xml:space="preserve"> </w:t>
      </w:r>
      <w:r>
        <w:t>generics</w:t>
      </w:r>
      <w:r>
        <w:rPr>
          <w:spacing w:val="-6"/>
        </w:rPr>
        <w:t xml:space="preserve"> </w:t>
      </w:r>
      <w:r>
        <w:t>for</w:t>
      </w:r>
      <w:r>
        <w:rPr>
          <w:spacing w:val="-6"/>
        </w:rPr>
        <w:t xml:space="preserve"> </w:t>
      </w:r>
      <w:r>
        <w:t>the</w:t>
      </w:r>
      <w:r>
        <w:rPr>
          <w:spacing w:val="-7"/>
        </w:rPr>
        <w:t xml:space="preserve"> </w:t>
      </w:r>
      <w:r>
        <w:t>purpose</w:t>
      </w:r>
      <w:r>
        <w:rPr>
          <w:spacing w:val="-4"/>
        </w:rPr>
        <w:t xml:space="preserve"> </w:t>
      </w:r>
      <w:r>
        <w:t>of</w:t>
      </w:r>
      <w:r>
        <w:rPr>
          <w:spacing w:val="-8"/>
        </w:rPr>
        <w:t xml:space="preserve"> </w:t>
      </w:r>
      <w:r>
        <w:t>determining cost sharing in certain instances and our response to CMS’s request for information related to passing rebates through to Part D patients at the point of</w:t>
      </w:r>
      <w:r>
        <w:rPr>
          <w:spacing w:val="-12"/>
        </w:rPr>
        <w:t xml:space="preserve"> </w:t>
      </w:r>
      <w:r>
        <w:t>sale.</w:t>
      </w:r>
    </w:p>
    <w:p w:rsidR="00004D29" w:rsidRDefault="00004D29">
      <w:pPr>
        <w:pStyle w:val="BodyText"/>
        <w:spacing w:before="3"/>
        <w:rPr>
          <w:sz w:val="25"/>
        </w:rPr>
      </w:pPr>
    </w:p>
    <w:p w:rsidR="00004D29" w:rsidRDefault="00C42DC8">
      <w:pPr>
        <w:pStyle w:val="Heading1"/>
        <w:ind w:left="200"/>
      </w:pPr>
      <w:r>
        <w:t>Treatment of Biosimilars as Generic Drugs for Non-LIS Catastrophic a</w:t>
      </w:r>
      <w:r>
        <w:t>nd LIS Cost Sharing</w:t>
      </w:r>
    </w:p>
    <w:p w:rsidR="00004D29" w:rsidRDefault="00004D29">
      <w:pPr>
        <w:pStyle w:val="BodyText"/>
        <w:spacing w:before="5"/>
        <w:rPr>
          <w:b/>
          <w:sz w:val="28"/>
        </w:rPr>
      </w:pPr>
    </w:p>
    <w:p w:rsidR="00004D29" w:rsidRDefault="00C42DC8">
      <w:pPr>
        <w:pStyle w:val="BodyText"/>
        <w:spacing w:line="276" w:lineRule="auto"/>
        <w:ind w:left="200" w:right="117"/>
        <w:jc w:val="both"/>
      </w:pPr>
      <w:r>
        <w:t>J&amp;J fully supports efforts to implement regulatory standards for the review and approval of biosimilars in which patient well-being is the first priority. Patients deserve safe and effective treatments that are backed by robust data</w:t>
      </w:r>
      <w:r>
        <w:rPr>
          <w:spacing w:val="-4"/>
        </w:rPr>
        <w:t xml:space="preserve"> </w:t>
      </w:r>
      <w:r>
        <w:t>su</w:t>
      </w:r>
      <w:r>
        <w:t>fficient</w:t>
      </w:r>
      <w:r>
        <w:rPr>
          <w:spacing w:val="-7"/>
        </w:rPr>
        <w:t xml:space="preserve"> </w:t>
      </w:r>
      <w:r>
        <w:t>to</w:t>
      </w:r>
      <w:r>
        <w:rPr>
          <w:spacing w:val="-6"/>
        </w:rPr>
        <w:t xml:space="preserve"> </w:t>
      </w:r>
      <w:r>
        <w:t>scientifically</w:t>
      </w:r>
      <w:r>
        <w:rPr>
          <w:spacing w:val="-6"/>
        </w:rPr>
        <w:t xml:space="preserve"> </w:t>
      </w:r>
      <w:r>
        <w:t>justify</w:t>
      </w:r>
      <w:r>
        <w:rPr>
          <w:spacing w:val="-3"/>
        </w:rPr>
        <w:t xml:space="preserve"> </w:t>
      </w:r>
      <w:r>
        <w:t>their</w:t>
      </w:r>
      <w:r>
        <w:rPr>
          <w:spacing w:val="-5"/>
        </w:rPr>
        <w:t xml:space="preserve"> </w:t>
      </w:r>
      <w:r>
        <w:t>use</w:t>
      </w:r>
      <w:r>
        <w:rPr>
          <w:spacing w:val="-7"/>
        </w:rPr>
        <w:t xml:space="preserve"> </w:t>
      </w:r>
      <w:r>
        <w:t>in</w:t>
      </w:r>
      <w:r>
        <w:rPr>
          <w:spacing w:val="-4"/>
        </w:rPr>
        <w:t xml:space="preserve"> </w:t>
      </w:r>
      <w:r>
        <w:t>each</w:t>
      </w:r>
      <w:r>
        <w:rPr>
          <w:spacing w:val="-4"/>
        </w:rPr>
        <w:t xml:space="preserve"> </w:t>
      </w:r>
      <w:r>
        <w:t>disease</w:t>
      </w:r>
      <w:r>
        <w:rPr>
          <w:spacing w:val="-6"/>
        </w:rPr>
        <w:t xml:space="preserve"> </w:t>
      </w:r>
      <w:r>
        <w:t>in</w:t>
      </w:r>
      <w:r>
        <w:rPr>
          <w:spacing w:val="-4"/>
        </w:rPr>
        <w:t xml:space="preserve"> </w:t>
      </w:r>
      <w:r>
        <w:t>which</w:t>
      </w:r>
      <w:r>
        <w:rPr>
          <w:spacing w:val="-4"/>
        </w:rPr>
        <w:t xml:space="preserve"> </w:t>
      </w:r>
      <w:r>
        <w:t>they</w:t>
      </w:r>
      <w:r>
        <w:rPr>
          <w:spacing w:val="-6"/>
        </w:rPr>
        <w:t xml:space="preserve"> </w:t>
      </w:r>
      <w:r>
        <w:t>are</w:t>
      </w:r>
      <w:r>
        <w:rPr>
          <w:spacing w:val="-4"/>
        </w:rPr>
        <w:t xml:space="preserve"> </w:t>
      </w:r>
      <w:r>
        <w:t>approved.</w:t>
      </w:r>
      <w:r>
        <w:rPr>
          <w:spacing w:val="-6"/>
        </w:rPr>
        <w:t xml:space="preserve"> </w:t>
      </w:r>
      <w:r>
        <w:rPr>
          <w:spacing w:val="3"/>
        </w:rPr>
        <w:t>We</w:t>
      </w:r>
      <w:r>
        <w:rPr>
          <w:spacing w:val="-9"/>
        </w:rPr>
        <w:t xml:space="preserve"> </w:t>
      </w:r>
      <w:r>
        <w:t>believe</w:t>
      </w:r>
      <w:r>
        <w:rPr>
          <w:spacing w:val="-4"/>
        </w:rPr>
        <w:t xml:space="preserve"> </w:t>
      </w:r>
      <w:r>
        <w:t>biosimilar adoption will increase as new biosimilars become available, as manufacturers become increasingly competitive on price, and as physicians continue to gain experience with new biosimilar</w:t>
      </w:r>
      <w:r>
        <w:rPr>
          <w:spacing w:val="-22"/>
        </w:rPr>
        <w:t xml:space="preserve"> </w:t>
      </w:r>
      <w:r>
        <w:t>agents.</w:t>
      </w:r>
    </w:p>
    <w:p w:rsidR="00004D29" w:rsidRDefault="00004D29">
      <w:pPr>
        <w:pStyle w:val="BodyText"/>
        <w:spacing w:before="5"/>
        <w:rPr>
          <w:sz w:val="25"/>
        </w:rPr>
      </w:pPr>
    </w:p>
    <w:p w:rsidR="00004D29" w:rsidRDefault="00C42DC8">
      <w:pPr>
        <w:pStyle w:val="BodyText"/>
        <w:spacing w:line="276" w:lineRule="auto"/>
        <w:ind w:left="200" w:right="114"/>
        <w:jc w:val="both"/>
      </w:pPr>
      <w:r>
        <w:t>While</w:t>
      </w:r>
      <w:r>
        <w:rPr>
          <w:spacing w:val="-10"/>
        </w:rPr>
        <w:t xml:space="preserve"> </w:t>
      </w:r>
      <w:r>
        <w:t>we</w:t>
      </w:r>
      <w:r>
        <w:rPr>
          <w:spacing w:val="-10"/>
        </w:rPr>
        <w:t xml:space="preserve"> </w:t>
      </w:r>
      <w:r>
        <w:t>recognize</w:t>
      </w:r>
      <w:r>
        <w:rPr>
          <w:spacing w:val="-10"/>
        </w:rPr>
        <w:t xml:space="preserve"> </w:t>
      </w:r>
      <w:r>
        <w:t>CMS’s</w:t>
      </w:r>
      <w:r>
        <w:rPr>
          <w:spacing w:val="-9"/>
        </w:rPr>
        <w:t xml:space="preserve"> </w:t>
      </w:r>
      <w:r>
        <w:t>interest</w:t>
      </w:r>
      <w:r>
        <w:rPr>
          <w:spacing w:val="-10"/>
        </w:rPr>
        <w:t xml:space="preserve"> </w:t>
      </w:r>
      <w:r>
        <w:t>in</w:t>
      </w:r>
      <w:r>
        <w:rPr>
          <w:spacing w:val="-10"/>
        </w:rPr>
        <w:t xml:space="preserve"> </w:t>
      </w:r>
      <w:r>
        <w:t>supporting</w:t>
      </w:r>
      <w:r>
        <w:rPr>
          <w:spacing w:val="-10"/>
        </w:rPr>
        <w:t xml:space="preserve"> </w:t>
      </w:r>
      <w:r>
        <w:t>the</w:t>
      </w:r>
      <w:r>
        <w:rPr>
          <w:spacing w:val="-10"/>
        </w:rPr>
        <w:t xml:space="preserve"> </w:t>
      </w:r>
      <w:r>
        <w:t>use</w:t>
      </w:r>
      <w:r>
        <w:rPr>
          <w:spacing w:val="-10"/>
        </w:rPr>
        <w:t xml:space="preserve"> </w:t>
      </w:r>
      <w:r>
        <w:t>of</w:t>
      </w:r>
      <w:r>
        <w:rPr>
          <w:spacing w:val="-9"/>
        </w:rPr>
        <w:t xml:space="preserve"> </w:t>
      </w:r>
      <w:r>
        <w:t>lower-cost</w:t>
      </w:r>
      <w:r>
        <w:rPr>
          <w:spacing w:val="-9"/>
        </w:rPr>
        <w:t xml:space="preserve"> </w:t>
      </w:r>
      <w:r>
        <w:t>alternatives</w:t>
      </w:r>
      <w:r>
        <w:rPr>
          <w:spacing w:val="-10"/>
        </w:rPr>
        <w:t xml:space="preserve"> </w:t>
      </w:r>
      <w:r>
        <w:t>wherever</w:t>
      </w:r>
      <w:r>
        <w:rPr>
          <w:spacing w:val="-9"/>
        </w:rPr>
        <w:t xml:space="preserve"> </w:t>
      </w:r>
      <w:r>
        <w:t>possible,</w:t>
      </w:r>
      <w:r>
        <w:rPr>
          <w:spacing w:val="-7"/>
        </w:rPr>
        <w:t xml:space="preserve"> </w:t>
      </w:r>
      <w:r>
        <w:t>we</w:t>
      </w:r>
      <w:r>
        <w:rPr>
          <w:spacing w:val="-10"/>
        </w:rPr>
        <w:t xml:space="preserve"> </w:t>
      </w:r>
      <w:r>
        <w:t>do</w:t>
      </w:r>
      <w:r>
        <w:rPr>
          <w:spacing w:val="-10"/>
        </w:rPr>
        <w:t xml:space="preserve"> </w:t>
      </w:r>
      <w:r>
        <w:t xml:space="preserve">not believe that </w:t>
      </w:r>
      <w:r>
        <w:rPr>
          <w:spacing w:val="-2"/>
        </w:rPr>
        <w:t xml:space="preserve">CMS </w:t>
      </w:r>
      <w:r>
        <w:t>has cited its authority or presented sufficient justification for the proposed change to treat biosimilars as generics in determining non-LIS catastrophic and LIS</w:t>
      </w:r>
      <w:r>
        <w:rPr>
          <w:spacing w:val="-22"/>
        </w:rPr>
        <w:t xml:space="preserve"> </w:t>
      </w:r>
      <w:r>
        <w:t>cost-sharing.</w:t>
      </w:r>
    </w:p>
    <w:p w:rsidR="00004D29" w:rsidRDefault="00004D29">
      <w:pPr>
        <w:pStyle w:val="BodyText"/>
        <w:spacing w:before="5"/>
        <w:rPr>
          <w:sz w:val="25"/>
        </w:rPr>
      </w:pPr>
    </w:p>
    <w:p w:rsidR="00004D29" w:rsidRDefault="00C42DC8">
      <w:pPr>
        <w:pStyle w:val="BodyText"/>
        <w:spacing w:line="276" w:lineRule="auto"/>
        <w:ind w:left="200" w:right="113"/>
        <w:jc w:val="both"/>
      </w:pPr>
      <w:r>
        <w:t>First,</w:t>
      </w:r>
      <w:r>
        <w:rPr>
          <w:spacing w:val="-11"/>
        </w:rPr>
        <w:t xml:space="preserve"> </w:t>
      </w:r>
      <w:r>
        <w:t>the</w:t>
      </w:r>
      <w:r>
        <w:rPr>
          <w:spacing w:val="-9"/>
        </w:rPr>
        <w:t xml:space="preserve"> </w:t>
      </w:r>
      <w:r>
        <w:t>Social</w:t>
      </w:r>
      <w:r>
        <w:rPr>
          <w:spacing w:val="-11"/>
        </w:rPr>
        <w:t xml:space="preserve"> </w:t>
      </w:r>
      <w:r>
        <w:t>Security</w:t>
      </w:r>
      <w:r>
        <w:rPr>
          <w:spacing w:val="-15"/>
        </w:rPr>
        <w:t xml:space="preserve"> </w:t>
      </w:r>
      <w:r>
        <w:t>Act</w:t>
      </w:r>
      <w:r>
        <w:rPr>
          <w:spacing w:val="-9"/>
        </w:rPr>
        <w:t xml:space="preserve"> </w:t>
      </w:r>
      <w:r>
        <w:t>(SSA)</w:t>
      </w:r>
      <w:r>
        <w:rPr>
          <w:spacing w:val="-9"/>
        </w:rPr>
        <w:t xml:space="preserve"> </w:t>
      </w:r>
      <w:r>
        <w:t>§</w:t>
      </w:r>
      <w:r>
        <w:rPr>
          <w:spacing w:val="-13"/>
        </w:rPr>
        <w:t xml:space="preserve"> </w:t>
      </w:r>
      <w:r>
        <w:t>1860D-14(a)(1)(D),</w:t>
      </w:r>
      <w:r>
        <w:rPr>
          <w:spacing w:val="-8"/>
        </w:rPr>
        <w:t xml:space="preserve"> </w:t>
      </w:r>
      <w:r>
        <w:t>defines</w:t>
      </w:r>
      <w:r>
        <w:rPr>
          <w:spacing w:val="-9"/>
        </w:rPr>
        <w:t xml:space="preserve"> </w:t>
      </w:r>
      <w:r>
        <w:t>the</w:t>
      </w:r>
      <w:r>
        <w:rPr>
          <w:spacing w:val="-13"/>
        </w:rPr>
        <w:t xml:space="preserve"> </w:t>
      </w:r>
      <w:r>
        <w:t>maximum</w:t>
      </w:r>
      <w:r>
        <w:rPr>
          <w:spacing w:val="-9"/>
        </w:rPr>
        <w:t xml:space="preserve"> </w:t>
      </w:r>
      <w:r>
        <w:t>LIS</w:t>
      </w:r>
      <w:r>
        <w:rPr>
          <w:spacing w:val="-12"/>
        </w:rPr>
        <w:t xml:space="preserve"> </w:t>
      </w:r>
      <w:r>
        <w:t>copay</w:t>
      </w:r>
      <w:r>
        <w:rPr>
          <w:spacing w:val="-13"/>
        </w:rPr>
        <w:t xml:space="preserve"> </w:t>
      </w:r>
      <w:r>
        <w:t>for</w:t>
      </w:r>
      <w:r>
        <w:rPr>
          <w:spacing w:val="-12"/>
        </w:rPr>
        <w:t xml:space="preserve"> </w:t>
      </w:r>
      <w:r>
        <w:t>the</w:t>
      </w:r>
      <w:r>
        <w:rPr>
          <w:spacing w:val="-10"/>
        </w:rPr>
        <w:t xml:space="preserve"> </w:t>
      </w:r>
      <w:r>
        <w:t>lowest-income- dual</w:t>
      </w:r>
      <w:r>
        <w:rPr>
          <w:spacing w:val="-15"/>
        </w:rPr>
        <w:t xml:space="preserve"> </w:t>
      </w:r>
      <w:r>
        <w:t>eligibles</w:t>
      </w:r>
      <w:r>
        <w:rPr>
          <w:spacing w:val="-13"/>
        </w:rPr>
        <w:t xml:space="preserve"> </w:t>
      </w:r>
      <w:r>
        <w:t>and</w:t>
      </w:r>
      <w:r>
        <w:rPr>
          <w:spacing w:val="-14"/>
        </w:rPr>
        <w:t xml:space="preserve"> </w:t>
      </w:r>
      <w:r>
        <w:t>§</w:t>
      </w:r>
      <w:r>
        <w:rPr>
          <w:spacing w:val="-16"/>
        </w:rPr>
        <w:t xml:space="preserve"> </w:t>
      </w:r>
      <w:r>
        <w:t>1860D-2(b)(4)</w:t>
      </w:r>
      <w:r>
        <w:rPr>
          <w:spacing w:val="-14"/>
        </w:rPr>
        <w:t xml:space="preserve"> </w:t>
      </w:r>
      <w:r>
        <w:t>sets</w:t>
      </w:r>
      <w:r>
        <w:rPr>
          <w:spacing w:val="-16"/>
        </w:rPr>
        <w:t xml:space="preserve"> </w:t>
      </w:r>
      <w:r>
        <w:t>the</w:t>
      </w:r>
      <w:r>
        <w:rPr>
          <w:spacing w:val="-16"/>
        </w:rPr>
        <w:t xml:space="preserve"> </w:t>
      </w:r>
      <w:r>
        <w:t>maximum</w:t>
      </w:r>
      <w:r>
        <w:rPr>
          <w:spacing w:val="-13"/>
        </w:rPr>
        <w:t xml:space="preserve"> </w:t>
      </w:r>
      <w:r>
        <w:t>copay</w:t>
      </w:r>
      <w:r>
        <w:rPr>
          <w:spacing w:val="-19"/>
        </w:rPr>
        <w:t xml:space="preserve"> </w:t>
      </w:r>
      <w:r>
        <w:t>for</w:t>
      </w:r>
      <w:r>
        <w:rPr>
          <w:spacing w:val="-15"/>
        </w:rPr>
        <w:t xml:space="preserve"> </w:t>
      </w:r>
      <w:r>
        <w:t>non-LIS</w:t>
      </w:r>
      <w:r>
        <w:rPr>
          <w:spacing w:val="-14"/>
        </w:rPr>
        <w:t xml:space="preserve"> </w:t>
      </w:r>
      <w:r>
        <w:t>patients</w:t>
      </w:r>
      <w:r>
        <w:rPr>
          <w:spacing w:val="-13"/>
        </w:rPr>
        <w:t xml:space="preserve"> </w:t>
      </w:r>
      <w:r>
        <w:t>in</w:t>
      </w:r>
      <w:r>
        <w:rPr>
          <w:spacing w:val="-13"/>
        </w:rPr>
        <w:t xml:space="preserve"> </w:t>
      </w:r>
      <w:r>
        <w:t>catastrophic</w:t>
      </w:r>
      <w:r>
        <w:rPr>
          <w:spacing w:val="-16"/>
        </w:rPr>
        <w:t xml:space="preserve"> </w:t>
      </w:r>
      <w:r>
        <w:t>coverage.</w:t>
      </w:r>
      <w:r>
        <w:rPr>
          <w:spacing w:val="-16"/>
        </w:rPr>
        <w:t xml:space="preserve"> </w:t>
      </w:r>
      <w:r>
        <w:t>These</w:t>
      </w:r>
    </w:p>
    <w:p w:rsidR="00004D29" w:rsidRDefault="00004D29">
      <w:pPr>
        <w:spacing w:line="276" w:lineRule="auto"/>
        <w:jc w:val="both"/>
        <w:sectPr w:rsidR="00004D29">
          <w:type w:val="continuous"/>
          <w:pgSz w:w="12240" w:h="15840"/>
          <w:pgMar w:top="720" w:right="600" w:bottom="280" w:left="520" w:header="720" w:footer="720" w:gutter="0"/>
          <w:cols w:space="720"/>
        </w:sectPr>
      </w:pPr>
    </w:p>
    <w:p w:rsidR="00004D29" w:rsidRDefault="00C42DC8">
      <w:pPr>
        <w:pStyle w:val="BodyText"/>
        <w:spacing w:before="80" w:line="276" w:lineRule="auto"/>
        <w:ind w:left="100" w:right="124"/>
        <w:jc w:val="both"/>
      </w:pPr>
      <w:r>
        <w:lastRenderedPageBreak/>
        <w:t>sections refer to “generic” and “multiple source” drugs when setting these maximum copays. These terms have specific definitions in statute, and these definitions do not encompass biosimilars.</w:t>
      </w:r>
    </w:p>
    <w:p w:rsidR="00004D29" w:rsidRDefault="00004D29">
      <w:pPr>
        <w:pStyle w:val="BodyText"/>
        <w:spacing w:before="6"/>
        <w:rPr>
          <w:sz w:val="25"/>
        </w:rPr>
      </w:pPr>
    </w:p>
    <w:p w:rsidR="00004D29" w:rsidRDefault="00C42DC8">
      <w:pPr>
        <w:pStyle w:val="BodyText"/>
        <w:spacing w:line="276" w:lineRule="auto"/>
        <w:ind w:left="100" w:right="115"/>
        <w:jc w:val="both"/>
      </w:pPr>
      <w:r>
        <w:t>Second,</w:t>
      </w:r>
      <w:r>
        <w:rPr>
          <w:spacing w:val="-3"/>
        </w:rPr>
        <w:t xml:space="preserve"> </w:t>
      </w:r>
      <w:r>
        <w:t>the</w:t>
      </w:r>
      <w:r>
        <w:rPr>
          <w:spacing w:val="-6"/>
        </w:rPr>
        <w:t xml:space="preserve"> </w:t>
      </w:r>
      <w:r>
        <w:t>difference</w:t>
      </w:r>
      <w:r>
        <w:rPr>
          <w:spacing w:val="-3"/>
        </w:rPr>
        <w:t xml:space="preserve"> </w:t>
      </w:r>
      <w:r>
        <w:t>between</w:t>
      </w:r>
      <w:r>
        <w:rPr>
          <w:spacing w:val="-3"/>
        </w:rPr>
        <w:t xml:space="preserve"> </w:t>
      </w:r>
      <w:r>
        <w:t>biosimilars</w:t>
      </w:r>
      <w:r>
        <w:rPr>
          <w:spacing w:val="-3"/>
        </w:rPr>
        <w:t xml:space="preserve"> </w:t>
      </w:r>
      <w:r>
        <w:t>and</w:t>
      </w:r>
      <w:r>
        <w:rPr>
          <w:spacing w:val="-3"/>
        </w:rPr>
        <w:t xml:space="preserve"> </w:t>
      </w:r>
      <w:r>
        <w:t>generics</w:t>
      </w:r>
      <w:r>
        <w:rPr>
          <w:spacing w:val="-3"/>
        </w:rPr>
        <w:t xml:space="preserve"> </w:t>
      </w:r>
      <w:r>
        <w:t>is</w:t>
      </w:r>
      <w:r>
        <w:rPr>
          <w:spacing w:val="-3"/>
        </w:rPr>
        <w:t xml:space="preserve"> </w:t>
      </w:r>
      <w:r>
        <w:t>und</w:t>
      </w:r>
      <w:r>
        <w:t>erscored</w:t>
      </w:r>
      <w:r>
        <w:rPr>
          <w:spacing w:val="-3"/>
        </w:rPr>
        <w:t xml:space="preserve"> </w:t>
      </w:r>
      <w:r>
        <w:t>by</w:t>
      </w:r>
      <w:r>
        <w:rPr>
          <w:spacing w:val="-5"/>
        </w:rPr>
        <w:t xml:space="preserve"> </w:t>
      </w:r>
      <w:r>
        <w:t>the</w:t>
      </w:r>
      <w:r>
        <w:rPr>
          <w:spacing w:val="-3"/>
        </w:rPr>
        <w:t xml:space="preserve"> </w:t>
      </w:r>
      <w:r>
        <w:t>FDA’s</w:t>
      </w:r>
      <w:r>
        <w:rPr>
          <w:spacing w:val="-3"/>
        </w:rPr>
        <w:t xml:space="preserve"> </w:t>
      </w:r>
      <w:r>
        <w:t>approach</w:t>
      </w:r>
      <w:r>
        <w:rPr>
          <w:spacing w:val="-3"/>
        </w:rPr>
        <w:t xml:space="preserve"> </w:t>
      </w:r>
      <w:r>
        <w:t>to</w:t>
      </w:r>
      <w:r>
        <w:rPr>
          <w:spacing w:val="-5"/>
        </w:rPr>
        <w:t xml:space="preserve"> </w:t>
      </w:r>
      <w:r>
        <w:t>regulating</w:t>
      </w:r>
      <w:r>
        <w:rPr>
          <w:spacing w:val="-3"/>
        </w:rPr>
        <w:t xml:space="preserve"> </w:t>
      </w:r>
      <w:r>
        <w:t>in this area. Janet Woodcock, the Director of the Center for Drug Evaluation at the FDA highlighted this point in testimony to the Senate HELP Committee on September 7, 2015. and to the House Committee on Energy and Commerce on February 4, 2016. She</w:t>
      </w:r>
      <w:r>
        <w:rPr>
          <w:spacing w:val="-6"/>
        </w:rPr>
        <w:t xml:space="preserve"> </w:t>
      </w:r>
      <w:r>
        <w:t>said</w:t>
      </w:r>
    </w:p>
    <w:p w:rsidR="00004D29" w:rsidRDefault="00004D29">
      <w:pPr>
        <w:pStyle w:val="BodyText"/>
        <w:spacing w:before="5"/>
        <w:rPr>
          <w:sz w:val="25"/>
        </w:rPr>
      </w:pPr>
    </w:p>
    <w:p w:rsidR="00004D29" w:rsidRDefault="00C42DC8">
      <w:pPr>
        <w:pStyle w:val="BodyText"/>
        <w:spacing w:line="276" w:lineRule="auto"/>
        <w:ind w:left="820" w:right="114"/>
        <w:jc w:val="both"/>
      </w:pPr>
      <w:r>
        <w:t>“Biological products consist of large, complex molecules that are difficult to define and produce. This is in contrast to “small molecule” drugs that generally are produced through chemical processes, and can be</w:t>
      </w:r>
      <w:r>
        <w:rPr>
          <w:spacing w:val="-4"/>
        </w:rPr>
        <w:t xml:space="preserve"> </w:t>
      </w:r>
      <w:r>
        <w:t>replicated</w:t>
      </w:r>
      <w:r>
        <w:rPr>
          <w:spacing w:val="-4"/>
        </w:rPr>
        <w:t xml:space="preserve"> </w:t>
      </w:r>
      <w:r>
        <w:t>as</w:t>
      </w:r>
      <w:r>
        <w:rPr>
          <w:spacing w:val="-6"/>
        </w:rPr>
        <w:t xml:space="preserve"> </w:t>
      </w:r>
      <w:r>
        <w:t>“generic”</w:t>
      </w:r>
      <w:r>
        <w:rPr>
          <w:spacing w:val="-3"/>
        </w:rPr>
        <w:t xml:space="preserve"> </w:t>
      </w:r>
      <w:r>
        <w:t>drugs</w:t>
      </w:r>
      <w:r>
        <w:rPr>
          <w:spacing w:val="-6"/>
        </w:rPr>
        <w:t xml:space="preserve"> </w:t>
      </w:r>
      <w:r>
        <w:t>that</w:t>
      </w:r>
      <w:r>
        <w:rPr>
          <w:spacing w:val="-3"/>
        </w:rPr>
        <w:t xml:space="preserve"> </w:t>
      </w:r>
      <w:r>
        <w:t>are</w:t>
      </w:r>
      <w:r>
        <w:rPr>
          <w:spacing w:val="-4"/>
        </w:rPr>
        <w:t xml:space="preserve"> </w:t>
      </w:r>
      <w:r>
        <w:t>essen</w:t>
      </w:r>
      <w:r>
        <w:t>tially</w:t>
      </w:r>
      <w:r>
        <w:rPr>
          <w:spacing w:val="-6"/>
        </w:rPr>
        <w:t xml:space="preserve"> </w:t>
      </w:r>
      <w:r>
        <w:t>exact</w:t>
      </w:r>
      <w:r>
        <w:rPr>
          <w:spacing w:val="-3"/>
        </w:rPr>
        <w:t xml:space="preserve"> </w:t>
      </w:r>
      <w:r>
        <w:t>copies.</w:t>
      </w:r>
      <w:r>
        <w:rPr>
          <w:spacing w:val="-3"/>
        </w:rPr>
        <w:t xml:space="preserve"> </w:t>
      </w:r>
      <w:r>
        <w:t>Unlike</w:t>
      </w:r>
      <w:r>
        <w:rPr>
          <w:spacing w:val="-6"/>
        </w:rPr>
        <w:t xml:space="preserve"> </w:t>
      </w:r>
      <w:r>
        <w:t>generic</w:t>
      </w:r>
      <w:r>
        <w:rPr>
          <w:spacing w:val="-4"/>
        </w:rPr>
        <w:t xml:space="preserve"> </w:t>
      </w:r>
      <w:r>
        <w:t>drugs,</w:t>
      </w:r>
      <w:r>
        <w:rPr>
          <w:spacing w:val="-3"/>
        </w:rPr>
        <w:t xml:space="preserve"> </w:t>
      </w:r>
      <w:r>
        <w:t>biosimilars</w:t>
      </w:r>
      <w:r>
        <w:rPr>
          <w:spacing w:val="-6"/>
        </w:rPr>
        <w:t xml:space="preserve"> </w:t>
      </w:r>
      <w:r>
        <w:t>must be</w:t>
      </w:r>
      <w:r>
        <w:rPr>
          <w:spacing w:val="-7"/>
        </w:rPr>
        <w:t xml:space="preserve"> </w:t>
      </w:r>
      <w:r>
        <w:t>highly</w:t>
      </w:r>
      <w:r>
        <w:rPr>
          <w:spacing w:val="-8"/>
        </w:rPr>
        <w:t xml:space="preserve"> </w:t>
      </w:r>
      <w:r>
        <w:t>similar</w:t>
      </w:r>
      <w:r>
        <w:rPr>
          <w:spacing w:val="-6"/>
        </w:rPr>
        <w:t xml:space="preserve"> </w:t>
      </w:r>
      <w:r>
        <w:t>to,</w:t>
      </w:r>
      <w:r>
        <w:rPr>
          <w:spacing w:val="-5"/>
        </w:rPr>
        <w:t xml:space="preserve"> </w:t>
      </w:r>
      <w:r>
        <w:t>not</w:t>
      </w:r>
      <w:r>
        <w:rPr>
          <w:spacing w:val="-8"/>
        </w:rPr>
        <w:t xml:space="preserve"> </w:t>
      </w:r>
      <w:r>
        <w:t>the</w:t>
      </w:r>
      <w:r>
        <w:rPr>
          <w:spacing w:val="-7"/>
        </w:rPr>
        <w:t xml:space="preserve"> </w:t>
      </w:r>
      <w:r>
        <w:t>same</w:t>
      </w:r>
      <w:r>
        <w:rPr>
          <w:spacing w:val="-8"/>
        </w:rPr>
        <w:t xml:space="preserve"> </w:t>
      </w:r>
      <w:r>
        <w:t>as,</w:t>
      </w:r>
      <w:r>
        <w:rPr>
          <w:spacing w:val="-8"/>
        </w:rPr>
        <w:t xml:space="preserve"> </w:t>
      </w:r>
      <w:r>
        <w:t>the</w:t>
      </w:r>
      <w:r>
        <w:rPr>
          <w:spacing w:val="-9"/>
        </w:rPr>
        <w:t xml:space="preserve"> </w:t>
      </w:r>
      <w:r>
        <w:t>reference</w:t>
      </w:r>
      <w:r>
        <w:rPr>
          <w:spacing w:val="-6"/>
        </w:rPr>
        <w:t xml:space="preserve"> </w:t>
      </w:r>
      <w:r>
        <w:t>product</w:t>
      </w:r>
      <w:r>
        <w:rPr>
          <w:spacing w:val="-8"/>
        </w:rPr>
        <w:t xml:space="preserve"> </w:t>
      </w:r>
      <w:r>
        <w:t>to</w:t>
      </w:r>
      <w:r>
        <w:rPr>
          <w:spacing w:val="-6"/>
        </w:rPr>
        <w:t xml:space="preserve"> </w:t>
      </w:r>
      <w:r>
        <w:t>which</w:t>
      </w:r>
      <w:r>
        <w:rPr>
          <w:spacing w:val="-6"/>
        </w:rPr>
        <w:t xml:space="preserve"> </w:t>
      </w:r>
      <w:r>
        <w:t>they</w:t>
      </w:r>
      <w:r>
        <w:rPr>
          <w:spacing w:val="-8"/>
        </w:rPr>
        <w:t xml:space="preserve"> </w:t>
      </w:r>
      <w:r>
        <w:t>are</w:t>
      </w:r>
      <w:r>
        <w:rPr>
          <w:spacing w:val="-6"/>
        </w:rPr>
        <w:t xml:space="preserve"> </w:t>
      </w:r>
      <w:r>
        <w:t>compared.</w:t>
      </w:r>
      <w:r>
        <w:rPr>
          <w:spacing w:val="-5"/>
        </w:rPr>
        <w:t xml:space="preserve"> </w:t>
      </w:r>
      <w:r>
        <w:t>A</w:t>
      </w:r>
      <w:r>
        <w:rPr>
          <w:spacing w:val="-7"/>
        </w:rPr>
        <w:t xml:space="preserve"> </w:t>
      </w:r>
      <w:r>
        <w:t>biosimilar</w:t>
      </w:r>
      <w:r>
        <w:rPr>
          <w:spacing w:val="-6"/>
        </w:rPr>
        <w:t xml:space="preserve"> </w:t>
      </w:r>
      <w:r>
        <w:t>can have certain allowable differences because it is made from living organisms, but it must d</w:t>
      </w:r>
      <w:r>
        <w:t>emonstrate no clinically meaningful differences in terms of safety, purity and potency from its reference product. The complexity of biological products generally makes it more challenging to demonstrate biosimilarity, as compared to demonstrating sameness</w:t>
      </w:r>
      <w:r>
        <w:t xml:space="preserve"> for a generic</w:t>
      </w:r>
      <w:r>
        <w:rPr>
          <w:spacing w:val="-14"/>
        </w:rPr>
        <w:t xml:space="preserve"> </w:t>
      </w:r>
      <w:r>
        <w:t>drug.”</w:t>
      </w:r>
    </w:p>
    <w:p w:rsidR="00004D29" w:rsidRDefault="00004D29">
      <w:pPr>
        <w:pStyle w:val="BodyText"/>
        <w:spacing w:before="5"/>
        <w:rPr>
          <w:sz w:val="25"/>
        </w:rPr>
      </w:pPr>
    </w:p>
    <w:p w:rsidR="00004D29" w:rsidRDefault="00C42DC8">
      <w:pPr>
        <w:pStyle w:val="BodyText"/>
        <w:ind w:left="100"/>
        <w:jc w:val="both"/>
      </w:pPr>
      <w:r>
        <w:t xml:space="preserve">In addition, the FDA flatly states on its </w:t>
      </w:r>
      <w:hyperlink r:id="rId5">
        <w:r>
          <w:rPr>
            <w:color w:val="0000FF"/>
            <w:u w:val="single" w:color="0000FF"/>
          </w:rPr>
          <w:t xml:space="preserve">website </w:t>
        </w:r>
      </w:hyperlink>
      <w:r>
        <w:t>that “biosimilars are not generics”.</w:t>
      </w:r>
    </w:p>
    <w:p w:rsidR="00004D29" w:rsidRDefault="00004D29">
      <w:pPr>
        <w:pStyle w:val="BodyText"/>
        <w:spacing w:before="4"/>
        <w:rPr>
          <w:sz w:val="20"/>
        </w:rPr>
      </w:pPr>
    </w:p>
    <w:p w:rsidR="00004D29" w:rsidRDefault="00C42DC8">
      <w:pPr>
        <w:pStyle w:val="BodyText"/>
        <w:spacing w:before="93" w:line="276" w:lineRule="auto"/>
        <w:ind w:left="100" w:right="113"/>
        <w:jc w:val="both"/>
      </w:pPr>
      <w:r>
        <w:t>While</w:t>
      </w:r>
      <w:r>
        <w:rPr>
          <w:spacing w:val="-12"/>
        </w:rPr>
        <w:t xml:space="preserve"> </w:t>
      </w:r>
      <w:r>
        <w:t>we</w:t>
      </w:r>
      <w:r>
        <w:rPr>
          <w:spacing w:val="-12"/>
        </w:rPr>
        <w:t xml:space="preserve"> </w:t>
      </w:r>
      <w:r>
        <w:t>appreciate</w:t>
      </w:r>
      <w:r>
        <w:rPr>
          <w:spacing w:val="-14"/>
        </w:rPr>
        <w:t xml:space="preserve"> </w:t>
      </w:r>
      <w:r>
        <w:t>that</w:t>
      </w:r>
      <w:r>
        <w:rPr>
          <w:spacing w:val="-13"/>
        </w:rPr>
        <w:t xml:space="preserve"> </w:t>
      </w:r>
      <w:r>
        <w:t>advocates</w:t>
      </w:r>
      <w:r>
        <w:rPr>
          <w:spacing w:val="-12"/>
        </w:rPr>
        <w:t xml:space="preserve"> </w:t>
      </w:r>
      <w:r>
        <w:t>and</w:t>
      </w:r>
      <w:r>
        <w:rPr>
          <w:spacing w:val="-12"/>
        </w:rPr>
        <w:t xml:space="preserve"> </w:t>
      </w:r>
      <w:r>
        <w:t>stakeholders</w:t>
      </w:r>
      <w:r>
        <w:rPr>
          <w:spacing w:val="-12"/>
        </w:rPr>
        <w:t xml:space="preserve"> </w:t>
      </w:r>
      <w:r>
        <w:t>have</w:t>
      </w:r>
      <w:r>
        <w:rPr>
          <w:spacing w:val="-12"/>
        </w:rPr>
        <w:t xml:space="preserve"> </w:t>
      </w:r>
      <w:r>
        <w:t>argued</w:t>
      </w:r>
      <w:r>
        <w:rPr>
          <w:spacing w:val="-15"/>
        </w:rPr>
        <w:t xml:space="preserve"> </w:t>
      </w:r>
      <w:r>
        <w:t>that</w:t>
      </w:r>
      <w:r>
        <w:rPr>
          <w:spacing w:val="-11"/>
        </w:rPr>
        <w:t xml:space="preserve"> </w:t>
      </w:r>
      <w:r>
        <w:rPr>
          <w:spacing w:val="-2"/>
        </w:rPr>
        <w:t>CMS</w:t>
      </w:r>
      <w:r>
        <w:rPr>
          <w:spacing w:val="-13"/>
        </w:rPr>
        <w:t xml:space="preserve"> </w:t>
      </w:r>
      <w:r>
        <w:t>should</w:t>
      </w:r>
      <w:r>
        <w:rPr>
          <w:spacing w:val="-12"/>
        </w:rPr>
        <w:t xml:space="preserve"> </w:t>
      </w:r>
      <w:r>
        <w:t>treat</w:t>
      </w:r>
      <w:r>
        <w:rPr>
          <w:spacing w:val="-11"/>
        </w:rPr>
        <w:t xml:space="preserve"> </w:t>
      </w:r>
      <w:r>
        <w:t>biosimilars</w:t>
      </w:r>
      <w:r>
        <w:rPr>
          <w:spacing w:val="-14"/>
        </w:rPr>
        <w:t xml:space="preserve"> </w:t>
      </w:r>
      <w:r>
        <w:t>as</w:t>
      </w:r>
      <w:r>
        <w:rPr>
          <w:spacing w:val="-15"/>
        </w:rPr>
        <w:t xml:space="preserve"> </w:t>
      </w:r>
      <w:r>
        <w:t>generics for the purpose of determining these cost sharing amounts, such advocacy does not change the plain statutory definitions.</w:t>
      </w:r>
    </w:p>
    <w:p w:rsidR="00004D29" w:rsidRDefault="00004D29">
      <w:pPr>
        <w:pStyle w:val="BodyText"/>
        <w:spacing w:before="2"/>
        <w:rPr>
          <w:sz w:val="25"/>
        </w:rPr>
      </w:pPr>
    </w:p>
    <w:p w:rsidR="00004D29" w:rsidRDefault="00C42DC8">
      <w:pPr>
        <w:pStyle w:val="BodyText"/>
        <w:spacing w:before="1" w:line="276" w:lineRule="auto"/>
        <w:ind w:left="100" w:right="113"/>
        <w:jc w:val="both"/>
      </w:pPr>
      <w:r>
        <w:t>Furthermore, we share CMS’s concerns that classifying biosimilars as generics could cause confusion</w:t>
      </w:r>
      <w:r>
        <w:rPr>
          <w:spacing w:val="-33"/>
        </w:rPr>
        <w:t xml:space="preserve"> </w:t>
      </w:r>
      <w:r>
        <w:t>because it would be inap</w:t>
      </w:r>
      <w:r>
        <w:t>propriate to treat biosimilars as generics for purposes of other Part D policies that hinge on whether</w:t>
      </w:r>
      <w:r>
        <w:rPr>
          <w:spacing w:val="-10"/>
        </w:rPr>
        <w:t xml:space="preserve"> </w:t>
      </w:r>
      <w:r>
        <w:t>a</w:t>
      </w:r>
      <w:r>
        <w:rPr>
          <w:spacing w:val="-11"/>
        </w:rPr>
        <w:t xml:space="preserve"> </w:t>
      </w:r>
      <w:r>
        <w:t>drug</w:t>
      </w:r>
      <w:r>
        <w:rPr>
          <w:spacing w:val="-11"/>
        </w:rPr>
        <w:t xml:space="preserve"> </w:t>
      </w:r>
      <w:r>
        <w:t>is</w:t>
      </w:r>
      <w:r>
        <w:rPr>
          <w:spacing w:val="-11"/>
        </w:rPr>
        <w:t xml:space="preserve"> </w:t>
      </w:r>
      <w:r>
        <w:t>a</w:t>
      </w:r>
      <w:r>
        <w:rPr>
          <w:spacing w:val="-14"/>
        </w:rPr>
        <w:t xml:space="preserve"> </w:t>
      </w:r>
      <w:r>
        <w:t>“generic.”</w:t>
      </w:r>
      <w:r>
        <w:rPr>
          <w:spacing w:val="36"/>
        </w:rPr>
        <w:t xml:space="preserve"> </w:t>
      </w:r>
      <w:r>
        <w:t>The</w:t>
      </w:r>
      <w:r>
        <w:rPr>
          <w:spacing w:val="-14"/>
        </w:rPr>
        <w:t xml:space="preserve"> </w:t>
      </w:r>
      <w:r>
        <w:t>majority</w:t>
      </w:r>
      <w:r>
        <w:rPr>
          <w:spacing w:val="-13"/>
        </w:rPr>
        <w:t xml:space="preserve"> </w:t>
      </w:r>
      <w:r>
        <w:t>of</w:t>
      </w:r>
      <w:r>
        <w:rPr>
          <w:spacing w:val="-12"/>
        </w:rPr>
        <w:t xml:space="preserve"> </w:t>
      </w:r>
      <w:r>
        <w:t>generic</w:t>
      </w:r>
      <w:r>
        <w:rPr>
          <w:spacing w:val="-11"/>
        </w:rPr>
        <w:t xml:space="preserve"> </w:t>
      </w:r>
      <w:r>
        <w:t>drugs</w:t>
      </w:r>
      <w:r>
        <w:rPr>
          <w:spacing w:val="-11"/>
        </w:rPr>
        <w:t xml:space="preserve"> </w:t>
      </w:r>
      <w:r>
        <w:t>approved</w:t>
      </w:r>
      <w:r>
        <w:rPr>
          <w:spacing w:val="-11"/>
        </w:rPr>
        <w:t xml:space="preserve"> </w:t>
      </w:r>
      <w:r>
        <w:t>by</w:t>
      </w:r>
      <w:r>
        <w:rPr>
          <w:spacing w:val="-14"/>
        </w:rPr>
        <w:t xml:space="preserve"> </w:t>
      </w:r>
      <w:r>
        <w:t>FDA</w:t>
      </w:r>
      <w:r>
        <w:rPr>
          <w:spacing w:val="-12"/>
        </w:rPr>
        <w:t xml:space="preserve"> </w:t>
      </w:r>
      <w:r>
        <w:t>are</w:t>
      </w:r>
      <w:r>
        <w:rPr>
          <w:spacing w:val="-9"/>
        </w:rPr>
        <w:t xml:space="preserve"> </w:t>
      </w:r>
      <w:r>
        <w:t>AB-rated</w:t>
      </w:r>
      <w:r>
        <w:rPr>
          <w:spacing w:val="-15"/>
        </w:rPr>
        <w:t xml:space="preserve"> </w:t>
      </w:r>
      <w:r>
        <w:t>generic</w:t>
      </w:r>
      <w:r>
        <w:rPr>
          <w:spacing w:val="-14"/>
        </w:rPr>
        <w:t xml:space="preserve"> </w:t>
      </w:r>
      <w:r>
        <w:t>drugs,</w:t>
      </w:r>
      <w:r>
        <w:rPr>
          <w:spacing w:val="-10"/>
        </w:rPr>
        <w:t xml:space="preserve"> </w:t>
      </w:r>
      <w:r>
        <w:t>which FDA approves as therapeutically equivalent and are</w:t>
      </w:r>
      <w:r>
        <w:t xml:space="preserve"> widely understood to be able to be substituted for one another without differences in safety or efficacy. Classifying biosimilars as generics could lead to the incorrect assumption that they are interchangeable with the innovator product and each other wh</w:t>
      </w:r>
      <w:r>
        <w:t>en this is not the case. The</w:t>
      </w:r>
      <w:r>
        <w:rPr>
          <w:spacing w:val="-16"/>
        </w:rPr>
        <w:t xml:space="preserve"> </w:t>
      </w:r>
      <w:r>
        <w:t>incentive</w:t>
      </w:r>
      <w:r>
        <w:rPr>
          <w:spacing w:val="-13"/>
        </w:rPr>
        <w:t xml:space="preserve"> </w:t>
      </w:r>
      <w:r>
        <w:t>introduced</w:t>
      </w:r>
      <w:r>
        <w:rPr>
          <w:spacing w:val="-19"/>
        </w:rPr>
        <w:t xml:space="preserve"> </w:t>
      </w:r>
      <w:r>
        <w:t>by</w:t>
      </w:r>
      <w:r>
        <w:rPr>
          <w:spacing w:val="-16"/>
        </w:rPr>
        <w:t xml:space="preserve"> </w:t>
      </w:r>
      <w:r>
        <w:t>the</w:t>
      </w:r>
      <w:r>
        <w:rPr>
          <w:spacing w:val="-16"/>
        </w:rPr>
        <w:t xml:space="preserve"> </w:t>
      </w:r>
      <w:r>
        <w:t>proposed</w:t>
      </w:r>
      <w:r>
        <w:rPr>
          <w:spacing w:val="-16"/>
        </w:rPr>
        <w:t xml:space="preserve"> </w:t>
      </w:r>
      <w:r>
        <w:t>change,</w:t>
      </w:r>
      <w:r>
        <w:rPr>
          <w:spacing w:val="-17"/>
        </w:rPr>
        <w:t xml:space="preserve"> </w:t>
      </w:r>
      <w:r>
        <w:t>along</w:t>
      </w:r>
      <w:r>
        <w:rPr>
          <w:spacing w:val="-13"/>
        </w:rPr>
        <w:t xml:space="preserve"> </w:t>
      </w:r>
      <w:r>
        <w:t>with</w:t>
      </w:r>
      <w:r>
        <w:rPr>
          <w:spacing w:val="-13"/>
        </w:rPr>
        <w:t xml:space="preserve"> </w:t>
      </w:r>
      <w:r>
        <w:t>the</w:t>
      </w:r>
      <w:r>
        <w:rPr>
          <w:spacing w:val="-16"/>
        </w:rPr>
        <w:t xml:space="preserve"> </w:t>
      </w:r>
      <w:r>
        <w:t>confusion</w:t>
      </w:r>
      <w:r>
        <w:rPr>
          <w:spacing w:val="-19"/>
        </w:rPr>
        <w:t xml:space="preserve"> </w:t>
      </w:r>
      <w:r>
        <w:t>created</w:t>
      </w:r>
      <w:r>
        <w:rPr>
          <w:spacing w:val="-16"/>
        </w:rPr>
        <w:t xml:space="preserve"> </w:t>
      </w:r>
      <w:r>
        <w:t>about</w:t>
      </w:r>
      <w:r>
        <w:rPr>
          <w:spacing w:val="-15"/>
        </w:rPr>
        <w:t xml:space="preserve"> </w:t>
      </w:r>
      <w:r>
        <w:t>the</w:t>
      </w:r>
      <w:r>
        <w:rPr>
          <w:spacing w:val="-16"/>
        </w:rPr>
        <w:t xml:space="preserve"> </w:t>
      </w:r>
      <w:r>
        <w:t>difference</w:t>
      </w:r>
      <w:r>
        <w:rPr>
          <w:spacing w:val="-14"/>
        </w:rPr>
        <w:t xml:space="preserve"> </w:t>
      </w:r>
      <w:r>
        <w:t xml:space="preserve">between generic and biosimilar products, would likely lead to an erosion in the quality of care as patients who are stable on their branded therapy are switched to biosimilar products without appreciating the lack of FDA-validated interchangeability. </w:t>
      </w:r>
      <w:r>
        <w:rPr>
          <w:spacing w:val="3"/>
        </w:rPr>
        <w:t xml:space="preserve">We </w:t>
      </w:r>
      <w:r>
        <w:t>be</w:t>
      </w:r>
      <w:r>
        <w:t>lieve that the appropriate way to avoid such confusion in relation to provisions related to transition policies or formulary change is to refrain from treating biosimilars as generics in all Part D circumstances.</w:t>
      </w:r>
    </w:p>
    <w:p w:rsidR="00004D29" w:rsidRDefault="00004D29">
      <w:pPr>
        <w:pStyle w:val="BodyText"/>
        <w:spacing w:before="6"/>
        <w:rPr>
          <w:sz w:val="25"/>
        </w:rPr>
      </w:pPr>
    </w:p>
    <w:p w:rsidR="00004D29" w:rsidRDefault="00C42DC8">
      <w:pPr>
        <w:pStyle w:val="BodyText"/>
        <w:spacing w:line="276" w:lineRule="auto"/>
        <w:ind w:left="100" w:right="115"/>
        <w:jc w:val="both"/>
      </w:pPr>
      <w:r>
        <w:t>Therefore, we recommend CMS not proceed wi</w:t>
      </w:r>
      <w:r>
        <w:t>th the proposed definition change but instead continue to seek other ways to reduce patient cost sharing and incentivize efficiency.</w:t>
      </w:r>
    </w:p>
    <w:p w:rsidR="00004D29" w:rsidRDefault="00004D29">
      <w:pPr>
        <w:pStyle w:val="BodyText"/>
        <w:spacing w:before="6"/>
        <w:rPr>
          <w:sz w:val="25"/>
        </w:rPr>
      </w:pPr>
    </w:p>
    <w:p w:rsidR="00004D29" w:rsidRDefault="00C42DC8">
      <w:pPr>
        <w:pStyle w:val="Heading1"/>
        <w:spacing w:line="276" w:lineRule="auto"/>
        <w:ind w:right="123"/>
      </w:pPr>
      <w:r>
        <w:t>Request for Information Regarding the Application of Manufacturer Rebates and Pharmacy Price Concessions to Drug Prices at</w:t>
      </w:r>
      <w:r>
        <w:t xml:space="preserve"> the Point of Sale</w:t>
      </w:r>
    </w:p>
    <w:p w:rsidR="00004D29" w:rsidRDefault="00004D29">
      <w:pPr>
        <w:pStyle w:val="BodyText"/>
        <w:spacing w:before="3"/>
        <w:rPr>
          <w:b/>
          <w:sz w:val="25"/>
        </w:rPr>
      </w:pPr>
    </w:p>
    <w:p w:rsidR="00004D29" w:rsidRDefault="00C42DC8">
      <w:pPr>
        <w:pStyle w:val="BodyText"/>
        <w:spacing w:line="276" w:lineRule="auto"/>
        <w:ind w:left="100" w:right="116"/>
        <w:jc w:val="both"/>
      </w:pPr>
      <w:r>
        <w:t>We applaud CMS for issuing this Request for Information (RFI) on sharing savings from negotiated rebates directly with patients at the point-of-sale. We support the agency’s efforts to ensure that patients using Part D drugs directly be</w:t>
      </w:r>
      <w:r>
        <w:t>nefit from the aggressive rebate negotiations that underpin the Part D program.</w:t>
      </w:r>
    </w:p>
    <w:p w:rsidR="00004D29" w:rsidRDefault="00004D29">
      <w:pPr>
        <w:pStyle w:val="BodyText"/>
        <w:spacing w:before="3"/>
        <w:rPr>
          <w:sz w:val="25"/>
        </w:rPr>
      </w:pPr>
    </w:p>
    <w:p w:rsidR="00004D29" w:rsidRDefault="00C42DC8">
      <w:pPr>
        <w:pStyle w:val="BodyText"/>
        <w:spacing w:line="276" w:lineRule="auto"/>
        <w:ind w:left="100" w:right="119"/>
        <w:jc w:val="both"/>
      </w:pPr>
      <w:r>
        <w:t>While we support CMS’s intention to ensure that the rebates that plans currently negotiate with manufacturers benefit</w:t>
      </w:r>
      <w:r>
        <w:rPr>
          <w:spacing w:val="-8"/>
        </w:rPr>
        <w:t xml:space="preserve"> </w:t>
      </w:r>
      <w:r>
        <w:t>patients</w:t>
      </w:r>
      <w:r>
        <w:rPr>
          <w:spacing w:val="-11"/>
        </w:rPr>
        <w:t xml:space="preserve"> </w:t>
      </w:r>
      <w:r>
        <w:t>who</w:t>
      </w:r>
      <w:r>
        <w:rPr>
          <w:spacing w:val="-9"/>
        </w:rPr>
        <w:t xml:space="preserve"> </w:t>
      </w:r>
      <w:r>
        <w:t>are</w:t>
      </w:r>
      <w:r>
        <w:rPr>
          <w:spacing w:val="-11"/>
        </w:rPr>
        <w:t xml:space="preserve"> </w:t>
      </w:r>
      <w:r>
        <w:t>actually</w:t>
      </w:r>
      <w:r>
        <w:rPr>
          <w:spacing w:val="-11"/>
        </w:rPr>
        <w:t xml:space="preserve"> </w:t>
      </w:r>
      <w:r>
        <w:t>using</w:t>
      </w:r>
      <w:r>
        <w:rPr>
          <w:spacing w:val="-7"/>
        </w:rPr>
        <w:t xml:space="preserve"> </w:t>
      </w:r>
      <w:r>
        <w:t>Part</w:t>
      </w:r>
      <w:r>
        <w:rPr>
          <w:spacing w:val="-8"/>
        </w:rPr>
        <w:t xml:space="preserve"> </w:t>
      </w:r>
      <w:r>
        <w:t>D</w:t>
      </w:r>
      <w:r>
        <w:rPr>
          <w:spacing w:val="-12"/>
        </w:rPr>
        <w:t xml:space="preserve"> </w:t>
      </w:r>
      <w:r>
        <w:t>drugs,</w:t>
      </w:r>
      <w:r>
        <w:rPr>
          <w:spacing w:val="-8"/>
        </w:rPr>
        <w:t xml:space="preserve"> </w:t>
      </w:r>
      <w:r>
        <w:t>we</w:t>
      </w:r>
      <w:r>
        <w:rPr>
          <w:spacing w:val="-9"/>
        </w:rPr>
        <w:t xml:space="preserve"> </w:t>
      </w:r>
      <w:r>
        <w:t>are</w:t>
      </w:r>
      <w:r>
        <w:rPr>
          <w:spacing w:val="-11"/>
        </w:rPr>
        <w:t xml:space="preserve"> </w:t>
      </w:r>
      <w:r>
        <w:t>conc</w:t>
      </w:r>
      <w:r>
        <w:t>erned</w:t>
      </w:r>
      <w:r>
        <w:rPr>
          <w:spacing w:val="-11"/>
        </w:rPr>
        <w:t xml:space="preserve"> </w:t>
      </w:r>
      <w:r>
        <w:t>that</w:t>
      </w:r>
      <w:r>
        <w:rPr>
          <w:spacing w:val="-10"/>
        </w:rPr>
        <w:t xml:space="preserve"> </w:t>
      </w:r>
      <w:r>
        <w:t>the</w:t>
      </w:r>
      <w:r>
        <w:rPr>
          <w:spacing w:val="-9"/>
        </w:rPr>
        <w:t xml:space="preserve"> </w:t>
      </w:r>
      <w:r>
        <w:t>suggested</w:t>
      </w:r>
      <w:r>
        <w:rPr>
          <w:spacing w:val="-11"/>
        </w:rPr>
        <w:t xml:space="preserve"> </w:t>
      </w:r>
      <w:r>
        <w:t>approach</w:t>
      </w:r>
      <w:r>
        <w:rPr>
          <w:spacing w:val="-9"/>
        </w:rPr>
        <w:t xml:space="preserve"> </w:t>
      </w:r>
      <w:r>
        <w:t>would</w:t>
      </w:r>
      <w:r>
        <w:rPr>
          <w:spacing w:val="-9"/>
        </w:rPr>
        <w:t xml:space="preserve"> </w:t>
      </w:r>
      <w:r>
        <w:t>have</w:t>
      </w:r>
    </w:p>
    <w:p w:rsidR="00004D29" w:rsidRDefault="00004D29">
      <w:pPr>
        <w:spacing w:line="276" w:lineRule="auto"/>
        <w:jc w:val="both"/>
        <w:sectPr w:rsidR="00004D29">
          <w:pgSz w:w="12240" w:h="15840"/>
          <w:pgMar w:top="640" w:right="600" w:bottom="280" w:left="620" w:header="720" w:footer="720" w:gutter="0"/>
          <w:cols w:space="720"/>
        </w:sectPr>
      </w:pPr>
    </w:p>
    <w:p w:rsidR="00004D29" w:rsidRDefault="00C42DC8">
      <w:pPr>
        <w:pStyle w:val="BodyText"/>
        <w:spacing w:before="80" w:line="276" w:lineRule="auto"/>
        <w:ind w:left="100" w:right="112"/>
        <w:jc w:val="both"/>
      </w:pPr>
      <w:bookmarkStart w:id="0" w:name="_GoBack"/>
      <w:r>
        <w:lastRenderedPageBreak/>
        <w:t>unintended</w:t>
      </w:r>
      <w:r>
        <w:rPr>
          <w:spacing w:val="-10"/>
        </w:rPr>
        <w:t xml:space="preserve"> </w:t>
      </w:r>
      <w:r>
        <w:t>consequences</w:t>
      </w:r>
      <w:r>
        <w:rPr>
          <w:spacing w:val="-9"/>
        </w:rPr>
        <w:t xml:space="preserve"> </w:t>
      </w:r>
      <w:r>
        <w:t>and</w:t>
      </w:r>
      <w:r>
        <w:rPr>
          <w:spacing w:val="-12"/>
        </w:rPr>
        <w:t xml:space="preserve"> </w:t>
      </w:r>
      <w:r>
        <w:t>recommend</w:t>
      </w:r>
      <w:r>
        <w:rPr>
          <w:spacing w:val="-12"/>
        </w:rPr>
        <w:t xml:space="preserve"> </w:t>
      </w:r>
      <w:r>
        <w:t>that</w:t>
      </w:r>
      <w:r>
        <w:rPr>
          <w:spacing w:val="-11"/>
        </w:rPr>
        <w:t xml:space="preserve"> </w:t>
      </w:r>
      <w:r>
        <w:rPr>
          <w:spacing w:val="-2"/>
        </w:rPr>
        <w:t>CMS</w:t>
      </w:r>
      <w:r>
        <w:rPr>
          <w:spacing w:val="-10"/>
        </w:rPr>
        <w:t xml:space="preserve"> </w:t>
      </w:r>
      <w:r>
        <w:t>reconsider</w:t>
      </w:r>
      <w:r>
        <w:rPr>
          <w:spacing w:val="-13"/>
        </w:rPr>
        <w:t xml:space="preserve"> </w:t>
      </w:r>
      <w:r>
        <w:t>this</w:t>
      </w:r>
      <w:r>
        <w:rPr>
          <w:spacing w:val="-9"/>
        </w:rPr>
        <w:t xml:space="preserve"> </w:t>
      </w:r>
      <w:r>
        <w:t>approach.</w:t>
      </w:r>
      <w:r>
        <w:rPr>
          <w:spacing w:val="-11"/>
        </w:rPr>
        <w:t xml:space="preserve"> </w:t>
      </w:r>
      <w:r>
        <w:t>In</w:t>
      </w:r>
      <w:r>
        <w:rPr>
          <w:spacing w:val="-12"/>
        </w:rPr>
        <w:t xml:space="preserve"> </w:t>
      </w:r>
      <w:r>
        <w:t>particular,</w:t>
      </w:r>
      <w:r>
        <w:rPr>
          <w:spacing w:val="-9"/>
        </w:rPr>
        <w:t xml:space="preserve"> </w:t>
      </w:r>
      <w:r>
        <w:t>determining</w:t>
      </w:r>
      <w:r>
        <w:rPr>
          <w:spacing w:val="-10"/>
        </w:rPr>
        <w:t xml:space="preserve"> </w:t>
      </w:r>
      <w:r>
        <w:t xml:space="preserve">rebate pass-through amounts at the therapeutic category or class level would result in cross subsidization among manufacturers, which could lessen the incentive for manufacturers to compete aggressively. </w:t>
      </w:r>
      <w:r>
        <w:rPr>
          <w:spacing w:val="3"/>
        </w:rPr>
        <w:t xml:space="preserve">We </w:t>
      </w:r>
      <w:r>
        <w:t xml:space="preserve">recommend careful consideration of the design of </w:t>
      </w:r>
      <w:r>
        <w:t>any pass-through approach to ensure that the significant rebates that manufacturers</w:t>
      </w:r>
      <w:r>
        <w:rPr>
          <w:spacing w:val="-10"/>
        </w:rPr>
        <w:t xml:space="preserve"> </w:t>
      </w:r>
      <w:r>
        <w:t>already</w:t>
      </w:r>
      <w:r>
        <w:rPr>
          <w:spacing w:val="-10"/>
        </w:rPr>
        <w:t xml:space="preserve"> </w:t>
      </w:r>
      <w:r>
        <w:t>provide</w:t>
      </w:r>
      <w:r>
        <w:rPr>
          <w:spacing w:val="-8"/>
        </w:rPr>
        <w:t xml:space="preserve"> </w:t>
      </w:r>
      <w:r>
        <w:t>are</w:t>
      </w:r>
      <w:r>
        <w:rPr>
          <w:spacing w:val="-7"/>
        </w:rPr>
        <w:t xml:space="preserve"> </w:t>
      </w:r>
      <w:r>
        <w:t>used</w:t>
      </w:r>
      <w:r>
        <w:rPr>
          <w:spacing w:val="-10"/>
        </w:rPr>
        <w:t xml:space="preserve"> </w:t>
      </w:r>
      <w:r>
        <w:t>to</w:t>
      </w:r>
      <w:r>
        <w:rPr>
          <w:spacing w:val="-10"/>
        </w:rPr>
        <w:t xml:space="preserve"> </w:t>
      </w:r>
      <w:r>
        <w:t>reduce</w:t>
      </w:r>
      <w:r>
        <w:rPr>
          <w:spacing w:val="-10"/>
        </w:rPr>
        <w:t xml:space="preserve"> </w:t>
      </w:r>
      <w:r>
        <w:t>patient</w:t>
      </w:r>
      <w:r>
        <w:rPr>
          <w:spacing w:val="-7"/>
        </w:rPr>
        <w:t xml:space="preserve"> </w:t>
      </w:r>
      <w:r>
        <w:t>cost</w:t>
      </w:r>
      <w:r>
        <w:rPr>
          <w:spacing w:val="-9"/>
        </w:rPr>
        <w:t xml:space="preserve"> </w:t>
      </w:r>
      <w:r>
        <w:t>sharing</w:t>
      </w:r>
      <w:r>
        <w:rPr>
          <w:spacing w:val="-8"/>
        </w:rPr>
        <w:t xml:space="preserve"> </w:t>
      </w:r>
      <w:r>
        <w:t>burdens</w:t>
      </w:r>
      <w:r>
        <w:rPr>
          <w:spacing w:val="-7"/>
        </w:rPr>
        <w:t xml:space="preserve"> </w:t>
      </w:r>
      <w:r>
        <w:t>to</w:t>
      </w:r>
      <w:r>
        <w:rPr>
          <w:spacing w:val="-10"/>
        </w:rPr>
        <w:t xml:space="preserve"> </w:t>
      </w:r>
      <w:r>
        <w:t>the</w:t>
      </w:r>
      <w:r>
        <w:rPr>
          <w:spacing w:val="-13"/>
        </w:rPr>
        <w:t xml:space="preserve"> </w:t>
      </w:r>
      <w:r>
        <w:t>maximum</w:t>
      </w:r>
      <w:r>
        <w:rPr>
          <w:spacing w:val="-7"/>
        </w:rPr>
        <w:t xml:space="preserve"> </w:t>
      </w:r>
      <w:r>
        <w:t>extent</w:t>
      </w:r>
      <w:r>
        <w:rPr>
          <w:spacing w:val="-7"/>
        </w:rPr>
        <w:t xml:space="preserve"> </w:t>
      </w:r>
      <w:r>
        <w:t>possible.</w:t>
      </w:r>
    </w:p>
    <w:p w:rsidR="00004D29" w:rsidRDefault="00004D29">
      <w:pPr>
        <w:pStyle w:val="BodyText"/>
        <w:spacing w:before="3"/>
        <w:rPr>
          <w:sz w:val="25"/>
        </w:rPr>
      </w:pPr>
    </w:p>
    <w:p w:rsidR="00004D29" w:rsidRDefault="00C42DC8">
      <w:pPr>
        <w:pStyle w:val="BodyText"/>
        <w:spacing w:line="276" w:lineRule="auto"/>
        <w:ind w:left="100" w:right="120"/>
        <w:jc w:val="both"/>
      </w:pPr>
      <w:r>
        <w:t>We encourage CMS to continue working with all stakeholders to craft a worka</w:t>
      </w:r>
      <w:r>
        <w:t>ble solution that will ensure that patients benefit from manufacturer rebates at the point of sale, and we recommend consideration of benefit design alternatives (e.g., eliminating coinsurance) that could address concerns about point of sale patient cost s</w:t>
      </w:r>
      <w:r>
        <w:t>haring.</w:t>
      </w:r>
    </w:p>
    <w:p w:rsidR="00004D29" w:rsidRDefault="00004D29">
      <w:pPr>
        <w:pStyle w:val="BodyText"/>
        <w:spacing w:before="3"/>
        <w:rPr>
          <w:sz w:val="25"/>
        </w:rPr>
      </w:pPr>
    </w:p>
    <w:p w:rsidR="00004D29" w:rsidRDefault="00C42DC8">
      <w:pPr>
        <w:pStyle w:val="BodyText"/>
        <w:spacing w:line="278" w:lineRule="auto"/>
        <w:ind w:left="100" w:right="116"/>
        <w:jc w:val="both"/>
      </w:pPr>
      <w:r>
        <w:t>In</w:t>
      </w:r>
      <w:r>
        <w:rPr>
          <w:spacing w:val="-8"/>
        </w:rPr>
        <w:t xml:space="preserve"> </w:t>
      </w:r>
      <w:r>
        <w:t>addition</w:t>
      </w:r>
      <w:r>
        <w:rPr>
          <w:spacing w:val="-8"/>
        </w:rPr>
        <w:t xml:space="preserve"> </w:t>
      </w:r>
      <w:r>
        <w:t>to</w:t>
      </w:r>
      <w:r>
        <w:rPr>
          <w:spacing w:val="-10"/>
        </w:rPr>
        <w:t xml:space="preserve"> </w:t>
      </w:r>
      <w:r>
        <w:t>the</w:t>
      </w:r>
      <w:r>
        <w:rPr>
          <w:spacing w:val="-8"/>
        </w:rPr>
        <w:t xml:space="preserve"> </w:t>
      </w:r>
      <w:r>
        <w:t>issues</w:t>
      </w:r>
      <w:r>
        <w:rPr>
          <w:spacing w:val="-12"/>
        </w:rPr>
        <w:t xml:space="preserve"> </w:t>
      </w:r>
      <w:r>
        <w:t>discussed</w:t>
      </w:r>
      <w:r>
        <w:rPr>
          <w:spacing w:val="-8"/>
        </w:rPr>
        <w:t xml:space="preserve"> </w:t>
      </w:r>
      <w:r>
        <w:t>above,</w:t>
      </w:r>
      <w:r>
        <w:rPr>
          <w:spacing w:val="-7"/>
        </w:rPr>
        <w:t xml:space="preserve"> </w:t>
      </w:r>
      <w:r>
        <w:t>we</w:t>
      </w:r>
      <w:r>
        <w:rPr>
          <w:spacing w:val="-6"/>
        </w:rPr>
        <w:t xml:space="preserve"> </w:t>
      </w:r>
      <w:r>
        <w:t>recommend</w:t>
      </w:r>
      <w:r>
        <w:rPr>
          <w:spacing w:val="-10"/>
        </w:rPr>
        <w:t xml:space="preserve"> </w:t>
      </w:r>
      <w:r>
        <w:t>that</w:t>
      </w:r>
      <w:r>
        <w:rPr>
          <w:spacing w:val="-7"/>
        </w:rPr>
        <w:t xml:space="preserve"> </w:t>
      </w:r>
      <w:r>
        <w:rPr>
          <w:spacing w:val="-2"/>
        </w:rPr>
        <w:t>CMS</w:t>
      </w:r>
      <w:r>
        <w:rPr>
          <w:spacing w:val="-8"/>
        </w:rPr>
        <w:t xml:space="preserve"> </w:t>
      </w:r>
      <w:r>
        <w:t>issue</w:t>
      </w:r>
      <w:r>
        <w:rPr>
          <w:spacing w:val="-6"/>
        </w:rPr>
        <w:t xml:space="preserve"> </w:t>
      </w:r>
      <w:r>
        <w:t>regulations</w:t>
      </w:r>
      <w:r>
        <w:rPr>
          <w:spacing w:val="-8"/>
        </w:rPr>
        <w:t xml:space="preserve"> </w:t>
      </w:r>
      <w:r>
        <w:t>to</w:t>
      </w:r>
      <w:r>
        <w:rPr>
          <w:spacing w:val="-8"/>
        </w:rPr>
        <w:t xml:space="preserve"> </w:t>
      </w:r>
      <w:r>
        <w:t>incorporate</w:t>
      </w:r>
      <w:r>
        <w:rPr>
          <w:spacing w:val="-8"/>
        </w:rPr>
        <w:t xml:space="preserve"> </w:t>
      </w:r>
      <w:r>
        <w:t>Part</w:t>
      </w:r>
      <w:r>
        <w:rPr>
          <w:spacing w:val="-6"/>
        </w:rPr>
        <w:t xml:space="preserve"> </w:t>
      </w:r>
      <w:r>
        <w:t>D</w:t>
      </w:r>
      <w:r>
        <w:rPr>
          <w:spacing w:val="-9"/>
        </w:rPr>
        <w:t xml:space="preserve"> </w:t>
      </w:r>
      <w:r>
        <w:t>data into alternative payment model</w:t>
      </w:r>
      <w:r>
        <w:rPr>
          <w:spacing w:val="-10"/>
        </w:rPr>
        <w:t xml:space="preserve"> </w:t>
      </w:r>
      <w:r>
        <w:t>programs.</w:t>
      </w:r>
    </w:p>
    <w:p w:rsidR="00004D29" w:rsidRDefault="00004D29">
      <w:pPr>
        <w:pStyle w:val="BodyText"/>
        <w:rPr>
          <w:sz w:val="25"/>
        </w:rPr>
      </w:pPr>
    </w:p>
    <w:p w:rsidR="00004D29" w:rsidRDefault="00C42DC8">
      <w:pPr>
        <w:pStyle w:val="BodyText"/>
        <w:spacing w:before="1" w:line="276" w:lineRule="auto"/>
        <w:ind w:left="100" w:right="117"/>
        <w:jc w:val="both"/>
      </w:pPr>
      <w:r>
        <w:t>This problem has been illustrated in multiple specialty areas, especially rheumatology and gastroenterology where both Part D and Part B drugs have indications for treatment of the same condition. This is of particular concern</w:t>
      </w:r>
      <w:r>
        <w:rPr>
          <w:spacing w:val="-13"/>
        </w:rPr>
        <w:t xml:space="preserve"> </w:t>
      </w:r>
      <w:r>
        <w:t>when</w:t>
      </w:r>
      <w:r>
        <w:rPr>
          <w:spacing w:val="-11"/>
        </w:rPr>
        <w:t xml:space="preserve"> </w:t>
      </w:r>
      <w:r>
        <w:t>a</w:t>
      </w:r>
      <w:r>
        <w:rPr>
          <w:spacing w:val="-11"/>
        </w:rPr>
        <w:t xml:space="preserve"> </w:t>
      </w:r>
      <w:r>
        <w:t>patient</w:t>
      </w:r>
      <w:r>
        <w:rPr>
          <w:spacing w:val="-12"/>
        </w:rPr>
        <w:t xml:space="preserve"> </w:t>
      </w:r>
      <w:r>
        <w:t>receives</w:t>
      </w:r>
      <w:r>
        <w:rPr>
          <w:spacing w:val="-11"/>
        </w:rPr>
        <w:t xml:space="preserve"> </w:t>
      </w:r>
      <w:r>
        <w:t>a</w:t>
      </w:r>
      <w:r>
        <w:rPr>
          <w:spacing w:val="-11"/>
        </w:rPr>
        <w:t xml:space="preserve"> </w:t>
      </w:r>
      <w:r>
        <w:t>Par</w:t>
      </w:r>
      <w:r>
        <w:t>t</w:t>
      </w:r>
      <w:r>
        <w:rPr>
          <w:spacing w:val="-12"/>
        </w:rPr>
        <w:t xml:space="preserve"> </w:t>
      </w:r>
      <w:r>
        <w:t>B</w:t>
      </w:r>
      <w:r>
        <w:rPr>
          <w:spacing w:val="-14"/>
        </w:rPr>
        <w:t xml:space="preserve"> </w:t>
      </w:r>
      <w:r>
        <w:t>drug</w:t>
      </w:r>
      <w:r>
        <w:rPr>
          <w:spacing w:val="-13"/>
        </w:rPr>
        <w:t xml:space="preserve"> </w:t>
      </w:r>
      <w:r>
        <w:t>for</w:t>
      </w:r>
      <w:r>
        <w:rPr>
          <w:spacing w:val="-15"/>
        </w:rPr>
        <w:t xml:space="preserve"> </w:t>
      </w:r>
      <w:r>
        <w:t>reasons</w:t>
      </w:r>
      <w:r>
        <w:rPr>
          <w:spacing w:val="-13"/>
        </w:rPr>
        <w:t xml:space="preserve"> </w:t>
      </w:r>
      <w:r>
        <w:t>of</w:t>
      </w:r>
      <w:r>
        <w:rPr>
          <w:spacing w:val="-10"/>
        </w:rPr>
        <w:t xml:space="preserve"> </w:t>
      </w:r>
      <w:r>
        <w:t>clinical</w:t>
      </w:r>
      <w:r>
        <w:rPr>
          <w:spacing w:val="-12"/>
        </w:rPr>
        <w:t xml:space="preserve"> </w:t>
      </w:r>
      <w:r>
        <w:t>efficacy,</w:t>
      </w:r>
      <w:r>
        <w:rPr>
          <w:spacing w:val="-10"/>
        </w:rPr>
        <w:t xml:space="preserve"> </w:t>
      </w:r>
      <w:r>
        <w:t>adherence</w:t>
      </w:r>
      <w:r>
        <w:rPr>
          <w:spacing w:val="-14"/>
        </w:rPr>
        <w:t xml:space="preserve"> </w:t>
      </w:r>
      <w:r>
        <w:t>and</w:t>
      </w:r>
      <w:r>
        <w:rPr>
          <w:spacing w:val="-14"/>
        </w:rPr>
        <w:t xml:space="preserve"> </w:t>
      </w:r>
      <w:r>
        <w:t>safety.</w:t>
      </w:r>
      <w:r>
        <w:rPr>
          <w:spacing w:val="-12"/>
        </w:rPr>
        <w:t xml:space="preserve"> </w:t>
      </w:r>
      <w:r>
        <w:t>Specifically, quality of care concerns over “non-medical switching” of therapeutic interventions are well-documented, particularly for biologics. Section 1848(q)(2)(B)(ii) of the Act recommen</w:t>
      </w:r>
      <w:r>
        <w:t>ds accounting for the costs of Part D drugs as appropriate and feasible under the resource use performance category of</w:t>
      </w:r>
      <w:r>
        <w:rPr>
          <w:spacing w:val="-29"/>
        </w:rPr>
        <w:t xml:space="preserve"> </w:t>
      </w:r>
      <w:r>
        <w:t>MACRA.</w:t>
      </w:r>
    </w:p>
    <w:p w:rsidR="00004D29" w:rsidRDefault="00004D29">
      <w:pPr>
        <w:pStyle w:val="BodyText"/>
        <w:spacing w:before="5"/>
        <w:rPr>
          <w:sz w:val="25"/>
        </w:rPr>
      </w:pPr>
    </w:p>
    <w:p w:rsidR="00004D29" w:rsidRDefault="00C42DC8">
      <w:pPr>
        <w:pStyle w:val="BodyText"/>
        <w:spacing w:before="1" w:line="276" w:lineRule="auto"/>
        <w:ind w:left="100" w:right="113"/>
        <w:jc w:val="both"/>
      </w:pPr>
      <w:r>
        <w:t>CMS</w:t>
      </w:r>
      <w:r>
        <w:rPr>
          <w:spacing w:val="-7"/>
        </w:rPr>
        <w:t xml:space="preserve"> </w:t>
      </w:r>
      <w:r>
        <w:t>has</w:t>
      </w:r>
      <w:r>
        <w:rPr>
          <w:spacing w:val="-6"/>
        </w:rPr>
        <w:t xml:space="preserve"> </w:t>
      </w:r>
      <w:r>
        <w:t>indicated</w:t>
      </w:r>
      <w:r>
        <w:rPr>
          <w:spacing w:val="-8"/>
        </w:rPr>
        <w:t xml:space="preserve"> </w:t>
      </w:r>
      <w:r>
        <w:t>its</w:t>
      </w:r>
      <w:r>
        <w:rPr>
          <w:spacing w:val="-8"/>
        </w:rPr>
        <w:t xml:space="preserve"> </w:t>
      </w:r>
      <w:r>
        <w:t>concern</w:t>
      </w:r>
      <w:r>
        <w:rPr>
          <w:spacing w:val="-9"/>
        </w:rPr>
        <w:t xml:space="preserve"> </w:t>
      </w:r>
      <w:r>
        <w:t>that</w:t>
      </w:r>
      <w:r>
        <w:rPr>
          <w:spacing w:val="-7"/>
        </w:rPr>
        <w:t xml:space="preserve"> </w:t>
      </w:r>
      <w:r>
        <w:t>including</w:t>
      </w:r>
      <w:r>
        <w:rPr>
          <w:spacing w:val="-7"/>
        </w:rPr>
        <w:t xml:space="preserve"> </w:t>
      </w:r>
      <w:r>
        <w:t>Part</w:t>
      </w:r>
      <w:r>
        <w:rPr>
          <w:spacing w:val="-10"/>
        </w:rPr>
        <w:t xml:space="preserve"> </w:t>
      </w:r>
      <w:r>
        <w:t>D</w:t>
      </w:r>
      <w:r>
        <w:rPr>
          <w:spacing w:val="-7"/>
        </w:rPr>
        <w:t xml:space="preserve"> </w:t>
      </w:r>
      <w:r>
        <w:t>data</w:t>
      </w:r>
      <w:r>
        <w:rPr>
          <w:spacing w:val="-9"/>
        </w:rPr>
        <w:t xml:space="preserve"> </w:t>
      </w:r>
      <w:r>
        <w:t>would</w:t>
      </w:r>
      <w:r>
        <w:rPr>
          <w:spacing w:val="-6"/>
        </w:rPr>
        <w:t xml:space="preserve"> </w:t>
      </w:r>
      <w:r>
        <w:t>incorrectly</w:t>
      </w:r>
      <w:r>
        <w:rPr>
          <w:spacing w:val="-9"/>
        </w:rPr>
        <w:t xml:space="preserve"> </w:t>
      </w:r>
      <w:r>
        <w:t>indicate</w:t>
      </w:r>
      <w:r>
        <w:rPr>
          <w:spacing w:val="-6"/>
        </w:rPr>
        <w:t xml:space="preserve"> </w:t>
      </w:r>
      <w:r>
        <w:t>higher</w:t>
      </w:r>
      <w:r>
        <w:rPr>
          <w:spacing w:val="-8"/>
        </w:rPr>
        <w:t xml:space="preserve"> </w:t>
      </w:r>
      <w:r>
        <w:t>costs</w:t>
      </w:r>
      <w:r>
        <w:rPr>
          <w:spacing w:val="-11"/>
        </w:rPr>
        <w:t xml:space="preserve"> </w:t>
      </w:r>
      <w:r>
        <w:t>for</w:t>
      </w:r>
      <w:r>
        <w:rPr>
          <w:spacing w:val="-5"/>
        </w:rPr>
        <w:t xml:space="preserve"> </w:t>
      </w:r>
      <w:r>
        <w:t>beneficiaries with Part D co</w:t>
      </w:r>
      <w:r>
        <w:t xml:space="preserve">verage relative to otherwise comparable beneficiaries without such coverage and for whom prescription drug costs cannot be measured directly by CMS. To address this issue, </w:t>
      </w:r>
      <w:r>
        <w:rPr>
          <w:spacing w:val="-2"/>
        </w:rPr>
        <w:t xml:space="preserve">CMS </w:t>
      </w:r>
      <w:r>
        <w:t>could create benchmarks for resource use for beneficiaries enrolled in Parts A, B &amp; D separately from those enrolled in Part A &amp; B. This approach would facilitate comparisons across practices with different proportions of patients with Part</w:t>
      </w:r>
      <w:r>
        <w:rPr>
          <w:spacing w:val="-14"/>
        </w:rPr>
        <w:t xml:space="preserve"> </w:t>
      </w:r>
      <w:r>
        <w:t>D</w:t>
      </w:r>
      <w:r>
        <w:rPr>
          <w:spacing w:val="-19"/>
        </w:rPr>
        <w:t xml:space="preserve"> </w:t>
      </w:r>
      <w:r>
        <w:t>coverage.</w:t>
      </w:r>
      <w:r>
        <w:rPr>
          <w:spacing w:val="25"/>
        </w:rPr>
        <w:t xml:space="preserve"> </w:t>
      </w:r>
      <w:r>
        <w:rPr>
          <w:spacing w:val="3"/>
        </w:rPr>
        <w:t>We</w:t>
      </w:r>
      <w:r>
        <w:rPr>
          <w:spacing w:val="-21"/>
        </w:rPr>
        <w:t xml:space="preserve"> </w:t>
      </w:r>
      <w:r>
        <w:t>have</w:t>
      </w:r>
      <w:r>
        <w:rPr>
          <w:spacing w:val="-16"/>
        </w:rPr>
        <w:t xml:space="preserve"> </w:t>
      </w:r>
      <w:r>
        <w:t>also</w:t>
      </w:r>
      <w:r>
        <w:rPr>
          <w:spacing w:val="-16"/>
        </w:rPr>
        <w:t xml:space="preserve"> </w:t>
      </w:r>
      <w:r>
        <w:t>submitted</w:t>
      </w:r>
      <w:r>
        <w:rPr>
          <w:spacing w:val="-19"/>
        </w:rPr>
        <w:t xml:space="preserve"> </w:t>
      </w:r>
      <w:r>
        <w:t>comments</w:t>
      </w:r>
      <w:r>
        <w:rPr>
          <w:spacing w:val="-15"/>
        </w:rPr>
        <w:t xml:space="preserve"> </w:t>
      </w:r>
      <w:r>
        <w:t>suggesting</w:t>
      </w:r>
      <w:r>
        <w:rPr>
          <w:spacing w:val="-14"/>
        </w:rPr>
        <w:t xml:space="preserve"> </w:t>
      </w:r>
      <w:r>
        <w:t>approach</w:t>
      </w:r>
      <w:r>
        <w:rPr>
          <w:spacing w:val="-18"/>
        </w:rPr>
        <w:t xml:space="preserve"> </w:t>
      </w:r>
      <w:r>
        <w:t>for</w:t>
      </w:r>
      <w:r>
        <w:rPr>
          <w:spacing w:val="-15"/>
        </w:rPr>
        <w:t xml:space="preserve"> </w:t>
      </w:r>
      <w:r>
        <w:t>estimating</w:t>
      </w:r>
      <w:r>
        <w:rPr>
          <w:spacing w:val="-16"/>
        </w:rPr>
        <w:t xml:space="preserve"> </w:t>
      </w:r>
      <w:r>
        <w:t>final</w:t>
      </w:r>
      <w:r>
        <w:rPr>
          <w:spacing w:val="-17"/>
        </w:rPr>
        <w:t xml:space="preserve"> </w:t>
      </w:r>
      <w:r>
        <w:t>Part</w:t>
      </w:r>
      <w:r>
        <w:rPr>
          <w:spacing w:val="-17"/>
        </w:rPr>
        <w:t xml:space="preserve"> </w:t>
      </w:r>
      <w:r>
        <w:t>D</w:t>
      </w:r>
      <w:r>
        <w:rPr>
          <w:spacing w:val="-19"/>
        </w:rPr>
        <w:t xml:space="preserve"> </w:t>
      </w:r>
      <w:r>
        <w:t>drug</w:t>
      </w:r>
      <w:r>
        <w:rPr>
          <w:spacing w:val="-14"/>
        </w:rPr>
        <w:t xml:space="preserve"> </w:t>
      </w:r>
      <w:r>
        <w:t>prices.</w:t>
      </w:r>
    </w:p>
    <w:p w:rsidR="00004D29" w:rsidRDefault="00004D29">
      <w:pPr>
        <w:pStyle w:val="BodyText"/>
        <w:spacing w:before="3"/>
        <w:rPr>
          <w:sz w:val="25"/>
        </w:rPr>
      </w:pPr>
    </w:p>
    <w:p w:rsidR="00004D29" w:rsidRDefault="00C42DC8">
      <w:pPr>
        <w:pStyle w:val="BodyText"/>
        <w:spacing w:line="276" w:lineRule="auto"/>
        <w:ind w:left="100" w:right="113"/>
        <w:jc w:val="both"/>
      </w:pPr>
      <w:r>
        <w:t>J&amp;J</w:t>
      </w:r>
      <w:r>
        <w:rPr>
          <w:spacing w:val="-6"/>
        </w:rPr>
        <w:t xml:space="preserve"> </w:t>
      </w:r>
      <w:r>
        <w:t>greatly</w:t>
      </w:r>
      <w:r>
        <w:rPr>
          <w:spacing w:val="-6"/>
        </w:rPr>
        <w:t xml:space="preserve"> </w:t>
      </w:r>
      <w:r>
        <w:t>appreciates</w:t>
      </w:r>
      <w:r>
        <w:rPr>
          <w:spacing w:val="-6"/>
        </w:rPr>
        <w:t xml:space="preserve"> </w:t>
      </w:r>
      <w:r>
        <w:t>the</w:t>
      </w:r>
      <w:r>
        <w:rPr>
          <w:spacing w:val="-4"/>
        </w:rPr>
        <w:t xml:space="preserve"> </w:t>
      </w:r>
      <w:r>
        <w:t>opportunity</w:t>
      </w:r>
      <w:r>
        <w:rPr>
          <w:spacing w:val="-8"/>
        </w:rPr>
        <w:t xml:space="preserve"> </w:t>
      </w:r>
      <w:r>
        <w:t>to</w:t>
      </w:r>
      <w:r>
        <w:rPr>
          <w:spacing w:val="-6"/>
        </w:rPr>
        <w:t xml:space="preserve"> </w:t>
      </w:r>
      <w:r>
        <w:t>submit</w:t>
      </w:r>
      <w:r>
        <w:rPr>
          <w:spacing w:val="-7"/>
        </w:rPr>
        <w:t xml:space="preserve"> </w:t>
      </w:r>
      <w:r>
        <w:t>these</w:t>
      </w:r>
      <w:r>
        <w:rPr>
          <w:spacing w:val="-6"/>
        </w:rPr>
        <w:t xml:space="preserve"> </w:t>
      </w:r>
      <w:r>
        <w:t>comments</w:t>
      </w:r>
      <w:r>
        <w:rPr>
          <w:spacing w:val="-6"/>
        </w:rPr>
        <w:t xml:space="preserve"> </w:t>
      </w:r>
      <w:r>
        <w:t>and</w:t>
      </w:r>
      <w:r>
        <w:rPr>
          <w:spacing w:val="-6"/>
        </w:rPr>
        <w:t xml:space="preserve"> </w:t>
      </w:r>
      <w:r>
        <w:t>recommendations</w:t>
      </w:r>
      <w:r>
        <w:rPr>
          <w:spacing w:val="-6"/>
        </w:rPr>
        <w:t xml:space="preserve"> </w:t>
      </w:r>
      <w:r>
        <w:t>to</w:t>
      </w:r>
      <w:r>
        <w:rPr>
          <w:spacing w:val="-6"/>
        </w:rPr>
        <w:t xml:space="preserve"> </w:t>
      </w:r>
      <w:r>
        <w:t>CMS.</w:t>
      </w:r>
      <w:r>
        <w:rPr>
          <w:spacing w:val="-1"/>
        </w:rPr>
        <w:t xml:space="preserve"> </w:t>
      </w:r>
      <w:r>
        <w:t>We</w:t>
      </w:r>
      <w:r>
        <w:rPr>
          <w:spacing w:val="-6"/>
        </w:rPr>
        <w:t xml:space="preserve"> </w:t>
      </w:r>
      <w:r>
        <w:t>welcome the opportunity to further discuss as you deem</w:t>
      </w:r>
      <w:r>
        <w:rPr>
          <w:spacing w:val="-16"/>
        </w:rPr>
        <w:t xml:space="preserve"> </w:t>
      </w:r>
      <w:r>
        <w:t>appropriate.</w:t>
      </w:r>
    </w:p>
    <w:p w:rsidR="00004D29" w:rsidRDefault="00004D29">
      <w:pPr>
        <w:pStyle w:val="BodyText"/>
        <w:spacing w:before="5"/>
        <w:rPr>
          <w:sz w:val="25"/>
        </w:rPr>
      </w:pPr>
    </w:p>
    <w:p w:rsidR="00004D29" w:rsidRDefault="00C42DC8">
      <w:pPr>
        <w:pStyle w:val="BodyText"/>
        <w:ind w:left="100"/>
        <w:jc w:val="both"/>
      </w:pPr>
      <w:r>
        <w:t>Sincerely,</w:t>
      </w:r>
    </w:p>
    <w:p w:rsidR="00004D29" w:rsidRDefault="00C42DC8">
      <w:pPr>
        <w:pStyle w:val="BodyText"/>
        <w:rPr>
          <w:sz w:val="25"/>
        </w:rPr>
      </w:pPr>
      <w:r>
        <w:rPr>
          <w:noProof/>
        </w:rPr>
        <w:drawing>
          <wp:anchor distT="0" distB="0" distL="0" distR="0" simplePos="0" relativeHeight="1048" behindDoc="0" locked="0" layoutInCell="1" allowOverlap="1">
            <wp:simplePos x="0" y="0"/>
            <wp:positionH relativeFrom="page">
              <wp:posOffset>457200</wp:posOffset>
            </wp:positionH>
            <wp:positionV relativeFrom="paragraph">
              <wp:posOffset>207443</wp:posOffset>
            </wp:positionV>
            <wp:extent cx="2516511" cy="93811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516511" cy="938117"/>
                    </a:xfrm>
                    <a:prstGeom prst="rect">
                      <a:avLst/>
                    </a:prstGeom>
                  </pic:spPr>
                </pic:pic>
              </a:graphicData>
            </a:graphic>
          </wp:anchor>
        </w:drawing>
      </w:r>
    </w:p>
    <w:p w:rsidR="00004D29" w:rsidRDefault="00C42DC8">
      <w:pPr>
        <w:pStyle w:val="BodyText"/>
        <w:spacing w:before="12"/>
        <w:ind w:left="100"/>
        <w:jc w:val="both"/>
      </w:pPr>
      <w:r>
        <w:t>Robert Donnelly</w:t>
      </w:r>
    </w:p>
    <w:p w:rsidR="00004D29" w:rsidRDefault="00C42DC8">
      <w:pPr>
        <w:pStyle w:val="BodyText"/>
        <w:spacing w:before="37"/>
        <w:ind w:left="100"/>
        <w:jc w:val="both"/>
      </w:pPr>
      <w:r>
        <w:t>Senior Director, Health Policy</w:t>
      </w:r>
    </w:p>
    <w:p w:rsidR="00004D29" w:rsidRDefault="00C42DC8">
      <w:pPr>
        <w:pStyle w:val="BodyText"/>
        <w:spacing w:before="37"/>
        <w:ind w:left="100"/>
        <w:jc w:val="both"/>
      </w:pPr>
      <w:r>
        <w:t>Johnson &amp; Johnson Worldwide Government Affairs and Policy</w:t>
      </w:r>
      <w:bookmarkEnd w:id="0"/>
    </w:p>
    <w:sectPr w:rsidR="00004D29">
      <w:pgSz w:w="12240" w:h="15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4D29"/>
    <w:rsid w:val="00004D29"/>
    <w:rsid w:val="00C4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F4140D-F841-41CC-AD86-FF2482E7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200"/>
    </w:pPr>
    <w:rPr>
      <w:rFonts w:ascii="Arial Narrow" w:eastAsia="Arial Narrow" w:hAnsi="Arial Narrow" w:cs="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fda.gov/Drugs/DevelopmentApprovalProcess/HowDrugsareDevelopedandApproved/ApprovalApplications/TherapeuticBiologicApplications/Biosimilars/ucm580419.ht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1360</Words>
  <Characters>7823</Characters>
  <Application>Microsoft Office Word</Application>
  <DocSecurity>0</DocSecurity>
  <Lines>140</Lines>
  <Paragraphs>39</Paragraphs>
  <ScaleCrop>false</ScaleCrop>
  <Company>CMS</Company>
  <LinksUpToDate>false</LinksUpToDate>
  <CharactersWithSpaces>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R GALLAGHER</dc:creator>
  <cp:lastModifiedBy>Arthur Pignotti</cp:lastModifiedBy>
  <cp:revision>2</cp:revision>
  <dcterms:created xsi:type="dcterms:W3CDTF">2018-06-14T21:30:00Z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