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6327" w:rsidRDefault="00306327">
      <w:pPr>
        <w:pStyle w:val="BodyText"/>
        <w:rPr>
          <w:rFonts w:ascii="Times New Roman"/>
        </w:rPr>
      </w:pPr>
    </w:p>
    <w:p w:rsidR="00306327" w:rsidRDefault="00306327">
      <w:pPr>
        <w:pStyle w:val="BodyText"/>
        <w:rPr>
          <w:rFonts w:ascii="Times New Roman"/>
          <w:sz w:val="21"/>
        </w:rPr>
      </w:pPr>
    </w:p>
    <w:p w:rsidR="00306327" w:rsidRDefault="00B14FDF">
      <w:pPr>
        <w:pStyle w:val="BodyText"/>
        <w:spacing w:before="94"/>
        <w:ind w:left="152"/>
      </w:pPr>
      <w:r>
        <w:rPr>
          <w:color w:val="0F0F0F"/>
        </w:rPr>
        <w:t>January 16, 2018</w:t>
      </w:r>
    </w:p>
    <w:p w:rsidR="00306327" w:rsidRDefault="00306327">
      <w:pPr>
        <w:pStyle w:val="BodyText"/>
        <w:spacing w:before="8"/>
        <w:rPr>
          <w:sz w:val="26"/>
        </w:rPr>
      </w:pPr>
    </w:p>
    <w:p w:rsidR="00306327" w:rsidRDefault="00B14FDF">
      <w:pPr>
        <w:pStyle w:val="BodyText"/>
        <w:spacing w:line="280" w:lineRule="auto"/>
        <w:ind w:left="162" w:right="7569" w:hanging="5"/>
      </w:pPr>
      <w:r>
        <w:rPr>
          <w:color w:val="0F0F0F"/>
        </w:rPr>
        <w:t>Seema Verma, MPH Administrator</w:t>
      </w:r>
    </w:p>
    <w:p w:rsidR="00306327" w:rsidRDefault="00B14FDF">
      <w:pPr>
        <w:pStyle w:val="BodyText"/>
        <w:spacing w:before="5" w:line="280" w:lineRule="auto"/>
        <w:ind w:left="156" w:right="5591"/>
      </w:pPr>
      <w:r>
        <w:rPr>
          <w:color w:val="0F0F0F"/>
        </w:rPr>
        <w:t>Centers for Medicare &amp; Medicaid Services Department of Health and Human Services 200 Independence Avenue, SW Washington, DC 20201</w:t>
      </w:r>
    </w:p>
    <w:p w:rsidR="00306327" w:rsidRDefault="00306327">
      <w:pPr>
        <w:pStyle w:val="BodyText"/>
        <w:rPr>
          <w:sz w:val="22"/>
        </w:rPr>
      </w:pPr>
    </w:p>
    <w:p w:rsidR="00306327" w:rsidRDefault="00306327">
      <w:pPr>
        <w:pStyle w:val="BodyText"/>
        <w:spacing w:before="2"/>
        <w:rPr>
          <w:sz w:val="25"/>
        </w:rPr>
      </w:pPr>
    </w:p>
    <w:p w:rsidR="00306327" w:rsidRDefault="00B14FDF">
      <w:pPr>
        <w:pStyle w:val="BodyText"/>
        <w:ind w:left="151"/>
      </w:pPr>
      <w:r>
        <w:rPr>
          <w:color w:val="0F0F0F"/>
          <w:w w:val="90"/>
        </w:rPr>
        <w:t>RE: CMS-4182-P</w:t>
      </w:r>
    </w:p>
    <w:p w:rsidR="00306327" w:rsidRDefault="00306327">
      <w:pPr>
        <w:pStyle w:val="BodyText"/>
        <w:rPr>
          <w:sz w:val="22"/>
        </w:rPr>
      </w:pPr>
    </w:p>
    <w:p w:rsidR="00306327" w:rsidRDefault="00306327">
      <w:pPr>
        <w:pStyle w:val="BodyText"/>
        <w:rPr>
          <w:sz w:val="28"/>
        </w:rPr>
      </w:pPr>
    </w:p>
    <w:p w:rsidR="00306327" w:rsidRDefault="00B14FDF">
      <w:pPr>
        <w:pStyle w:val="BodyText"/>
        <w:spacing w:before="1"/>
        <w:ind w:left="151"/>
      </w:pPr>
      <w:r>
        <w:rPr>
          <w:color w:val="0F0F0F"/>
        </w:rPr>
        <w:t xml:space="preserve">Dear Ms. Verma </w:t>
      </w:r>
      <w:r>
        <w:rPr>
          <w:color w:val="363636"/>
        </w:rPr>
        <w:t>:</w:t>
      </w:r>
    </w:p>
    <w:p w:rsidR="00306327" w:rsidRDefault="00306327">
      <w:pPr>
        <w:pStyle w:val="BodyText"/>
        <w:spacing w:before="1"/>
        <w:rPr>
          <w:sz w:val="27"/>
        </w:rPr>
      </w:pPr>
    </w:p>
    <w:p w:rsidR="00306327" w:rsidRDefault="00B14FDF">
      <w:pPr>
        <w:pStyle w:val="BodyText"/>
        <w:spacing w:before="1" w:line="280" w:lineRule="auto"/>
        <w:ind w:left="140" w:right="142" w:firstLine="6"/>
      </w:pPr>
      <w:r>
        <w:rPr>
          <w:color w:val="0F0F0F"/>
        </w:rPr>
        <w:t>HMS welcomes the opportunity to comment on the Centers for Medicare &amp; Medicaid Services (CMS) notice of proposed rulemaking entitled, "Medicare Program; Contract Year 2019 Policy and Technical Changes to the Medicare Advantage, Medicare Cost Plan, Medicare</w:t>
      </w:r>
      <w:r>
        <w:rPr>
          <w:color w:val="0F0F0F"/>
        </w:rPr>
        <w:t xml:space="preserve"> Fee-for-Service, the Medicare Prescription Drug Benefit Programs, and the PACE Program". We appreciate CMS's continued commitment to Medicare and its members, promotion of program integrity, and protection of taxpayer dollars.</w:t>
      </w:r>
    </w:p>
    <w:p w:rsidR="00306327" w:rsidRDefault="00306327">
      <w:pPr>
        <w:pStyle w:val="BodyText"/>
        <w:spacing w:before="5"/>
        <w:rPr>
          <w:sz w:val="23"/>
        </w:rPr>
      </w:pPr>
    </w:p>
    <w:p w:rsidR="00306327" w:rsidRDefault="00B14FDF">
      <w:pPr>
        <w:pStyle w:val="BodyText"/>
        <w:spacing w:line="280" w:lineRule="auto"/>
        <w:ind w:left="130" w:right="142" w:firstLine="2"/>
      </w:pPr>
      <w:r>
        <w:rPr>
          <w:color w:val="0F0F0F"/>
        </w:rPr>
        <w:t>To those ends, HMS applauds</w:t>
      </w:r>
      <w:r>
        <w:rPr>
          <w:color w:val="0F0F0F"/>
        </w:rPr>
        <w:t xml:space="preserve"> the CMS solicitation for proposed changes to the calculation of the medical loss ratio (MLR) particularly as it relates to the treatment of fraud reduction activities. Under today's MLR methodology, the calculation and accounting for the cost of fraud red</w:t>
      </w:r>
      <w:r>
        <w:rPr>
          <w:color w:val="0F0F0F"/>
        </w:rPr>
        <w:t>uction activities is problematic. Currently Medicare Advantage Plans (MAs) may include in the numerator ofthe MLR fraud recoveries only up to the total costs incurred to achieve those fraud recoveries. However, the detection, prevention and recovery of fra</w:t>
      </w:r>
      <w:r>
        <w:rPr>
          <w:color w:val="0F0F0F"/>
        </w:rPr>
        <w:t xml:space="preserve">ud can be a lengthy and costly process. Recoveries may occur months or even years after detection, and it is not uncommon for costs incurred to identify and recover those fraudulent overpayments  to  actually exceed the total value of the fraudulent </w:t>
      </w:r>
      <w:r>
        <w:rPr>
          <w:color w:val="0F0F0F"/>
          <w:spacing w:val="25"/>
        </w:rPr>
        <w:t xml:space="preserve"> </w:t>
      </w:r>
      <w:r>
        <w:rPr>
          <w:color w:val="0F0F0F"/>
        </w:rPr>
        <w:t>overp</w:t>
      </w:r>
      <w:r>
        <w:rPr>
          <w:color w:val="0F0F0F"/>
        </w:rPr>
        <w:t>ayments.</w:t>
      </w:r>
    </w:p>
    <w:p w:rsidR="00306327" w:rsidRDefault="00306327">
      <w:pPr>
        <w:pStyle w:val="BodyText"/>
        <w:spacing w:before="4"/>
        <w:rPr>
          <w:sz w:val="23"/>
        </w:rPr>
      </w:pPr>
    </w:p>
    <w:p w:rsidR="00306327" w:rsidRDefault="00B14FDF">
      <w:pPr>
        <w:pStyle w:val="BodyText"/>
        <w:spacing w:before="1" w:line="280" w:lineRule="auto"/>
        <w:ind w:left="125" w:right="117" w:firstLine="6"/>
        <w:jc w:val="both"/>
      </w:pPr>
      <w:r>
        <w:rPr>
          <w:color w:val="0F0F0F"/>
          <w:w w:val="105"/>
        </w:rPr>
        <w:t>We</w:t>
      </w:r>
      <w:r>
        <w:rPr>
          <w:color w:val="0F0F0F"/>
          <w:spacing w:val="-23"/>
          <w:w w:val="105"/>
        </w:rPr>
        <w:t xml:space="preserve"> </w:t>
      </w:r>
      <w:r>
        <w:rPr>
          <w:color w:val="0F0F0F"/>
          <w:w w:val="105"/>
        </w:rPr>
        <w:t>commend</w:t>
      </w:r>
      <w:r>
        <w:rPr>
          <w:color w:val="0F0F0F"/>
          <w:spacing w:val="-18"/>
          <w:w w:val="105"/>
        </w:rPr>
        <w:t xml:space="preserve"> </w:t>
      </w:r>
      <w:r>
        <w:rPr>
          <w:color w:val="0F0F0F"/>
          <w:w w:val="105"/>
        </w:rPr>
        <w:t>CMS</w:t>
      </w:r>
      <w:r>
        <w:rPr>
          <w:color w:val="0F0F0F"/>
          <w:spacing w:val="-20"/>
          <w:w w:val="105"/>
        </w:rPr>
        <w:t xml:space="preserve"> </w:t>
      </w:r>
      <w:r>
        <w:rPr>
          <w:color w:val="0F0F0F"/>
          <w:w w:val="105"/>
        </w:rPr>
        <w:t>for</w:t>
      </w:r>
      <w:r>
        <w:rPr>
          <w:color w:val="0F0F0F"/>
          <w:spacing w:val="2"/>
          <w:w w:val="105"/>
        </w:rPr>
        <w:t xml:space="preserve"> </w:t>
      </w:r>
      <w:r>
        <w:rPr>
          <w:color w:val="0F0F0F"/>
          <w:w w:val="105"/>
        </w:rPr>
        <w:t>proposing</w:t>
      </w:r>
      <w:r>
        <w:rPr>
          <w:color w:val="0F0F0F"/>
          <w:spacing w:val="-23"/>
          <w:w w:val="105"/>
        </w:rPr>
        <w:t xml:space="preserve"> </w:t>
      </w:r>
      <w:r>
        <w:rPr>
          <w:color w:val="0F0F0F"/>
          <w:w w:val="105"/>
        </w:rPr>
        <w:t>to</w:t>
      </w:r>
      <w:r>
        <w:rPr>
          <w:color w:val="0F0F0F"/>
          <w:spacing w:val="-10"/>
          <w:w w:val="105"/>
        </w:rPr>
        <w:t xml:space="preserve"> </w:t>
      </w:r>
      <w:r>
        <w:rPr>
          <w:color w:val="0F0F0F"/>
          <w:w w:val="105"/>
        </w:rPr>
        <w:t>allow</w:t>
      </w:r>
      <w:r>
        <w:rPr>
          <w:color w:val="0F0F0F"/>
          <w:spacing w:val="-18"/>
          <w:w w:val="105"/>
        </w:rPr>
        <w:t xml:space="preserve"> </w:t>
      </w:r>
      <w:r>
        <w:rPr>
          <w:color w:val="0F0F0F"/>
          <w:w w:val="105"/>
        </w:rPr>
        <w:t>fraud</w:t>
      </w:r>
      <w:r>
        <w:rPr>
          <w:color w:val="0F0F0F"/>
          <w:spacing w:val="-19"/>
          <w:w w:val="105"/>
        </w:rPr>
        <w:t xml:space="preserve"> </w:t>
      </w:r>
      <w:r>
        <w:rPr>
          <w:color w:val="0F0F0F"/>
          <w:w w:val="105"/>
        </w:rPr>
        <w:t>reduction</w:t>
      </w:r>
      <w:r>
        <w:rPr>
          <w:color w:val="0F0F0F"/>
          <w:spacing w:val="-16"/>
          <w:w w:val="105"/>
        </w:rPr>
        <w:t xml:space="preserve"> </w:t>
      </w:r>
      <w:r>
        <w:rPr>
          <w:color w:val="0F0F0F"/>
          <w:w w:val="105"/>
        </w:rPr>
        <w:t>activities</w:t>
      </w:r>
      <w:r>
        <w:rPr>
          <w:color w:val="0F0F0F"/>
          <w:spacing w:val="-20"/>
          <w:w w:val="105"/>
        </w:rPr>
        <w:t xml:space="preserve"> </w:t>
      </w:r>
      <w:r>
        <w:rPr>
          <w:color w:val="0F0F0F"/>
          <w:w w:val="105"/>
        </w:rPr>
        <w:t>to</w:t>
      </w:r>
      <w:r>
        <w:rPr>
          <w:color w:val="0F0F0F"/>
          <w:spacing w:val="-8"/>
          <w:w w:val="105"/>
        </w:rPr>
        <w:t xml:space="preserve"> </w:t>
      </w:r>
      <w:r>
        <w:rPr>
          <w:color w:val="0F0F0F"/>
          <w:w w:val="105"/>
        </w:rPr>
        <w:t>be</w:t>
      </w:r>
      <w:r>
        <w:rPr>
          <w:color w:val="0F0F0F"/>
          <w:spacing w:val="-25"/>
          <w:w w:val="105"/>
        </w:rPr>
        <w:t xml:space="preserve"> </w:t>
      </w:r>
      <w:r>
        <w:rPr>
          <w:color w:val="0F0F0F"/>
          <w:w w:val="105"/>
        </w:rPr>
        <w:t>included</w:t>
      </w:r>
      <w:r>
        <w:rPr>
          <w:color w:val="0F0F0F"/>
          <w:spacing w:val="-21"/>
          <w:w w:val="105"/>
        </w:rPr>
        <w:t xml:space="preserve"> </w:t>
      </w:r>
      <w:r>
        <w:rPr>
          <w:color w:val="0F0F0F"/>
          <w:w w:val="105"/>
        </w:rPr>
        <w:t>in</w:t>
      </w:r>
      <w:r>
        <w:rPr>
          <w:color w:val="0F0F0F"/>
          <w:spacing w:val="-27"/>
          <w:w w:val="105"/>
        </w:rPr>
        <w:t xml:space="preserve"> </w:t>
      </w:r>
      <w:r>
        <w:rPr>
          <w:color w:val="0F0F0F"/>
          <w:w w:val="105"/>
        </w:rPr>
        <w:t>the</w:t>
      </w:r>
      <w:r>
        <w:rPr>
          <w:color w:val="0F0F0F"/>
          <w:spacing w:val="-20"/>
          <w:w w:val="105"/>
        </w:rPr>
        <w:t xml:space="preserve"> </w:t>
      </w:r>
      <w:r>
        <w:rPr>
          <w:color w:val="0F0F0F"/>
          <w:w w:val="105"/>
        </w:rPr>
        <w:t>numerator</w:t>
      </w:r>
      <w:r>
        <w:rPr>
          <w:color w:val="0F0F0F"/>
          <w:spacing w:val="-9"/>
          <w:w w:val="105"/>
        </w:rPr>
        <w:t xml:space="preserve"> </w:t>
      </w:r>
      <w:r>
        <w:rPr>
          <w:color w:val="0F0F0F"/>
          <w:w w:val="105"/>
        </w:rPr>
        <w:t>as</w:t>
      </w:r>
      <w:r>
        <w:rPr>
          <w:color w:val="0F0F0F"/>
          <w:spacing w:val="-29"/>
          <w:w w:val="105"/>
        </w:rPr>
        <w:t xml:space="preserve"> </w:t>
      </w:r>
      <w:r>
        <w:rPr>
          <w:color w:val="0F0F0F"/>
          <w:w w:val="105"/>
        </w:rPr>
        <w:t>a quality</w:t>
      </w:r>
      <w:r>
        <w:rPr>
          <w:color w:val="0F0F0F"/>
          <w:spacing w:val="-12"/>
          <w:w w:val="105"/>
        </w:rPr>
        <w:t xml:space="preserve"> </w:t>
      </w:r>
      <w:r>
        <w:rPr>
          <w:color w:val="0F0F0F"/>
          <w:w w:val="105"/>
        </w:rPr>
        <w:t>improvement</w:t>
      </w:r>
      <w:r>
        <w:rPr>
          <w:color w:val="0F0F0F"/>
          <w:spacing w:val="-8"/>
          <w:w w:val="105"/>
        </w:rPr>
        <w:t xml:space="preserve"> </w:t>
      </w:r>
      <w:r>
        <w:rPr>
          <w:color w:val="0F0F0F"/>
          <w:w w:val="105"/>
        </w:rPr>
        <w:t>activity</w:t>
      </w:r>
      <w:r>
        <w:rPr>
          <w:color w:val="0F0F0F"/>
          <w:spacing w:val="-13"/>
          <w:w w:val="105"/>
        </w:rPr>
        <w:t xml:space="preserve"> </w:t>
      </w:r>
      <w:r>
        <w:rPr>
          <w:color w:val="0F0F0F"/>
          <w:w w:val="105"/>
        </w:rPr>
        <w:t>(QIA).</w:t>
      </w:r>
      <w:r>
        <w:rPr>
          <w:color w:val="0F0F0F"/>
          <w:spacing w:val="18"/>
          <w:w w:val="105"/>
        </w:rPr>
        <w:t xml:space="preserve"> </w:t>
      </w:r>
      <w:r>
        <w:rPr>
          <w:color w:val="0F0F0F"/>
          <w:w w:val="105"/>
        </w:rPr>
        <w:t>Indeed,</w:t>
      </w:r>
      <w:r>
        <w:rPr>
          <w:color w:val="0F0F0F"/>
          <w:spacing w:val="-19"/>
          <w:w w:val="105"/>
        </w:rPr>
        <w:t xml:space="preserve"> </w:t>
      </w:r>
      <w:r>
        <w:rPr>
          <w:color w:val="0F0F0F"/>
          <w:w w:val="105"/>
        </w:rPr>
        <w:t>this</w:t>
      </w:r>
      <w:r>
        <w:rPr>
          <w:color w:val="0F0F0F"/>
          <w:spacing w:val="-19"/>
          <w:w w:val="105"/>
        </w:rPr>
        <w:t xml:space="preserve"> </w:t>
      </w:r>
      <w:r>
        <w:rPr>
          <w:color w:val="0F0F0F"/>
          <w:w w:val="105"/>
        </w:rPr>
        <w:t>will</w:t>
      </w:r>
      <w:r>
        <w:rPr>
          <w:color w:val="0F0F0F"/>
          <w:spacing w:val="-26"/>
          <w:w w:val="105"/>
        </w:rPr>
        <w:t xml:space="preserve"> </w:t>
      </w:r>
      <w:r>
        <w:rPr>
          <w:color w:val="0F0F0F"/>
          <w:w w:val="105"/>
        </w:rPr>
        <w:t>go</w:t>
      </w:r>
      <w:r>
        <w:rPr>
          <w:color w:val="0F0F0F"/>
          <w:spacing w:val="-15"/>
          <w:w w:val="105"/>
        </w:rPr>
        <w:t xml:space="preserve"> </w:t>
      </w:r>
      <w:r>
        <w:rPr>
          <w:color w:val="0F0F0F"/>
          <w:w w:val="105"/>
        </w:rPr>
        <w:t>far</w:t>
      </w:r>
      <w:r>
        <w:rPr>
          <w:color w:val="0F0F0F"/>
          <w:spacing w:val="-19"/>
          <w:w w:val="105"/>
        </w:rPr>
        <w:t xml:space="preserve"> </w:t>
      </w:r>
      <w:r>
        <w:rPr>
          <w:color w:val="0F0F0F"/>
          <w:w w:val="105"/>
        </w:rPr>
        <w:t>in</w:t>
      </w:r>
      <w:r>
        <w:rPr>
          <w:color w:val="0F0F0F"/>
          <w:spacing w:val="-16"/>
          <w:w w:val="105"/>
        </w:rPr>
        <w:t xml:space="preserve"> </w:t>
      </w:r>
      <w:r>
        <w:rPr>
          <w:color w:val="0F0F0F"/>
          <w:w w:val="105"/>
        </w:rPr>
        <w:t>ensuring</w:t>
      </w:r>
      <w:r>
        <w:rPr>
          <w:color w:val="0F0F0F"/>
          <w:spacing w:val="-15"/>
          <w:w w:val="105"/>
        </w:rPr>
        <w:t xml:space="preserve"> </w:t>
      </w:r>
      <w:r>
        <w:rPr>
          <w:color w:val="0F0F0F"/>
          <w:w w:val="105"/>
        </w:rPr>
        <w:t>proper</w:t>
      </w:r>
      <w:r>
        <w:rPr>
          <w:color w:val="0F0F0F"/>
          <w:spacing w:val="-15"/>
          <w:w w:val="105"/>
        </w:rPr>
        <w:t xml:space="preserve"> </w:t>
      </w:r>
      <w:r>
        <w:rPr>
          <w:color w:val="0F0F0F"/>
          <w:w w:val="105"/>
        </w:rPr>
        <w:t>incentives</w:t>
      </w:r>
      <w:r>
        <w:rPr>
          <w:color w:val="0F0F0F"/>
          <w:spacing w:val="-13"/>
          <w:w w:val="105"/>
        </w:rPr>
        <w:t xml:space="preserve"> </w:t>
      </w:r>
      <w:r>
        <w:rPr>
          <w:color w:val="0F0F0F"/>
          <w:w w:val="105"/>
        </w:rPr>
        <w:t>for</w:t>
      </w:r>
      <w:r>
        <w:rPr>
          <w:color w:val="0F0F0F"/>
          <w:spacing w:val="-18"/>
          <w:w w:val="105"/>
        </w:rPr>
        <w:t xml:space="preserve"> </w:t>
      </w:r>
      <w:r>
        <w:rPr>
          <w:color w:val="0F0F0F"/>
          <w:w w:val="105"/>
        </w:rPr>
        <w:t>the</w:t>
      </w:r>
      <w:r>
        <w:rPr>
          <w:color w:val="0F0F0F"/>
          <w:spacing w:val="-15"/>
          <w:w w:val="105"/>
        </w:rPr>
        <w:t xml:space="preserve"> </w:t>
      </w:r>
      <w:r>
        <w:rPr>
          <w:color w:val="0F0F0F"/>
          <w:w w:val="105"/>
        </w:rPr>
        <w:t>rigorous pursuit</w:t>
      </w:r>
      <w:r>
        <w:rPr>
          <w:color w:val="0F0F0F"/>
          <w:spacing w:val="-28"/>
          <w:w w:val="105"/>
        </w:rPr>
        <w:t xml:space="preserve"> </w:t>
      </w:r>
      <w:r>
        <w:rPr>
          <w:color w:val="0F0F0F"/>
          <w:w w:val="105"/>
        </w:rPr>
        <w:t>of</w:t>
      </w:r>
      <w:r>
        <w:rPr>
          <w:color w:val="0F0F0F"/>
          <w:spacing w:val="-30"/>
          <w:w w:val="105"/>
        </w:rPr>
        <w:t xml:space="preserve"> </w:t>
      </w:r>
      <w:r>
        <w:rPr>
          <w:color w:val="0F0F0F"/>
          <w:w w:val="105"/>
        </w:rPr>
        <w:t>fraud,</w:t>
      </w:r>
      <w:r>
        <w:rPr>
          <w:color w:val="0F0F0F"/>
          <w:spacing w:val="-25"/>
          <w:w w:val="105"/>
        </w:rPr>
        <w:t xml:space="preserve"> </w:t>
      </w:r>
      <w:r>
        <w:rPr>
          <w:color w:val="0F0F0F"/>
          <w:w w:val="105"/>
        </w:rPr>
        <w:t>waste</w:t>
      </w:r>
      <w:r>
        <w:rPr>
          <w:color w:val="0F0F0F"/>
          <w:spacing w:val="-25"/>
          <w:w w:val="105"/>
        </w:rPr>
        <w:t xml:space="preserve"> </w:t>
      </w:r>
      <w:r>
        <w:rPr>
          <w:color w:val="0F0F0F"/>
          <w:w w:val="105"/>
        </w:rPr>
        <w:t>and</w:t>
      </w:r>
      <w:r>
        <w:rPr>
          <w:color w:val="0F0F0F"/>
          <w:spacing w:val="-28"/>
          <w:w w:val="105"/>
        </w:rPr>
        <w:t xml:space="preserve"> </w:t>
      </w:r>
      <w:r>
        <w:rPr>
          <w:color w:val="0F0F0F"/>
          <w:w w:val="105"/>
        </w:rPr>
        <w:t>abuse</w:t>
      </w:r>
      <w:r>
        <w:rPr>
          <w:color w:val="0F0F0F"/>
          <w:spacing w:val="-28"/>
          <w:w w:val="105"/>
        </w:rPr>
        <w:t xml:space="preserve"> </w:t>
      </w:r>
      <w:r>
        <w:rPr>
          <w:color w:val="0F0F0F"/>
          <w:w w:val="105"/>
        </w:rPr>
        <w:t>(FWA).</w:t>
      </w:r>
    </w:p>
    <w:p w:rsidR="00306327" w:rsidRDefault="00306327">
      <w:pPr>
        <w:pStyle w:val="BodyText"/>
        <w:spacing w:before="10"/>
        <w:rPr>
          <w:sz w:val="23"/>
        </w:rPr>
      </w:pPr>
    </w:p>
    <w:p w:rsidR="00306327" w:rsidRDefault="00B14FDF">
      <w:pPr>
        <w:pStyle w:val="BodyText"/>
        <w:spacing w:line="280" w:lineRule="auto"/>
        <w:ind w:left="116" w:right="93" w:firstLine="2"/>
      </w:pPr>
      <w:r>
        <w:rPr>
          <w:color w:val="0F0F0F"/>
          <w:w w:val="105"/>
        </w:rPr>
        <w:t>CMS</w:t>
      </w:r>
      <w:r>
        <w:rPr>
          <w:color w:val="0F0F0F"/>
          <w:spacing w:val="-32"/>
          <w:w w:val="105"/>
        </w:rPr>
        <w:t xml:space="preserve"> </w:t>
      </w:r>
      <w:r>
        <w:rPr>
          <w:color w:val="0F0F0F"/>
          <w:w w:val="105"/>
        </w:rPr>
        <w:t>requests</w:t>
      </w:r>
      <w:r>
        <w:rPr>
          <w:color w:val="0F0F0F"/>
          <w:spacing w:val="-27"/>
          <w:w w:val="105"/>
        </w:rPr>
        <w:t xml:space="preserve"> </w:t>
      </w:r>
      <w:r>
        <w:rPr>
          <w:color w:val="0F0F0F"/>
          <w:w w:val="105"/>
        </w:rPr>
        <w:t>feedback</w:t>
      </w:r>
      <w:r>
        <w:rPr>
          <w:color w:val="0F0F0F"/>
          <w:spacing w:val="-29"/>
          <w:w w:val="105"/>
        </w:rPr>
        <w:t xml:space="preserve"> </w:t>
      </w:r>
      <w:r>
        <w:rPr>
          <w:color w:val="0F0F0F"/>
          <w:w w:val="105"/>
        </w:rPr>
        <w:t>on</w:t>
      </w:r>
      <w:r>
        <w:rPr>
          <w:color w:val="0F0F0F"/>
          <w:spacing w:val="-29"/>
          <w:w w:val="105"/>
        </w:rPr>
        <w:t xml:space="preserve"> </w:t>
      </w:r>
      <w:r>
        <w:rPr>
          <w:color w:val="0F0F0F"/>
          <w:w w:val="105"/>
        </w:rPr>
        <w:t>whether</w:t>
      </w:r>
      <w:r>
        <w:rPr>
          <w:color w:val="0F0F0F"/>
          <w:spacing w:val="-26"/>
          <w:w w:val="105"/>
        </w:rPr>
        <w:t xml:space="preserve"> </w:t>
      </w:r>
      <w:r>
        <w:rPr>
          <w:color w:val="0F0F0F"/>
          <w:w w:val="105"/>
        </w:rPr>
        <w:t>fraud</w:t>
      </w:r>
      <w:r>
        <w:rPr>
          <w:color w:val="0F0F0F"/>
          <w:spacing w:val="-31"/>
          <w:w w:val="105"/>
        </w:rPr>
        <w:t xml:space="preserve"> </w:t>
      </w:r>
      <w:r>
        <w:rPr>
          <w:color w:val="0F0F0F"/>
          <w:w w:val="105"/>
        </w:rPr>
        <w:t>reduction</w:t>
      </w:r>
      <w:r>
        <w:rPr>
          <w:color w:val="0F0F0F"/>
          <w:spacing w:val="-27"/>
          <w:w w:val="105"/>
        </w:rPr>
        <w:t xml:space="preserve"> </w:t>
      </w:r>
      <w:r>
        <w:rPr>
          <w:color w:val="0F0F0F"/>
          <w:w w:val="105"/>
        </w:rPr>
        <w:t>costs</w:t>
      </w:r>
      <w:r>
        <w:rPr>
          <w:color w:val="0F0F0F"/>
          <w:spacing w:val="-29"/>
          <w:w w:val="105"/>
        </w:rPr>
        <w:t xml:space="preserve"> </w:t>
      </w:r>
      <w:r>
        <w:rPr>
          <w:color w:val="0F0F0F"/>
          <w:w w:val="105"/>
        </w:rPr>
        <w:t>should</w:t>
      </w:r>
      <w:r>
        <w:rPr>
          <w:color w:val="0F0F0F"/>
          <w:spacing w:val="-27"/>
          <w:w w:val="105"/>
        </w:rPr>
        <w:t xml:space="preserve"> </w:t>
      </w:r>
      <w:r>
        <w:rPr>
          <w:color w:val="0F0F0F"/>
          <w:w w:val="105"/>
        </w:rPr>
        <w:t>be</w:t>
      </w:r>
      <w:r>
        <w:rPr>
          <w:color w:val="0F0F0F"/>
          <w:spacing w:val="-33"/>
          <w:w w:val="105"/>
        </w:rPr>
        <w:t xml:space="preserve"> </w:t>
      </w:r>
      <w:r>
        <w:rPr>
          <w:color w:val="0F0F0F"/>
          <w:w w:val="105"/>
        </w:rPr>
        <w:t>included</w:t>
      </w:r>
      <w:r>
        <w:rPr>
          <w:color w:val="0F0F0F"/>
          <w:spacing w:val="-27"/>
          <w:w w:val="105"/>
        </w:rPr>
        <w:t xml:space="preserve"> </w:t>
      </w:r>
      <w:r>
        <w:rPr>
          <w:color w:val="0F0F0F"/>
          <w:w w:val="105"/>
        </w:rPr>
        <w:t>as</w:t>
      </w:r>
      <w:r>
        <w:rPr>
          <w:color w:val="0F0F0F"/>
          <w:spacing w:val="-33"/>
          <w:w w:val="105"/>
        </w:rPr>
        <w:t xml:space="preserve"> </w:t>
      </w:r>
      <w:r>
        <w:rPr>
          <w:color w:val="0F0F0F"/>
          <w:w w:val="105"/>
        </w:rPr>
        <w:t>a</w:t>
      </w:r>
      <w:r>
        <w:rPr>
          <w:color w:val="0F0F0F"/>
          <w:spacing w:val="-32"/>
          <w:w w:val="105"/>
        </w:rPr>
        <w:t xml:space="preserve"> </w:t>
      </w:r>
      <w:r>
        <w:rPr>
          <w:color w:val="0F0F0F"/>
          <w:w w:val="105"/>
        </w:rPr>
        <w:t>QIA</w:t>
      </w:r>
      <w:r>
        <w:rPr>
          <w:color w:val="0F0F0F"/>
          <w:spacing w:val="-32"/>
          <w:w w:val="105"/>
        </w:rPr>
        <w:t xml:space="preserve"> </w:t>
      </w:r>
      <w:r>
        <w:rPr>
          <w:color w:val="0F0F0F"/>
          <w:w w:val="105"/>
        </w:rPr>
        <w:t>or</w:t>
      </w:r>
      <w:r>
        <w:rPr>
          <w:color w:val="0F0F0F"/>
          <w:spacing w:val="-32"/>
          <w:w w:val="105"/>
        </w:rPr>
        <w:t xml:space="preserve"> </w:t>
      </w:r>
      <w:r>
        <w:rPr>
          <w:color w:val="0F0F0F"/>
          <w:w w:val="105"/>
        </w:rPr>
        <w:t>have</w:t>
      </w:r>
      <w:r>
        <w:rPr>
          <w:color w:val="0F0F0F"/>
          <w:spacing w:val="-29"/>
          <w:w w:val="105"/>
        </w:rPr>
        <w:t xml:space="preserve"> </w:t>
      </w:r>
      <w:r>
        <w:rPr>
          <w:color w:val="0F0F0F"/>
          <w:w w:val="105"/>
        </w:rPr>
        <w:t>a</w:t>
      </w:r>
      <w:r>
        <w:rPr>
          <w:color w:val="0F0F0F"/>
          <w:spacing w:val="-31"/>
          <w:w w:val="105"/>
        </w:rPr>
        <w:t xml:space="preserve"> </w:t>
      </w:r>
      <w:r>
        <w:rPr>
          <w:color w:val="0F0F0F"/>
          <w:w w:val="105"/>
        </w:rPr>
        <w:t>separate MLR numerator. Without question, improper payments due to fraud, waste and abuse directly relates to quality and often and can significantly impac</w:t>
      </w:r>
      <w:r>
        <w:rPr>
          <w:color w:val="0F0F0F"/>
          <w:w w:val="105"/>
        </w:rPr>
        <w:t xml:space="preserve">t the patient. Calculating the costs associated with the prevention, detection and recovery of fraud waste and abuse is therefore appropriately accounted for </w:t>
      </w:r>
      <w:r>
        <w:rPr>
          <w:color w:val="0F0F0F"/>
        </w:rPr>
        <w:t>as</w:t>
      </w:r>
      <w:r>
        <w:rPr>
          <w:color w:val="0F0F0F"/>
          <w:spacing w:val="-27"/>
        </w:rPr>
        <w:t xml:space="preserve"> </w:t>
      </w:r>
      <w:r>
        <w:rPr>
          <w:color w:val="0F0F0F"/>
        </w:rPr>
        <w:t>a</w:t>
      </w:r>
      <w:r>
        <w:rPr>
          <w:color w:val="0F0F0F"/>
          <w:spacing w:val="-28"/>
        </w:rPr>
        <w:t xml:space="preserve"> </w:t>
      </w:r>
      <w:r>
        <w:rPr>
          <w:color w:val="0F0F0F"/>
        </w:rPr>
        <w:t>QIA.</w:t>
      </w:r>
    </w:p>
    <w:p w:rsidR="00306327" w:rsidRDefault="00306327">
      <w:pPr>
        <w:pStyle w:val="BodyText"/>
        <w:spacing w:before="5"/>
        <w:rPr>
          <w:sz w:val="23"/>
        </w:rPr>
      </w:pPr>
    </w:p>
    <w:p w:rsidR="00306327" w:rsidRDefault="00B14FDF">
      <w:pPr>
        <w:pStyle w:val="BodyText"/>
        <w:spacing w:line="280" w:lineRule="auto"/>
        <w:ind w:left="106" w:firstLine="7"/>
      </w:pPr>
      <w:r>
        <w:rPr>
          <w:color w:val="0F0F0F"/>
          <w:w w:val="105"/>
        </w:rPr>
        <w:t>CMS also solicits input on the types of activities that should be included or excluded from fraud reduction activities. HMS recommends that all costs associated with prevention, identification and recovery</w:t>
      </w:r>
      <w:r>
        <w:rPr>
          <w:color w:val="0F0F0F"/>
          <w:spacing w:val="-23"/>
          <w:w w:val="105"/>
        </w:rPr>
        <w:t xml:space="preserve"> </w:t>
      </w:r>
      <w:r>
        <w:rPr>
          <w:color w:val="0F0F0F"/>
          <w:w w:val="105"/>
        </w:rPr>
        <w:t>of</w:t>
      </w:r>
      <w:r>
        <w:rPr>
          <w:color w:val="0F0F0F"/>
          <w:spacing w:val="-24"/>
          <w:w w:val="105"/>
        </w:rPr>
        <w:t xml:space="preserve"> </w:t>
      </w:r>
      <w:r>
        <w:rPr>
          <w:color w:val="0F0F0F"/>
          <w:w w:val="105"/>
        </w:rPr>
        <w:t>fraud</w:t>
      </w:r>
      <w:r>
        <w:rPr>
          <w:color w:val="0F0F0F"/>
          <w:spacing w:val="-23"/>
          <w:w w:val="105"/>
        </w:rPr>
        <w:t xml:space="preserve"> </w:t>
      </w:r>
      <w:r>
        <w:rPr>
          <w:color w:val="0F0F0F"/>
          <w:w w:val="105"/>
        </w:rPr>
        <w:t>be</w:t>
      </w:r>
      <w:r>
        <w:rPr>
          <w:color w:val="0F0F0F"/>
          <w:spacing w:val="-25"/>
          <w:w w:val="105"/>
        </w:rPr>
        <w:t xml:space="preserve"> </w:t>
      </w:r>
      <w:r>
        <w:rPr>
          <w:color w:val="0F0F0F"/>
          <w:w w:val="105"/>
        </w:rPr>
        <w:t>an</w:t>
      </w:r>
      <w:r>
        <w:rPr>
          <w:color w:val="0F0F0F"/>
          <w:spacing w:val="-25"/>
          <w:w w:val="105"/>
        </w:rPr>
        <w:t xml:space="preserve"> </w:t>
      </w:r>
      <w:r>
        <w:rPr>
          <w:color w:val="0F0F0F"/>
          <w:w w:val="105"/>
        </w:rPr>
        <w:t>allowable</w:t>
      </w:r>
      <w:r>
        <w:rPr>
          <w:color w:val="0F0F0F"/>
          <w:spacing w:val="-16"/>
          <w:w w:val="105"/>
        </w:rPr>
        <w:t xml:space="preserve"> </w:t>
      </w:r>
      <w:r>
        <w:rPr>
          <w:color w:val="0F0F0F"/>
          <w:w w:val="105"/>
        </w:rPr>
        <w:t>expense.</w:t>
      </w:r>
      <w:r>
        <w:rPr>
          <w:color w:val="0F0F0F"/>
          <w:spacing w:val="-19"/>
          <w:w w:val="105"/>
        </w:rPr>
        <w:t xml:space="preserve"> </w:t>
      </w:r>
      <w:r>
        <w:rPr>
          <w:color w:val="0F0F0F"/>
          <w:w w:val="105"/>
        </w:rPr>
        <w:t>Such</w:t>
      </w:r>
      <w:r>
        <w:rPr>
          <w:color w:val="0F0F0F"/>
          <w:spacing w:val="-23"/>
          <w:w w:val="105"/>
        </w:rPr>
        <w:t xml:space="preserve"> </w:t>
      </w:r>
      <w:r>
        <w:rPr>
          <w:color w:val="0F0F0F"/>
          <w:w w:val="105"/>
        </w:rPr>
        <w:t>activities</w:t>
      </w:r>
      <w:r>
        <w:rPr>
          <w:color w:val="0F0F0F"/>
          <w:spacing w:val="-15"/>
          <w:w w:val="105"/>
        </w:rPr>
        <w:t xml:space="preserve"> </w:t>
      </w:r>
      <w:r>
        <w:rPr>
          <w:color w:val="0F0F0F"/>
          <w:w w:val="105"/>
        </w:rPr>
        <w:t>may</w:t>
      </w:r>
      <w:r>
        <w:rPr>
          <w:color w:val="0F0F0F"/>
          <w:spacing w:val="-23"/>
          <w:w w:val="105"/>
        </w:rPr>
        <w:t xml:space="preserve"> </w:t>
      </w:r>
      <w:r>
        <w:rPr>
          <w:color w:val="0F0F0F"/>
          <w:w w:val="105"/>
        </w:rPr>
        <w:t>include,</w:t>
      </w:r>
      <w:r>
        <w:rPr>
          <w:color w:val="0F0F0F"/>
          <w:spacing w:val="-23"/>
          <w:w w:val="105"/>
        </w:rPr>
        <w:t xml:space="preserve"> </w:t>
      </w:r>
      <w:r>
        <w:rPr>
          <w:color w:val="0F0F0F"/>
          <w:w w:val="105"/>
        </w:rPr>
        <w:t>but</w:t>
      </w:r>
      <w:r>
        <w:rPr>
          <w:color w:val="0F0F0F"/>
          <w:spacing w:val="-24"/>
          <w:w w:val="105"/>
        </w:rPr>
        <w:t xml:space="preserve"> </w:t>
      </w:r>
      <w:r>
        <w:rPr>
          <w:color w:val="0F0F0F"/>
          <w:w w:val="105"/>
        </w:rPr>
        <w:t>not</w:t>
      </w:r>
      <w:r>
        <w:rPr>
          <w:color w:val="0F0F0F"/>
          <w:spacing w:val="-23"/>
          <w:w w:val="105"/>
        </w:rPr>
        <w:t xml:space="preserve"> </w:t>
      </w:r>
      <w:r>
        <w:rPr>
          <w:color w:val="0F0F0F"/>
          <w:w w:val="105"/>
        </w:rPr>
        <w:t>limited</w:t>
      </w:r>
      <w:r>
        <w:rPr>
          <w:color w:val="0F0F0F"/>
          <w:spacing w:val="-22"/>
          <w:w w:val="105"/>
        </w:rPr>
        <w:t xml:space="preserve"> </w:t>
      </w:r>
      <w:r>
        <w:rPr>
          <w:color w:val="0F0F0F"/>
          <w:w w:val="105"/>
        </w:rPr>
        <w:t>to</w:t>
      </w:r>
      <w:r>
        <w:rPr>
          <w:color w:val="0F0F0F"/>
          <w:spacing w:val="-15"/>
          <w:w w:val="105"/>
        </w:rPr>
        <w:t xml:space="preserve"> </w:t>
      </w:r>
      <w:r>
        <w:rPr>
          <w:color w:val="0F0F0F"/>
          <w:w w:val="105"/>
        </w:rPr>
        <w:t>development and maintenance of fraud detection systems, data collection, matching, and mining; investigations; education</w:t>
      </w:r>
      <w:r>
        <w:rPr>
          <w:color w:val="0F0F0F"/>
          <w:spacing w:val="-22"/>
          <w:w w:val="105"/>
        </w:rPr>
        <w:t xml:space="preserve"> </w:t>
      </w:r>
      <w:r>
        <w:rPr>
          <w:color w:val="0F0F0F"/>
          <w:w w:val="105"/>
        </w:rPr>
        <w:t>and</w:t>
      </w:r>
      <w:r>
        <w:rPr>
          <w:color w:val="0F0F0F"/>
          <w:spacing w:val="-27"/>
          <w:w w:val="105"/>
        </w:rPr>
        <w:t xml:space="preserve"> </w:t>
      </w:r>
      <w:r>
        <w:rPr>
          <w:color w:val="0F0F0F"/>
          <w:w w:val="105"/>
        </w:rPr>
        <w:t>enforcement</w:t>
      </w:r>
      <w:r>
        <w:rPr>
          <w:color w:val="0F0F0F"/>
          <w:spacing w:val="-14"/>
          <w:w w:val="105"/>
        </w:rPr>
        <w:t xml:space="preserve"> </w:t>
      </w:r>
      <w:r>
        <w:rPr>
          <w:color w:val="0F0F0F"/>
          <w:w w:val="105"/>
        </w:rPr>
        <w:t>activities.</w:t>
      </w:r>
    </w:p>
    <w:p w:rsidR="00306327" w:rsidRDefault="00306327">
      <w:pPr>
        <w:spacing w:line="280" w:lineRule="auto"/>
        <w:sectPr w:rsidR="00306327">
          <w:headerReference w:type="default" r:id="rId6"/>
          <w:type w:val="continuous"/>
          <w:pgSz w:w="12240" w:h="15840"/>
          <w:pgMar w:top="1320" w:right="1320" w:bottom="280" w:left="1340" w:header="476" w:footer="720" w:gutter="0"/>
          <w:cols w:space="720"/>
        </w:sectPr>
      </w:pPr>
    </w:p>
    <w:p w:rsidR="00306327" w:rsidRDefault="00306327">
      <w:pPr>
        <w:pStyle w:val="BodyText"/>
      </w:pPr>
      <w:bookmarkStart w:id="0" w:name="_GoBack"/>
    </w:p>
    <w:p w:rsidR="00306327" w:rsidRDefault="00306327">
      <w:pPr>
        <w:pStyle w:val="BodyText"/>
      </w:pPr>
    </w:p>
    <w:p w:rsidR="00306327" w:rsidRDefault="00B14FDF">
      <w:pPr>
        <w:pStyle w:val="BodyText"/>
        <w:spacing w:line="302" w:lineRule="auto"/>
        <w:ind w:left="154" w:right="254" w:firstLine="6"/>
      </w:pPr>
      <w:r>
        <w:rPr>
          <w:color w:val="0E0E0E"/>
        </w:rPr>
        <w:t>HMS highly recommends that "fraud reduction activities" include the identification, prevention and recovery of non-fraudulent overpayments. In HMS'</w:t>
      </w:r>
      <w:r>
        <w:rPr>
          <w:color w:val="0E0E0E"/>
        </w:rPr>
        <w:t>s experience the vast majority of overpayments  are in fact errors verses intentional fraud. As a Medicare and Medicaid Recovery Audit Contractor we identify and recovery upon hundreds of millions of dollars annually due to waste. Examples of non­ fraudule</w:t>
      </w:r>
      <w:r>
        <w:rPr>
          <w:color w:val="0E0E0E"/>
        </w:rPr>
        <w:t>nt overpayments can include improper coding, duplicate billing or even overpayments for care that is not medically necessary or does not follow well established best practices or care guidelines.</w:t>
      </w:r>
    </w:p>
    <w:p w:rsidR="00306327" w:rsidRDefault="00B14FDF">
      <w:pPr>
        <w:pStyle w:val="BodyText"/>
        <w:spacing w:before="167" w:line="302" w:lineRule="auto"/>
        <w:ind w:left="140" w:right="182" w:firstLine="11"/>
      </w:pPr>
      <w:r>
        <w:rPr>
          <w:color w:val="0E0E0E"/>
        </w:rPr>
        <w:t>Fraud is often identified through the application of a broad</w:t>
      </w:r>
      <w:r>
        <w:rPr>
          <w:color w:val="0E0E0E"/>
        </w:rPr>
        <w:t xml:space="preserve">er set of overpayment tools over a long   period of time. For example, a provider billing error in of itself would constitute waste, but if patterned  may indicate abuse and fraud. Without rigorous program integrity efforts, fraud reduction activities are </w:t>
      </w:r>
      <w:r>
        <w:rPr>
          <w:color w:val="0E0E0E"/>
        </w:rPr>
        <w:t>minimal. Additionally, the same concerns CMS noted regarding fraud incentives and disincentives exist today as it relates to broader program integrity efforts. Specifically, there are few incentives to pursue non-fraudulent activities given the fact that r</w:t>
      </w:r>
      <w:r>
        <w:rPr>
          <w:color w:val="0E0E0E"/>
        </w:rPr>
        <w:t>ecoveries must be deducted from incurred claims. This financial disincentive coupled with strict provider network adequacy requirements, dramatically impairs program integrity activities. For these reasons we request that all program integrity activities b</w:t>
      </w:r>
      <w:r>
        <w:rPr>
          <w:color w:val="0E0E0E"/>
        </w:rPr>
        <w:t>e   included as a</w:t>
      </w:r>
      <w:r>
        <w:rPr>
          <w:color w:val="0E0E0E"/>
          <w:spacing w:val="-40"/>
        </w:rPr>
        <w:t xml:space="preserve"> </w:t>
      </w:r>
      <w:r>
        <w:rPr>
          <w:color w:val="0E0E0E"/>
        </w:rPr>
        <w:t>QIA.</w:t>
      </w:r>
    </w:p>
    <w:p w:rsidR="00306327" w:rsidRDefault="00B14FDF">
      <w:pPr>
        <w:pStyle w:val="BodyText"/>
        <w:spacing w:before="167" w:line="278" w:lineRule="auto"/>
        <w:ind w:left="135" w:right="498" w:firstLine="3"/>
        <w:jc w:val="both"/>
      </w:pPr>
      <w:r>
        <w:rPr>
          <w:color w:val="0E0E0E"/>
          <w:w w:val="105"/>
        </w:rPr>
        <w:t>In</w:t>
      </w:r>
      <w:r>
        <w:rPr>
          <w:color w:val="0E0E0E"/>
          <w:spacing w:val="-30"/>
          <w:w w:val="105"/>
        </w:rPr>
        <w:t xml:space="preserve"> </w:t>
      </w:r>
      <w:r>
        <w:rPr>
          <w:color w:val="0E0E0E"/>
          <w:w w:val="105"/>
        </w:rPr>
        <w:t>order</w:t>
      </w:r>
      <w:r>
        <w:rPr>
          <w:color w:val="0E0E0E"/>
          <w:spacing w:val="-24"/>
          <w:w w:val="105"/>
        </w:rPr>
        <w:t xml:space="preserve"> </w:t>
      </w:r>
      <w:r>
        <w:rPr>
          <w:color w:val="0E0E0E"/>
          <w:w w:val="105"/>
        </w:rPr>
        <w:t>to</w:t>
      </w:r>
      <w:r>
        <w:rPr>
          <w:color w:val="0E0E0E"/>
          <w:spacing w:val="-18"/>
          <w:w w:val="105"/>
        </w:rPr>
        <w:t xml:space="preserve"> </w:t>
      </w:r>
      <w:r>
        <w:rPr>
          <w:color w:val="0E0E0E"/>
          <w:w w:val="105"/>
        </w:rPr>
        <w:t>ensure</w:t>
      </w:r>
      <w:r>
        <w:rPr>
          <w:color w:val="0E0E0E"/>
          <w:spacing w:val="-24"/>
          <w:w w:val="105"/>
        </w:rPr>
        <w:t xml:space="preserve"> </w:t>
      </w:r>
      <w:r>
        <w:rPr>
          <w:color w:val="0E0E0E"/>
          <w:w w:val="105"/>
        </w:rPr>
        <w:t>proper</w:t>
      </w:r>
      <w:r>
        <w:rPr>
          <w:color w:val="0E0E0E"/>
          <w:spacing w:val="-21"/>
          <w:w w:val="105"/>
        </w:rPr>
        <w:t xml:space="preserve"> </w:t>
      </w:r>
      <w:r>
        <w:rPr>
          <w:color w:val="0E0E0E"/>
          <w:w w:val="105"/>
        </w:rPr>
        <w:t>fraud</w:t>
      </w:r>
      <w:r>
        <w:rPr>
          <w:color w:val="0E0E0E"/>
          <w:spacing w:val="-27"/>
          <w:w w:val="105"/>
        </w:rPr>
        <w:t xml:space="preserve"> </w:t>
      </w:r>
      <w:r>
        <w:rPr>
          <w:color w:val="0E0E0E"/>
          <w:w w:val="105"/>
        </w:rPr>
        <w:t>reduction</w:t>
      </w:r>
      <w:r>
        <w:rPr>
          <w:color w:val="0E0E0E"/>
          <w:spacing w:val="-23"/>
          <w:w w:val="105"/>
        </w:rPr>
        <w:t xml:space="preserve"> </w:t>
      </w:r>
      <w:r>
        <w:rPr>
          <w:color w:val="0E0E0E"/>
          <w:w w:val="105"/>
        </w:rPr>
        <w:t>and</w:t>
      </w:r>
      <w:r>
        <w:rPr>
          <w:color w:val="0E0E0E"/>
          <w:spacing w:val="-28"/>
          <w:w w:val="105"/>
        </w:rPr>
        <w:t xml:space="preserve"> </w:t>
      </w:r>
      <w:r>
        <w:rPr>
          <w:color w:val="0E0E0E"/>
          <w:w w:val="105"/>
        </w:rPr>
        <w:t>program</w:t>
      </w:r>
      <w:r>
        <w:rPr>
          <w:color w:val="0E0E0E"/>
          <w:spacing w:val="-19"/>
          <w:w w:val="105"/>
        </w:rPr>
        <w:t xml:space="preserve"> </w:t>
      </w:r>
      <w:r>
        <w:rPr>
          <w:color w:val="0E0E0E"/>
          <w:w w:val="105"/>
        </w:rPr>
        <w:t>integrity</w:t>
      </w:r>
      <w:r>
        <w:rPr>
          <w:color w:val="0E0E0E"/>
          <w:spacing w:val="-22"/>
          <w:w w:val="105"/>
        </w:rPr>
        <w:t xml:space="preserve"> </w:t>
      </w:r>
      <w:r>
        <w:rPr>
          <w:color w:val="0E0E0E"/>
          <w:w w:val="105"/>
        </w:rPr>
        <w:t>incentives,</w:t>
      </w:r>
      <w:r>
        <w:rPr>
          <w:color w:val="0E0E0E"/>
          <w:spacing w:val="-21"/>
          <w:w w:val="105"/>
        </w:rPr>
        <w:t xml:space="preserve"> </w:t>
      </w:r>
      <w:r>
        <w:rPr>
          <w:color w:val="0E0E0E"/>
          <w:w w:val="105"/>
        </w:rPr>
        <w:t>HMS</w:t>
      </w:r>
      <w:r>
        <w:rPr>
          <w:color w:val="0E0E0E"/>
          <w:spacing w:val="-26"/>
          <w:w w:val="105"/>
        </w:rPr>
        <w:t xml:space="preserve"> </w:t>
      </w:r>
      <w:r>
        <w:rPr>
          <w:color w:val="0E0E0E"/>
          <w:w w:val="105"/>
        </w:rPr>
        <w:t>also</w:t>
      </w:r>
      <w:r>
        <w:rPr>
          <w:color w:val="0E0E0E"/>
          <w:spacing w:val="-24"/>
          <w:w w:val="105"/>
        </w:rPr>
        <w:t xml:space="preserve"> </w:t>
      </w:r>
      <w:r>
        <w:rPr>
          <w:color w:val="0E0E0E"/>
          <w:w w:val="105"/>
        </w:rPr>
        <w:t>supports</w:t>
      </w:r>
      <w:r>
        <w:rPr>
          <w:color w:val="0E0E0E"/>
          <w:spacing w:val="-24"/>
          <w:w w:val="105"/>
        </w:rPr>
        <w:t xml:space="preserve"> </w:t>
      </w:r>
      <w:r>
        <w:rPr>
          <w:color w:val="0E0E0E"/>
          <w:w w:val="105"/>
        </w:rPr>
        <w:t>CMS' proposal</w:t>
      </w:r>
      <w:r>
        <w:rPr>
          <w:color w:val="0E0E0E"/>
          <w:spacing w:val="-17"/>
          <w:w w:val="105"/>
        </w:rPr>
        <w:t xml:space="preserve"> </w:t>
      </w:r>
      <w:r>
        <w:rPr>
          <w:color w:val="0E0E0E"/>
          <w:w w:val="105"/>
        </w:rPr>
        <w:t>to</w:t>
      </w:r>
      <w:r>
        <w:rPr>
          <w:color w:val="0E0E0E"/>
          <w:spacing w:val="-7"/>
          <w:w w:val="105"/>
        </w:rPr>
        <w:t xml:space="preserve"> </w:t>
      </w:r>
      <w:r>
        <w:rPr>
          <w:color w:val="0E0E0E"/>
          <w:w w:val="105"/>
        </w:rPr>
        <w:t>eliminate</w:t>
      </w:r>
      <w:r>
        <w:rPr>
          <w:color w:val="0E0E0E"/>
          <w:spacing w:val="-17"/>
          <w:w w:val="105"/>
        </w:rPr>
        <w:t xml:space="preserve"> </w:t>
      </w:r>
      <w:r>
        <w:rPr>
          <w:color w:val="0E0E0E"/>
          <w:w w:val="105"/>
        </w:rPr>
        <w:t>the</w:t>
      </w:r>
      <w:r>
        <w:rPr>
          <w:color w:val="0E0E0E"/>
          <w:spacing w:val="-17"/>
          <w:w w:val="105"/>
        </w:rPr>
        <w:t xml:space="preserve"> </w:t>
      </w:r>
      <w:r>
        <w:rPr>
          <w:color w:val="0E0E0E"/>
          <w:w w:val="105"/>
        </w:rPr>
        <w:t>exclusion</w:t>
      </w:r>
      <w:r>
        <w:rPr>
          <w:color w:val="0E0E0E"/>
          <w:spacing w:val="-18"/>
          <w:w w:val="105"/>
        </w:rPr>
        <w:t xml:space="preserve"> </w:t>
      </w:r>
      <w:r>
        <w:rPr>
          <w:color w:val="0E0E0E"/>
          <w:w w:val="105"/>
        </w:rPr>
        <w:t>that</w:t>
      </w:r>
      <w:r>
        <w:rPr>
          <w:color w:val="0E0E0E"/>
          <w:spacing w:val="-16"/>
          <w:w w:val="105"/>
        </w:rPr>
        <w:t xml:space="preserve"> </w:t>
      </w:r>
      <w:r>
        <w:rPr>
          <w:color w:val="0E0E0E"/>
          <w:w w:val="105"/>
        </w:rPr>
        <w:t>applies</w:t>
      </w:r>
      <w:r>
        <w:rPr>
          <w:color w:val="0E0E0E"/>
          <w:spacing w:val="-18"/>
          <w:w w:val="105"/>
        </w:rPr>
        <w:t xml:space="preserve"> </w:t>
      </w:r>
      <w:r>
        <w:rPr>
          <w:color w:val="0E0E0E"/>
          <w:w w:val="105"/>
        </w:rPr>
        <w:t>to activities</w:t>
      </w:r>
      <w:r>
        <w:rPr>
          <w:color w:val="0E0E0E"/>
          <w:spacing w:val="-16"/>
          <w:w w:val="105"/>
        </w:rPr>
        <w:t xml:space="preserve"> </w:t>
      </w:r>
      <w:r>
        <w:rPr>
          <w:color w:val="0E0E0E"/>
          <w:w w:val="105"/>
        </w:rPr>
        <w:t>that</w:t>
      </w:r>
      <w:r>
        <w:rPr>
          <w:color w:val="0E0E0E"/>
          <w:spacing w:val="-18"/>
          <w:w w:val="105"/>
        </w:rPr>
        <w:t xml:space="preserve"> </w:t>
      </w:r>
      <w:r>
        <w:rPr>
          <w:color w:val="0E0E0E"/>
          <w:w w:val="105"/>
        </w:rPr>
        <w:t>are</w:t>
      </w:r>
      <w:r>
        <w:rPr>
          <w:color w:val="0E0E0E"/>
          <w:spacing w:val="-20"/>
          <w:w w:val="105"/>
        </w:rPr>
        <w:t xml:space="preserve"> </w:t>
      </w:r>
      <w:r>
        <w:rPr>
          <w:color w:val="0E0E0E"/>
          <w:w w:val="105"/>
        </w:rPr>
        <w:t>designed</w:t>
      </w:r>
      <w:r>
        <w:rPr>
          <w:color w:val="0E0E0E"/>
          <w:spacing w:val="-12"/>
          <w:w w:val="105"/>
        </w:rPr>
        <w:t xml:space="preserve"> </w:t>
      </w:r>
      <w:r>
        <w:rPr>
          <w:color w:val="0E0E0E"/>
          <w:w w:val="105"/>
        </w:rPr>
        <w:t>primarily</w:t>
      </w:r>
      <w:r>
        <w:rPr>
          <w:color w:val="0E0E0E"/>
          <w:spacing w:val="-13"/>
          <w:w w:val="105"/>
        </w:rPr>
        <w:t xml:space="preserve"> </w:t>
      </w:r>
      <w:r>
        <w:rPr>
          <w:color w:val="0E0E0E"/>
          <w:w w:val="105"/>
        </w:rPr>
        <w:t>to</w:t>
      </w:r>
      <w:r>
        <w:rPr>
          <w:color w:val="0E0E0E"/>
          <w:spacing w:val="-11"/>
          <w:w w:val="105"/>
        </w:rPr>
        <w:t xml:space="preserve"> </w:t>
      </w:r>
      <w:r>
        <w:rPr>
          <w:color w:val="0E0E0E"/>
          <w:w w:val="105"/>
        </w:rPr>
        <w:t>control</w:t>
      </w:r>
      <w:r>
        <w:rPr>
          <w:color w:val="0E0E0E"/>
          <w:spacing w:val="-21"/>
          <w:w w:val="105"/>
        </w:rPr>
        <w:t xml:space="preserve"> </w:t>
      </w:r>
      <w:r>
        <w:rPr>
          <w:color w:val="0E0E0E"/>
          <w:w w:val="105"/>
        </w:rPr>
        <w:t xml:space="preserve">or contain costs from </w:t>
      </w:r>
      <w:r>
        <w:rPr>
          <w:rFonts w:ascii="Times New Roman" w:hAnsi="Times New Roman"/>
          <w:color w:val="0E0E0E"/>
          <w:w w:val="105"/>
          <w:sz w:val="19"/>
        </w:rPr>
        <w:t xml:space="preserve">§§ </w:t>
      </w:r>
      <w:r>
        <w:rPr>
          <w:color w:val="0E0E0E"/>
          <w:w w:val="105"/>
        </w:rPr>
        <w:t>422.2430(b)(l) and</w:t>
      </w:r>
      <w:r>
        <w:rPr>
          <w:color w:val="0E0E0E"/>
          <w:spacing w:val="-36"/>
          <w:w w:val="105"/>
        </w:rPr>
        <w:t xml:space="preserve"> </w:t>
      </w:r>
      <w:r>
        <w:rPr>
          <w:color w:val="0E0E0E"/>
          <w:w w:val="105"/>
        </w:rPr>
        <w:t>423.2430(b)(l).</w:t>
      </w:r>
    </w:p>
    <w:p w:rsidR="00306327" w:rsidRDefault="00306327">
      <w:pPr>
        <w:pStyle w:val="BodyText"/>
        <w:rPr>
          <w:sz w:val="24"/>
        </w:rPr>
      </w:pPr>
    </w:p>
    <w:p w:rsidR="00306327" w:rsidRDefault="00B14FDF">
      <w:pPr>
        <w:pStyle w:val="BodyText"/>
        <w:spacing w:line="280" w:lineRule="auto"/>
        <w:ind w:left="130" w:right="178" w:firstLine="6"/>
      </w:pPr>
      <w:r>
        <w:rPr>
          <w:color w:val="0E0E0E"/>
        </w:rPr>
        <w:t>Ultimately, when MA and Part D sponsors prevent FWA, and recover on inappropriately paid claims, overall costs of providing coverage to MA and Part D enrollees is lowered. Fewer improper payments are reflected in their s</w:t>
      </w:r>
      <w:r>
        <w:rPr>
          <w:color w:val="0E0E0E"/>
        </w:rPr>
        <w:t xml:space="preserve">ubsequent cost projections, resulting in lower payments to MA organizations and Part  D sponsors out of the Medicare trust funds. These savings can then improve beneficiary experiences by way of lower premiums or even enhanced </w:t>
      </w:r>
      <w:r>
        <w:rPr>
          <w:color w:val="0E0E0E"/>
          <w:spacing w:val="12"/>
        </w:rPr>
        <w:t xml:space="preserve"> </w:t>
      </w:r>
      <w:r>
        <w:rPr>
          <w:color w:val="0E0E0E"/>
        </w:rPr>
        <w:t>benefits.</w:t>
      </w:r>
    </w:p>
    <w:p w:rsidR="00306327" w:rsidRDefault="00306327">
      <w:pPr>
        <w:pStyle w:val="BodyText"/>
        <w:spacing w:before="4"/>
        <w:rPr>
          <w:sz w:val="23"/>
        </w:rPr>
      </w:pPr>
    </w:p>
    <w:p w:rsidR="00306327" w:rsidRDefault="00B14FDF">
      <w:pPr>
        <w:pStyle w:val="BodyText"/>
        <w:spacing w:line="280" w:lineRule="auto"/>
        <w:ind w:left="121" w:right="243" w:firstLine="10"/>
      </w:pPr>
      <w:r>
        <w:rPr>
          <w:color w:val="0E0E0E"/>
        </w:rPr>
        <w:t xml:space="preserve">We appreciate your consideration of our comments on this important proposed rule and look forward    to ongoing collaboration on these issues. If you have any questions concerning these comments, please contact me directly at </w:t>
      </w:r>
      <w:hyperlink r:id="rId7">
        <w:r>
          <w:rPr>
            <w:color w:val="0E0E0E"/>
          </w:rPr>
          <w:t>kballantine@hms.com</w:t>
        </w:r>
      </w:hyperlink>
      <w:r>
        <w:rPr>
          <w:color w:val="0E0E0E"/>
        </w:rPr>
        <w:t xml:space="preserve"> or (202) </w:t>
      </w:r>
      <w:r>
        <w:rPr>
          <w:color w:val="0E0E0E"/>
          <w:spacing w:val="39"/>
        </w:rPr>
        <w:t xml:space="preserve"> </w:t>
      </w:r>
      <w:r>
        <w:rPr>
          <w:color w:val="0E0E0E"/>
        </w:rPr>
        <w:t>448-2024.</w:t>
      </w:r>
    </w:p>
    <w:p w:rsidR="00306327" w:rsidRDefault="00306327">
      <w:pPr>
        <w:pStyle w:val="BodyText"/>
        <w:spacing w:before="4"/>
        <w:rPr>
          <w:sz w:val="23"/>
        </w:rPr>
      </w:pPr>
    </w:p>
    <w:p w:rsidR="00306327" w:rsidRDefault="00B14FDF">
      <w:pPr>
        <w:pStyle w:val="BodyText"/>
        <w:spacing w:after="5"/>
        <w:ind w:left="115"/>
      </w:pPr>
      <w:r>
        <w:rPr>
          <w:color w:val="0E0E0E"/>
        </w:rPr>
        <w:t>Sincerely,</w:t>
      </w:r>
    </w:p>
    <w:p w:rsidR="00306327" w:rsidRDefault="00B14FDF">
      <w:pPr>
        <w:pStyle w:val="BodyText"/>
        <w:ind w:left="139"/>
      </w:pPr>
      <w:r>
        <w:rPr>
          <w:noProof/>
        </w:rPr>
        <w:drawing>
          <wp:inline distT="0" distB="0" distL="0" distR="0">
            <wp:extent cx="2682239" cy="548639"/>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682239" cy="548639"/>
                    </a:xfrm>
                    <a:prstGeom prst="rect">
                      <a:avLst/>
                    </a:prstGeom>
                  </pic:spPr>
                </pic:pic>
              </a:graphicData>
            </a:graphic>
          </wp:inline>
        </w:drawing>
      </w:r>
    </w:p>
    <w:p w:rsidR="00306327" w:rsidRDefault="00B14FDF">
      <w:pPr>
        <w:pStyle w:val="BodyText"/>
        <w:ind w:left="115"/>
      </w:pPr>
      <w:r>
        <w:rPr>
          <w:color w:val="0E0E0E"/>
        </w:rPr>
        <w:t>Kristen Ballantine</w:t>
      </w:r>
    </w:p>
    <w:p w:rsidR="00306327" w:rsidRDefault="00B14FDF">
      <w:pPr>
        <w:pStyle w:val="BodyText"/>
        <w:spacing w:before="39"/>
        <w:ind w:left="114"/>
      </w:pPr>
      <w:r>
        <w:rPr>
          <w:color w:val="0E0E0E"/>
        </w:rPr>
        <w:t>Vice President, Government Relations</w:t>
      </w:r>
      <w:bookmarkEnd w:id="0"/>
    </w:p>
    <w:sectPr w:rsidR="00306327">
      <w:pgSz w:w="12240" w:h="15840"/>
      <w:pgMar w:top="1320" w:right="1320" w:bottom="280" w:left="1320" w:header="476"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B14FDF">
      <w:r>
        <w:separator/>
      </w:r>
    </w:p>
  </w:endnote>
  <w:endnote w:type="continuationSeparator" w:id="0">
    <w:p w:rsidR="00000000" w:rsidRDefault="00B14F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B14FDF">
      <w:r>
        <w:separator/>
      </w:r>
    </w:p>
  </w:footnote>
  <w:footnote w:type="continuationSeparator" w:id="0">
    <w:p w:rsidR="00000000" w:rsidRDefault="00B14FD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6327" w:rsidRDefault="00B14FDF">
    <w:pPr>
      <w:pStyle w:val="BodyText"/>
      <w:spacing w:line="14" w:lineRule="auto"/>
    </w:pPr>
    <w:r>
      <w:pict>
        <v:shapetype id="_x0000_t202" coordsize="21600,21600" o:spt="202" path="m,l,21600r21600,l21600,xe">
          <v:stroke joinstyle="miter"/>
          <v:path gradientshapeok="t" o:connecttype="rect"/>
        </v:shapetype>
        <v:shape id="_x0000_s1025" type="#_x0000_t202" style="position:absolute;margin-left:71.9pt;margin-top:20.7pt;width:90.25pt;height:46.3pt;z-index:-251658752;mso-position-horizontal-relative:page;mso-position-vertical-relative:page" filled="f" stroked="f">
          <v:textbox inset="0,0,0,0">
            <w:txbxContent>
              <w:p w:rsidR="00306327" w:rsidRDefault="00B14FDF">
                <w:pPr>
                  <w:spacing w:line="906" w:lineRule="exact"/>
                  <w:ind w:left="20"/>
                  <w:rPr>
                    <w:rFonts w:ascii="Times New Roman"/>
                    <w:b/>
                    <w:sz w:val="80"/>
                  </w:rPr>
                </w:pPr>
                <w:r>
                  <w:rPr>
                    <w:rFonts w:ascii="Times New Roman"/>
                    <w:b/>
                    <w:color w:val="E84823"/>
                    <w:w w:val="85"/>
                    <w:sz w:val="80"/>
                  </w:rPr>
                  <w:t>O</w:t>
                </w:r>
                <w:r>
                  <w:rPr>
                    <w:rFonts w:ascii="Times New Roman"/>
                    <w:b/>
                    <w:color w:val="3F485B"/>
                    <w:w w:val="85"/>
                    <w:sz w:val="80"/>
                  </w:rPr>
                  <w:t>hms</w:t>
                </w:r>
              </w:p>
            </w:txbxContent>
          </v:textbox>
          <w10:wrap anchorx="page" anchory="page"/>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306327"/>
    <w:rsid w:val="00306327"/>
    <w:rsid w:val="00B14F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A04307BA-F3B1-4CFC-9304-D65DB387E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webSettings" Target="webSettings.xml"/><Relationship Id="rId7" Type="http://schemas.openxmlformats.org/officeDocument/2006/relationships/hyperlink" Target="mailto:kballantine@hms.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749</Words>
  <Characters>4340</Characters>
  <Application>Microsoft Office Word</Application>
  <DocSecurity>0</DocSecurity>
  <Lines>84</Lines>
  <Paragraphs>18</Paragraphs>
  <ScaleCrop>false</ScaleCrop>
  <Company>CMS</Company>
  <LinksUpToDate>false</LinksUpToDate>
  <CharactersWithSpaces>5085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Arthur Pignotti</cp:lastModifiedBy>
  <cp:revision>2</cp:revision>
  <dcterms:created xsi:type="dcterms:W3CDTF">2018-06-14T21:30:00Z</dcterms:created>
  <dcterms:modified xsi:type="dcterms:W3CDTF">2018-06-15T02:06:00Z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2018-01-16T00:00:00Z</vt:filetime>
  </property>
  <property fmtid="{D5CDD505-2E9C-101B-9397-08002B2CF9AE}" pid="3" name="Creator">
    <vt:lpwstr>Canon iR-ADV C5235  PDF</vt:lpwstr>
  </property>
  <property fmtid="{D5CDD505-2E9C-101B-9397-08002B2CF9AE}" pid="4" name="LastSaved">
    <vt:filetime>2018-06-15T00:00:00Z</vt:filetime>
  </property>
</Properties>
</file>