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36D" w:rsidRDefault="0049436B">
      <w:pPr>
        <w:pStyle w:val="BodyText"/>
        <w:ind w:left="4568"/>
        <w:rPr>
          <w:rFonts w:ascii="Times New Roman"/>
          <w:sz w:val="20"/>
        </w:rPr>
      </w:pPr>
      <w:r>
        <w:rPr>
          <w:rFonts w:ascii="Times New Roman"/>
          <w:noProof/>
          <w:sz w:val="20"/>
        </w:rPr>
        <w:drawing>
          <wp:inline distT="0" distB="0" distL="0" distR="0">
            <wp:extent cx="2098057" cy="40843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098057" cy="408431"/>
                    </a:xfrm>
                    <a:prstGeom prst="rect">
                      <a:avLst/>
                    </a:prstGeom>
                  </pic:spPr>
                </pic:pic>
              </a:graphicData>
            </a:graphic>
          </wp:inline>
        </w:drawing>
      </w:r>
    </w:p>
    <w:p w:rsidR="0084136D" w:rsidRDefault="0084136D">
      <w:pPr>
        <w:pStyle w:val="BodyText"/>
        <w:rPr>
          <w:rFonts w:ascii="Times New Roman"/>
          <w:sz w:val="20"/>
        </w:rPr>
      </w:pPr>
    </w:p>
    <w:p w:rsidR="0084136D" w:rsidRDefault="0084136D">
      <w:pPr>
        <w:pStyle w:val="BodyText"/>
        <w:spacing w:before="10"/>
        <w:rPr>
          <w:rFonts w:ascii="Times New Roman"/>
        </w:rPr>
      </w:pPr>
    </w:p>
    <w:p w:rsidR="0084136D" w:rsidRDefault="0049436B">
      <w:pPr>
        <w:pStyle w:val="BodyText"/>
        <w:spacing w:before="101"/>
        <w:ind w:left="100"/>
      </w:pPr>
      <w:r>
        <w:rPr>
          <w:w w:val="105"/>
        </w:rPr>
        <w:t>January 16, 2018</w:t>
      </w:r>
    </w:p>
    <w:p w:rsidR="0084136D" w:rsidRDefault="0084136D">
      <w:pPr>
        <w:pStyle w:val="BodyText"/>
        <w:spacing w:before="3"/>
        <w:rPr>
          <w:sz w:val="29"/>
        </w:rPr>
      </w:pPr>
    </w:p>
    <w:p w:rsidR="0084136D" w:rsidRDefault="0049436B">
      <w:pPr>
        <w:pStyle w:val="BodyText"/>
        <w:spacing w:line="268" w:lineRule="auto"/>
        <w:ind w:left="100" w:right="6821"/>
      </w:pPr>
      <w:r>
        <w:rPr>
          <w:w w:val="110"/>
        </w:rPr>
        <w:t>Seema Verma Administrator</w:t>
      </w:r>
    </w:p>
    <w:p w:rsidR="0084136D" w:rsidRDefault="0049436B">
      <w:pPr>
        <w:pStyle w:val="BodyText"/>
        <w:spacing w:line="266" w:lineRule="auto"/>
        <w:ind w:left="100" w:right="4570"/>
      </w:pPr>
      <w:r>
        <w:rPr>
          <w:w w:val="110"/>
        </w:rPr>
        <w:t>Centers for Medicare and Medicaid Services Hubert H. Humphrey Building</w:t>
      </w:r>
    </w:p>
    <w:p w:rsidR="0084136D" w:rsidRDefault="0049436B">
      <w:pPr>
        <w:pStyle w:val="BodyText"/>
        <w:spacing w:before="3" w:line="266" w:lineRule="auto"/>
        <w:ind w:left="100" w:right="6683"/>
      </w:pPr>
      <w:r>
        <w:rPr>
          <w:w w:val="110"/>
        </w:rPr>
        <w:t>200 Independence Ave., SW Room 445-G</w:t>
      </w:r>
    </w:p>
    <w:p w:rsidR="0084136D" w:rsidRDefault="0049436B">
      <w:pPr>
        <w:pStyle w:val="BodyText"/>
        <w:spacing w:before="1"/>
        <w:ind w:left="100"/>
      </w:pPr>
      <w:r>
        <w:rPr>
          <w:w w:val="110"/>
        </w:rPr>
        <w:t>Washington, DC 20201</w:t>
      </w:r>
    </w:p>
    <w:p w:rsidR="0084136D" w:rsidRDefault="0084136D">
      <w:pPr>
        <w:pStyle w:val="BodyText"/>
        <w:spacing w:before="3"/>
        <w:rPr>
          <w:sz w:val="29"/>
        </w:rPr>
      </w:pPr>
    </w:p>
    <w:p w:rsidR="0084136D" w:rsidRDefault="0049436B">
      <w:pPr>
        <w:pStyle w:val="BodyText"/>
        <w:ind w:left="100"/>
      </w:pPr>
      <w:r>
        <w:rPr>
          <w:w w:val="110"/>
        </w:rPr>
        <w:t xml:space="preserve">Submitted electronically via </w:t>
      </w:r>
      <w:hyperlink r:id="rId8">
        <w:r>
          <w:rPr>
            <w:color w:val="0000FF"/>
            <w:w w:val="110"/>
            <w:u w:val="single" w:color="0000FF"/>
          </w:rPr>
          <w:t>www.regulations.gov</w:t>
        </w:r>
      </w:hyperlink>
    </w:p>
    <w:p w:rsidR="0084136D" w:rsidRDefault="0084136D">
      <w:pPr>
        <w:pStyle w:val="BodyText"/>
        <w:spacing w:before="5"/>
        <w:rPr>
          <w:sz w:val="20"/>
        </w:rPr>
      </w:pPr>
    </w:p>
    <w:p w:rsidR="0084136D" w:rsidRDefault="0049436B">
      <w:pPr>
        <w:pStyle w:val="Heading1"/>
        <w:tabs>
          <w:tab w:val="left" w:pos="1540"/>
        </w:tabs>
        <w:spacing w:before="98" w:line="252" w:lineRule="auto"/>
        <w:ind w:left="1540" w:right="115" w:hanging="1440"/>
      </w:pPr>
      <w:r>
        <w:rPr>
          <w:w w:val="105"/>
        </w:rPr>
        <w:t>RE:</w:t>
      </w:r>
      <w:r>
        <w:rPr>
          <w:w w:val="105"/>
        </w:rPr>
        <w:tab/>
        <w:t>CMS-4182-P,</w:t>
      </w:r>
      <w:r>
        <w:rPr>
          <w:spacing w:val="-15"/>
          <w:w w:val="105"/>
        </w:rPr>
        <w:t xml:space="preserve"> </w:t>
      </w:r>
      <w:r>
        <w:rPr>
          <w:w w:val="105"/>
        </w:rPr>
        <w:t>Medicare</w:t>
      </w:r>
      <w:r>
        <w:rPr>
          <w:spacing w:val="-13"/>
          <w:w w:val="105"/>
        </w:rPr>
        <w:t xml:space="preserve"> </w:t>
      </w:r>
      <w:r>
        <w:rPr>
          <w:w w:val="105"/>
        </w:rPr>
        <w:t>Program;</w:t>
      </w:r>
      <w:r>
        <w:rPr>
          <w:spacing w:val="-14"/>
          <w:w w:val="105"/>
        </w:rPr>
        <w:t xml:space="preserve"> </w:t>
      </w:r>
      <w:r>
        <w:rPr>
          <w:w w:val="105"/>
        </w:rPr>
        <w:t>Contract</w:t>
      </w:r>
      <w:r>
        <w:rPr>
          <w:spacing w:val="-14"/>
          <w:w w:val="105"/>
        </w:rPr>
        <w:t xml:space="preserve"> </w:t>
      </w:r>
      <w:r>
        <w:rPr>
          <w:w w:val="105"/>
        </w:rPr>
        <w:t>Year</w:t>
      </w:r>
      <w:r>
        <w:rPr>
          <w:spacing w:val="-15"/>
          <w:w w:val="105"/>
        </w:rPr>
        <w:t xml:space="preserve"> </w:t>
      </w:r>
      <w:r>
        <w:rPr>
          <w:w w:val="105"/>
        </w:rPr>
        <w:t>2019</w:t>
      </w:r>
      <w:r>
        <w:rPr>
          <w:spacing w:val="-15"/>
          <w:w w:val="105"/>
        </w:rPr>
        <w:t xml:space="preserve"> </w:t>
      </w:r>
      <w:r>
        <w:rPr>
          <w:w w:val="105"/>
        </w:rPr>
        <w:t>Policy</w:t>
      </w:r>
      <w:r>
        <w:rPr>
          <w:spacing w:val="-13"/>
          <w:w w:val="105"/>
        </w:rPr>
        <w:t xml:space="preserve"> </w:t>
      </w:r>
      <w:r>
        <w:rPr>
          <w:w w:val="105"/>
        </w:rPr>
        <w:t>and</w:t>
      </w:r>
      <w:r>
        <w:rPr>
          <w:spacing w:val="-15"/>
          <w:w w:val="105"/>
        </w:rPr>
        <w:t xml:space="preserve"> </w:t>
      </w:r>
      <w:r>
        <w:rPr>
          <w:w w:val="105"/>
        </w:rPr>
        <w:t>Technical</w:t>
      </w:r>
      <w:r>
        <w:rPr>
          <w:w w:val="106"/>
        </w:rPr>
        <w:t xml:space="preserve"> </w:t>
      </w:r>
      <w:r>
        <w:rPr>
          <w:w w:val="105"/>
        </w:rPr>
        <w:t>Changes to the Medicare Advantage, Medicare Cost Plan, Medicare</w:t>
      </w:r>
      <w:r>
        <w:rPr>
          <w:spacing w:val="-35"/>
          <w:w w:val="105"/>
        </w:rPr>
        <w:t xml:space="preserve"> </w:t>
      </w:r>
      <w:r>
        <w:rPr>
          <w:w w:val="105"/>
        </w:rPr>
        <w:t>Fee-for- Service, the Medicare Prescription Drug Benefit Programs, and the PACE Program</w:t>
      </w:r>
    </w:p>
    <w:p w:rsidR="0084136D" w:rsidRDefault="0084136D">
      <w:pPr>
        <w:pStyle w:val="BodyText"/>
        <w:rPr>
          <w:rFonts w:ascii="Calibri"/>
          <w:b/>
          <w:sz w:val="35"/>
        </w:rPr>
      </w:pPr>
    </w:p>
    <w:p w:rsidR="0084136D" w:rsidRDefault="0049436B">
      <w:pPr>
        <w:pStyle w:val="BodyText"/>
        <w:ind w:left="100"/>
      </w:pPr>
      <w:r>
        <w:rPr>
          <w:w w:val="110"/>
        </w:rPr>
        <w:t>Dear Adm</w:t>
      </w:r>
      <w:r>
        <w:rPr>
          <w:w w:val="110"/>
        </w:rPr>
        <w:t>inistrator Verma:</w:t>
      </w:r>
    </w:p>
    <w:p w:rsidR="0084136D" w:rsidRDefault="0084136D">
      <w:pPr>
        <w:pStyle w:val="BodyText"/>
        <w:spacing w:before="6"/>
        <w:rPr>
          <w:sz w:val="29"/>
        </w:rPr>
      </w:pPr>
    </w:p>
    <w:p w:rsidR="0084136D" w:rsidRDefault="0049436B">
      <w:pPr>
        <w:pStyle w:val="BodyText"/>
        <w:spacing w:line="261" w:lineRule="auto"/>
        <w:ind w:left="100" w:right="115"/>
      </w:pPr>
      <w:r>
        <w:rPr>
          <w:w w:val="110"/>
        </w:rPr>
        <w:t xml:space="preserve">Smith &amp; Nephew, Inc. (SNI) appreciates the opportunity to submit comments on the Centers for Medicare &amp; </w:t>
      </w:r>
      <w:r>
        <w:rPr>
          <w:rFonts w:ascii="Calibri" w:hAnsi="Calibri"/>
          <w:w w:val="110"/>
        </w:rPr>
        <w:t xml:space="preserve">Medicaid Services’ (CMS) </w:t>
      </w:r>
      <w:r>
        <w:rPr>
          <w:w w:val="110"/>
        </w:rPr>
        <w:t>above-referenced proposed rule and request for information, in particular on policies and regulations related to the Part D prescription drug program.</w:t>
      </w:r>
    </w:p>
    <w:p w:rsidR="0084136D" w:rsidRDefault="0084136D">
      <w:pPr>
        <w:pStyle w:val="BodyText"/>
        <w:spacing w:before="4"/>
        <w:rPr>
          <w:sz w:val="27"/>
        </w:rPr>
      </w:pPr>
    </w:p>
    <w:p w:rsidR="0084136D" w:rsidRDefault="0049436B">
      <w:pPr>
        <w:pStyle w:val="BodyText"/>
        <w:spacing w:line="266" w:lineRule="auto"/>
        <w:ind w:left="100" w:right="225"/>
      </w:pPr>
      <w:r>
        <w:rPr>
          <w:w w:val="110"/>
        </w:rPr>
        <w:t>SNI is a global medical technology business dedicated to helping healthcare professionals improve people</w:t>
      </w:r>
      <w:r>
        <w:rPr>
          <w:w w:val="110"/>
        </w:rPr>
        <w:t>'s lives. With leadership positions in Orthopedic Reconstruction, Advanced Wound Management, Sports Medicine and Trauma &amp; Extremities, SNI has around 16,000 employees and a presence in more than 100 countries.</w:t>
      </w:r>
    </w:p>
    <w:p w:rsidR="0084136D" w:rsidRDefault="0084136D">
      <w:pPr>
        <w:pStyle w:val="BodyText"/>
        <w:spacing w:before="7"/>
        <w:rPr>
          <w:sz w:val="26"/>
        </w:rPr>
      </w:pPr>
    </w:p>
    <w:p w:rsidR="0084136D" w:rsidRDefault="0049436B">
      <w:pPr>
        <w:pStyle w:val="Heading1"/>
      </w:pPr>
      <w:r>
        <w:t>Executive Summary</w:t>
      </w:r>
    </w:p>
    <w:p w:rsidR="0084136D" w:rsidRDefault="0049436B">
      <w:pPr>
        <w:pStyle w:val="BodyText"/>
        <w:spacing w:before="11" w:line="261" w:lineRule="auto"/>
        <w:ind w:left="100" w:right="225"/>
      </w:pPr>
      <w:r>
        <w:rPr>
          <w:w w:val="110"/>
        </w:rPr>
        <w:t>We support CMS efforts to improve the Part D program</w:t>
      </w:r>
      <w:r>
        <w:rPr>
          <w:rFonts w:ascii="Calibri" w:hAnsi="Calibri"/>
          <w:w w:val="110"/>
        </w:rPr>
        <w:t xml:space="preserve">’s </w:t>
      </w:r>
      <w:r>
        <w:rPr>
          <w:w w:val="110"/>
        </w:rPr>
        <w:t>quality, accessibility, and affordability. Soliciting public input on improving patient access to prescription drugs by lowering out of- pocket costs at the point of sale is timely given the large incr</w:t>
      </w:r>
      <w:r>
        <w:rPr>
          <w:w w:val="110"/>
        </w:rPr>
        <w:t>eases in direct or indirect remuneration (DIR), mostly through manufacturer rebates.</w:t>
      </w:r>
    </w:p>
    <w:p w:rsidR="0084136D" w:rsidRDefault="0084136D">
      <w:pPr>
        <w:pStyle w:val="BodyText"/>
        <w:spacing w:before="1"/>
        <w:rPr>
          <w:sz w:val="27"/>
        </w:rPr>
      </w:pPr>
    </w:p>
    <w:p w:rsidR="0084136D" w:rsidRDefault="0049436B">
      <w:pPr>
        <w:pStyle w:val="BodyText"/>
        <w:ind w:left="100"/>
      </w:pPr>
      <w:r>
        <w:rPr>
          <w:w w:val="110"/>
        </w:rPr>
        <w:t>Our specific recommendation is as follows:</w:t>
      </w:r>
    </w:p>
    <w:p w:rsidR="0084136D" w:rsidRDefault="0084136D">
      <w:pPr>
        <w:sectPr w:rsidR="0084136D">
          <w:type w:val="continuous"/>
          <w:pgSz w:w="12240" w:h="15840"/>
          <w:pgMar w:top="1440" w:right="1340" w:bottom="280" w:left="1340" w:header="720" w:footer="720" w:gutter="0"/>
          <w:cols w:space="720"/>
        </w:sectPr>
      </w:pPr>
    </w:p>
    <w:p w:rsidR="0084136D" w:rsidRDefault="0084136D">
      <w:pPr>
        <w:pStyle w:val="BodyText"/>
        <w:spacing w:before="5"/>
        <w:rPr>
          <w:sz w:val="15"/>
        </w:rPr>
      </w:pPr>
    </w:p>
    <w:p w:rsidR="0084136D" w:rsidRDefault="0049436B">
      <w:pPr>
        <w:pStyle w:val="ListParagraph"/>
        <w:numPr>
          <w:ilvl w:val="0"/>
          <w:numId w:val="1"/>
        </w:numPr>
        <w:tabs>
          <w:tab w:val="left" w:pos="1180"/>
          <w:tab w:val="left" w:pos="1181"/>
        </w:tabs>
        <w:spacing w:before="100" w:line="264" w:lineRule="auto"/>
        <w:rPr>
          <w:sz w:val="24"/>
        </w:rPr>
      </w:pPr>
      <w:r>
        <w:rPr>
          <w:w w:val="110"/>
          <w:sz w:val="24"/>
        </w:rPr>
        <w:t>Develop a proposed rule to require Part D sponsors to be transparent and to apply price concessions through DIR at t</w:t>
      </w:r>
      <w:r>
        <w:rPr>
          <w:w w:val="110"/>
          <w:sz w:val="24"/>
        </w:rPr>
        <w:t xml:space="preserve">he point of sale, as the benefits of lowering out-of- pocket expenses far outweigh modest decreases in future monthly </w:t>
      </w:r>
      <w:r>
        <w:rPr>
          <w:spacing w:val="17"/>
          <w:w w:val="110"/>
          <w:sz w:val="24"/>
        </w:rPr>
        <w:t xml:space="preserve"> </w:t>
      </w:r>
      <w:r>
        <w:rPr>
          <w:w w:val="110"/>
          <w:sz w:val="24"/>
        </w:rPr>
        <w:t>premiums.</w:t>
      </w:r>
    </w:p>
    <w:p w:rsidR="0084136D" w:rsidRDefault="0049436B">
      <w:pPr>
        <w:pStyle w:val="ListParagraph"/>
        <w:numPr>
          <w:ilvl w:val="0"/>
          <w:numId w:val="1"/>
        </w:numPr>
        <w:tabs>
          <w:tab w:val="left" w:pos="1180"/>
          <w:tab w:val="left" w:pos="1181"/>
        </w:tabs>
        <w:spacing w:before="237" w:line="261" w:lineRule="auto"/>
        <w:ind w:right="644"/>
        <w:rPr>
          <w:sz w:val="24"/>
        </w:rPr>
      </w:pPr>
      <w:r>
        <w:rPr>
          <w:w w:val="110"/>
          <w:sz w:val="24"/>
        </w:rPr>
        <w:t>Ensure that all appropriate direct or indirect remuneration fees are being used to benefit the patient by lowering their out of</w:t>
      </w:r>
      <w:r>
        <w:rPr>
          <w:w w:val="110"/>
          <w:sz w:val="24"/>
        </w:rPr>
        <w:t xml:space="preserve"> pocket</w:t>
      </w:r>
      <w:r>
        <w:rPr>
          <w:spacing w:val="53"/>
          <w:w w:val="110"/>
          <w:sz w:val="24"/>
        </w:rPr>
        <w:t xml:space="preserve"> </w:t>
      </w:r>
      <w:r>
        <w:rPr>
          <w:w w:val="110"/>
          <w:sz w:val="24"/>
        </w:rPr>
        <w:t>costs.</w:t>
      </w:r>
    </w:p>
    <w:p w:rsidR="0084136D" w:rsidRDefault="0084136D">
      <w:pPr>
        <w:pStyle w:val="BodyText"/>
        <w:rPr>
          <w:sz w:val="30"/>
        </w:rPr>
      </w:pPr>
    </w:p>
    <w:p w:rsidR="0084136D" w:rsidRDefault="0084136D">
      <w:pPr>
        <w:pStyle w:val="BodyText"/>
        <w:spacing w:before="6"/>
        <w:rPr>
          <w:sz w:val="23"/>
        </w:rPr>
      </w:pPr>
    </w:p>
    <w:p w:rsidR="0084136D" w:rsidRDefault="0049436B">
      <w:pPr>
        <w:pStyle w:val="Heading1"/>
        <w:spacing w:before="1"/>
        <w:ind w:left="1566"/>
      </w:pPr>
      <w:r>
        <w:t>SMITH &amp; NEPHEW, INC. COMMENTS AND  RECOMMENDATIONS</w:t>
      </w:r>
    </w:p>
    <w:p w:rsidR="0084136D" w:rsidRDefault="0084136D">
      <w:pPr>
        <w:pStyle w:val="BodyText"/>
        <w:spacing w:before="2"/>
        <w:rPr>
          <w:rFonts w:ascii="Calibri"/>
          <w:b/>
          <w:sz w:val="26"/>
        </w:rPr>
      </w:pPr>
    </w:p>
    <w:p w:rsidR="0084136D" w:rsidRDefault="0049436B">
      <w:pPr>
        <w:spacing w:line="252" w:lineRule="auto"/>
        <w:ind w:left="100" w:right="458"/>
        <w:rPr>
          <w:rFonts w:ascii="Calibri"/>
          <w:b/>
          <w:sz w:val="24"/>
        </w:rPr>
      </w:pPr>
      <w:r>
        <w:rPr>
          <w:rFonts w:ascii="Calibri"/>
          <w:b/>
          <w:sz w:val="24"/>
        </w:rPr>
        <w:t>Request for Information Regarding the Application of Manufacturer Rebates and Pharmacy Price Concessions to Drug Prices at the Point of Sale</w:t>
      </w:r>
    </w:p>
    <w:p w:rsidR="0084136D" w:rsidRDefault="0084136D">
      <w:pPr>
        <w:pStyle w:val="BodyText"/>
        <w:spacing w:before="2"/>
        <w:rPr>
          <w:rFonts w:ascii="Calibri"/>
          <w:b/>
          <w:sz w:val="25"/>
        </w:rPr>
      </w:pPr>
    </w:p>
    <w:p w:rsidR="0084136D" w:rsidRDefault="0049436B">
      <w:pPr>
        <w:pStyle w:val="BodyText"/>
        <w:spacing w:line="266" w:lineRule="auto"/>
        <w:ind w:left="100"/>
      </w:pPr>
      <w:r>
        <w:rPr>
          <w:w w:val="110"/>
        </w:rPr>
        <w:t>As a medical technology business with two wound biologic agents available to Medicare beneficiaries through the Part D program, we see firsthand how direct or indirect remuneration (DIR) costs have increased about twice as fast as total Part D drug costs.</w:t>
      </w:r>
    </w:p>
    <w:p w:rsidR="0084136D" w:rsidRDefault="0084136D">
      <w:pPr>
        <w:pStyle w:val="BodyText"/>
        <w:spacing w:before="4"/>
        <w:rPr>
          <w:sz w:val="26"/>
        </w:rPr>
      </w:pPr>
    </w:p>
    <w:p w:rsidR="0084136D" w:rsidRDefault="0049436B">
      <w:pPr>
        <w:pStyle w:val="BodyText"/>
        <w:spacing w:line="259" w:lineRule="auto"/>
        <w:ind w:left="100" w:right="115"/>
      </w:pPr>
      <w:r>
        <w:rPr>
          <w:w w:val="110"/>
        </w:rPr>
        <w:t xml:space="preserve">We appreciate </w:t>
      </w:r>
      <w:r>
        <w:rPr>
          <w:rFonts w:ascii="Calibri" w:hAnsi="Calibri"/>
          <w:w w:val="110"/>
        </w:rPr>
        <w:t xml:space="preserve">CMS’s </w:t>
      </w:r>
      <w:r>
        <w:rPr>
          <w:w w:val="110"/>
        </w:rPr>
        <w:t>request for information (RFI) on considerations related to requiring sponsors to improve DIR transparency to include a minimum percentage of manufacturer rebates and</w:t>
      </w:r>
      <w:r>
        <w:rPr>
          <w:spacing w:val="-17"/>
          <w:w w:val="110"/>
        </w:rPr>
        <w:t xml:space="preserve"> </w:t>
      </w:r>
      <w:r>
        <w:rPr>
          <w:w w:val="110"/>
        </w:rPr>
        <w:t>all</w:t>
      </w:r>
      <w:r>
        <w:rPr>
          <w:spacing w:val="-19"/>
          <w:w w:val="110"/>
        </w:rPr>
        <w:t xml:space="preserve"> </w:t>
      </w:r>
      <w:r>
        <w:rPr>
          <w:w w:val="110"/>
        </w:rPr>
        <w:t>pharmacy</w:t>
      </w:r>
      <w:r>
        <w:rPr>
          <w:spacing w:val="-17"/>
          <w:w w:val="110"/>
        </w:rPr>
        <w:t xml:space="preserve"> </w:t>
      </w:r>
      <w:r>
        <w:rPr>
          <w:w w:val="110"/>
        </w:rPr>
        <w:t>price</w:t>
      </w:r>
      <w:r>
        <w:rPr>
          <w:spacing w:val="-18"/>
          <w:w w:val="110"/>
        </w:rPr>
        <w:t xml:space="preserve"> </w:t>
      </w:r>
      <w:r>
        <w:rPr>
          <w:w w:val="110"/>
        </w:rPr>
        <w:t>concessions</w:t>
      </w:r>
      <w:r>
        <w:rPr>
          <w:spacing w:val="-17"/>
          <w:w w:val="110"/>
        </w:rPr>
        <w:t xml:space="preserve"> </w:t>
      </w:r>
      <w:r>
        <w:rPr>
          <w:w w:val="110"/>
        </w:rPr>
        <w:t>received</w:t>
      </w:r>
      <w:r>
        <w:rPr>
          <w:spacing w:val="-17"/>
          <w:w w:val="110"/>
        </w:rPr>
        <w:t xml:space="preserve"> </w:t>
      </w:r>
      <w:r>
        <w:rPr>
          <w:w w:val="110"/>
        </w:rPr>
        <w:t>for</w:t>
      </w:r>
      <w:r>
        <w:rPr>
          <w:spacing w:val="-21"/>
          <w:w w:val="110"/>
        </w:rPr>
        <w:t xml:space="preserve"> </w:t>
      </w:r>
      <w:r>
        <w:rPr>
          <w:w w:val="110"/>
        </w:rPr>
        <w:t>a</w:t>
      </w:r>
      <w:r>
        <w:rPr>
          <w:spacing w:val="-18"/>
          <w:w w:val="110"/>
        </w:rPr>
        <w:t xml:space="preserve"> </w:t>
      </w:r>
      <w:r>
        <w:rPr>
          <w:w w:val="110"/>
        </w:rPr>
        <w:t>co</w:t>
      </w:r>
      <w:r>
        <w:rPr>
          <w:rFonts w:ascii="Calibri" w:hAnsi="Calibri"/>
          <w:w w:val="110"/>
        </w:rPr>
        <w:t>vered</w:t>
      </w:r>
      <w:r>
        <w:rPr>
          <w:rFonts w:ascii="Calibri" w:hAnsi="Calibri"/>
          <w:spacing w:val="-17"/>
          <w:w w:val="110"/>
        </w:rPr>
        <w:t xml:space="preserve"> </w:t>
      </w:r>
      <w:r>
        <w:rPr>
          <w:rFonts w:ascii="Calibri" w:hAnsi="Calibri"/>
          <w:w w:val="110"/>
        </w:rPr>
        <w:t>Part</w:t>
      </w:r>
      <w:r>
        <w:rPr>
          <w:rFonts w:ascii="Calibri" w:hAnsi="Calibri"/>
          <w:spacing w:val="-17"/>
          <w:w w:val="110"/>
        </w:rPr>
        <w:t xml:space="preserve"> </w:t>
      </w:r>
      <w:r>
        <w:rPr>
          <w:rFonts w:ascii="Calibri" w:hAnsi="Calibri"/>
          <w:w w:val="110"/>
        </w:rPr>
        <w:t>D</w:t>
      </w:r>
      <w:r>
        <w:rPr>
          <w:rFonts w:ascii="Calibri" w:hAnsi="Calibri"/>
          <w:spacing w:val="-19"/>
          <w:w w:val="110"/>
        </w:rPr>
        <w:t xml:space="preserve"> </w:t>
      </w:r>
      <w:r>
        <w:rPr>
          <w:rFonts w:ascii="Calibri" w:hAnsi="Calibri"/>
          <w:w w:val="110"/>
        </w:rPr>
        <w:t>drug</w:t>
      </w:r>
      <w:r>
        <w:rPr>
          <w:rFonts w:ascii="Calibri" w:hAnsi="Calibri"/>
          <w:spacing w:val="-18"/>
          <w:w w:val="110"/>
        </w:rPr>
        <w:t xml:space="preserve"> </w:t>
      </w:r>
      <w:r>
        <w:rPr>
          <w:rFonts w:ascii="Calibri" w:hAnsi="Calibri"/>
          <w:w w:val="110"/>
        </w:rPr>
        <w:t>in</w:t>
      </w:r>
      <w:r>
        <w:rPr>
          <w:rFonts w:ascii="Calibri" w:hAnsi="Calibri"/>
          <w:spacing w:val="-18"/>
          <w:w w:val="110"/>
        </w:rPr>
        <w:t xml:space="preserve"> </w:t>
      </w:r>
      <w:r>
        <w:rPr>
          <w:rFonts w:ascii="Calibri" w:hAnsi="Calibri"/>
          <w:w w:val="110"/>
        </w:rPr>
        <w:t>the</w:t>
      </w:r>
      <w:r>
        <w:rPr>
          <w:rFonts w:ascii="Calibri" w:hAnsi="Calibri"/>
          <w:spacing w:val="-17"/>
          <w:w w:val="110"/>
        </w:rPr>
        <w:t xml:space="preserve"> </w:t>
      </w:r>
      <w:r>
        <w:rPr>
          <w:rFonts w:ascii="Calibri" w:hAnsi="Calibri"/>
          <w:w w:val="110"/>
        </w:rPr>
        <w:t>drug’s</w:t>
      </w:r>
      <w:r>
        <w:rPr>
          <w:rFonts w:ascii="Calibri" w:hAnsi="Calibri"/>
          <w:spacing w:val="-16"/>
          <w:w w:val="110"/>
        </w:rPr>
        <w:t xml:space="preserve"> </w:t>
      </w:r>
      <w:r>
        <w:rPr>
          <w:w w:val="110"/>
        </w:rPr>
        <w:t xml:space="preserve">negotiated price at the point of sale. We strongly support this requirement, as it would increase prescription drug access by reducing the out-of-pocket expenses incurred by </w:t>
      </w:r>
      <w:r>
        <w:rPr>
          <w:spacing w:val="42"/>
          <w:w w:val="110"/>
        </w:rPr>
        <w:t xml:space="preserve"> </w:t>
      </w:r>
      <w:r>
        <w:rPr>
          <w:w w:val="110"/>
        </w:rPr>
        <w:t>beneficiaries.</w:t>
      </w:r>
    </w:p>
    <w:p w:rsidR="0084136D" w:rsidRDefault="0084136D">
      <w:pPr>
        <w:pStyle w:val="BodyText"/>
        <w:spacing w:before="4"/>
        <w:rPr>
          <w:sz w:val="27"/>
        </w:rPr>
      </w:pPr>
    </w:p>
    <w:p w:rsidR="0084136D" w:rsidRDefault="0049436B">
      <w:pPr>
        <w:pStyle w:val="BodyText"/>
        <w:spacing w:line="266" w:lineRule="auto"/>
        <w:ind w:left="100" w:right="130"/>
        <w:jc w:val="both"/>
      </w:pPr>
      <w:r>
        <w:rPr>
          <w:w w:val="110"/>
        </w:rPr>
        <w:t>With respect to the two biologic agents manufactured b</w:t>
      </w:r>
      <w:r>
        <w:rPr>
          <w:w w:val="110"/>
        </w:rPr>
        <w:t>y our company, we note steep declines in fill rates when the out-of-pocket costs reach $70-$80. This can be burdensome and discourage patients from filling their prescription.</w:t>
      </w:r>
    </w:p>
    <w:p w:rsidR="0084136D" w:rsidRDefault="0084136D">
      <w:pPr>
        <w:pStyle w:val="BodyText"/>
        <w:spacing w:before="3"/>
        <w:rPr>
          <w:sz w:val="26"/>
        </w:rPr>
      </w:pPr>
    </w:p>
    <w:p w:rsidR="0084136D" w:rsidRDefault="0049436B">
      <w:pPr>
        <w:pStyle w:val="BodyText"/>
        <w:spacing w:before="1" w:line="259" w:lineRule="auto"/>
        <w:ind w:left="100" w:right="116"/>
      </w:pPr>
      <w:r>
        <w:rPr>
          <w:w w:val="110"/>
        </w:rPr>
        <w:t>While</w:t>
      </w:r>
      <w:r>
        <w:rPr>
          <w:spacing w:val="-16"/>
          <w:w w:val="110"/>
        </w:rPr>
        <w:t xml:space="preserve"> </w:t>
      </w:r>
      <w:r>
        <w:rPr>
          <w:w w:val="110"/>
        </w:rPr>
        <w:t>we</w:t>
      </w:r>
      <w:r>
        <w:rPr>
          <w:spacing w:val="-17"/>
          <w:w w:val="110"/>
        </w:rPr>
        <w:t xml:space="preserve"> </w:t>
      </w:r>
      <w:r>
        <w:rPr>
          <w:w w:val="110"/>
        </w:rPr>
        <w:t>appreciate</w:t>
      </w:r>
      <w:r>
        <w:rPr>
          <w:spacing w:val="-18"/>
          <w:w w:val="110"/>
        </w:rPr>
        <w:t xml:space="preserve"> </w:t>
      </w:r>
      <w:r>
        <w:rPr>
          <w:w w:val="110"/>
        </w:rPr>
        <w:t>DIR</w:t>
      </w:r>
      <w:r>
        <w:rPr>
          <w:spacing w:val="-14"/>
          <w:w w:val="110"/>
        </w:rPr>
        <w:t xml:space="preserve"> </w:t>
      </w:r>
      <w:r>
        <w:rPr>
          <w:w w:val="110"/>
        </w:rPr>
        <w:t>is</w:t>
      </w:r>
      <w:r>
        <w:rPr>
          <w:spacing w:val="-15"/>
          <w:w w:val="110"/>
        </w:rPr>
        <w:t xml:space="preserve"> </w:t>
      </w:r>
      <w:r>
        <w:rPr>
          <w:w w:val="110"/>
        </w:rPr>
        <w:t>intended</w:t>
      </w:r>
      <w:r>
        <w:rPr>
          <w:spacing w:val="-18"/>
          <w:w w:val="110"/>
        </w:rPr>
        <w:t xml:space="preserve"> </w:t>
      </w:r>
      <w:r>
        <w:rPr>
          <w:w w:val="110"/>
        </w:rPr>
        <w:t>to</w:t>
      </w:r>
      <w:r>
        <w:rPr>
          <w:spacing w:val="-16"/>
          <w:w w:val="110"/>
        </w:rPr>
        <w:t xml:space="preserve"> </w:t>
      </w:r>
      <w:r>
        <w:rPr>
          <w:rFonts w:ascii="Calibri" w:hAnsi="Calibri"/>
          <w:w w:val="110"/>
        </w:rPr>
        <w:t>lower</w:t>
      </w:r>
      <w:r>
        <w:rPr>
          <w:rFonts w:ascii="Calibri" w:hAnsi="Calibri"/>
          <w:spacing w:val="-16"/>
          <w:w w:val="110"/>
        </w:rPr>
        <w:t xml:space="preserve"> </w:t>
      </w:r>
      <w:r>
        <w:rPr>
          <w:rFonts w:ascii="Calibri" w:hAnsi="Calibri"/>
          <w:w w:val="110"/>
        </w:rPr>
        <w:t>a</w:t>
      </w:r>
      <w:r>
        <w:rPr>
          <w:rFonts w:ascii="Calibri" w:hAnsi="Calibri"/>
          <w:spacing w:val="-18"/>
          <w:w w:val="110"/>
        </w:rPr>
        <w:t xml:space="preserve"> </w:t>
      </w:r>
      <w:r>
        <w:rPr>
          <w:rFonts w:ascii="Calibri" w:hAnsi="Calibri"/>
          <w:w w:val="110"/>
        </w:rPr>
        <w:t>beneficiary’s</w:t>
      </w:r>
      <w:r>
        <w:rPr>
          <w:rFonts w:ascii="Calibri" w:hAnsi="Calibri"/>
          <w:spacing w:val="-14"/>
          <w:w w:val="110"/>
        </w:rPr>
        <w:t xml:space="preserve"> </w:t>
      </w:r>
      <w:r>
        <w:rPr>
          <w:w w:val="110"/>
        </w:rPr>
        <w:t>future</w:t>
      </w:r>
      <w:r>
        <w:rPr>
          <w:spacing w:val="-16"/>
          <w:w w:val="110"/>
        </w:rPr>
        <w:t xml:space="preserve"> </w:t>
      </w:r>
      <w:r>
        <w:rPr>
          <w:w w:val="110"/>
        </w:rPr>
        <w:t>monthly</w:t>
      </w:r>
      <w:r>
        <w:rPr>
          <w:spacing w:val="-17"/>
          <w:w w:val="110"/>
        </w:rPr>
        <w:t xml:space="preserve"> </w:t>
      </w:r>
      <w:r>
        <w:rPr>
          <w:w w:val="110"/>
        </w:rPr>
        <w:t>pre</w:t>
      </w:r>
      <w:r>
        <w:rPr>
          <w:w w:val="110"/>
        </w:rPr>
        <w:t>miums,</w:t>
      </w:r>
      <w:r>
        <w:rPr>
          <w:spacing w:val="-16"/>
          <w:w w:val="110"/>
        </w:rPr>
        <w:t xml:space="preserve"> </w:t>
      </w:r>
      <w:r>
        <w:rPr>
          <w:w w:val="110"/>
        </w:rPr>
        <w:t>the</w:t>
      </w:r>
      <w:r>
        <w:rPr>
          <w:spacing w:val="-18"/>
          <w:w w:val="110"/>
        </w:rPr>
        <w:t xml:space="preserve"> </w:t>
      </w:r>
      <w:r>
        <w:rPr>
          <w:w w:val="110"/>
        </w:rPr>
        <w:t>out</w:t>
      </w:r>
      <w:r>
        <w:rPr>
          <w:spacing w:val="-17"/>
          <w:w w:val="110"/>
        </w:rPr>
        <w:t xml:space="preserve"> </w:t>
      </w:r>
      <w:r>
        <w:rPr>
          <w:w w:val="110"/>
        </w:rPr>
        <w:t>of pocket</w:t>
      </w:r>
      <w:r>
        <w:rPr>
          <w:spacing w:val="-23"/>
          <w:w w:val="110"/>
        </w:rPr>
        <w:t xml:space="preserve"> </w:t>
      </w:r>
      <w:r>
        <w:rPr>
          <w:w w:val="110"/>
        </w:rPr>
        <w:t>expenditure</w:t>
      </w:r>
      <w:r>
        <w:rPr>
          <w:spacing w:val="-23"/>
          <w:w w:val="110"/>
        </w:rPr>
        <w:t xml:space="preserve"> </w:t>
      </w:r>
      <w:r>
        <w:rPr>
          <w:w w:val="110"/>
        </w:rPr>
        <w:t>for</w:t>
      </w:r>
      <w:r>
        <w:rPr>
          <w:spacing w:val="-23"/>
          <w:w w:val="110"/>
        </w:rPr>
        <w:t xml:space="preserve"> </w:t>
      </w:r>
      <w:r>
        <w:rPr>
          <w:w w:val="110"/>
        </w:rPr>
        <w:t>a</w:t>
      </w:r>
      <w:r>
        <w:rPr>
          <w:spacing w:val="-25"/>
          <w:w w:val="110"/>
        </w:rPr>
        <w:t xml:space="preserve"> </w:t>
      </w:r>
      <w:r>
        <w:rPr>
          <w:w w:val="110"/>
        </w:rPr>
        <w:t>given</w:t>
      </w:r>
      <w:r>
        <w:rPr>
          <w:spacing w:val="-23"/>
          <w:w w:val="110"/>
        </w:rPr>
        <w:t xml:space="preserve"> </w:t>
      </w:r>
      <w:r>
        <w:rPr>
          <w:w w:val="110"/>
        </w:rPr>
        <w:t>prescription,</w:t>
      </w:r>
      <w:r>
        <w:rPr>
          <w:spacing w:val="-21"/>
          <w:w w:val="110"/>
        </w:rPr>
        <w:t xml:space="preserve"> </w:t>
      </w:r>
      <w:r>
        <w:rPr>
          <w:w w:val="110"/>
        </w:rPr>
        <w:t>depending</w:t>
      </w:r>
      <w:r>
        <w:rPr>
          <w:spacing w:val="-24"/>
          <w:w w:val="110"/>
        </w:rPr>
        <w:t xml:space="preserve"> </w:t>
      </w:r>
      <w:r>
        <w:rPr>
          <w:w w:val="110"/>
        </w:rPr>
        <w:t>on</w:t>
      </w:r>
      <w:r>
        <w:rPr>
          <w:spacing w:val="-21"/>
          <w:w w:val="110"/>
        </w:rPr>
        <w:t xml:space="preserve"> </w:t>
      </w:r>
      <w:r>
        <w:rPr>
          <w:rFonts w:ascii="Calibri" w:hAnsi="Calibri"/>
          <w:w w:val="110"/>
        </w:rPr>
        <w:t>its</w:t>
      </w:r>
      <w:r>
        <w:rPr>
          <w:rFonts w:ascii="Calibri" w:hAnsi="Calibri"/>
          <w:spacing w:val="-22"/>
          <w:w w:val="110"/>
        </w:rPr>
        <w:t xml:space="preserve"> </w:t>
      </w:r>
      <w:r>
        <w:rPr>
          <w:rFonts w:ascii="Calibri" w:hAnsi="Calibri"/>
          <w:w w:val="110"/>
        </w:rPr>
        <w:t>placement</w:t>
      </w:r>
      <w:r>
        <w:rPr>
          <w:rFonts w:ascii="Calibri" w:hAnsi="Calibri"/>
          <w:spacing w:val="-22"/>
          <w:w w:val="110"/>
        </w:rPr>
        <w:t xml:space="preserve"> </w:t>
      </w:r>
      <w:r>
        <w:rPr>
          <w:rFonts w:ascii="Calibri" w:hAnsi="Calibri"/>
          <w:w w:val="110"/>
        </w:rPr>
        <w:t>on</w:t>
      </w:r>
      <w:r>
        <w:rPr>
          <w:rFonts w:ascii="Calibri" w:hAnsi="Calibri"/>
          <w:spacing w:val="-22"/>
          <w:w w:val="110"/>
        </w:rPr>
        <w:t xml:space="preserve"> </w:t>
      </w:r>
      <w:r>
        <w:rPr>
          <w:rFonts w:ascii="Calibri" w:hAnsi="Calibri"/>
          <w:w w:val="110"/>
        </w:rPr>
        <w:t>a</w:t>
      </w:r>
      <w:r>
        <w:rPr>
          <w:rFonts w:ascii="Calibri" w:hAnsi="Calibri"/>
          <w:spacing w:val="-23"/>
          <w:w w:val="110"/>
        </w:rPr>
        <w:t xml:space="preserve"> </w:t>
      </w:r>
      <w:r>
        <w:rPr>
          <w:rFonts w:ascii="Calibri" w:hAnsi="Calibri"/>
          <w:w w:val="110"/>
        </w:rPr>
        <w:t>Plan’s</w:t>
      </w:r>
      <w:r>
        <w:rPr>
          <w:rFonts w:ascii="Calibri" w:hAnsi="Calibri"/>
          <w:spacing w:val="-22"/>
          <w:w w:val="110"/>
        </w:rPr>
        <w:t xml:space="preserve"> </w:t>
      </w:r>
      <w:r>
        <w:rPr>
          <w:rFonts w:ascii="Calibri" w:hAnsi="Calibri"/>
          <w:w w:val="110"/>
        </w:rPr>
        <w:t>formulary</w:t>
      </w:r>
      <w:r>
        <w:rPr>
          <w:w w:val="110"/>
        </w:rPr>
        <w:t>, may greatly exceed the monthly premium. This effectively bars access to the prescription when the patient needs it most. Reducing the expense would ease the cost sharing and improve access.</w:t>
      </w:r>
    </w:p>
    <w:p w:rsidR="0084136D" w:rsidRDefault="0084136D">
      <w:pPr>
        <w:pStyle w:val="BodyText"/>
        <w:spacing w:before="2"/>
        <w:rPr>
          <w:sz w:val="27"/>
        </w:rPr>
      </w:pPr>
    </w:p>
    <w:p w:rsidR="0084136D" w:rsidRDefault="0049436B">
      <w:pPr>
        <w:pStyle w:val="Heading1"/>
      </w:pPr>
      <w:r>
        <w:rPr>
          <w:w w:val="105"/>
        </w:rPr>
        <w:t>Coverage Gap Implications</w:t>
      </w:r>
    </w:p>
    <w:p w:rsidR="0084136D" w:rsidRDefault="0049436B">
      <w:pPr>
        <w:pStyle w:val="BodyText"/>
        <w:spacing w:before="14" w:line="256" w:lineRule="auto"/>
        <w:ind w:left="100" w:right="120"/>
      </w:pPr>
      <w:r>
        <w:rPr>
          <w:w w:val="110"/>
        </w:rPr>
        <w:t>Reduced out of pocket costs would als</w:t>
      </w:r>
      <w:r>
        <w:rPr>
          <w:w w:val="110"/>
        </w:rPr>
        <w:t xml:space="preserve">o slow the </w:t>
      </w:r>
      <w:r>
        <w:rPr>
          <w:rFonts w:ascii="Calibri" w:hAnsi="Calibri"/>
          <w:w w:val="110"/>
        </w:rPr>
        <w:t xml:space="preserve">patient’s </w:t>
      </w:r>
      <w:r>
        <w:rPr>
          <w:w w:val="110"/>
        </w:rPr>
        <w:t>advance into the coverage gap. The advancement</w:t>
      </w:r>
      <w:r>
        <w:rPr>
          <w:spacing w:val="-23"/>
          <w:w w:val="110"/>
        </w:rPr>
        <w:t xml:space="preserve"> </w:t>
      </w:r>
      <w:r>
        <w:rPr>
          <w:w w:val="110"/>
        </w:rPr>
        <w:t>into</w:t>
      </w:r>
      <w:r>
        <w:rPr>
          <w:spacing w:val="-25"/>
          <w:w w:val="110"/>
        </w:rPr>
        <w:t xml:space="preserve"> </w:t>
      </w:r>
      <w:r>
        <w:rPr>
          <w:w w:val="110"/>
        </w:rPr>
        <w:t>the</w:t>
      </w:r>
      <w:r>
        <w:rPr>
          <w:spacing w:val="-26"/>
          <w:w w:val="110"/>
        </w:rPr>
        <w:t xml:space="preserve"> </w:t>
      </w:r>
      <w:r>
        <w:rPr>
          <w:w w:val="110"/>
        </w:rPr>
        <w:t>coverage</w:t>
      </w:r>
      <w:r>
        <w:rPr>
          <w:spacing w:val="-23"/>
          <w:w w:val="110"/>
        </w:rPr>
        <w:t xml:space="preserve"> </w:t>
      </w:r>
      <w:r>
        <w:rPr>
          <w:w w:val="110"/>
        </w:rPr>
        <w:t>gap</w:t>
      </w:r>
      <w:r>
        <w:rPr>
          <w:spacing w:val="-23"/>
          <w:w w:val="110"/>
        </w:rPr>
        <w:t xml:space="preserve"> </w:t>
      </w:r>
      <w:r>
        <w:rPr>
          <w:w w:val="110"/>
        </w:rPr>
        <w:t>is</w:t>
      </w:r>
      <w:r>
        <w:rPr>
          <w:spacing w:val="-25"/>
          <w:w w:val="110"/>
        </w:rPr>
        <w:t xml:space="preserve"> </w:t>
      </w:r>
      <w:r>
        <w:rPr>
          <w:w w:val="110"/>
        </w:rPr>
        <w:t>based</w:t>
      </w:r>
      <w:r>
        <w:rPr>
          <w:spacing w:val="-23"/>
          <w:w w:val="110"/>
        </w:rPr>
        <w:t xml:space="preserve"> </w:t>
      </w:r>
      <w:r>
        <w:rPr>
          <w:w w:val="110"/>
        </w:rPr>
        <w:t>on</w:t>
      </w:r>
      <w:r>
        <w:rPr>
          <w:spacing w:val="-24"/>
          <w:w w:val="110"/>
        </w:rPr>
        <w:t xml:space="preserve"> </w:t>
      </w:r>
      <w:r>
        <w:rPr>
          <w:w w:val="110"/>
        </w:rPr>
        <w:t>the</w:t>
      </w:r>
      <w:r>
        <w:rPr>
          <w:spacing w:val="-23"/>
          <w:w w:val="110"/>
        </w:rPr>
        <w:t xml:space="preserve"> </w:t>
      </w:r>
      <w:r>
        <w:rPr>
          <w:rFonts w:ascii="Calibri" w:hAnsi="Calibri"/>
          <w:w w:val="110"/>
        </w:rPr>
        <w:t>beneficiary’s</w:t>
      </w:r>
      <w:r>
        <w:rPr>
          <w:rFonts w:ascii="Calibri" w:hAnsi="Calibri"/>
          <w:spacing w:val="-22"/>
          <w:w w:val="110"/>
        </w:rPr>
        <w:t xml:space="preserve"> </w:t>
      </w:r>
      <w:r>
        <w:rPr>
          <w:rFonts w:ascii="Calibri" w:hAnsi="Calibri"/>
          <w:w w:val="110"/>
        </w:rPr>
        <w:t>and</w:t>
      </w:r>
      <w:r>
        <w:rPr>
          <w:rFonts w:ascii="Calibri" w:hAnsi="Calibri"/>
          <w:spacing w:val="-24"/>
          <w:w w:val="110"/>
        </w:rPr>
        <w:t xml:space="preserve"> </w:t>
      </w:r>
      <w:r>
        <w:rPr>
          <w:rFonts w:ascii="Calibri" w:hAnsi="Calibri"/>
          <w:w w:val="110"/>
        </w:rPr>
        <w:t>drug</w:t>
      </w:r>
      <w:r>
        <w:rPr>
          <w:rFonts w:ascii="Calibri" w:hAnsi="Calibri"/>
          <w:spacing w:val="-24"/>
          <w:w w:val="110"/>
        </w:rPr>
        <w:t xml:space="preserve"> </w:t>
      </w:r>
      <w:r>
        <w:rPr>
          <w:rFonts w:ascii="Calibri" w:hAnsi="Calibri"/>
          <w:w w:val="110"/>
        </w:rPr>
        <w:t>plan’s</w:t>
      </w:r>
      <w:r>
        <w:rPr>
          <w:rFonts w:ascii="Calibri" w:hAnsi="Calibri"/>
          <w:spacing w:val="-24"/>
          <w:w w:val="110"/>
        </w:rPr>
        <w:t xml:space="preserve"> </w:t>
      </w:r>
      <w:r>
        <w:rPr>
          <w:rFonts w:ascii="Calibri" w:hAnsi="Calibri"/>
          <w:w w:val="110"/>
        </w:rPr>
        <w:t>total</w:t>
      </w:r>
      <w:r>
        <w:rPr>
          <w:rFonts w:ascii="Calibri" w:hAnsi="Calibri"/>
          <w:spacing w:val="-22"/>
          <w:w w:val="110"/>
        </w:rPr>
        <w:t xml:space="preserve"> </w:t>
      </w:r>
      <w:r>
        <w:rPr>
          <w:w w:val="110"/>
        </w:rPr>
        <w:t>drug</w:t>
      </w:r>
      <w:r>
        <w:rPr>
          <w:spacing w:val="-25"/>
          <w:w w:val="110"/>
        </w:rPr>
        <w:t xml:space="preserve"> </w:t>
      </w:r>
      <w:r>
        <w:rPr>
          <w:w w:val="110"/>
        </w:rPr>
        <w:t>cost. This means an overall reduction in the negotiated price would slow the beneficiar</w:t>
      </w:r>
      <w:r>
        <w:rPr>
          <w:rFonts w:ascii="Calibri" w:hAnsi="Calibri"/>
          <w:w w:val="110"/>
        </w:rPr>
        <w:t xml:space="preserve">y’s advance in </w:t>
      </w:r>
      <w:r>
        <w:rPr>
          <w:w w:val="110"/>
        </w:rPr>
        <w:t>the cov</w:t>
      </w:r>
      <w:r>
        <w:rPr>
          <w:w w:val="110"/>
        </w:rPr>
        <w:t>erage gap, where beneficiaries must pay a percentage of the cost for brands and  generics (unless the plan has an enhanced benefit). Applying this reduction at the point of sale would reduce beneficiary costs in the</w:t>
      </w:r>
      <w:r>
        <w:rPr>
          <w:spacing w:val="36"/>
          <w:w w:val="110"/>
        </w:rPr>
        <w:t xml:space="preserve"> </w:t>
      </w:r>
      <w:r>
        <w:rPr>
          <w:w w:val="110"/>
        </w:rPr>
        <w:t>gap.</w:t>
      </w:r>
    </w:p>
    <w:p w:rsidR="0084136D" w:rsidRDefault="0084136D">
      <w:pPr>
        <w:spacing w:line="256" w:lineRule="auto"/>
        <w:sectPr w:rsidR="0084136D">
          <w:headerReference w:type="default" r:id="rId9"/>
          <w:pgSz w:w="12240" w:h="15840"/>
          <w:pgMar w:top="1620" w:right="1340" w:bottom="280" w:left="1340" w:header="725" w:footer="0" w:gutter="0"/>
          <w:pgNumType w:start="2"/>
          <w:cols w:space="720"/>
        </w:sectPr>
      </w:pPr>
    </w:p>
    <w:p w:rsidR="0084136D" w:rsidRDefault="0084136D">
      <w:pPr>
        <w:pStyle w:val="BodyText"/>
        <w:spacing w:before="11"/>
        <w:rPr>
          <w:sz w:val="15"/>
        </w:rPr>
      </w:pPr>
      <w:bookmarkStart w:id="0" w:name="_GoBack"/>
    </w:p>
    <w:p w:rsidR="0084136D" w:rsidRDefault="0049436B">
      <w:pPr>
        <w:pStyle w:val="Heading1"/>
        <w:spacing w:before="97"/>
      </w:pPr>
      <w:r>
        <w:t>SNI Recommendation:</w:t>
      </w:r>
    </w:p>
    <w:p w:rsidR="0084136D" w:rsidRDefault="0084136D">
      <w:pPr>
        <w:pStyle w:val="BodyText"/>
        <w:spacing w:before="1"/>
        <w:rPr>
          <w:rFonts w:ascii="Calibri"/>
          <w:b/>
          <w:sz w:val="26"/>
        </w:rPr>
      </w:pPr>
    </w:p>
    <w:p w:rsidR="0084136D" w:rsidRDefault="0049436B">
      <w:pPr>
        <w:pStyle w:val="ListParagraph"/>
        <w:numPr>
          <w:ilvl w:val="0"/>
          <w:numId w:val="2"/>
        </w:numPr>
        <w:tabs>
          <w:tab w:val="left" w:pos="820"/>
          <w:tab w:val="left" w:pos="821"/>
        </w:tabs>
        <w:spacing w:line="261" w:lineRule="auto"/>
        <w:ind w:right="383"/>
        <w:rPr>
          <w:sz w:val="24"/>
        </w:rPr>
      </w:pPr>
      <w:r>
        <w:rPr>
          <w:w w:val="110"/>
          <w:sz w:val="24"/>
        </w:rPr>
        <w:t>Develop a proposed rule that promotes transparency and specifies how to best apply rebates and price concessions at the point of sale, in order to reduce cost sharing and improve Medicare patient access to medications prescribed by their health care practi</w:t>
      </w:r>
      <w:r>
        <w:rPr>
          <w:w w:val="110"/>
          <w:sz w:val="24"/>
        </w:rPr>
        <w:t>tioner.</w:t>
      </w:r>
    </w:p>
    <w:p w:rsidR="0084136D" w:rsidRDefault="0084136D">
      <w:pPr>
        <w:pStyle w:val="BodyText"/>
        <w:rPr>
          <w:sz w:val="30"/>
        </w:rPr>
      </w:pPr>
    </w:p>
    <w:p w:rsidR="0084136D" w:rsidRDefault="0084136D">
      <w:pPr>
        <w:pStyle w:val="BodyText"/>
        <w:spacing w:before="7"/>
        <w:rPr>
          <w:sz w:val="23"/>
        </w:rPr>
      </w:pPr>
    </w:p>
    <w:p w:rsidR="0084136D" w:rsidRDefault="0049436B">
      <w:pPr>
        <w:pStyle w:val="Heading1"/>
      </w:pPr>
      <w:r>
        <w:rPr>
          <w:w w:val="105"/>
        </w:rPr>
        <w:t>CONCLUSION</w:t>
      </w:r>
    </w:p>
    <w:p w:rsidR="0084136D" w:rsidRDefault="0049436B">
      <w:pPr>
        <w:pStyle w:val="BodyText"/>
        <w:spacing w:before="15" w:line="266" w:lineRule="auto"/>
        <w:ind w:left="100" w:right="111"/>
        <w:jc w:val="both"/>
      </w:pPr>
      <w:r>
        <w:rPr>
          <w:w w:val="110"/>
        </w:rPr>
        <w:t>Smith &amp; Nephew, Inc. fully supports CMS triple aim policy objectives, and taking steps to reduce patient access barriers to their medications advances this goal, leading to improvement in health outcomes for Medicare beneficiaries.</w:t>
      </w:r>
    </w:p>
    <w:p w:rsidR="0084136D" w:rsidRDefault="0084136D">
      <w:pPr>
        <w:pStyle w:val="BodyText"/>
        <w:spacing w:before="10"/>
        <w:rPr>
          <w:sz w:val="26"/>
        </w:rPr>
      </w:pPr>
    </w:p>
    <w:p w:rsidR="0084136D" w:rsidRDefault="0049436B">
      <w:pPr>
        <w:pStyle w:val="BodyText"/>
        <w:spacing w:line="266" w:lineRule="auto"/>
        <w:ind w:left="100"/>
      </w:pPr>
      <w:r>
        <w:rPr>
          <w:w w:val="110"/>
        </w:rPr>
        <w:t>We look forward to reviewing the proposed rule on this important policy topic and working with CMS staff on the issues we have raised. If you have any questions concerning our recommendations, please contact me at  727-692-2658.</w:t>
      </w:r>
    </w:p>
    <w:p w:rsidR="0084136D" w:rsidRDefault="0084136D">
      <w:pPr>
        <w:pStyle w:val="BodyText"/>
        <w:spacing w:before="7"/>
        <w:rPr>
          <w:sz w:val="26"/>
        </w:rPr>
      </w:pPr>
    </w:p>
    <w:p w:rsidR="0084136D" w:rsidRDefault="0049436B">
      <w:pPr>
        <w:pStyle w:val="BodyText"/>
        <w:spacing w:before="1"/>
        <w:ind w:left="100"/>
      </w:pPr>
      <w:r>
        <w:rPr>
          <w:noProof/>
        </w:rPr>
        <w:drawing>
          <wp:anchor distT="0" distB="0" distL="0" distR="0" simplePos="0" relativeHeight="251658240" behindDoc="0" locked="0" layoutInCell="1" allowOverlap="1">
            <wp:simplePos x="0" y="0"/>
            <wp:positionH relativeFrom="page">
              <wp:posOffset>914752</wp:posOffset>
            </wp:positionH>
            <wp:positionV relativeFrom="paragraph">
              <wp:posOffset>191568</wp:posOffset>
            </wp:positionV>
            <wp:extent cx="2049985" cy="361188"/>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2049985" cy="361188"/>
                    </a:xfrm>
                    <a:prstGeom prst="rect">
                      <a:avLst/>
                    </a:prstGeom>
                  </pic:spPr>
                </pic:pic>
              </a:graphicData>
            </a:graphic>
          </wp:anchor>
        </w:drawing>
      </w:r>
      <w:r>
        <w:rPr>
          <w:w w:val="110"/>
        </w:rPr>
        <w:t>Sincerely,</w:t>
      </w:r>
    </w:p>
    <w:p w:rsidR="0084136D" w:rsidRDefault="0084136D">
      <w:pPr>
        <w:pStyle w:val="BodyText"/>
        <w:spacing w:before="3"/>
        <w:rPr>
          <w:sz w:val="25"/>
        </w:rPr>
      </w:pPr>
    </w:p>
    <w:p w:rsidR="0084136D" w:rsidRDefault="0049436B">
      <w:pPr>
        <w:pStyle w:val="BodyText"/>
        <w:ind w:left="100"/>
      </w:pPr>
      <w:r>
        <w:rPr>
          <w:w w:val="110"/>
        </w:rPr>
        <w:t>Simon Dawkins</w:t>
      </w:r>
    </w:p>
    <w:p w:rsidR="0084136D" w:rsidRDefault="0049436B">
      <w:pPr>
        <w:pStyle w:val="BodyText"/>
        <w:spacing w:before="31" w:line="266" w:lineRule="auto"/>
        <w:ind w:left="100" w:right="5919"/>
      </w:pPr>
      <w:r>
        <w:rPr>
          <w:w w:val="110"/>
        </w:rPr>
        <w:t>Vice President, Healthcare Systems Smith &amp; Nephew, Inc.</w:t>
      </w:r>
    </w:p>
    <w:p w:rsidR="0084136D" w:rsidRDefault="0049436B">
      <w:pPr>
        <w:pStyle w:val="BodyText"/>
        <w:spacing w:before="1" w:line="268" w:lineRule="auto"/>
        <w:ind w:left="100" w:right="6812"/>
      </w:pPr>
      <w:r>
        <w:rPr>
          <w:w w:val="110"/>
        </w:rPr>
        <w:t>5600 Clearfork Main Street Suite 600</w:t>
      </w:r>
    </w:p>
    <w:p w:rsidR="0084136D" w:rsidRDefault="0049436B">
      <w:pPr>
        <w:pStyle w:val="BodyText"/>
        <w:tabs>
          <w:tab w:val="left" w:pos="753"/>
        </w:tabs>
        <w:spacing w:line="266" w:lineRule="auto"/>
        <w:ind w:left="100" w:right="5919"/>
      </w:pPr>
      <w:r>
        <w:rPr>
          <w:w w:val="110"/>
        </w:rPr>
        <w:t xml:space="preserve">Fort Worth, TX 76109 </w:t>
      </w:r>
      <w:hyperlink r:id="rId11">
        <w:r>
          <w:rPr>
            <w:color w:val="0000FF"/>
            <w:spacing w:val="-1"/>
            <w:w w:val="110"/>
            <w:u w:val="single" w:color="0000FF"/>
          </w:rPr>
          <w:t>simon.dawkins@smith-nephew.com</w:t>
        </w:r>
      </w:hyperlink>
      <w:r>
        <w:rPr>
          <w:color w:val="0000FF"/>
          <w:spacing w:val="-1"/>
          <w:w w:val="110"/>
          <w:u w:val="single" w:color="0000FF"/>
        </w:rPr>
        <w:t xml:space="preserve"> </w:t>
      </w:r>
      <w:r>
        <w:rPr>
          <w:w w:val="110"/>
        </w:rPr>
        <w:t>Cell</w:t>
      </w:r>
      <w:r>
        <w:rPr>
          <w:w w:val="110"/>
        </w:rPr>
        <w:tab/>
        <w:t>727-692-2658</w:t>
      </w:r>
      <w:bookmarkEnd w:id="0"/>
    </w:p>
    <w:sectPr w:rsidR="0084136D">
      <w:pgSz w:w="12240" w:h="15840"/>
      <w:pgMar w:top="1620" w:right="1380" w:bottom="280" w:left="1340" w:header="725"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9436B">
      <w:r>
        <w:separator/>
      </w:r>
    </w:p>
  </w:endnote>
  <w:endnote w:type="continuationSeparator" w:id="0">
    <w:p w:rsidR="00000000" w:rsidRDefault="00494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9436B">
      <w:r>
        <w:separator/>
      </w:r>
    </w:p>
  </w:footnote>
  <w:footnote w:type="continuationSeparator" w:id="0">
    <w:p w:rsidR="00000000" w:rsidRDefault="004943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36D" w:rsidRDefault="0049436B">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71pt;margin-top:35.25pt;width:82pt;height:47.65pt;z-index:-251658752;mso-position-horizontal-relative:page;mso-position-vertical-relative:page" filled="f" stroked="f">
          <v:textbox inset="0,0,0,0">
            <w:txbxContent>
              <w:p w:rsidR="0084136D" w:rsidRDefault="0049436B">
                <w:pPr>
                  <w:pStyle w:val="BodyText"/>
                  <w:spacing w:before="21" w:line="268" w:lineRule="auto"/>
                  <w:ind w:left="20" w:right="2"/>
                </w:pPr>
                <w:r>
                  <w:rPr>
                    <w:w w:val="105"/>
                  </w:rPr>
                  <w:t>Seema Verma January 16, 2018</w:t>
                </w:r>
              </w:p>
              <w:p w:rsidR="0084136D" w:rsidRDefault="0049436B">
                <w:pPr>
                  <w:pStyle w:val="BodyText"/>
                  <w:spacing w:line="272" w:lineRule="exact"/>
                  <w:ind w:left="20"/>
                </w:pPr>
                <w:r>
                  <w:rPr>
                    <w:w w:val="110"/>
                  </w:rPr>
                  <w:t xml:space="preserve">Page </w:t>
                </w:r>
                <w:r>
                  <w:fldChar w:fldCharType="begin"/>
                </w:r>
                <w:r>
                  <w:rPr>
                    <w:w w:val="110"/>
                  </w:rPr>
                  <w:instrText xml:space="preserve"> PAGE </w:instrText>
                </w:r>
                <w:r>
                  <w:fldChar w:fldCharType="separate"/>
                </w:r>
                <w:r>
                  <w:rPr>
                    <w:noProof/>
                    <w:w w:val="110"/>
                  </w:rPr>
                  <w:t>2</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23505"/>
    <w:multiLevelType w:val="hybridMultilevel"/>
    <w:tmpl w:val="61042E9A"/>
    <w:lvl w:ilvl="0" w:tplc="47FAC342">
      <w:numFmt w:val="bullet"/>
      <w:lvlText w:val=""/>
      <w:lvlJc w:val="left"/>
      <w:pPr>
        <w:ind w:left="1180" w:hanging="360"/>
      </w:pPr>
      <w:rPr>
        <w:rFonts w:ascii="Symbol" w:eastAsia="Symbol" w:hAnsi="Symbol" w:cs="Symbol" w:hint="default"/>
        <w:w w:val="100"/>
        <w:sz w:val="24"/>
        <w:szCs w:val="24"/>
      </w:rPr>
    </w:lvl>
    <w:lvl w:ilvl="1" w:tplc="71E6E628">
      <w:numFmt w:val="bullet"/>
      <w:lvlText w:val="•"/>
      <w:lvlJc w:val="left"/>
      <w:pPr>
        <w:ind w:left="2018" w:hanging="360"/>
      </w:pPr>
      <w:rPr>
        <w:rFonts w:hint="default"/>
      </w:rPr>
    </w:lvl>
    <w:lvl w:ilvl="2" w:tplc="31AC21A8">
      <w:numFmt w:val="bullet"/>
      <w:lvlText w:val="•"/>
      <w:lvlJc w:val="left"/>
      <w:pPr>
        <w:ind w:left="2856" w:hanging="360"/>
      </w:pPr>
      <w:rPr>
        <w:rFonts w:hint="default"/>
      </w:rPr>
    </w:lvl>
    <w:lvl w:ilvl="3" w:tplc="8B20F3D4">
      <w:numFmt w:val="bullet"/>
      <w:lvlText w:val="•"/>
      <w:lvlJc w:val="left"/>
      <w:pPr>
        <w:ind w:left="3694" w:hanging="360"/>
      </w:pPr>
      <w:rPr>
        <w:rFonts w:hint="default"/>
      </w:rPr>
    </w:lvl>
    <w:lvl w:ilvl="4" w:tplc="B4E69370">
      <w:numFmt w:val="bullet"/>
      <w:lvlText w:val="•"/>
      <w:lvlJc w:val="left"/>
      <w:pPr>
        <w:ind w:left="4532" w:hanging="360"/>
      </w:pPr>
      <w:rPr>
        <w:rFonts w:hint="default"/>
      </w:rPr>
    </w:lvl>
    <w:lvl w:ilvl="5" w:tplc="9EF25A36">
      <w:numFmt w:val="bullet"/>
      <w:lvlText w:val="•"/>
      <w:lvlJc w:val="left"/>
      <w:pPr>
        <w:ind w:left="5370" w:hanging="360"/>
      </w:pPr>
      <w:rPr>
        <w:rFonts w:hint="default"/>
      </w:rPr>
    </w:lvl>
    <w:lvl w:ilvl="6" w:tplc="2E4EC47C">
      <w:numFmt w:val="bullet"/>
      <w:lvlText w:val="•"/>
      <w:lvlJc w:val="left"/>
      <w:pPr>
        <w:ind w:left="6208" w:hanging="360"/>
      </w:pPr>
      <w:rPr>
        <w:rFonts w:hint="default"/>
      </w:rPr>
    </w:lvl>
    <w:lvl w:ilvl="7" w:tplc="70722A7A">
      <w:numFmt w:val="bullet"/>
      <w:lvlText w:val="•"/>
      <w:lvlJc w:val="left"/>
      <w:pPr>
        <w:ind w:left="7046" w:hanging="360"/>
      </w:pPr>
      <w:rPr>
        <w:rFonts w:hint="default"/>
      </w:rPr>
    </w:lvl>
    <w:lvl w:ilvl="8" w:tplc="FD96E888">
      <w:numFmt w:val="bullet"/>
      <w:lvlText w:val="•"/>
      <w:lvlJc w:val="left"/>
      <w:pPr>
        <w:ind w:left="7884" w:hanging="360"/>
      </w:pPr>
      <w:rPr>
        <w:rFonts w:hint="default"/>
      </w:rPr>
    </w:lvl>
  </w:abstractNum>
  <w:abstractNum w:abstractNumId="1" w15:restartNumberingAfterBreak="0">
    <w:nsid w:val="2540533B"/>
    <w:multiLevelType w:val="hybridMultilevel"/>
    <w:tmpl w:val="7BEA1D30"/>
    <w:lvl w:ilvl="0" w:tplc="02FE01D8">
      <w:numFmt w:val="bullet"/>
      <w:lvlText w:val="•"/>
      <w:lvlJc w:val="left"/>
      <w:pPr>
        <w:ind w:left="820" w:hanging="720"/>
      </w:pPr>
      <w:rPr>
        <w:rFonts w:ascii="Calibri" w:eastAsia="Calibri" w:hAnsi="Calibri" w:cs="Calibri" w:hint="default"/>
        <w:w w:val="100"/>
        <w:sz w:val="24"/>
        <w:szCs w:val="24"/>
      </w:rPr>
    </w:lvl>
    <w:lvl w:ilvl="1" w:tplc="23BA1930">
      <w:numFmt w:val="bullet"/>
      <w:lvlText w:val="•"/>
      <w:lvlJc w:val="left"/>
      <w:pPr>
        <w:ind w:left="1690" w:hanging="720"/>
      </w:pPr>
      <w:rPr>
        <w:rFonts w:hint="default"/>
      </w:rPr>
    </w:lvl>
    <w:lvl w:ilvl="2" w:tplc="B00E8E14">
      <w:numFmt w:val="bullet"/>
      <w:lvlText w:val="•"/>
      <w:lvlJc w:val="left"/>
      <w:pPr>
        <w:ind w:left="2560" w:hanging="720"/>
      </w:pPr>
      <w:rPr>
        <w:rFonts w:hint="default"/>
      </w:rPr>
    </w:lvl>
    <w:lvl w:ilvl="3" w:tplc="39A4DC2C">
      <w:numFmt w:val="bullet"/>
      <w:lvlText w:val="•"/>
      <w:lvlJc w:val="left"/>
      <w:pPr>
        <w:ind w:left="3430" w:hanging="720"/>
      </w:pPr>
      <w:rPr>
        <w:rFonts w:hint="default"/>
      </w:rPr>
    </w:lvl>
    <w:lvl w:ilvl="4" w:tplc="3D541630">
      <w:numFmt w:val="bullet"/>
      <w:lvlText w:val="•"/>
      <w:lvlJc w:val="left"/>
      <w:pPr>
        <w:ind w:left="4300" w:hanging="720"/>
      </w:pPr>
      <w:rPr>
        <w:rFonts w:hint="default"/>
      </w:rPr>
    </w:lvl>
    <w:lvl w:ilvl="5" w:tplc="797872A4">
      <w:numFmt w:val="bullet"/>
      <w:lvlText w:val="•"/>
      <w:lvlJc w:val="left"/>
      <w:pPr>
        <w:ind w:left="5170" w:hanging="720"/>
      </w:pPr>
      <w:rPr>
        <w:rFonts w:hint="default"/>
      </w:rPr>
    </w:lvl>
    <w:lvl w:ilvl="6" w:tplc="81922A9E">
      <w:numFmt w:val="bullet"/>
      <w:lvlText w:val="•"/>
      <w:lvlJc w:val="left"/>
      <w:pPr>
        <w:ind w:left="6040" w:hanging="720"/>
      </w:pPr>
      <w:rPr>
        <w:rFonts w:hint="default"/>
      </w:rPr>
    </w:lvl>
    <w:lvl w:ilvl="7" w:tplc="790A13B2">
      <w:numFmt w:val="bullet"/>
      <w:lvlText w:val="•"/>
      <w:lvlJc w:val="left"/>
      <w:pPr>
        <w:ind w:left="6910" w:hanging="720"/>
      </w:pPr>
      <w:rPr>
        <w:rFonts w:hint="default"/>
      </w:rPr>
    </w:lvl>
    <w:lvl w:ilvl="8" w:tplc="07D0FD88">
      <w:numFmt w:val="bullet"/>
      <w:lvlText w:val="•"/>
      <w:lvlJc w:val="left"/>
      <w:pPr>
        <w:ind w:left="7780" w:hanging="7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84136D"/>
    <w:rsid w:val="0049436B"/>
    <w:rsid w:val="00841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FA4F386C-9CCD-4CD4-8D95-8D1D98E1E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Narrow" w:eastAsia="Arial Narrow" w:hAnsi="Arial Narrow" w:cs="Arial Narrow"/>
    </w:rPr>
  </w:style>
  <w:style w:type="paragraph" w:styleId="Heading1">
    <w:name w:val="heading 1"/>
    <w:basedOn w:val="Normal"/>
    <w:uiPriority w:val="1"/>
    <w:qFormat/>
    <w:pPr>
      <w:ind w:left="100"/>
      <w:outlineLvl w:val="0"/>
    </w:pPr>
    <w:rPr>
      <w:rFonts w:ascii="Calibri" w:eastAsia="Calibri" w:hAnsi="Calibri" w:cs="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80" w:right="215"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regulations.go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imon.dawkins@smith-nephew.com"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727</Words>
  <Characters>4127</Characters>
  <Application>Microsoft Office Word</Application>
  <DocSecurity>0</DocSecurity>
  <Lines>109</Lines>
  <Paragraphs>33</Paragraphs>
  <ScaleCrop>false</ScaleCrop>
  <Company>CMS</Company>
  <LinksUpToDate>false</LinksUpToDate>
  <CharactersWithSpaces>4827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Seltman, Paul</dc:creator>
  <cp:lastModifiedBy>Arthur Pignotti</cp:lastModifiedBy>
  <cp:revision>2</cp:revision>
  <dcterms:created xsi:type="dcterms:W3CDTF">2018-06-14T21:33:00Z</dcterms:created>
  <dcterms:modified xsi:type="dcterms:W3CDTF">2018-06-15T02:07:00Z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2010</vt:lpwstr>
  </property>
  <property fmtid="{D5CDD505-2E9C-101B-9397-08002B2CF9AE}" pid="4" name="LastSaved">
    <vt:filetime>2018-06-15T00:00:00Z</vt:filetime>
  </property>
</Properties>
</file>