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912" w:rsidRDefault="00CC6912">
      <w:pPr>
        <w:pStyle w:val="BodyText"/>
        <w:spacing w:before="2"/>
        <w:rPr>
          <w:rFonts w:ascii="Times New Roman"/>
          <w:sz w:val="29"/>
        </w:rPr>
      </w:pPr>
    </w:p>
    <w:p w:rsidR="00CC6912" w:rsidRDefault="00B65337">
      <w:pPr>
        <w:spacing w:before="68" w:line="823" w:lineRule="exact"/>
        <w:ind w:left="1160"/>
        <w:rPr>
          <w:rFonts w:ascii="Times New Roman"/>
          <w:b/>
          <w:sz w:val="76"/>
        </w:rPr>
      </w:pPr>
      <w:r>
        <w:rPr>
          <w:noProof/>
        </w:rPr>
        <w:drawing>
          <wp:anchor distT="0" distB="0" distL="0" distR="0" simplePos="0" relativeHeight="268430543" behindDoc="1" locked="0" layoutInCell="1" allowOverlap="1">
            <wp:simplePos x="0" y="0"/>
            <wp:positionH relativeFrom="page">
              <wp:posOffset>938783</wp:posOffset>
            </wp:positionH>
            <wp:positionV relativeFrom="paragraph">
              <wp:posOffset>-218709</wp:posOffset>
            </wp:positionV>
            <wp:extent cx="938784" cy="35356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38784" cy="353568"/>
                    </a:xfrm>
                    <a:prstGeom prst="rect">
                      <a:avLst/>
                    </a:prstGeom>
                  </pic:spPr>
                </pic:pic>
              </a:graphicData>
            </a:graphic>
          </wp:anchor>
        </w:drawing>
      </w:r>
      <w:r>
        <w:rPr>
          <w:rFonts w:ascii="Times New Roman"/>
          <w:b/>
          <w:color w:val="131313"/>
          <w:w w:val="105"/>
          <w:sz w:val="76"/>
        </w:rPr>
        <w:t>NH</w:t>
      </w:r>
      <w:r>
        <w:rPr>
          <w:rFonts w:ascii="Times New Roman"/>
          <w:b/>
          <w:color w:val="1C64DB"/>
          <w:w w:val="105"/>
          <w:sz w:val="76"/>
        </w:rPr>
        <w:t>I</w:t>
      </w:r>
      <w:r>
        <w:rPr>
          <w:rFonts w:ascii="Times New Roman"/>
          <w:b/>
          <w:color w:val="131313"/>
          <w:w w:val="105"/>
          <w:sz w:val="76"/>
        </w:rPr>
        <w:t>A</w:t>
      </w:r>
    </w:p>
    <w:p w:rsidR="00CC6912" w:rsidRDefault="00B65337">
      <w:pPr>
        <w:spacing w:line="249" w:lineRule="exact"/>
        <w:ind w:left="1833"/>
        <w:rPr>
          <w:rFonts w:ascii="Times New Roman"/>
          <w:sz w:val="26"/>
        </w:rPr>
      </w:pPr>
      <w:r>
        <w:rPr>
          <w:rFonts w:ascii="Times New Roman"/>
          <w:color w:val="131313"/>
          <w:w w:val="105"/>
          <w:sz w:val="26"/>
        </w:rPr>
        <w:t>National Home Infusion Association</w:t>
      </w:r>
    </w:p>
    <w:p w:rsidR="00CC6912" w:rsidRDefault="00B65337">
      <w:pPr>
        <w:spacing w:before="10"/>
        <w:ind w:left="2235"/>
        <w:rPr>
          <w:rFonts w:ascii="Times New Roman"/>
          <w:i/>
          <w:sz w:val="19"/>
        </w:rPr>
      </w:pPr>
      <w:r>
        <w:pict>
          <v:line id="_x0000_s1030" style="position:absolute;left:0;text-align:left;z-index:1048;mso-position-horizontal-relative:page" from="1.9pt,507.85pt" to="1.9pt,15.6pt" strokecolor="#cfcfcc" strokeweight=".33708mm">
            <w10:wrap anchorx="page"/>
          </v:line>
        </w:pict>
      </w:r>
      <w:r>
        <w:rPr>
          <w:rFonts w:ascii="Times New Roman"/>
          <w:i/>
          <w:color w:val="4972D6"/>
          <w:w w:val="95"/>
          <w:sz w:val="19"/>
        </w:rPr>
        <w:t>Providing solutions for the infusion therapy community</w:t>
      </w:r>
    </w:p>
    <w:p w:rsidR="00CC6912" w:rsidRDefault="00CC6912">
      <w:pPr>
        <w:pStyle w:val="BodyText"/>
        <w:rPr>
          <w:rFonts w:ascii="Times New Roman"/>
          <w:i/>
        </w:rPr>
      </w:pPr>
    </w:p>
    <w:p w:rsidR="00CC6912" w:rsidRDefault="00CC6912">
      <w:pPr>
        <w:pStyle w:val="BodyText"/>
        <w:spacing w:before="4"/>
        <w:rPr>
          <w:rFonts w:ascii="Times New Roman"/>
          <w:i/>
        </w:rPr>
      </w:pPr>
    </w:p>
    <w:p w:rsidR="00CC6912" w:rsidRDefault="00B65337">
      <w:pPr>
        <w:pStyle w:val="BodyText"/>
        <w:ind w:left="1814"/>
      </w:pPr>
      <w:r>
        <w:rPr>
          <w:color w:val="131313"/>
        </w:rPr>
        <w:t>January 16, 2018</w:t>
      </w:r>
    </w:p>
    <w:p w:rsidR="00CC6912" w:rsidRDefault="00CC6912">
      <w:pPr>
        <w:pStyle w:val="BodyText"/>
        <w:spacing w:before="10"/>
        <w:rPr>
          <w:sz w:val="26"/>
        </w:rPr>
      </w:pPr>
    </w:p>
    <w:p w:rsidR="00CC6912" w:rsidRDefault="00B65337">
      <w:pPr>
        <w:spacing w:before="1"/>
        <w:ind w:left="1822"/>
        <w:rPr>
          <w:b/>
          <w:i/>
          <w:sz w:val="19"/>
        </w:rPr>
      </w:pPr>
      <w:r>
        <w:rPr>
          <w:b/>
          <w:i/>
          <w:color w:val="131313"/>
          <w:w w:val="90"/>
          <w:sz w:val="19"/>
        </w:rPr>
        <w:t>BY ELECTRONIC DELIVERY</w:t>
      </w:r>
    </w:p>
    <w:p w:rsidR="00CC6912" w:rsidRDefault="00CC6912">
      <w:pPr>
        <w:pStyle w:val="BodyText"/>
        <w:spacing w:before="9"/>
        <w:rPr>
          <w:b/>
          <w:i/>
          <w:sz w:val="26"/>
        </w:rPr>
      </w:pPr>
    </w:p>
    <w:p w:rsidR="00CC6912" w:rsidRDefault="00B65337">
      <w:pPr>
        <w:pStyle w:val="BodyText"/>
        <w:spacing w:line="278" w:lineRule="auto"/>
        <w:ind w:left="1825" w:right="7470" w:hanging="10"/>
      </w:pPr>
      <w:r>
        <w:rPr>
          <w:color w:val="131313"/>
          <w:w w:val="95"/>
        </w:rPr>
        <w:t xml:space="preserve">Seema Verma </w:t>
      </w:r>
      <w:r>
        <w:rPr>
          <w:color w:val="131313"/>
        </w:rPr>
        <w:t>Administrator</w:t>
      </w:r>
    </w:p>
    <w:p w:rsidR="00CC6912" w:rsidRDefault="00B65337">
      <w:pPr>
        <w:pStyle w:val="BodyText"/>
        <w:spacing w:before="2" w:line="278" w:lineRule="auto"/>
        <w:ind w:left="1820" w:right="4541" w:hanging="1"/>
      </w:pPr>
      <w:r>
        <w:rPr>
          <w:color w:val="131313"/>
        </w:rPr>
        <w:t>Centers for Medicare &amp; Medicaid Services 7500 Security Boulevard</w:t>
      </w:r>
    </w:p>
    <w:p w:rsidR="00CC6912" w:rsidRDefault="00B65337">
      <w:pPr>
        <w:pStyle w:val="BodyText"/>
        <w:spacing w:before="2"/>
        <w:ind w:left="1819"/>
      </w:pPr>
      <w:r>
        <w:rPr>
          <w:color w:val="131313"/>
        </w:rPr>
        <w:t>Baltimore, MD 21244</w:t>
      </w:r>
    </w:p>
    <w:p w:rsidR="00CC6912" w:rsidRDefault="00CC6912">
      <w:pPr>
        <w:pStyle w:val="BodyText"/>
        <w:spacing w:before="2"/>
        <w:rPr>
          <w:sz w:val="28"/>
        </w:rPr>
      </w:pPr>
    </w:p>
    <w:p w:rsidR="00CC6912" w:rsidRDefault="00B65337">
      <w:pPr>
        <w:spacing w:line="307" w:lineRule="auto"/>
        <w:ind w:left="1816" w:right="112" w:firstLine="4"/>
        <w:rPr>
          <w:b/>
          <w:sz w:val="18"/>
        </w:rPr>
      </w:pPr>
      <w:r>
        <w:rPr>
          <w:b/>
          <w:color w:val="131313"/>
          <w:w w:val="105"/>
          <w:sz w:val="18"/>
        </w:rPr>
        <w:t>Re: Medicare Program; Contract Year 2019 Policy and Technical Changes to the Medicare Advantage, Medicare Cost Plan, Medicare Fee-for-Service, the Medicare Prescription Drug Benefit Programs and the PACE Program. CMS-4182-P.</w:t>
      </w:r>
    </w:p>
    <w:p w:rsidR="00CC6912" w:rsidRDefault="00CC6912">
      <w:pPr>
        <w:pStyle w:val="BodyText"/>
        <w:spacing w:before="5"/>
        <w:rPr>
          <w:b/>
          <w:sz w:val="22"/>
        </w:rPr>
      </w:pPr>
    </w:p>
    <w:p w:rsidR="00CC6912" w:rsidRDefault="00B65337">
      <w:pPr>
        <w:pStyle w:val="BodyText"/>
        <w:ind w:left="1819"/>
      </w:pPr>
      <w:r>
        <w:rPr>
          <w:color w:val="131313"/>
        </w:rPr>
        <w:t>Dear Administrator Ver ma</w:t>
      </w:r>
      <w:r>
        <w:rPr>
          <w:color w:val="424242"/>
        </w:rPr>
        <w:t>:</w:t>
      </w:r>
    </w:p>
    <w:p w:rsidR="00CC6912" w:rsidRDefault="00CC6912">
      <w:pPr>
        <w:pStyle w:val="BodyText"/>
        <w:spacing w:before="9"/>
        <w:rPr>
          <w:sz w:val="27"/>
        </w:rPr>
      </w:pPr>
    </w:p>
    <w:p w:rsidR="00CC6912" w:rsidRDefault="00B65337">
      <w:pPr>
        <w:spacing w:line="285" w:lineRule="auto"/>
        <w:ind w:left="1815" w:right="180"/>
        <w:rPr>
          <w:i/>
          <w:sz w:val="19"/>
        </w:rPr>
      </w:pPr>
      <w:r>
        <w:rPr>
          <w:color w:val="131313"/>
          <w:sz w:val="20"/>
        </w:rPr>
        <w:t>The National Home Infusion Association (NHIA), representing the nation's providers of infusion therapy in home and alternate-site settings submits these comments on the Centers for Medicare and Medicaid Services' (CMS) proposed rule published for comment o</w:t>
      </w:r>
      <w:r>
        <w:rPr>
          <w:color w:val="131313"/>
          <w:sz w:val="20"/>
        </w:rPr>
        <w:t xml:space="preserve">n November 18, 2017 entitled </w:t>
      </w:r>
      <w:r>
        <w:rPr>
          <w:i/>
          <w:color w:val="131313"/>
          <w:sz w:val="19"/>
        </w:rPr>
        <w:t>"Medicare Program; Contract Year 2019 Policy and Technical Changes to the  Medicare Advantage, Medicare Cost  Plan, Medicare  Fee-for-Service, the Medicare  Prescription Drug Benefit Programs  and the PACE</w:t>
      </w:r>
      <w:r>
        <w:rPr>
          <w:i/>
          <w:color w:val="131313"/>
          <w:spacing w:val="32"/>
          <w:sz w:val="19"/>
        </w:rPr>
        <w:t xml:space="preserve"> </w:t>
      </w:r>
      <w:r>
        <w:rPr>
          <w:i/>
          <w:color w:val="131313"/>
          <w:sz w:val="19"/>
        </w:rPr>
        <w:t>Program."</w:t>
      </w:r>
    </w:p>
    <w:p w:rsidR="00CC6912" w:rsidRDefault="00CC6912">
      <w:pPr>
        <w:pStyle w:val="BodyText"/>
        <w:spacing w:before="8"/>
        <w:rPr>
          <w:i/>
        </w:rPr>
      </w:pPr>
    </w:p>
    <w:p w:rsidR="00CC6912" w:rsidRDefault="00B65337">
      <w:pPr>
        <w:pStyle w:val="BodyText"/>
        <w:spacing w:line="278" w:lineRule="auto"/>
        <w:ind w:left="1818" w:right="112" w:hanging="4"/>
      </w:pPr>
      <w:r>
        <w:rPr>
          <w:color w:val="131313"/>
        </w:rPr>
        <w:t>NHIA comme</w:t>
      </w:r>
      <w:r>
        <w:rPr>
          <w:color w:val="131313"/>
        </w:rPr>
        <w:t>nds CMS for their extensive efforts included in this rule and welcomes the opportunity to respond.  NHIA has divided our comments by  topic.</w:t>
      </w:r>
    </w:p>
    <w:p w:rsidR="00CC6912" w:rsidRDefault="00CC6912">
      <w:pPr>
        <w:pStyle w:val="BodyText"/>
        <w:spacing w:before="6"/>
        <w:rPr>
          <w:sz w:val="22"/>
        </w:rPr>
      </w:pPr>
    </w:p>
    <w:p w:rsidR="00CC6912" w:rsidRDefault="00B65337">
      <w:pPr>
        <w:spacing w:before="1"/>
        <w:ind w:left="1811"/>
        <w:rPr>
          <w:b/>
          <w:sz w:val="18"/>
        </w:rPr>
      </w:pPr>
      <w:r>
        <w:rPr>
          <w:b/>
          <w:color w:val="131313"/>
          <w:w w:val="105"/>
          <w:sz w:val="18"/>
          <w:u w:val="single" w:color="000000"/>
        </w:rPr>
        <w:t xml:space="preserve">Part D Tiering </w:t>
      </w:r>
      <w:r>
        <w:rPr>
          <w:b/>
          <w:color w:val="2B2B2B"/>
          <w:w w:val="105"/>
          <w:sz w:val="18"/>
          <w:u w:val="single" w:color="000000"/>
        </w:rPr>
        <w:t>Exceptions</w:t>
      </w:r>
    </w:p>
    <w:p w:rsidR="00CC6912" w:rsidRDefault="00CC6912">
      <w:pPr>
        <w:pStyle w:val="BodyText"/>
        <w:spacing w:before="5"/>
        <w:rPr>
          <w:b/>
          <w:sz w:val="24"/>
        </w:rPr>
      </w:pPr>
    </w:p>
    <w:p w:rsidR="00CC6912" w:rsidRDefault="00B65337">
      <w:pPr>
        <w:pStyle w:val="BodyText"/>
        <w:spacing w:line="280" w:lineRule="auto"/>
        <w:ind w:left="1812" w:right="112" w:firstLine="8"/>
      </w:pPr>
      <w:r>
        <w:rPr>
          <w:color w:val="131313"/>
        </w:rPr>
        <w:t>As part of the proposed rule CMS proposes to change the exceptions process to make it m</w:t>
      </w:r>
      <w:r>
        <w:rPr>
          <w:color w:val="131313"/>
        </w:rPr>
        <w:t>ore congruent with the increasing complexity of tiered formularies. As CMS noted in the preamble nearly all plans now have five or six tiers, including two generic-labeled tiers, which might also include brand name drugs. Because a plan sponsor can current</w:t>
      </w:r>
      <w:r>
        <w:rPr>
          <w:color w:val="131313"/>
        </w:rPr>
        <w:t>ly exempt any dedicated generic tier from its tiering exceptions procedures, almost two-thirds of all tiered plan benefit packages (PBP) could exempt three of their five or six tiers from tiering exceptions without any consideration of medical need or plac</w:t>
      </w:r>
      <w:r>
        <w:rPr>
          <w:color w:val="131313"/>
        </w:rPr>
        <w:t>ement of preferred alternative  drugs.</w:t>
      </w:r>
    </w:p>
    <w:p w:rsidR="00CC6912" w:rsidRDefault="00CC6912">
      <w:pPr>
        <w:pStyle w:val="BodyText"/>
        <w:spacing w:before="8"/>
      </w:pPr>
    </w:p>
    <w:p w:rsidR="00CC6912" w:rsidRDefault="00B65337">
      <w:pPr>
        <w:pStyle w:val="BodyText"/>
        <w:spacing w:line="283" w:lineRule="auto"/>
        <w:ind w:left="1812" w:firstLine="1"/>
      </w:pPr>
      <w:r>
        <w:rPr>
          <w:color w:val="131313"/>
          <w:w w:val="105"/>
        </w:rPr>
        <w:t>NHIA</w:t>
      </w:r>
      <w:r>
        <w:rPr>
          <w:color w:val="131313"/>
          <w:spacing w:val="-27"/>
          <w:w w:val="105"/>
        </w:rPr>
        <w:t xml:space="preserve"> </w:t>
      </w:r>
      <w:r>
        <w:rPr>
          <w:color w:val="131313"/>
          <w:w w:val="105"/>
        </w:rPr>
        <w:t>supports</w:t>
      </w:r>
      <w:r>
        <w:rPr>
          <w:color w:val="131313"/>
          <w:spacing w:val="-27"/>
          <w:w w:val="105"/>
        </w:rPr>
        <w:t xml:space="preserve"> </w:t>
      </w:r>
      <w:r>
        <w:rPr>
          <w:color w:val="131313"/>
          <w:w w:val="105"/>
        </w:rPr>
        <w:t>CMS'</w:t>
      </w:r>
      <w:r>
        <w:rPr>
          <w:color w:val="131313"/>
          <w:spacing w:val="-28"/>
          <w:w w:val="105"/>
        </w:rPr>
        <w:t xml:space="preserve"> </w:t>
      </w:r>
      <w:r>
        <w:rPr>
          <w:color w:val="131313"/>
          <w:w w:val="105"/>
        </w:rPr>
        <w:t>proposed</w:t>
      </w:r>
      <w:r>
        <w:rPr>
          <w:color w:val="131313"/>
          <w:spacing w:val="-24"/>
          <w:w w:val="105"/>
        </w:rPr>
        <w:t xml:space="preserve"> </w:t>
      </w:r>
      <w:r>
        <w:rPr>
          <w:color w:val="131313"/>
          <w:w w:val="105"/>
        </w:rPr>
        <w:t>revisions</w:t>
      </w:r>
      <w:r>
        <w:rPr>
          <w:color w:val="131313"/>
          <w:spacing w:val="-30"/>
          <w:w w:val="105"/>
        </w:rPr>
        <w:t xml:space="preserve"> </w:t>
      </w:r>
      <w:r>
        <w:rPr>
          <w:color w:val="131313"/>
          <w:w w:val="105"/>
        </w:rPr>
        <w:t>that</w:t>
      </w:r>
      <w:r>
        <w:rPr>
          <w:color w:val="131313"/>
          <w:spacing w:val="-28"/>
          <w:w w:val="105"/>
        </w:rPr>
        <w:t xml:space="preserve"> </w:t>
      </w:r>
      <w:r>
        <w:rPr>
          <w:color w:val="131313"/>
          <w:w w:val="105"/>
        </w:rPr>
        <w:t>would</w:t>
      </w:r>
      <w:r>
        <w:rPr>
          <w:color w:val="131313"/>
          <w:spacing w:val="-32"/>
          <w:w w:val="105"/>
        </w:rPr>
        <w:t xml:space="preserve"> </w:t>
      </w:r>
      <w:r>
        <w:rPr>
          <w:color w:val="131313"/>
          <w:w w:val="105"/>
        </w:rPr>
        <w:t>establish</w:t>
      </w:r>
      <w:r>
        <w:rPr>
          <w:color w:val="131313"/>
          <w:spacing w:val="-26"/>
          <w:w w:val="105"/>
        </w:rPr>
        <w:t xml:space="preserve"> </w:t>
      </w:r>
      <w:r>
        <w:rPr>
          <w:color w:val="131313"/>
          <w:w w:val="105"/>
        </w:rPr>
        <w:t>rules</w:t>
      </w:r>
      <w:r>
        <w:rPr>
          <w:color w:val="131313"/>
          <w:spacing w:val="-33"/>
          <w:w w:val="105"/>
        </w:rPr>
        <w:t xml:space="preserve"> </w:t>
      </w:r>
      <w:r>
        <w:rPr>
          <w:color w:val="131313"/>
          <w:w w:val="105"/>
        </w:rPr>
        <w:t>that</w:t>
      </w:r>
      <w:r>
        <w:rPr>
          <w:color w:val="131313"/>
          <w:spacing w:val="-29"/>
          <w:w w:val="105"/>
        </w:rPr>
        <w:t xml:space="preserve"> </w:t>
      </w:r>
      <w:r>
        <w:rPr>
          <w:color w:val="131313"/>
          <w:w w:val="105"/>
        </w:rPr>
        <w:t>base</w:t>
      </w:r>
      <w:r>
        <w:rPr>
          <w:color w:val="131313"/>
          <w:spacing w:val="-33"/>
          <w:w w:val="105"/>
        </w:rPr>
        <w:t xml:space="preserve"> </w:t>
      </w:r>
      <w:r>
        <w:rPr>
          <w:color w:val="131313"/>
          <w:w w:val="105"/>
        </w:rPr>
        <w:t>eligibility</w:t>
      </w:r>
      <w:r>
        <w:rPr>
          <w:color w:val="131313"/>
          <w:spacing w:val="-25"/>
          <w:w w:val="105"/>
        </w:rPr>
        <w:t xml:space="preserve"> </w:t>
      </w:r>
      <w:r>
        <w:rPr>
          <w:color w:val="131313"/>
          <w:w w:val="105"/>
        </w:rPr>
        <w:t>for</w:t>
      </w:r>
      <w:r>
        <w:rPr>
          <w:color w:val="131313"/>
          <w:spacing w:val="-30"/>
          <w:w w:val="105"/>
        </w:rPr>
        <w:t xml:space="preserve"> </w:t>
      </w:r>
      <w:r>
        <w:rPr>
          <w:color w:val="131313"/>
          <w:w w:val="105"/>
        </w:rPr>
        <w:t>tiering exceptions</w:t>
      </w:r>
      <w:r>
        <w:rPr>
          <w:color w:val="131313"/>
          <w:spacing w:val="-20"/>
          <w:w w:val="105"/>
        </w:rPr>
        <w:t xml:space="preserve"> </w:t>
      </w:r>
      <w:r>
        <w:rPr>
          <w:color w:val="131313"/>
          <w:w w:val="105"/>
        </w:rPr>
        <w:t>on</w:t>
      </w:r>
      <w:r>
        <w:rPr>
          <w:color w:val="131313"/>
          <w:spacing w:val="-28"/>
          <w:w w:val="105"/>
        </w:rPr>
        <w:t xml:space="preserve"> </w:t>
      </w:r>
      <w:r>
        <w:rPr>
          <w:color w:val="131313"/>
          <w:w w:val="105"/>
        </w:rPr>
        <w:t>the</w:t>
      </w:r>
      <w:r>
        <w:rPr>
          <w:color w:val="131313"/>
          <w:spacing w:val="-24"/>
          <w:w w:val="105"/>
        </w:rPr>
        <w:t xml:space="preserve"> </w:t>
      </w:r>
      <w:r>
        <w:rPr>
          <w:color w:val="131313"/>
          <w:w w:val="105"/>
        </w:rPr>
        <w:t>lowest</w:t>
      </w:r>
      <w:r>
        <w:rPr>
          <w:color w:val="131313"/>
          <w:spacing w:val="-18"/>
          <w:w w:val="105"/>
        </w:rPr>
        <w:t xml:space="preserve"> </w:t>
      </w:r>
      <w:r>
        <w:rPr>
          <w:color w:val="131313"/>
          <w:w w:val="105"/>
        </w:rPr>
        <w:t>applicable</w:t>
      </w:r>
      <w:r>
        <w:rPr>
          <w:color w:val="131313"/>
          <w:spacing w:val="-18"/>
          <w:w w:val="105"/>
        </w:rPr>
        <w:t xml:space="preserve"> </w:t>
      </w:r>
      <w:r>
        <w:rPr>
          <w:color w:val="131313"/>
          <w:w w:val="105"/>
        </w:rPr>
        <w:t>cost</w:t>
      </w:r>
      <w:r>
        <w:rPr>
          <w:color w:val="131313"/>
          <w:spacing w:val="-18"/>
          <w:w w:val="105"/>
        </w:rPr>
        <w:t xml:space="preserve"> </w:t>
      </w:r>
      <w:r>
        <w:rPr>
          <w:color w:val="131313"/>
          <w:w w:val="105"/>
        </w:rPr>
        <w:t>sharing</w:t>
      </w:r>
      <w:r>
        <w:rPr>
          <w:color w:val="131313"/>
          <w:spacing w:val="-29"/>
          <w:w w:val="105"/>
        </w:rPr>
        <w:t xml:space="preserve"> </w:t>
      </w:r>
      <w:r>
        <w:rPr>
          <w:color w:val="131313"/>
          <w:w w:val="105"/>
        </w:rPr>
        <w:t>for</w:t>
      </w:r>
      <w:r>
        <w:rPr>
          <w:color w:val="131313"/>
          <w:spacing w:val="-22"/>
          <w:w w:val="105"/>
        </w:rPr>
        <w:t xml:space="preserve"> </w:t>
      </w:r>
      <w:r>
        <w:rPr>
          <w:color w:val="131313"/>
          <w:w w:val="105"/>
        </w:rPr>
        <w:t>the</w:t>
      </w:r>
      <w:r>
        <w:rPr>
          <w:color w:val="131313"/>
          <w:spacing w:val="-22"/>
          <w:w w:val="105"/>
        </w:rPr>
        <w:t xml:space="preserve"> </w:t>
      </w:r>
      <w:r>
        <w:rPr>
          <w:color w:val="131313"/>
          <w:w w:val="105"/>
        </w:rPr>
        <w:t>tier</w:t>
      </w:r>
      <w:r>
        <w:rPr>
          <w:color w:val="131313"/>
          <w:spacing w:val="-22"/>
          <w:w w:val="105"/>
        </w:rPr>
        <w:t xml:space="preserve"> </w:t>
      </w:r>
      <w:r>
        <w:rPr>
          <w:color w:val="131313"/>
          <w:w w:val="105"/>
        </w:rPr>
        <w:t>containing</w:t>
      </w:r>
      <w:r>
        <w:rPr>
          <w:color w:val="131313"/>
          <w:spacing w:val="-25"/>
          <w:w w:val="105"/>
        </w:rPr>
        <w:t xml:space="preserve"> </w:t>
      </w:r>
      <w:r>
        <w:rPr>
          <w:color w:val="131313"/>
          <w:w w:val="105"/>
        </w:rPr>
        <w:t>the</w:t>
      </w:r>
      <w:r>
        <w:rPr>
          <w:color w:val="131313"/>
          <w:spacing w:val="-24"/>
          <w:w w:val="105"/>
        </w:rPr>
        <w:t xml:space="preserve"> </w:t>
      </w:r>
      <w:r>
        <w:rPr>
          <w:color w:val="131313"/>
          <w:w w:val="105"/>
        </w:rPr>
        <w:t>preferred</w:t>
      </w:r>
      <w:r>
        <w:rPr>
          <w:color w:val="131313"/>
          <w:spacing w:val="-24"/>
          <w:w w:val="105"/>
        </w:rPr>
        <w:t xml:space="preserve"> </w:t>
      </w:r>
      <w:r>
        <w:rPr>
          <w:color w:val="131313"/>
          <w:w w:val="105"/>
        </w:rPr>
        <w:t>alternative drug for treatment of the enrollee's health condition in relation to the cost sharing of the requested, higher-cost drug, and not based on tier labels, such as preferred, non-preferred, brand</w:t>
      </w:r>
      <w:r>
        <w:rPr>
          <w:color w:val="131313"/>
          <w:spacing w:val="-36"/>
          <w:w w:val="105"/>
        </w:rPr>
        <w:t xml:space="preserve"> </w:t>
      </w:r>
      <w:r>
        <w:rPr>
          <w:color w:val="131313"/>
          <w:w w:val="105"/>
        </w:rPr>
        <w:t>or</w:t>
      </w:r>
      <w:r>
        <w:rPr>
          <w:color w:val="131313"/>
          <w:spacing w:val="-38"/>
          <w:w w:val="105"/>
        </w:rPr>
        <w:t xml:space="preserve"> </w:t>
      </w:r>
      <w:r>
        <w:rPr>
          <w:color w:val="131313"/>
          <w:w w:val="105"/>
        </w:rPr>
        <w:t>generic.</w:t>
      </w:r>
    </w:p>
    <w:p w:rsidR="00CC6912" w:rsidRDefault="00CC6912">
      <w:pPr>
        <w:pStyle w:val="BodyText"/>
        <w:spacing w:before="1"/>
      </w:pPr>
    </w:p>
    <w:p w:rsidR="00CC6912" w:rsidRDefault="00B65337">
      <w:pPr>
        <w:pStyle w:val="BodyText"/>
        <w:ind w:left="1820"/>
      </w:pPr>
      <w:r>
        <w:rPr>
          <w:color w:val="131313"/>
          <w:w w:val="105"/>
        </w:rPr>
        <w:t>A growing number of home infusion patie</w:t>
      </w:r>
      <w:r>
        <w:rPr>
          <w:color w:val="131313"/>
          <w:w w:val="105"/>
        </w:rPr>
        <w:t>nts have rare conditions that only respond to</w:t>
      </w:r>
    </w:p>
    <w:p w:rsidR="00CC6912" w:rsidRDefault="00CC6912">
      <w:pPr>
        <w:pStyle w:val="BodyText"/>
        <w:rPr>
          <w:sz w:val="22"/>
        </w:rPr>
      </w:pPr>
    </w:p>
    <w:p w:rsidR="00CC6912" w:rsidRDefault="00CC6912">
      <w:pPr>
        <w:pStyle w:val="BodyText"/>
        <w:spacing w:before="10"/>
        <w:rPr>
          <w:sz w:val="27"/>
        </w:rPr>
      </w:pPr>
    </w:p>
    <w:p w:rsidR="00CC6912" w:rsidRDefault="00B65337">
      <w:pPr>
        <w:ind w:left="1835"/>
        <w:rPr>
          <w:rFonts w:ascii="Times New Roman" w:hAnsi="Times New Roman"/>
          <w:sz w:val="17"/>
        </w:rPr>
      </w:pPr>
      <w:r>
        <w:rPr>
          <w:rFonts w:ascii="Times New Roman" w:hAnsi="Times New Roman"/>
          <w:color w:val="2B2B2B"/>
          <w:w w:val="105"/>
          <w:sz w:val="16"/>
        </w:rPr>
        <w:t xml:space="preserve">100  </w:t>
      </w:r>
      <w:r>
        <w:rPr>
          <w:rFonts w:ascii="Times New Roman" w:hAnsi="Times New Roman"/>
          <w:color w:val="131313"/>
          <w:w w:val="105"/>
          <w:sz w:val="17"/>
        </w:rPr>
        <w:t xml:space="preserve">Daingerfield  </w:t>
      </w:r>
      <w:r>
        <w:rPr>
          <w:rFonts w:ascii="Times New Roman" w:hAnsi="Times New Roman"/>
          <w:color w:val="2B2B2B"/>
          <w:w w:val="105"/>
          <w:sz w:val="17"/>
        </w:rPr>
        <w:t xml:space="preserve">Road  </w:t>
      </w:r>
      <w:r>
        <w:rPr>
          <w:rFonts w:ascii="Times New Roman" w:hAnsi="Times New Roman"/>
          <w:color w:val="131313"/>
          <w:w w:val="105"/>
          <w:sz w:val="17"/>
        </w:rPr>
        <w:t xml:space="preserve">•  Alexandria,  VA   </w:t>
      </w:r>
      <w:r>
        <w:rPr>
          <w:rFonts w:ascii="Times New Roman" w:hAnsi="Times New Roman"/>
          <w:color w:val="131313"/>
          <w:w w:val="105"/>
          <w:sz w:val="16"/>
        </w:rPr>
        <w:t xml:space="preserve">22314  •  </w:t>
      </w:r>
      <w:r>
        <w:rPr>
          <w:rFonts w:ascii="Times New Roman" w:hAnsi="Times New Roman"/>
          <w:i/>
          <w:color w:val="2B2B2B"/>
          <w:w w:val="105"/>
          <w:sz w:val="16"/>
        </w:rPr>
        <w:t xml:space="preserve">Phone: </w:t>
      </w:r>
      <w:r>
        <w:rPr>
          <w:rFonts w:ascii="Times New Roman" w:hAnsi="Times New Roman"/>
          <w:color w:val="131313"/>
          <w:w w:val="105"/>
          <w:sz w:val="16"/>
        </w:rPr>
        <w:t xml:space="preserve">703.549.3740  •  </w:t>
      </w:r>
      <w:r>
        <w:rPr>
          <w:rFonts w:ascii="Times New Roman" w:hAnsi="Times New Roman"/>
          <w:i/>
          <w:color w:val="131313"/>
          <w:w w:val="105"/>
          <w:sz w:val="16"/>
        </w:rPr>
        <w:t xml:space="preserve">Fax: </w:t>
      </w:r>
      <w:r>
        <w:rPr>
          <w:rFonts w:ascii="Times New Roman" w:hAnsi="Times New Roman"/>
          <w:color w:val="2B2B2B"/>
          <w:w w:val="105"/>
          <w:sz w:val="16"/>
        </w:rPr>
        <w:t xml:space="preserve">703.683.1484  </w:t>
      </w:r>
      <w:r>
        <w:rPr>
          <w:rFonts w:ascii="Times New Roman" w:hAnsi="Times New Roman"/>
          <w:color w:val="131313"/>
          <w:w w:val="105"/>
          <w:sz w:val="16"/>
        </w:rPr>
        <w:t xml:space="preserve">• </w:t>
      </w:r>
      <w:hyperlink r:id="rId7">
        <w:r>
          <w:rPr>
            <w:rFonts w:ascii="Times New Roman" w:hAnsi="Times New Roman"/>
            <w:color w:val="2B2B2B"/>
            <w:w w:val="105"/>
            <w:sz w:val="17"/>
          </w:rPr>
          <w:t>www.nhia.org</w:t>
        </w:r>
      </w:hyperlink>
    </w:p>
    <w:p w:rsidR="00CC6912" w:rsidRDefault="00CC6912">
      <w:pPr>
        <w:rPr>
          <w:rFonts w:ascii="Times New Roman" w:hAnsi="Times New Roman"/>
          <w:sz w:val="17"/>
        </w:rPr>
        <w:sectPr w:rsidR="00CC6912">
          <w:type w:val="continuous"/>
          <w:pgSz w:w="12240" w:h="15840"/>
          <w:pgMar w:top="700" w:right="1720" w:bottom="280" w:left="0" w:header="720" w:footer="720" w:gutter="0"/>
          <w:cols w:space="720"/>
        </w:sectPr>
      </w:pPr>
    </w:p>
    <w:p w:rsidR="00CC6912" w:rsidRDefault="00CC6912">
      <w:pPr>
        <w:pStyle w:val="BodyText"/>
        <w:spacing w:before="9"/>
        <w:rPr>
          <w:rFonts w:ascii="Times New Roman"/>
          <w:sz w:val="18"/>
        </w:rPr>
      </w:pPr>
    </w:p>
    <w:p w:rsidR="00CC6912" w:rsidRDefault="00B65337">
      <w:pPr>
        <w:pStyle w:val="BodyText"/>
        <w:spacing w:before="93" w:line="278" w:lineRule="auto"/>
        <w:ind w:left="1864" w:right="461" w:firstLine="4"/>
      </w:pPr>
      <w:r>
        <w:pict>
          <v:line id="_x0000_s1029" style="position:absolute;left:0;text-align:left;z-index:1072;mso-position-horizontal-relative:page" from="1.45pt,336.25pt" to="1.45pt,69.3pt" strokeweight=".33708mm">
            <w10:wrap anchorx="page"/>
          </v:line>
        </w:pict>
      </w:r>
      <w:r>
        <w:rPr>
          <w:color w:val="131313"/>
        </w:rPr>
        <w:t>biologics, which are made using DNA technology. Many biologics can only be given intravenously and disruptions or changes in therapy may prevent the biologic from being effective. Unlike conventional drugs that can be interchanged with generic counterparts</w:t>
      </w:r>
      <w:r>
        <w:rPr>
          <w:color w:val="131313"/>
        </w:rPr>
        <w:t>, biologics require beneficiaries to maintain the option to access branded drugs. As CMS considers</w:t>
      </w:r>
      <w:r>
        <w:rPr>
          <w:color w:val="131313"/>
          <w:spacing w:val="-8"/>
        </w:rPr>
        <w:t xml:space="preserve"> </w:t>
      </w:r>
      <w:r>
        <w:rPr>
          <w:color w:val="131313"/>
        </w:rPr>
        <w:t>altering</w:t>
      </w:r>
      <w:r>
        <w:rPr>
          <w:color w:val="131313"/>
          <w:spacing w:val="-14"/>
        </w:rPr>
        <w:t xml:space="preserve"> </w:t>
      </w:r>
      <w:r>
        <w:rPr>
          <w:color w:val="131313"/>
        </w:rPr>
        <w:t>the</w:t>
      </w:r>
      <w:r>
        <w:rPr>
          <w:color w:val="131313"/>
          <w:spacing w:val="-16"/>
        </w:rPr>
        <w:t xml:space="preserve"> </w:t>
      </w:r>
      <w:r>
        <w:rPr>
          <w:color w:val="131313"/>
        </w:rPr>
        <w:t>Part</w:t>
      </w:r>
      <w:r>
        <w:rPr>
          <w:color w:val="131313"/>
          <w:spacing w:val="-7"/>
        </w:rPr>
        <w:t xml:space="preserve"> </w:t>
      </w:r>
      <w:r>
        <w:rPr>
          <w:color w:val="131313"/>
        </w:rPr>
        <w:t>D</w:t>
      </w:r>
      <w:r>
        <w:rPr>
          <w:color w:val="131313"/>
          <w:spacing w:val="-24"/>
        </w:rPr>
        <w:t xml:space="preserve"> </w:t>
      </w:r>
      <w:r>
        <w:rPr>
          <w:color w:val="131313"/>
        </w:rPr>
        <w:t>Tiering</w:t>
      </w:r>
      <w:r>
        <w:rPr>
          <w:color w:val="131313"/>
          <w:spacing w:val="-14"/>
        </w:rPr>
        <w:t xml:space="preserve"> </w:t>
      </w:r>
      <w:r>
        <w:rPr>
          <w:color w:val="131313"/>
        </w:rPr>
        <w:t>Exceptions process</w:t>
      </w:r>
      <w:r>
        <w:rPr>
          <w:color w:val="131313"/>
          <w:spacing w:val="-4"/>
        </w:rPr>
        <w:t xml:space="preserve"> </w:t>
      </w:r>
      <w:r>
        <w:rPr>
          <w:color w:val="131313"/>
        </w:rPr>
        <w:t>CMS</w:t>
      </w:r>
      <w:r>
        <w:rPr>
          <w:color w:val="131313"/>
          <w:spacing w:val="-12"/>
        </w:rPr>
        <w:t xml:space="preserve"> </w:t>
      </w:r>
      <w:r>
        <w:rPr>
          <w:color w:val="131313"/>
        </w:rPr>
        <w:t>should</w:t>
      </w:r>
      <w:r>
        <w:rPr>
          <w:color w:val="131313"/>
          <w:spacing w:val="-6"/>
        </w:rPr>
        <w:t xml:space="preserve"> </w:t>
      </w:r>
      <w:r>
        <w:rPr>
          <w:color w:val="131313"/>
        </w:rPr>
        <w:t>recognize</w:t>
      </w:r>
      <w:r>
        <w:rPr>
          <w:color w:val="131313"/>
          <w:spacing w:val="-2"/>
        </w:rPr>
        <w:t xml:space="preserve"> </w:t>
      </w:r>
      <w:r>
        <w:rPr>
          <w:color w:val="131313"/>
        </w:rPr>
        <w:t>that</w:t>
      </w:r>
      <w:r>
        <w:rPr>
          <w:color w:val="131313"/>
          <w:spacing w:val="-9"/>
        </w:rPr>
        <w:t xml:space="preserve"> </w:t>
      </w:r>
      <w:r>
        <w:rPr>
          <w:color w:val="131313"/>
        </w:rPr>
        <w:t>follow-on biologics have unique patient needs and tiering exceptions should be availed to beneficiaries that need branded</w:t>
      </w:r>
      <w:r>
        <w:rPr>
          <w:color w:val="131313"/>
          <w:spacing w:val="4"/>
        </w:rPr>
        <w:t xml:space="preserve"> </w:t>
      </w:r>
      <w:r>
        <w:rPr>
          <w:color w:val="131313"/>
        </w:rPr>
        <w:t>biologics.</w:t>
      </w:r>
    </w:p>
    <w:p w:rsidR="00CC6912" w:rsidRDefault="00CC6912">
      <w:pPr>
        <w:pStyle w:val="BodyText"/>
        <w:spacing w:before="10"/>
      </w:pPr>
    </w:p>
    <w:p w:rsidR="00CC6912" w:rsidRDefault="00B65337">
      <w:pPr>
        <w:pStyle w:val="BodyText"/>
        <w:spacing w:before="1" w:line="278" w:lineRule="auto"/>
        <w:ind w:left="1862" w:right="148" w:hanging="1"/>
      </w:pPr>
      <w:r>
        <w:rPr>
          <w:color w:val="131313"/>
        </w:rPr>
        <w:t>Recent drug shortages of home infusion drugs have also pointed to the need for a Medicare exceptions process for beneficia</w:t>
      </w:r>
      <w:r>
        <w:rPr>
          <w:color w:val="131313"/>
        </w:rPr>
        <w:t>ries when the generic drug is not available to the home infusion pharmacy. If a pharmacy does not have access to a particular generic drug due to a national shortage, the pharmacy may be forced to dispense the branded drug at the expense of the Medicare pr</w:t>
      </w:r>
      <w:r>
        <w:rPr>
          <w:color w:val="131313"/>
        </w:rPr>
        <w:t>ogram and the beneficiary. In the circumstance where medical necessity is documented or a generic drug is not available, beneficiaries should have access to the lower cost sharing tier.</w:t>
      </w:r>
    </w:p>
    <w:p w:rsidR="00CC6912" w:rsidRDefault="00CC6912">
      <w:pPr>
        <w:pStyle w:val="BodyText"/>
        <w:spacing w:before="2"/>
        <w:rPr>
          <w:sz w:val="22"/>
        </w:rPr>
      </w:pPr>
    </w:p>
    <w:p w:rsidR="00CC6912" w:rsidRDefault="00B65337">
      <w:pPr>
        <w:ind w:left="1858"/>
        <w:rPr>
          <w:b/>
          <w:sz w:val="18"/>
        </w:rPr>
      </w:pPr>
      <w:r>
        <w:rPr>
          <w:b/>
          <w:color w:val="131313"/>
          <w:w w:val="105"/>
          <w:sz w:val="18"/>
          <w:u w:val="single" w:color="000000"/>
        </w:rPr>
        <w:t>Any Willing Pharmacy Standard Terms and Conditions</w:t>
      </w:r>
    </w:p>
    <w:p w:rsidR="00CC6912" w:rsidRDefault="00CC6912">
      <w:pPr>
        <w:pStyle w:val="BodyText"/>
        <w:spacing w:before="4"/>
        <w:rPr>
          <w:b/>
          <w:sz w:val="24"/>
        </w:rPr>
      </w:pPr>
    </w:p>
    <w:p w:rsidR="00CC6912" w:rsidRDefault="00B65337">
      <w:pPr>
        <w:pStyle w:val="BodyText"/>
        <w:spacing w:before="1" w:line="283" w:lineRule="auto"/>
        <w:ind w:left="1859" w:right="461" w:hanging="1"/>
      </w:pPr>
      <w:r>
        <w:rPr>
          <w:color w:val="131313"/>
        </w:rPr>
        <w:t>In this section C</w:t>
      </w:r>
      <w:r>
        <w:rPr>
          <w:color w:val="131313"/>
        </w:rPr>
        <w:t>MS proposes to clarify and revise the definitions of retail and mail-order pharmacies. NHIA encourages CMS to continue to clarify the differences between the increasingly diverse pharmacy sector.</w:t>
      </w:r>
    </w:p>
    <w:p w:rsidR="00CC6912" w:rsidRDefault="00CC6912">
      <w:pPr>
        <w:pStyle w:val="BodyText"/>
        <w:spacing w:before="2"/>
      </w:pPr>
    </w:p>
    <w:p w:rsidR="00CC6912" w:rsidRDefault="00B65337">
      <w:pPr>
        <w:pStyle w:val="BodyText"/>
        <w:spacing w:line="278" w:lineRule="auto"/>
        <w:ind w:left="1858" w:right="461" w:hanging="1"/>
      </w:pPr>
      <w:r>
        <w:rPr>
          <w:color w:val="131313"/>
        </w:rPr>
        <w:t>Medicare Part D requires prescription drug plans have an ad</w:t>
      </w:r>
      <w:r>
        <w:rPr>
          <w:color w:val="131313"/>
        </w:rPr>
        <w:t>equate home infusion network</w:t>
      </w:r>
      <w:r>
        <w:rPr>
          <w:color w:val="4B4B4B"/>
        </w:rPr>
        <w:t xml:space="preserve">. </w:t>
      </w:r>
      <w:r>
        <w:rPr>
          <w:color w:val="131313"/>
        </w:rPr>
        <w:t>Chapter 5 Section 50.4 of the Medicare Program Integrity Manual states:</w:t>
      </w:r>
    </w:p>
    <w:p w:rsidR="00CC6912" w:rsidRDefault="00CC6912">
      <w:pPr>
        <w:pStyle w:val="BodyText"/>
        <w:rPr>
          <w:sz w:val="23"/>
        </w:rPr>
      </w:pPr>
    </w:p>
    <w:p w:rsidR="00CC6912" w:rsidRDefault="00B65337">
      <w:pPr>
        <w:spacing w:line="312" w:lineRule="auto"/>
        <w:ind w:left="2575" w:right="890" w:firstLine="4"/>
        <w:rPr>
          <w:i/>
          <w:sz w:val="18"/>
        </w:rPr>
      </w:pPr>
      <w:r>
        <w:rPr>
          <w:i/>
          <w:color w:val="131313"/>
          <w:w w:val="110"/>
          <w:sz w:val="18"/>
        </w:rPr>
        <w:t xml:space="preserve">"In order to meet the requirements for adequate access to home infusion pharmacies, Part D sponsors must deliver home infusion drugs to enrollees within </w:t>
      </w:r>
      <w:r>
        <w:rPr>
          <w:i/>
          <w:color w:val="131313"/>
          <w:w w:val="110"/>
          <w:sz w:val="18"/>
        </w:rPr>
        <w:t>24 hours of discharge from an acute setting, unless the  next required dose, as prescribed, is required to be administered later than 24 hours after discharge. To ensure Part D sponsors can provide such access, as part of their initial pharmacy access subm</w:t>
      </w:r>
      <w:r>
        <w:rPr>
          <w:i/>
          <w:color w:val="131313"/>
          <w:w w:val="110"/>
          <w:sz w:val="18"/>
        </w:rPr>
        <w:t>issions, and through Part D annual reporting requirements (Information Collection Requirements (/CF} 0MB 0938-0992}, each Part D sponsor must provide a list of all contracted home infusion pharmacies licensed/legally able to serve in all State(s) and/or te</w:t>
      </w:r>
      <w:r>
        <w:rPr>
          <w:i/>
          <w:color w:val="131313"/>
          <w:w w:val="110"/>
          <w:sz w:val="18"/>
        </w:rPr>
        <w:t>rritories in the service area under each CMS pending contract number."</w:t>
      </w:r>
    </w:p>
    <w:p w:rsidR="00CC6912" w:rsidRDefault="00CC6912">
      <w:pPr>
        <w:pStyle w:val="BodyText"/>
        <w:spacing w:before="2"/>
        <w:rPr>
          <w:i/>
          <w:sz w:val="19"/>
        </w:rPr>
      </w:pPr>
    </w:p>
    <w:p w:rsidR="00CC6912" w:rsidRDefault="00B65337">
      <w:pPr>
        <w:pStyle w:val="BodyText"/>
        <w:spacing w:line="280" w:lineRule="auto"/>
        <w:ind w:left="1855" w:right="142" w:firstLine="2"/>
      </w:pPr>
      <w:r>
        <w:rPr>
          <w:color w:val="131313"/>
        </w:rPr>
        <w:t>NHIA</w:t>
      </w:r>
      <w:r>
        <w:rPr>
          <w:color w:val="131313"/>
          <w:spacing w:val="-2"/>
        </w:rPr>
        <w:t xml:space="preserve"> </w:t>
      </w:r>
      <w:r>
        <w:rPr>
          <w:color w:val="131313"/>
        </w:rPr>
        <w:t>has</w:t>
      </w:r>
      <w:r>
        <w:rPr>
          <w:color w:val="131313"/>
          <w:spacing w:val="-6"/>
        </w:rPr>
        <w:t xml:space="preserve"> </w:t>
      </w:r>
      <w:r>
        <w:rPr>
          <w:color w:val="131313"/>
        </w:rPr>
        <w:t>become</w:t>
      </w:r>
      <w:r>
        <w:rPr>
          <w:color w:val="131313"/>
          <w:spacing w:val="4"/>
        </w:rPr>
        <w:t xml:space="preserve"> </w:t>
      </w:r>
      <w:r>
        <w:rPr>
          <w:color w:val="131313"/>
        </w:rPr>
        <w:t>increasingly</w:t>
      </w:r>
      <w:r>
        <w:rPr>
          <w:color w:val="131313"/>
          <w:spacing w:val="5"/>
        </w:rPr>
        <w:t xml:space="preserve"> </w:t>
      </w:r>
      <w:r>
        <w:rPr>
          <w:color w:val="131313"/>
        </w:rPr>
        <w:t>concerned</w:t>
      </w:r>
      <w:r>
        <w:rPr>
          <w:color w:val="131313"/>
          <w:spacing w:val="-6"/>
        </w:rPr>
        <w:t xml:space="preserve"> </w:t>
      </w:r>
      <w:r>
        <w:rPr>
          <w:color w:val="131313"/>
        </w:rPr>
        <w:t>that</w:t>
      </w:r>
      <w:r>
        <w:rPr>
          <w:color w:val="131313"/>
          <w:spacing w:val="-7"/>
        </w:rPr>
        <w:t xml:space="preserve"> </w:t>
      </w:r>
      <w:r>
        <w:rPr>
          <w:color w:val="131313"/>
        </w:rPr>
        <w:t>in</w:t>
      </w:r>
      <w:r>
        <w:rPr>
          <w:color w:val="131313"/>
          <w:spacing w:val="-10"/>
        </w:rPr>
        <w:t xml:space="preserve"> </w:t>
      </w:r>
      <w:r>
        <w:rPr>
          <w:color w:val="131313"/>
        </w:rPr>
        <w:t>some</w:t>
      </w:r>
      <w:r>
        <w:rPr>
          <w:color w:val="131313"/>
          <w:spacing w:val="-3"/>
        </w:rPr>
        <w:t xml:space="preserve"> </w:t>
      </w:r>
      <w:r>
        <w:rPr>
          <w:color w:val="131313"/>
        </w:rPr>
        <w:t>cases</w:t>
      </w:r>
      <w:r>
        <w:rPr>
          <w:color w:val="131313"/>
          <w:spacing w:val="-9"/>
        </w:rPr>
        <w:t xml:space="preserve"> </w:t>
      </w:r>
      <w:r>
        <w:rPr>
          <w:color w:val="131313"/>
        </w:rPr>
        <w:t>prescription</w:t>
      </w:r>
      <w:r>
        <w:rPr>
          <w:color w:val="131313"/>
          <w:spacing w:val="-2"/>
        </w:rPr>
        <w:t xml:space="preserve"> </w:t>
      </w:r>
      <w:r>
        <w:rPr>
          <w:color w:val="131313"/>
        </w:rPr>
        <w:t>drug</w:t>
      </w:r>
      <w:r>
        <w:rPr>
          <w:color w:val="131313"/>
          <w:spacing w:val="-19"/>
        </w:rPr>
        <w:t xml:space="preserve"> </w:t>
      </w:r>
      <w:r>
        <w:rPr>
          <w:color w:val="131313"/>
        </w:rPr>
        <w:t>plans</w:t>
      </w:r>
      <w:r>
        <w:rPr>
          <w:color w:val="131313"/>
          <w:spacing w:val="-9"/>
        </w:rPr>
        <w:t xml:space="preserve"> </w:t>
      </w:r>
      <w:r>
        <w:rPr>
          <w:color w:val="131313"/>
        </w:rPr>
        <w:t>are</w:t>
      </w:r>
      <w:r>
        <w:rPr>
          <w:color w:val="131313"/>
          <w:spacing w:val="-9"/>
        </w:rPr>
        <w:t xml:space="preserve"> </w:t>
      </w:r>
      <w:r>
        <w:rPr>
          <w:color w:val="131313"/>
        </w:rPr>
        <w:t>fulfilling this requirement by reporting retail pharmacies that do not meet the standards outlined in Chapter  5 Section 50.4 of the Medicare Program Integrity Manual to fulfill the network  adequacy requirement. As CMS continues to clarify the differences</w:t>
      </w:r>
      <w:r>
        <w:rPr>
          <w:color w:val="131313"/>
        </w:rPr>
        <w:t xml:space="preserve"> amongst pharmacies within the program we encourage you to ensure that Section 50.4 is actively enforced and prescription drug plans are not be allowed to use retail pharmacy locations to fulfill this </w:t>
      </w:r>
      <w:r>
        <w:rPr>
          <w:color w:val="131313"/>
          <w:spacing w:val="50"/>
        </w:rPr>
        <w:t xml:space="preserve"> </w:t>
      </w:r>
      <w:r>
        <w:rPr>
          <w:color w:val="131313"/>
        </w:rPr>
        <w:t>requirement.</w:t>
      </w:r>
    </w:p>
    <w:p w:rsidR="00CC6912" w:rsidRDefault="00CC6912">
      <w:pPr>
        <w:pStyle w:val="BodyText"/>
        <w:spacing w:before="8"/>
      </w:pPr>
    </w:p>
    <w:p w:rsidR="00CC6912" w:rsidRDefault="00B65337">
      <w:pPr>
        <w:pStyle w:val="BodyText"/>
        <w:spacing w:line="283" w:lineRule="auto"/>
        <w:ind w:left="1857" w:right="148" w:firstLine="6"/>
      </w:pPr>
      <w:r>
        <w:rPr>
          <w:color w:val="131313"/>
        </w:rPr>
        <w:t>Also, as part of this section CMS solici</w:t>
      </w:r>
      <w:r>
        <w:rPr>
          <w:color w:val="131313"/>
        </w:rPr>
        <w:t>ts comment on the various practices of Part D plan sponsors that limit access to their network and to dispensing specialty drugs, including requiring specific pharmacy accreditations and waiving standard terms and conditions for certain</w:t>
      </w:r>
    </w:p>
    <w:p w:rsidR="00CC6912" w:rsidRDefault="00CC6912">
      <w:pPr>
        <w:spacing w:line="283" w:lineRule="auto"/>
        <w:sectPr w:rsidR="00CC6912">
          <w:headerReference w:type="default" r:id="rId8"/>
          <w:footerReference w:type="default" r:id="rId9"/>
          <w:pgSz w:w="12240" w:h="15840"/>
          <w:pgMar w:top="1700" w:right="1700" w:bottom="1220" w:left="0" w:header="668" w:footer="1027" w:gutter="0"/>
          <w:pgNumType w:start="2"/>
          <w:cols w:space="720"/>
        </w:sectPr>
      </w:pPr>
    </w:p>
    <w:p w:rsidR="00CC6912" w:rsidRDefault="00CC6912">
      <w:pPr>
        <w:pStyle w:val="BodyText"/>
        <w:spacing w:before="7"/>
        <w:rPr>
          <w:sz w:val="18"/>
        </w:rPr>
      </w:pPr>
    </w:p>
    <w:p w:rsidR="00CC6912" w:rsidRDefault="00B65337">
      <w:pPr>
        <w:pStyle w:val="BodyText"/>
        <w:spacing w:before="94" w:line="280" w:lineRule="auto"/>
        <w:ind w:left="1845" w:right="461" w:firstLine="4"/>
      </w:pPr>
      <w:r>
        <w:rPr>
          <w:color w:val="131313"/>
        </w:rPr>
        <w:t>pharmacies. NHIA supports that CMS proposes to clarify the regulatory requirement for what constitutes "reasonable and relevant"</w:t>
      </w:r>
      <w:r>
        <w:rPr>
          <w:color w:val="131313"/>
        </w:rPr>
        <w:t xml:space="preserve"> standard contract terms and </w:t>
      </w:r>
      <w:r>
        <w:rPr>
          <w:color w:val="131313"/>
          <w:spacing w:val="51"/>
        </w:rPr>
        <w:t xml:space="preserve"> </w:t>
      </w:r>
      <w:r>
        <w:rPr>
          <w:color w:val="131313"/>
        </w:rPr>
        <w:t>conditions.</w:t>
      </w:r>
    </w:p>
    <w:p w:rsidR="00CC6912" w:rsidRDefault="00CC6912">
      <w:pPr>
        <w:pStyle w:val="BodyText"/>
        <w:spacing w:before="5"/>
      </w:pPr>
    </w:p>
    <w:p w:rsidR="00CC6912" w:rsidRDefault="00B65337">
      <w:pPr>
        <w:pStyle w:val="BodyText"/>
        <w:spacing w:line="280" w:lineRule="auto"/>
        <w:ind w:left="1839" w:right="148" w:firstLine="7"/>
      </w:pPr>
      <w:r>
        <w:pict>
          <v:line id="_x0000_s1028" style="position:absolute;left:0;text-align:left;z-index:1096;mso-position-horizontal-relative:page" from="1.3pt,408.15pt" to="1.3pt,11.3pt" strokeweight=".25342mm">
            <w10:wrap anchorx="page"/>
          </v:line>
        </w:pict>
      </w:r>
      <w:r>
        <w:rPr>
          <w:color w:val="131313"/>
        </w:rPr>
        <w:t xml:space="preserve">Further NHIA supports efforts to curtail Part D plan sponsors from requiring a Part D plan's accreditation program. Home infusion has several established accreditation organizations that are independent from the </w:t>
      </w:r>
      <w:r>
        <w:rPr>
          <w:color w:val="131313"/>
        </w:rPr>
        <w:t>Part D plans which can be relied upon for accreditation requirements</w:t>
      </w:r>
      <w:r>
        <w:rPr>
          <w:color w:val="343434"/>
        </w:rPr>
        <w:t xml:space="preserve">. </w:t>
      </w:r>
      <w:r>
        <w:rPr>
          <w:color w:val="131313"/>
        </w:rPr>
        <w:t>These same organizations are used as part of the Medicare Part B program for home infusion and should be relied upon for this purpose.</w:t>
      </w:r>
    </w:p>
    <w:p w:rsidR="00CC6912" w:rsidRDefault="00CC6912">
      <w:pPr>
        <w:pStyle w:val="BodyText"/>
        <w:spacing w:before="9"/>
      </w:pPr>
    </w:p>
    <w:p w:rsidR="00CC6912" w:rsidRDefault="00B65337">
      <w:pPr>
        <w:pStyle w:val="BodyText"/>
        <w:spacing w:line="280" w:lineRule="auto"/>
        <w:ind w:left="1840" w:right="230" w:firstLine="7"/>
      </w:pPr>
      <w:r>
        <w:rPr>
          <w:color w:val="131313"/>
        </w:rPr>
        <w:t>NHIA also supports CMS' proposal to impose deadlin</w:t>
      </w:r>
      <w:r>
        <w:rPr>
          <w:color w:val="131313"/>
        </w:rPr>
        <w:t>es to ensure Part D plan sponsors provide pharmacies with their standard terms and conditions. The proposal addresses an issue that many pharmacies have observed where plan sponsors delay providing standard terms and conditions or require extensive paperwo</w:t>
      </w:r>
      <w:r>
        <w:rPr>
          <w:color w:val="131313"/>
        </w:rPr>
        <w:t xml:space="preserve">rk to demonstrate eligibility to participate in the sponsor's network. This contradicts the very nature of having any willing pharmacy standard terms and conditions </w:t>
      </w:r>
      <w:r>
        <w:rPr>
          <w:color w:val="343434"/>
        </w:rPr>
        <w:t>.</w:t>
      </w:r>
    </w:p>
    <w:p w:rsidR="00CC6912" w:rsidRDefault="00CC6912">
      <w:pPr>
        <w:pStyle w:val="BodyText"/>
        <w:spacing w:before="5"/>
        <w:rPr>
          <w:sz w:val="22"/>
        </w:rPr>
      </w:pPr>
    </w:p>
    <w:p w:rsidR="00CC6912" w:rsidRDefault="00B65337">
      <w:pPr>
        <w:ind w:left="1840"/>
        <w:rPr>
          <w:b/>
          <w:sz w:val="18"/>
        </w:rPr>
      </w:pPr>
      <w:r>
        <w:rPr>
          <w:b/>
          <w:color w:val="131313"/>
          <w:w w:val="105"/>
          <w:sz w:val="18"/>
          <w:u w:val="single" w:color="000000"/>
        </w:rPr>
        <w:t>Expedited Substitutions of Certain Generics and Other Midyear Formulary Changes</w:t>
      </w:r>
    </w:p>
    <w:p w:rsidR="00CC6912" w:rsidRDefault="00CC6912">
      <w:pPr>
        <w:pStyle w:val="BodyText"/>
        <w:spacing w:before="1"/>
        <w:rPr>
          <w:b/>
          <w:sz w:val="24"/>
        </w:rPr>
      </w:pPr>
    </w:p>
    <w:p w:rsidR="00CC6912" w:rsidRDefault="00B65337">
      <w:pPr>
        <w:pStyle w:val="BodyText"/>
        <w:spacing w:line="280" w:lineRule="auto"/>
        <w:ind w:left="1840" w:right="148" w:firstLine="6"/>
      </w:pPr>
      <w:r>
        <w:rPr>
          <w:color w:val="131313"/>
          <w:w w:val="105"/>
        </w:rPr>
        <w:t>While N</w:t>
      </w:r>
      <w:r>
        <w:rPr>
          <w:color w:val="131313"/>
          <w:w w:val="105"/>
        </w:rPr>
        <w:t>HIA generally supports CMS' reason for considering giving Part D sponsors more flexibility to implement generic substitutions by permitting sponsors to immediately remove brand</w:t>
      </w:r>
      <w:r>
        <w:rPr>
          <w:color w:val="131313"/>
          <w:spacing w:val="-20"/>
          <w:w w:val="105"/>
        </w:rPr>
        <w:t xml:space="preserve"> </w:t>
      </w:r>
      <w:r>
        <w:rPr>
          <w:color w:val="131313"/>
          <w:w w:val="105"/>
        </w:rPr>
        <w:t>name</w:t>
      </w:r>
      <w:r>
        <w:rPr>
          <w:color w:val="131313"/>
          <w:spacing w:val="-17"/>
          <w:w w:val="105"/>
        </w:rPr>
        <w:t xml:space="preserve"> </w:t>
      </w:r>
      <w:r>
        <w:rPr>
          <w:color w:val="131313"/>
          <w:w w:val="105"/>
        </w:rPr>
        <w:t>drugs</w:t>
      </w:r>
      <w:r>
        <w:rPr>
          <w:color w:val="131313"/>
          <w:spacing w:val="-23"/>
          <w:w w:val="105"/>
        </w:rPr>
        <w:t xml:space="preserve"> </w:t>
      </w:r>
      <w:r>
        <w:rPr>
          <w:color w:val="131313"/>
          <w:w w:val="105"/>
        </w:rPr>
        <w:t>(or</w:t>
      </w:r>
      <w:r>
        <w:rPr>
          <w:color w:val="131313"/>
          <w:spacing w:val="-21"/>
          <w:w w:val="105"/>
        </w:rPr>
        <w:t xml:space="preserve"> </w:t>
      </w:r>
      <w:r>
        <w:rPr>
          <w:color w:val="131313"/>
          <w:w w:val="105"/>
        </w:rPr>
        <w:t>to</w:t>
      </w:r>
      <w:r>
        <w:rPr>
          <w:color w:val="131313"/>
          <w:spacing w:val="-13"/>
          <w:w w:val="105"/>
        </w:rPr>
        <w:t xml:space="preserve"> </w:t>
      </w:r>
      <w:r>
        <w:rPr>
          <w:color w:val="131313"/>
          <w:w w:val="105"/>
        </w:rPr>
        <w:t>make</w:t>
      </w:r>
      <w:r>
        <w:rPr>
          <w:color w:val="131313"/>
          <w:spacing w:val="-17"/>
          <w:w w:val="105"/>
        </w:rPr>
        <w:t xml:space="preserve"> </w:t>
      </w:r>
      <w:r>
        <w:rPr>
          <w:color w:val="131313"/>
          <w:w w:val="105"/>
        </w:rPr>
        <w:t>changes</w:t>
      </w:r>
      <w:r>
        <w:rPr>
          <w:color w:val="131313"/>
          <w:spacing w:val="-25"/>
          <w:w w:val="105"/>
        </w:rPr>
        <w:t xml:space="preserve"> </w:t>
      </w:r>
      <w:r>
        <w:rPr>
          <w:color w:val="131313"/>
          <w:w w:val="105"/>
        </w:rPr>
        <w:t>in</w:t>
      </w:r>
      <w:r>
        <w:rPr>
          <w:color w:val="131313"/>
          <w:spacing w:val="-29"/>
          <w:w w:val="105"/>
        </w:rPr>
        <w:t xml:space="preserve"> </w:t>
      </w:r>
      <w:r>
        <w:rPr>
          <w:color w:val="131313"/>
          <w:w w:val="105"/>
        </w:rPr>
        <w:t>their</w:t>
      </w:r>
      <w:r>
        <w:rPr>
          <w:color w:val="131313"/>
          <w:spacing w:val="-20"/>
          <w:w w:val="105"/>
        </w:rPr>
        <w:t xml:space="preserve"> </w:t>
      </w:r>
      <w:r>
        <w:rPr>
          <w:color w:val="131313"/>
          <w:w w:val="105"/>
        </w:rPr>
        <w:t>preferred</w:t>
      </w:r>
      <w:r>
        <w:rPr>
          <w:color w:val="131313"/>
          <w:spacing w:val="-20"/>
          <w:w w:val="105"/>
        </w:rPr>
        <w:t xml:space="preserve"> </w:t>
      </w:r>
      <w:r>
        <w:rPr>
          <w:color w:val="131313"/>
          <w:w w:val="105"/>
        </w:rPr>
        <w:t>or</w:t>
      </w:r>
      <w:r>
        <w:rPr>
          <w:color w:val="131313"/>
          <w:spacing w:val="-25"/>
          <w:w w:val="105"/>
        </w:rPr>
        <w:t xml:space="preserve"> </w:t>
      </w:r>
      <w:r>
        <w:rPr>
          <w:color w:val="131313"/>
          <w:w w:val="105"/>
        </w:rPr>
        <w:t>tiered</w:t>
      </w:r>
      <w:r>
        <w:rPr>
          <w:color w:val="131313"/>
          <w:spacing w:val="-19"/>
          <w:w w:val="105"/>
        </w:rPr>
        <w:t xml:space="preserve"> </w:t>
      </w:r>
      <w:r>
        <w:rPr>
          <w:color w:val="131313"/>
          <w:w w:val="105"/>
        </w:rPr>
        <w:t>cost-sharing</w:t>
      </w:r>
      <w:r>
        <w:rPr>
          <w:color w:val="131313"/>
          <w:spacing w:val="-17"/>
          <w:w w:val="105"/>
        </w:rPr>
        <w:t xml:space="preserve"> </w:t>
      </w:r>
      <w:r>
        <w:rPr>
          <w:color w:val="131313"/>
          <w:w w:val="105"/>
        </w:rPr>
        <w:t>status),</w:t>
      </w:r>
      <w:r>
        <w:rPr>
          <w:color w:val="131313"/>
          <w:spacing w:val="-18"/>
          <w:w w:val="105"/>
        </w:rPr>
        <w:t xml:space="preserve"> </w:t>
      </w:r>
      <w:r>
        <w:rPr>
          <w:color w:val="131313"/>
          <w:w w:val="105"/>
        </w:rPr>
        <w:t>when those Part D sponsors replace the brand name drugs with (or add to their formularies) therapeutically</w:t>
      </w:r>
      <w:r>
        <w:rPr>
          <w:color w:val="131313"/>
          <w:spacing w:val="-35"/>
          <w:w w:val="105"/>
        </w:rPr>
        <w:t xml:space="preserve"> </w:t>
      </w:r>
      <w:r>
        <w:rPr>
          <w:color w:val="131313"/>
          <w:w w:val="105"/>
        </w:rPr>
        <w:t>equivalent</w:t>
      </w:r>
      <w:r>
        <w:rPr>
          <w:color w:val="131313"/>
          <w:spacing w:val="-28"/>
          <w:w w:val="105"/>
        </w:rPr>
        <w:t xml:space="preserve"> </w:t>
      </w:r>
      <w:r>
        <w:rPr>
          <w:color w:val="131313"/>
          <w:w w:val="105"/>
        </w:rPr>
        <w:t>newly</w:t>
      </w:r>
      <w:r>
        <w:rPr>
          <w:color w:val="131313"/>
          <w:spacing w:val="-33"/>
          <w:w w:val="105"/>
        </w:rPr>
        <w:t xml:space="preserve"> </w:t>
      </w:r>
      <w:r>
        <w:rPr>
          <w:color w:val="131313"/>
          <w:w w:val="105"/>
        </w:rPr>
        <w:t>approved</w:t>
      </w:r>
      <w:r>
        <w:rPr>
          <w:color w:val="131313"/>
          <w:spacing w:val="-32"/>
          <w:w w:val="105"/>
        </w:rPr>
        <w:t xml:space="preserve"> </w:t>
      </w:r>
      <w:r>
        <w:rPr>
          <w:color w:val="131313"/>
          <w:w w:val="105"/>
        </w:rPr>
        <w:t>generics,</w:t>
      </w:r>
      <w:r>
        <w:rPr>
          <w:color w:val="131313"/>
          <w:spacing w:val="-33"/>
          <w:w w:val="105"/>
        </w:rPr>
        <w:t xml:space="preserve"> </w:t>
      </w:r>
      <w:r>
        <w:rPr>
          <w:color w:val="131313"/>
          <w:w w:val="105"/>
        </w:rPr>
        <w:t>NHIA</w:t>
      </w:r>
      <w:r>
        <w:rPr>
          <w:color w:val="131313"/>
          <w:spacing w:val="-32"/>
          <w:w w:val="105"/>
        </w:rPr>
        <w:t xml:space="preserve"> </w:t>
      </w:r>
      <w:r>
        <w:rPr>
          <w:color w:val="131313"/>
          <w:w w:val="105"/>
        </w:rPr>
        <w:t>has</w:t>
      </w:r>
      <w:r>
        <w:rPr>
          <w:color w:val="131313"/>
          <w:spacing w:val="-36"/>
          <w:w w:val="105"/>
        </w:rPr>
        <w:t xml:space="preserve"> </w:t>
      </w:r>
      <w:r>
        <w:rPr>
          <w:color w:val="131313"/>
          <w:w w:val="105"/>
        </w:rPr>
        <w:t>concerns</w:t>
      </w:r>
      <w:r>
        <w:rPr>
          <w:color w:val="131313"/>
          <w:spacing w:val="-35"/>
          <w:w w:val="105"/>
        </w:rPr>
        <w:t xml:space="preserve"> </w:t>
      </w:r>
      <w:r>
        <w:rPr>
          <w:color w:val="131313"/>
          <w:w w:val="105"/>
        </w:rPr>
        <w:t>that</w:t>
      </w:r>
      <w:r>
        <w:rPr>
          <w:color w:val="131313"/>
          <w:spacing w:val="-33"/>
          <w:w w:val="105"/>
        </w:rPr>
        <w:t xml:space="preserve"> </w:t>
      </w:r>
      <w:r>
        <w:rPr>
          <w:color w:val="131313"/>
          <w:w w:val="105"/>
        </w:rPr>
        <w:t>ample</w:t>
      </w:r>
      <w:r>
        <w:rPr>
          <w:color w:val="131313"/>
          <w:spacing w:val="-32"/>
          <w:w w:val="105"/>
        </w:rPr>
        <w:t xml:space="preserve"> </w:t>
      </w:r>
      <w:r>
        <w:rPr>
          <w:color w:val="131313"/>
          <w:w w:val="105"/>
        </w:rPr>
        <w:t>notice</w:t>
      </w:r>
      <w:r>
        <w:rPr>
          <w:color w:val="131313"/>
          <w:spacing w:val="-33"/>
          <w:w w:val="105"/>
        </w:rPr>
        <w:t xml:space="preserve"> </w:t>
      </w:r>
      <w:r>
        <w:rPr>
          <w:color w:val="131313"/>
          <w:w w:val="105"/>
        </w:rPr>
        <w:t>must be</w:t>
      </w:r>
      <w:r>
        <w:rPr>
          <w:color w:val="131313"/>
          <w:spacing w:val="-19"/>
          <w:w w:val="105"/>
        </w:rPr>
        <w:t xml:space="preserve"> </w:t>
      </w:r>
      <w:r>
        <w:rPr>
          <w:color w:val="131313"/>
          <w:w w:val="105"/>
        </w:rPr>
        <w:t>met.</w:t>
      </w:r>
      <w:r>
        <w:rPr>
          <w:color w:val="131313"/>
          <w:spacing w:val="9"/>
          <w:w w:val="105"/>
        </w:rPr>
        <w:t xml:space="preserve"> </w:t>
      </w:r>
      <w:r>
        <w:rPr>
          <w:color w:val="131313"/>
          <w:w w:val="105"/>
        </w:rPr>
        <w:t>Immediate</w:t>
      </w:r>
      <w:r>
        <w:rPr>
          <w:color w:val="131313"/>
          <w:spacing w:val="-9"/>
          <w:w w:val="105"/>
        </w:rPr>
        <w:t xml:space="preserve"> </w:t>
      </w:r>
      <w:r>
        <w:rPr>
          <w:color w:val="131313"/>
          <w:w w:val="105"/>
        </w:rPr>
        <w:t>substitution</w:t>
      </w:r>
      <w:r>
        <w:rPr>
          <w:color w:val="131313"/>
          <w:spacing w:val="-8"/>
          <w:w w:val="105"/>
        </w:rPr>
        <w:t xml:space="preserve"> </w:t>
      </w:r>
      <w:r>
        <w:rPr>
          <w:color w:val="131313"/>
          <w:w w:val="105"/>
        </w:rPr>
        <w:t>with</w:t>
      </w:r>
      <w:r>
        <w:rPr>
          <w:color w:val="131313"/>
          <w:spacing w:val="-23"/>
          <w:w w:val="105"/>
        </w:rPr>
        <w:t xml:space="preserve"> </w:t>
      </w:r>
      <w:r>
        <w:rPr>
          <w:color w:val="131313"/>
          <w:w w:val="105"/>
        </w:rPr>
        <w:t>limited</w:t>
      </w:r>
      <w:r>
        <w:rPr>
          <w:color w:val="131313"/>
          <w:spacing w:val="-18"/>
          <w:w w:val="105"/>
        </w:rPr>
        <w:t xml:space="preserve"> </w:t>
      </w:r>
      <w:r>
        <w:rPr>
          <w:color w:val="131313"/>
          <w:w w:val="105"/>
        </w:rPr>
        <w:t>notice</w:t>
      </w:r>
      <w:r>
        <w:rPr>
          <w:color w:val="131313"/>
          <w:spacing w:val="-17"/>
          <w:w w:val="105"/>
        </w:rPr>
        <w:t xml:space="preserve"> </w:t>
      </w:r>
      <w:r>
        <w:rPr>
          <w:color w:val="131313"/>
          <w:w w:val="105"/>
        </w:rPr>
        <w:t>can</w:t>
      </w:r>
      <w:r>
        <w:rPr>
          <w:color w:val="131313"/>
          <w:spacing w:val="-17"/>
          <w:w w:val="105"/>
        </w:rPr>
        <w:t xml:space="preserve"> </w:t>
      </w:r>
      <w:r>
        <w:rPr>
          <w:color w:val="131313"/>
          <w:w w:val="105"/>
        </w:rPr>
        <w:t>cause</w:t>
      </w:r>
      <w:r>
        <w:rPr>
          <w:color w:val="131313"/>
          <w:spacing w:val="-17"/>
          <w:w w:val="105"/>
        </w:rPr>
        <w:t xml:space="preserve"> </w:t>
      </w:r>
      <w:r>
        <w:rPr>
          <w:color w:val="131313"/>
          <w:w w:val="105"/>
        </w:rPr>
        <w:t>su</w:t>
      </w:r>
      <w:r>
        <w:rPr>
          <w:color w:val="131313"/>
          <w:w w:val="105"/>
        </w:rPr>
        <w:t>pply</w:t>
      </w:r>
      <w:r>
        <w:rPr>
          <w:color w:val="131313"/>
          <w:spacing w:val="-17"/>
          <w:w w:val="105"/>
        </w:rPr>
        <w:t xml:space="preserve"> </w:t>
      </w:r>
      <w:r>
        <w:rPr>
          <w:color w:val="131313"/>
          <w:w w:val="105"/>
        </w:rPr>
        <w:t>chain</w:t>
      </w:r>
      <w:r>
        <w:rPr>
          <w:color w:val="131313"/>
          <w:spacing w:val="-21"/>
          <w:w w:val="105"/>
        </w:rPr>
        <w:t xml:space="preserve"> </w:t>
      </w:r>
      <w:r>
        <w:rPr>
          <w:color w:val="131313"/>
          <w:w w:val="105"/>
        </w:rPr>
        <w:t>issues.</w:t>
      </w:r>
      <w:r>
        <w:rPr>
          <w:color w:val="131313"/>
          <w:spacing w:val="8"/>
          <w:w w:val="105"/>
        </w:rPr>
        <w:t xml:space="preserve"> </w:t>
      </w:r>
      <w:r>
        <w:rPr>
          <w:color w:val="131313"/>
          <w:w w:val="105"/>
        </w:rPr>
        <w:t>With</w:t>
      </w:r>
      <w:r>
        <w:rPr>
          <w:color w:val="131313"/>
          <w:spacing w:val="-24"/>
          <w:w w:val="105"/>
        </w:rPr>
        <w:t xml:space="preserve"> </w:t>
      </w:r>
      <w:r>
        <w:rPr>
          <w:color w:val="131313"/>
          <w:w w:val="105"/>
        </w:rPr>
        <w:t>little</w:t>
      </w:r>
      <w:r>
        <w:rPr>
          <w:color w:val="131313"/>
          <w:spacing w:val="-19"/>
          <w:w w:val="105"/>
        </w:rPr>
        <w:t xml:space="preserve"> </w:t>
      </w:r>
      <w:r>
        <w:rPr>
          <w:color w:val="131313"/>
          <w:w w:val="105"/>
        </w:rPr>
        <w:t>to no notice a home infusion pharmacy may not have access to the generic drug and have no recourse</w:t>
      </w:r>
      <w:r>
        <w:rPr>
          <w:color w:val="131313"/>
          <w:spacing w:val="-23"/>
          <w:w w:val="105"/>
        </w:rPr>
        <w:t xml:space="preserve"> </w:t>
      </w:r>
      <w:r>
        <w:rPr>
          <w:color w:val="131313"/>
          <w:w w:val="105"/>
        </w:rPr>
        <w:t>but</w:t>
      </w:r>
      <w:r>
        <w:rPr>
          <w:color w:val="131313"/>
          <w:spacing w:val="-27"/>
          <w:w w:val="105"/>
        </w:rPr>
        <w:t xml:space="preserve"> </w:t>
      </w:r>
      <w:r>
        <w:rPr>
          <w:color w:val="131313"/>
          <w:w w:val="105"/>
        </w:rPr>
        <w:t>to</w:t>
      </w:r>
      <w:r>
        <w:rPr>
          <w:color w:val="131313"/>
          <w:spacing w:val="-19"/>
          <w:w w:val="105"/>
        </w:rPr>
        <w:t xml:space="preserve"> </w:t>
      </w:r>
      <w:r>
        <w:rPr>
          <w:color w:val="131313"/>
          <w:w w:val="105"/>
        </w:rPr>
        <w:t>dispense</w:t>
      </w:r>
      <w:r>
        <w:rPr>
          <w:color w:val="131313"/>
          <w:spacing w:val="-28"/>
          <w:w w:val="105"/>
        </w:rPr>
        <w:t xml:space="preserve"> </w:t>
      </w:r>
      <w:r>
        <w:rPr>
          <w:color w:val="131313"/>
          <w:w w:val="105"/>
        </w:rPr>
        <w:t>the</w:t>
      </w:r>
      <w:r>
        <w:rPr>
          <w:color w:val="131313"/>
          <w:spacing w:val="-27"/>
          <w:w w:val="105"/>
        </w:rPr>
        <w:t xml:space="preserve"> </w:t>
      </w:r>
      <w:r>
        <w:rPr>
          <w:color w:val="131313"/>
          <w:w w:val="105"/>
        </w:rPr>
        <w:t>branded</w:t>
      </w:r>
      <w:r>
        <w:rPr>
          <w:color w:val="131313"/>
          <w:spacing w:val="-22"/>
          <w:w w:val="105"/>
        </w:rPr>
        <w:t xml:space="preserve"> </w:t>
      </w:r>
      <w:r>
        <w:rPr>
          <w:color w:val="131313"/>
          <w:w w:val="105"/>
        </w:rPr>
        <w:t>drug</w:t>
      </w:r>
      <w:r>
        <w:rPr>
          <w:color w:val="131313"/>
          <w:spacing w:val="-31"/>
          <w:w w:val="105"/>
        </w:rPr>
        <w:t xml:space="preserve"> </w:t>
      </w:r>
      <w:r>
        <w:rPr>
          <w:color w:val="131313"/>
          <w:w w:val="105"/>
        </w:rPr>
        <w:t>to</w:t>
      </w:r>
      <w:r>
        <w:rPr>
          <w:color w:val="131313"/>
          <w:spacing w:val="-20"/>
          <w:w w:val="105"/>
        </w:rPr>
        <w:t xml:space="preserve"> </w:t>
      </w:r>
      <w:r>
        <w:rPr>
          <w:color w:val="131313"/>
          <w:w w:val="105"/>
        </w:rPr>
        <w:t>the</w:t>
      </w:r>
      <w:r>
        <w:rPr>
          <w:color w:val="131313"/>
          <w:spacing w:val="-27"/>
          <w:w w:val="105"/>
        </w:rPr>
        <w:t xml:space="preserve"> </w:t>
      </w:r>
      <w:r>
        <w:rPr>
          <w:color w:val="131313"/>
          <w:w w:val="105"/>
        </w:rPr>
        <w:t>beneficiary.</w:t>
      </w:r>
    </w:p>
    <w:p w:rsidR="00CC6912" w:rsidRDefault="00CC6912">
      <w:pPr>
        <w:pStyle w:val="BodyText"/>
        <w:spacing w:before="5"/>
      </w:pPr>
    </w:p>
    <w:p w:rsidR="00CC6912" w:rsidRDefault="00B65337">
      <w:pPr>
        <w:pStyle w:val="BodyText"/>
        <w:spacing w:line="280" w:lineRule="auto"/>
        <w:ind w:left="1835" w:right="239" w:firstLine="3"/>
      </w:pPr>
      <w:r>
        <w:rPr>
          <w:color w:val="131313"/>
        </w:rPr>
        <w:t>It must also be noted that this section of the rule appears to move in a different direction than the Part D Tiering Exemptions section of the rule. As discussed earlier home infusion is unique due to the route of administration of the drug and in some cas</w:t>
      </w:r>
      <w:r>
        <w:rPr>
          <w:color w:val="131313"/>
        </w:rPr>
        <w:t>es the branded drug is necessary due to medical necessity. Without adequate pharmacy notice of a move to a generic drug and changes to the tiering structure for home infusion drugs, medical necessity requirements for tiering exemptions may not be met becau</w:t>
      </w:r>
      <w:r>
        <w:rPr>
          <w:color w:val="131313"/>
        </w:rPr>
        <w:t>se they were not necessary prior. CMS should consider a process where tiering exemptions and medical necessity can be streamlined along with the expedited  substitutions of certain generics.</w:t>
      </w:r>
    </w:p>
    <w:p w:rsidR="00CC6912" w:rsidRDefault="00CC6912">
      <w:pPr>
        <w:pStyle w:val="BodyText"/>
        <w:spacing w:before="5"/>
        <w:rPr>
          <w:sz w:val="22"/>
        </w:rPr>
      </w:pPr>
    </w:p>
    <w:p w:rsidR="00CC6912" w:rsidRDefault="00B65337">
      <w:pPr>
        <w:spacing w:before="1" w:line="314" w:lineRule="auto"/>
        <w:ind w:left="1835" w:right="148"/>
        <w:rPr>
          <w:b/>
          <w:sz w:val="18"/>
        </w:rPr>
      </w:pPr>
      <w:r>
        <w:rPr>
          <w:b/>
          <w:color w:val="131313"/>
          <w:w w:val="105"/>
          <w:sz w:val="18"/>
          <w:u w:val="single" w:color="000000"/>
        </w:rPr>
        <w:t>Request for Information Regarding the Application of Manufacture</w:t>
      </w:r>
      <w:r>
        <w:rPr>
          <w:b/>
          <w:color w:val="131313"/>
          <w:w w:val="105"/>
          <w:sz w:val="18"/>
          <w:u w:val="single" w:color="000000"/>
        </w:rPr>
        <w:t>r Rebates and Pharmacy Price Concessions to Drug Prices at the Point of Sale (Direct and Indirect Remuneration (DIR) Fees)</w:t>
      </w:r>
    </w:p>
    <w:p w:rsidR="00CC6912" w:rsidRDefault="00CC6912">
      <w:pPr>
        <w:pStyle w:val="BodyText"/>
        <w:spacing w:before="1"/>
        <w:rPr>
          <w:b/>
          <w:sz w:val="19"/>
        </w:rPr>
      </w:pPr>
    </w:p>
    <w:p w:rsidR="00CC6912" w:rsidRDefault="00B65337">
      <w:pPr>
        <w:pStyle w:val="BodyText"/>
        <w:spacing w:line="280" w:lineRule="auto"/>
        <w:ind w:left="1835" w:right="199" w:firstLine="3"/>
      </w:pPr>
      <w:r>
        <w:rPr>
          <w:color w:val="131313"/>
        </w:rPr>
        <w:t>As part of the rule CMS has solicited comments regarding sponsors being required to include all pharmacy price concessions and a min</w:t>
      </w:r>
      <w:r>
        <w:rPr>
          <w:color w:val="131313"/>
        </w:rPr>
        <w:t>imum percentage of manufacturers rebates in the drug's "negotiated price" at the point of sale rather than counting for retrospective pharmacy price concessions and manufacturer rebates as DIR after the completion of the plan year</w:t>
      </w:r>
      <w:r>
        <w:rPr>
          <w:color w:val="343434"/>
        </w:rPr>
        <w:t xml:space="preserve">. </w:t>
      </w:r>
      <w:r>
        <w:rPr>
          <w:color w:val="131313"/>
        </w:rPr>
        <w:t>NHIA supports the approa</w:t>
      </w:r>
      <w:r>
        <w:rPr>
          <w:color w:val="131313"/>
        </w:rPr>
        <w:t>ch that would require Part D plan sponsors to recognize retrospective pharmacy concessions as price concessions in the "negotiated price" used to adjudicate Part D</w:t>
      </w:r>
    </w:p>
    <w:p w:rsidR="00CC6912" w:rsidRDefault="00CC6912">
      <w:pPr>
        <w:spacing w:line="280" w:lineRule="auto"/>
        <w:sectPr w:rsidR="00CC6912">
          <w:headerReference w:type="default" r:id="rId10"/>
          <w:pgSz w:w="12240" w:h="15840"/>
          <w:pgMar w:top="1700" w:right="1700" w:bottom="1220" w:left="0" w:header="669" w:footer="1027" w:gutter="0"/>
          <w:cols w:space="720"/>
        </w:sectPr>
      </w:pPr>
    </w:p>
    <w:p w:rsidR="00CC6912" w:rsidRDefault="00CC6912">
      <w:pPr>
        <w:pStyle w:val="BodyText"/>
        <w:spacing w:before="10"/>
        <w:rPr>
          <w:sz w:val="18"/>
        </w:rPr>
      </w:pPr>
      <w:bookmarkStart w:id="0" w:name="_GoBack"/>
    </w:p>
    <w:p w:rsidR="00CC6912" w:rsidRDefault="00B65337">
      <w:pPr>
        <w:pStyle w:val="BodyText"/>
        <w:spacing w:before="93"/>
        <w:ind w:left="1840"/>
      </w:pPr>
      <w:r>
        <w:rPr>
          <w:color w:val="151515"/>
        </w:rPr>
        <w:t>claims at the point of sale rather than as DIR after the termination of the plan  year.</w:t>
      </w:r>
    </w:p>
    <w:p w:rsidR="00CC6912" w:rsidRDefault="00CC6912">
      <w:pPr>
        <w:pStyle w:val="BodyText"/>
        <w:spacing w:before="8"/>
        <w:rPr>
          <w:sz w:val="23"/>
        </w:rPr>
      </w:pPr>
    </w:p>
    <w:p w:rsidR="00CC6912" w:rsidRDefault="00B65337">
      <w:pPr>
        <w:pStyle w:val="BodyText"/>
        <w:spacing w:line="280" w:lineRule="auto"/>
        <w:ind w:left="1835" w:right="216" w:firstLine="2"/>
      </w:pPr>
      <w:r>
        <w:pict>
          <v:line id="_x0000_s1027" style="position:absolute;left:0;text-align:left;z-index:1120;mso-position-horizontal-relative:page" from="1.3pt,417.95pt" to="1.3pt,20.15pt" strokecolor="#cfcfcf" strokeweight=".16894mm">
            <w10:wrap anchorx="page"/>
          </v:line>
        </w:pict>
      </w:r>
      <w:r>
        <w:rPr>
          <w:color w:val="151515"/>
        </w:rPr>
        <w:t xml:space="preserve">DIR Fees have become more prevalent over the past few years and the treatment of these pharmacy price concessions as DIR rather than as reductions in the "negotiated </w:t>
      </w:r>
      <w:r>
        <w:rPr>
          <w:color w:val="151515"/>
        </w:rPr>
        <w:t>price" of a drug has led to growing concern amongst NHIA's membership. The treatment of pharmacy price concessions as DIR often results in beneficiary cost-sharing that is higher than it should be for certain drugs.</w:t>
      </w:r>
    </w:p>
    <w:p w:rsidR="00CC6912" w:rsidRDefault="00CC6912">
      <w:pPr>
        <w:pStyle w:val="BodyText"/>
        <w:spacing w:before="5"/>
      </w:pPr>
    </w:p>
    <w:p w:rsidR="00CC6912" w:rsidRDefault="00B65337">
      <w:pPr>
        <w:pStyle w:val="BodyText"/>
        <w:spacing w:line="280" w:lineRule="auto"/>
        <w:ind w:left="1831" w:right="264" w:firstLine="5"/>
      </w:pPr>
      <w:r>
        <w:rPr>
          <w:color w:val="151515"/>
        </w:rPr>
        <w:t>For NHIA members retrospective pharmacy</w:t>
      </w:r>
      <w:r>
        <w:rPr>
          <w:color w:val="151515"/>
        </w:rPr>
        <w:t xml:space="preserve"> concessions do not allow for home infusion providers to account for the true reimbursement  rate for the drug at the prescription level.   When a pharmacy is reimbursed at the "negotiated price" absent of retrospective pharmacy concession the reimbursemen</w:t>
      </w:r>
      <w:r>
        <w:rPr>
          <w:color w:val="151515"/>
        </w:rPr>
        <w:t>t may be adequate, but months later when a large amount is withheld by a Part D plan sponsor the reimbursement adequacy equation can change dramatically. This could lead to the reimbursement on the claim to be inadequate or even lower than acquisition cost</w:t>
      </w:r>
      <w:r>
        <w:rPr>
          <w:color w:val="151515"/>
        </w:rPr>
        <w:t>. This is exacerbated when the DIR is calculated on a percentile basis and applied to high cost</w:t>
      </w:r>
      <w:r>
        <w:rPr>
          <w:color w:val="151515"/>
          <w:spacing w:val="3"/>
        </w:rPr>
        <w:t xml:space="preserve"> </w:t>
      </w:r>
      <w:r>
        <w:rPr>
          <w:color w:val="151515"/>
        </w:rPr>
        <w:t>drugs.</w:t>
      </w:r>
    </w:p>
    <w:p w:rsidR="00CC6912" w:rsidRDefault="00CC6912">
      <w:pPr>
        <w:pStyle w:val="BodyText"/>
        <w:spacing w:before="10"/>
      </w:pPr>
    </w:p>
    <w:p w:rsidR="00CC6912" w:rsidRDefault="00B65337">
      <w:pPr>
        <w:pStyle w:val="BodyText"/>
        <w:spacing w:line="280" w:lineRule="auto"/>
        <w:ind w:left="1835" w:right="75" w:hanging="2"/>
      </w:pPr>
      <w:r>
        <w:rPr>
          <w:color w:val="151515"/>
        </w:rPr>
        <w:t>NHIA also notes that many DIR fees are based on quality metrics that are not applicable to home infusion pharmacies</w:t>
      </w:r>
      <w:r>
        <w:rPr>
          <w:color w:val="4B4B4B"/>
        </w:rPr>
        <w:t xml:space="preserve">. </w:t>
      </w:r>
      <w:r>
        <w:rPr>
          <w:color w:val="151515"/>
        </w:rPr>
        <w:t>Many Part D plans base their DIR fe</w:t>
      </w:r>
      <w:r>
        <w:rPr>
          <w:color w:val="151515"/>
        </w:rPr>
        <w:t>es on quality performance of pharmacies, the imposition of unrelated quality standards to base their DIR fees on is arbitrary and irrelevant  from any real effort to improve the quality of the practice of home   infusion.</w:t>
      </w:r>
    </w:p>
    <w:p w:rsidR="00CC6912" w:rsidRDefault="00CC6912">
      <w:pPr>
        <w:pStyle w:val="BodyText"/>
        <w:spacing w:before="4"/>
        <w:rPr>
          <w:sz w:val="23"/>
        </w:rPr>
      </w:pPr>
    </w:p>
    <w:p w:rsidR="00CC6912" w:rsidRDefault="00B65337">
      <w:pPr>
        <w:pStyle w:val="BodyText"/>
        <w:spacing w:line="280" w:lineRule="auto"/>
        <w:ind w:left="1821" w:right="197" w:firstLine="11"/>
      </w:pPr>
      <w:r>
        <w:pict>
          <v:shapetype id="_x0000_t202" coordsize="21600,21600" o:spt="202" path="m,l,21600r21600,l21600,xe">
            <v:stroke joinstyle="miter"/>
            <v:path gradientshapeok="t" o:connecttype="rect"/>
          </v:shapetype>
          <v:shape id="_x0000_s1026" type="#_x0000_t202" style="position:absolute;left:0;text-align:left;margin-left:87.75pt;margin-top:70.5pt;width:120.3pt;height:71.45pt;z-index:-4792;mso-position-horizontal-relative:page" filled="f" stroked="f">
            <v:textbox inset="0,0,0,0">
              <w:txbxContent>
                <w:p w:rsidR="00CC6912" w:rsidRDefault="00B65337">
                  <w:pPr>
                    <w:spacing w:line="1429" w:lineRule="exact"/>
                    <w:rPr>
                      <w:rFonts w:ascii="Times New Roman"/>
                      <w:sz w:val="129"/>
                    </w:rPr>
                  </w:pPr>
                  <w:r>
                    <w:rPr>
                      <w:rFonts w:ascii="Times New Roman"/>
                      <w:color w:val="234290"/>
                      <w:spacing w:val="-14"/>
                      <w:w w:val="85"/>
                      <w:sz w:val="129"/>
                    </w:rPr>
                    <w:t>Z</w:t>
                  </w:r>
                  <w:r>
                    <w:rPr>
                      <w:rFonts w:ascii="Times New Roman"/>
                      <w:color w:val="214DBC"/>
                      <w:spacing w:val="-14"/>
                      <w:w w:val="85"/>
                      <w:sz w:val="129"/>
                    </w:rPr>
                    <w:t>kJw</w:t>
                  </w:r>
                </w:p>
              </w:txbxContent>
            </v:textbox>
            <w10:wrap anchorx="page"/>
          </v:shape>
        </w:pict>
      </w:r>
      <w:r>
        <w:rPr>
          <w:color w:val="151515"/>
        </w:rPr>
        <w:t>NHIA appreciates the opp</w:t>
      </w:r>
      <w:r>
        <w:rPr>
          <w:color w:val="151515"/>
        </w:rPr>
        <w:t>ortunity  to comment on the proposed rule and continuing to work  with</w:t>
      </w:r>
      <w:r>
        <w:rPr>
          <w:color w:val="151515"/>
          <w:spacing w:val="-18"/>
        </w:rPr>
        <w:t xml:space="preserve"> </w:t>
      </w:r>
      <w:r>
        <w:rPr>
          <w:color w:val="151515"/>
        </w:rPr>
        <w:t>CMS</w:t>
      </w:r>
      <w:r>
        <w:rPr>
          <w:color w:val="151515"/>
          <w:spacing w:val="-17"/>
        </w:rPr>
        <w:t xml:space="preserve"> </w:t>
      </w:r>
      <w:r>
        <w:rPr>
          <w:color w:val="151515"/>
        </w:rPr>
        <w:t>to</w:t>
      </w:r>
      <w:r>
        <w:rPr>
          <w:color w:val="151515"/>
          <w:spacing w:val="-10"/>
        </w:rPr>
        <w:t xml:space="preserve"> </w:t>
      </w:r>
      <w:r>
        <w:rPr>
          <w:color w:val="151515"/>
        </w:rPr>
        <w:t>ensure</w:t>
      </w:r>
      <w:r>
        <w:rPr>
          <w:color w:val="151515"/>
          <w:spacing w:val="-3"/>
        </w:rPr>
        <w:t xml:space="preserve"> </w:t>
      </w:r>
      <w:r>
        <w:rPr>
          <w:color w:val="151515"/>
        </w:rPr>
        <w:t>Medicare</w:t>
      </w:r>
      <w:r>
        <w:rPr>
          <w:color w:val="151515"/>
          <w:spacing w:val="8"/>
        </w:rPr>
        <w:t xml:space="preserve"> </w:t>
      </w:r>
      <w:r>
        <w:rPr>
          <w:color w:val="151515"/>
        </w:rPr>
        <w:t>beneficiaries</w:t>
      </w:r>
      <w:r>
        <w:rPr>
          <w:color w:val="151515"/>
          <w:spacing w:val="1"/>
        </w:rPr>
        <w:t xml:space="preserve"> </w:t>
      </w:r>
      <w:r>
        <w:rPr>
          <w:color w:val="151515"/>
        </w:rPr>
        <w:t>have</w:t>
      </w:r>
      <w:r>
        <w:rPr>
          <w:color w:val="151515"/>
          <w:spacing w:val="-9"/>
        </w:rPr>
        <w:t xml:space="preserve"> </w:t>
      </w:r>
      <w:r>
        <w:rPr>
          <w:color w:val="151515"/>
        </w:rPr>
        <w:t>access</w:t>
      </w:r>
      <w:r>
        <w:rPr>
          <w:color w:val="151515"/>
          <w:spacing w:val="-3"/>
        </w:rPr>
        <w:t xml:space="preserve"> </w:t>
      </w:r>
      <w:r>
        <w:rPr>
          <w:color w:val="151515"/>
        </w:rPr>
        <w:t>to</w:t>
      </w:r>
      <w:r>
        <w:rPr>
          <w:color w:val="151515"/>
          <w:spacing w:val="9"/>
        </w:rPr>
        <w:t xml:space="preserve"> </w:t>
      </w:r>
      <w:r>
        <w:rPr>
          <w:color w:val="151515"/>
        </w:rPr>
        <w:t>the</w:t>
      </w:r>
      <w:r>
        <w:rPr>
          <w:color w:val="151515"/>
          <w:spacing w:val="-12"/>
        </w:rPr>
        <w:t xml:space="preserve"> </w:t>
      </w:r>
      <w:r>
        <w:rPr>
          <w:color w:val="151515"/>
        </w:rPr>
        <w:t>drugs</w:t>
      </w:r>
      <w:r>
        <w:rPr>
          <w:color w:val="151515"/>
          <w:spacing w:val="-9"/>
        </w:rPr>
        <w:t xml:space="preserve"> </w:t>
      </w:r>
      <w:r>
        <w:rPr>
          <w:color w:val="151515"/>
        </w:rPr>
        <w:t>and</w:t>
      </w:r>
      <w:r>
        <w:rPr>
          <w:color w:val="151515"/>
          <w:spacing w:val="-12"/>
        </w:rPr>
        <w:t xml:space="preserve"> </w:t>
      </w:r>
      <w:r>
        <w:rPr>
          <w:color w:val="151515"/>
        </w:rPr>
        <w:t>services</w:t>
      </w:r>
      <w:r>
        <w:rPr>
          <w:color w:val="151515"/>
          <w:spacing w:val="-6"/>
        </w:rPr>
        <w:t xml:space="preserve"> </w:t>
      </w:r>
      <w:r>
        <w:rPr>
          <w:color w:val="151515"/>
        </w:rPr>
        <w:t>home</w:t>
      </w:r>
      <w:r>
        <w:rPr>
          <w:color w:val="151515"/>
          <w:spacing w:val="-7"/>
        </w:rPr>
        <w:t xml:space="preserve"> </w:t>
      </w:r>
      <w:r>
        <w:rPr>
          <w:color w:val="151515"/>
        </w:rPr>
        <w:t xml:space="preserve">infusion providers avail to them. Please feel free to have your staff contact Kendall Van Pool, NHIA Vice President of Government Affairs, at (703) 838-2664 or </w:t>
      </w:r>
      <w:hyperlink r:id="rId11">
        <w:r>
          <w:rPr>
            <w:color w:val="151515"/>
          </w:rPr>
          <w:t>kendallvanpool@nhia.org</w:t>
        </w:r>
      </w:hyperlink>
      <w:r>
        <w:rPr>
          <w:color w:val="151515"/>
        </w:rPr>
        <w:t xml:space="preserve"> should you want to dis</w:t>
      </w:r>
      <w:r>
        <w:rPr>
          <w:color w:val="151515"/>
        </w:rPr>
        <w:t>cuss our comments further.  Thank you for your consideration of NHIA's</w:t>
      </w:r>
      <w:r>
        <w:rPr>
          <w:color w:val="151515"/>
          <w:spacing w:val="45"/>
        </w:rPr>
        <w:t xml:space="preserve"> </w:t>
      </w:r>
      <w:r>
        <w:rPr>
          <w:color w:val="151515"/>
        </w:rPr>
        <w:t>comments.</w:t>
      </w:r>
    </w:p>
    <w:p w:rsidR="00CC6912" w:rsidRDefault="00CC6912">
      <w:pPr>
        <w:pStyle w:val="BodyText"/>
        <w:rPr>
          <w:sz w:val="22"/>
        </w:rPr>
      </w:pPr>
    </w:p>
    <w:p w:rsidR="00CC6912" w:rsidRDefault="00CC6912">
      <w:pPr>
        <w:pStyle w:val="BodyText"/>
        <w:rPr>
          <w:sz w:val="22"/>
        </w:rPr>
      </w:pPr>
    </w:p>
    <w:p w:rsidR="00CC6912" w:rsidRDefault="00CC6912">
      <w:pPr>
        <w:pStyle w:val="BodyText"/>
        <w:rPr>
          <w:sz w:val="22"/>
        </w:rPr>
      </w:pPr>
    </w:p>
    <w:p w:rsidR="00CC6912" w:rsidRDefault="00CC6912">
      <w:pPr>
        <w:pStyle w:val="BodyText"/>
        <w:rPr>
          <w:sz w:val="22"/>
        </w:rPr>
      </w:pPr>
    </w:p>
    <w:p w:rsidR="00CC6912" w:rsidRDefault="00CC6912">
      <w:pPr>
        <w:pStyle w:val="BodyText"/>
        <w:rPr>
          <w:sz w:val="28"/>
        </w:rPr>
      </w:pPr>
    </w:p>
    <w:p w:rsidR="00CC6912" w:rsidRDefault="00B65337">
      <w:pPr>
        <w:ind w:left="1821"/>
        <w:rPr>
          <w:rFonts w:ascii="Times New Roman"/>
          <w:b/>
        </w:rPr>
      </w:pPr>
      <w:r>
        <w:rPr>
          <w:rFonts w:ascii="Times New Roman"/>
          <w:b/>
          <w:color w:val="151515"/>
          <w:w w:val="85"/>
        </w:rPr>
        <w:t>Tyle</w:t>
      </w:r>
      <w:r>
        <w:rPr>
          <w:rFonts w:ascii="Times New Roman"/>
          <w:b/>
          <w:color w:val="234290"/>
          <w:w w:val="85"/>
        </w:rPr>
        <w:t xml:space="preserve">J </w:t>
      </w:r>
      <w:r>
        <w:rPr>
          <w:rFonts w:ascii="Times New Roman"/>
          <w:b/>
          <w:color w:val="151515"/>
          <w:w w:val="85"/>
        </w:rPr>
        <w:t>Wilson</w:t>
      </w:r>
    </w:p>
    <w:p w:rsidR="00CC6912" w:rsidRDefault="00B65337">
      <w:pPr>
        <w:pStyle w:val="BodyText"/>
        <w:spacing w:before="28"/>
        <w:ind w:left="1833"/>
      </w:pPr>
      <w:r>
        <w:rPr>
          <w:color w:val="151515"/>
          <w:w w:val="95"/>
        </w:rPr>
        <w:t>President &amp; CEO</w:t>
      </w:r>
    </w:p>
    <w:p w:rsidR="00CC6912" w:rsidRDefault="00B65337">
      <w:pPr>
        <w:pStyle w:val="BodyText"/>
        <w:spacing w:before="38"/>
        <w:ind w:left="1833"/>
      </w:pPr>
      <w:r>
        <w:rPr>
          <w:color w:val="151515"/>
        </w:rPr>
        <w:t>National Home Infusion Association</w:t>
      </w:r>
      <w:bookmarkEnd w:id="0"/>
    </w:p>
    <w:sectPr w:rsidR="00CC6912">
      <w:headerReference w:type="default" r:id="rId12"/>
      <w:pgSz w:w="12240" w:h="15840"/>
      <w:pgMar w:top="1680" w:right="1700" w:bottom="1220" w:left="0" w:header="651" w:footer="10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5337">
      <w:r>
        <w:separator/>
      </w:r>
    </w:p>
  </w:endnote>
  <w:endnote w:type="continuationSeparator" w:id="0">
    <w:p w:rsidR="00000000" w:rsidRDefault="00B6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912" w:rsidRDefault="00B65337">
    <w:pPr>
      <w:pStyle w:val="BodyText"/>
      <w:spacing w:line="14" w:lineRule="auto"/>
      <w:rPr>
        <w:sz w:val="17"/>
      </w:rPr>
    </w:pPr>
    <w:r>
      <w:pict>
        <v:shapetype id="_x0000_t202" coordsize="21600,21600" o:spt="202" path="m,l,21600r21600,l21600,xe">
          <v:stroke joinstyle="miter"/>
          <v:path gradientshapeok="t" o:connecttype="rect"/>
        </v:shapetype>
        <v:shape id="_x0000_s2051" type="#_x0000_t202" style="position:absolute;margin-left:514.35pt;margin-top:727.75pt;width:9.2pt;height:13.4pt;z-index:-4888;mso-position-horizontal-relative:page;mso-position-vertical-relative:page" filled="f" stroked="f">
          <v:textbox inset="0,0,0,0">
            <w:txbxContent>
              <w:p w:rsidR="00CC6912" w:rsidRDefault="00B65337">
                <w:pPr>
                  <w:spacing w:before="52"/>
                  <w:ind w:left="40"/>
                  <w:rPr>
                    <w:sz w:val="17"/>
                  </w:rPr>
                </w:pPr>
                <w:r>
                  <w:fldChar w:fldCharType="begin"/>
                </w:r>
                <w:r>
                  <w:rPr>
                    <w:color w:val="131313"/>
                    <w:w w:val="99"/>
                    <w:sz w:val="17"/>
                  </w:rPr>
                  <w:instrText xml:space="preserve"> PAGE </w:instrText>
                </w:r>
                <w:r>
                  <w:fldChar w:fldCharType="separate"/>
                </w:r>
                <w:r>
                  <w:rPr>
                    <w:noProof/>
                    <w:color w:val="131313"/>
                    <w:w w:val="99"/>
                    <w:sz w:val="17"/>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5337">
      <w:r>
        <w:separator/>
      </w:r>
    </w:p>
  </w:footnote>
  <w:footnote w:type="continuationSeparator" w:id="0">
    <w:p w:rsidR="00000000" w:rsidRDefault="00B65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912" w:rsidRDefault="00B65337">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95.65pt;margin-top:32.4pt;width:426.5pt;height:54pt;z-index:-4912;mso-position-horizontal-relative:page;mso-position-vertical-relative:page" filled="f" stroked="f">
          <v:textbox inset="0,0,0,0">
            <w:txbxContent>
              <w:p w:rsidR="00CC6912" w:rsidRDefault="00B65337">
                <w:pPr>
                  <w:spacing w:before="14" w:line="280" w:lineRule="auto"/>
                  <w:ind w:left="551" w:right="20" w:hanging="577"/>
                  <w:jc w:val="right"/>
                  <w:rPr>
                    <w:i/>
                    <w:sz w:val="16"/>
                  </w:rPr>
                </w:pPr>
                <w:r>
                  <w:rPr>
                    <w:i/>
                    <w:color w:val="131313"/>
                    <w:sz w:val="16"/>
                  </w:rPr>
                  <w:t>NH/A Comments on Medicare Program; Contract Year 2019 Policy and Technical Changes to the Medicare Advantage</w:t>
                </w:r>
                <w:r>
                  <w:rPr>
                    <w:i/>
                    <w:color w:val="343434"/>
                    <w:sz w:val="16"/>
                  </w:rPr>
                  <w:t>,</w:t>
                </w:r>
                <w:r>
                  <w:rPr>
                    <w:i/>
                    <w:color w:val="343434"/>
                    <w:w w:val="96"/>
                    <w:sz w:val="16"/>
                  </w:rPr>
                  <w:t xml:space="preserve"> </w:t>
                </w:r>
                <w:r>
                  <w:rPr>
                    <w:i/>
                    <w:color w:val="131313"/>
                    <w:sz w:val="16"/>
                  </w:rPr>
                  <w:t>Medicare Cost Plan, Medicare Fee-for</w:t>
                </w:r>
                <w:r>
                  <w:rPr>
                    <w:i/>
                    <w:color w:val="343434"/>
                    <w:sz w:val="16"/>
                  </w:rPr>
                  <w:t>-</w:t>
                </w:r>
                <w:r>
                  <w:rPr>
                    <w:i/>
                    <w:color w:val="131313"/>
                    <w:sz w:val="16"/>
                  </w:rPr>
                  <w:t>Service, the Medicare Prescription Drug Benefit Progra</w:t>
                </w:r>
                <w:r>
                  <w:rPr>
                    <w:i/>
                    <w:color w:val="131313"/>
                    <w:sz w:val="16"/>
                  </w:rPr>
                  <w:t>ms and the PACE</w:t>
                </w:r>
              </w:p>
              <w:p w:rsidR="00CC6912" w:rsidRDefault="00B65337">
                <w:pPr>
                  <w:ind w:right="27"/>
                  <w:jc w:val="right"/>
                  <w:rPr>
                    <w:i/>
                    <w:sz w:val="16"/>
                  </w:rPr>
                </w:pPr>
                <w:r>
                  <w:rPr>
                    <w:i/>
                    <w:color w:val="131313"/>
                    <w:sz w:val="16"/>
                  </w:rPr>
                  <w:t>Program.</w:t>
                </w:r>
              </w:p>
              <w:p w:rsidR="00CC6912" w:rsidRDefault="00B65337">
                <w:pPr>
                  <w:spacing w:before="31"/>
                  <w:ind w:right="37"/>
                  <w:jc w:val="right"/>
                  <w:rPr>
                    <w:i/>
                    <w:sz w:val="16"/>
                  </w:rPr>
                </w:pPr>
                <w:r>
                  <w:rPr>
                    <w:i/>
                    <w:color w:val="131313"/>
                    <w:sz w:val="16"/>
                  </w:rPr>
                  <w:t>{Docket Number: CMS-4182-P}</w:t>
                </w:r>
              </w:p>
              <w:p w:rsidR="00CC6912" w:rsidRDefault="00B65337">
                <w:pPr>
                  <w:spacing w:before="31"/>
                  <w:ind w:right="18"/>
                  <w:jc w:val="right"/>
                  <w:rPr>
                    <w:i/>
                    <w:sz w:val="16"/>
                  </w:rPr>
                </w:pPr>
                <w:r>
                  <w:rPr>
                    <w:i/>
                    <w:color w:val="131313"/>
                    <w:sz w:val="16"/>
                  </w:rPr>
                  <w:t>January 16, 2018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912" w:rsidRDefault="00B65337">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94.7pt;margin-top:32.45pt;width:427.45pt;height:53.8pt;z-index:-4864;mso-position-horizontal-relative:page;mso-position-vertical-relative:page" filled="f" stroked="f">
          <v:textbox inset="0,0,0,0">
            <w:txbxContent>
              <w:p w:rsidR="00CC6912" w:rsidRDefault="00B65337">
                <w:pPr>
                  <w:spacing w:before="15" w:line="300" w:lineRule="auto"/>
                  <w:ind w:left="588" w:right="31" w:hanging="569"/>
                  <w:jc w:val="right"/>
                  <w:rPr>
                    <w:i/>
                    <w:sz w:val="15"/>
                  </w:rPr>
                </w:pPr>
                <w:r>
                  <w:rPr>
                    <w:i/>
                    <w:color w:val="131313"/>
                    <w:w w:val="105"/>
                    <w:sz w:val="15"/>
                  </w:rPr>
                  <w:t>NH/A Comments on Medicare Program; Contract Year 2019 Policy and Technical Changes ta th</w:t>
                </w:r>
                <w:r>
                  <w:rPr>
                    <w:i/>
                    <w:color w:val="131313"/>
                    <w:w w:val="105"/>
                    <w:sz w:val="15"/>
                  </w:rPr>
                  <w:t>e Medicare Advantage,</w:t>
                </w:r>
                <w:r>
                  <w:rPr>
                    <w:i/>
                    <w:color w:val="131313"/>
                    <w:w w:val="106"/>
                    <w:sz w:val="15"/>
                  </w:rPr>
                  <w:t xml:space="preserve"> </w:t>
                </w:r>
                <w:r>
                  <w:rPr>
                    <w:i/>
                    <w:color w:val="131313"/>
                    <w:w w:val="105"/>
                    <w:sz w:val="15"/>
                  </w:rPr>
                  <w:t>Medicare Cost Plan, Medicare Fee-for-Service, the Medicare Prescription Drug Benefit Programs and the   PACE</w:t>
                </w:r>
              </w:p>
              <w:p w:rsidR="00CC6912" w:rsidRDefault="00B65337">
                <w:pPr>
                  <w:spacing w:before="1" w:line="300" w:lineRule="auto"/>
                  <w:ind w:left="6255" w:right="23" w:firstLine="1548"/>
                  <w:jc w:val="right"/>
                  <w:rPr>
                    <w:i/>
                    <w:sz w:val="15"/>
                  </w:rPr>
                </w:pPr>
                <w:r>
                  <w:rPr>
                    <w:i/>
                    <w:color w:val="131313"/>
                    <w:w w:val="105"/>
                    <w:sz w:val="15"/>
                  </w:rPr>
                  <w:t xml:space="preserve">Program </w:t>
                </w:r>
                <w:r>
                  <w:rPr>
                    <w:i/>
                    <w:color w:val="444444"/>
                    <w:w w:val="105"/>
                    <w:sz w:val="15"/>
                  </w:rPr>
                  <w:t>.</w:t>
                </w:r>
                <w:r>
                  <w:rPr>
                    <w:i/>
                    <w:color w:val="444444"/>
                    <w:w w:val="104"/>
                    <w:sz w:val="15"/>
                  </w:rPr>
                  <w:t xml:space="preserve"> </w:t>
                </w:r>
                <w:r>
                  <w:rPr>
                    <w:i/>
                    <w:color w:val="131313"/>
                    <w:w w:val="105"/>
                    <w:sz w:val="15"/>
                  </w:rPr>
                  <w:t xml:space="preserve">(Docket Number </w:t>
                </w:r>
                <w:r>
                  <w:rPr>
                    <w:i/>
                    <w:color w:val="444444"/>
                    <w:w w:val="105"/>
                    <w:sz w:val="15"/>
                  </w:rPr>
                  <w:t xml:space="preserve">: </w:t>
                </w:r>
                <w:r>
                  <w:rPr>
                    <w:i/>
                    <w:color w:val="131313"/>
                    <w:w w:val="105"/>
                    <w:sz w:val="15"/>
                  </w:rPr>
                  <w:t>CMS-4182-P}</w:t>
                </w:r>
              </w:p>
              <w:p w:rsidR="00CC6912" w:rsidRDefault="00B65337">
                <w:pPr>
                  <w:spacing w:before="6"/>
                  <w:ind w:right="18"/>
                  <w:jc w:val="right"/>
                  <w:rPr>
                    <w:i/>
                    <w:sz w:val="15"/>
                  </w:rPr>
                </w:pPr>
                <w:r>
                  <w:rPr>
                    <w:i/>
                    <w:color w:val="131313"/>
                    <w:w w:val="105"/>
                    <w:sz w:val="15"/>
                  </w:rPr>
                  <w:t>January 16, 2018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912" w:rsidRDefault="00B65337">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94.2pt;margin-top:31.55pt;width:428pt;height:54.35pt;z-index:-4840;mso-position-horizontal-relative:page;mso-position-vertical-relative:page" filled="f" stroked="f">
          <v:textbox inset="0,0,0,0">
            <w:txbxContent>
              <w:p w:rsidR="00CC6912" w:rsidRDefault="00B65337">
                <w:pPr>
                  <w:spacing w:before="14" w:line="280" w:lineRule="auto"/>
                  <w:ind w:left="588" w:right="36" w:hanging="569"/>
                  <w:jc w:val="right"/>
                  <w:rPr>
                    <w:i/>
                    <w:sz w:val="16"/>
                  </w:rPr>
                </w:pPr>
                <w:r>
                  <w:rPr>
                    <w:i/>
                    <w:color w:val="151515"/>
                    <w:sz w:val="16"/>
                  </w:rPr>
                  <w:t>NH/A Comments on Medicare Program; Contract Year 2019 Policy and Technical Changes to the Medicare Advantage,</w:t>
                </w:r>
                <w:r>
                  <w:rPr>
                    <w:i/>
                    <w:color w:val="151515"/>
                    <w:sz w:val="16"/>
                  </w:rPr>
                  <w:t xml:space="preserve"> </w:t>
                </w:r>
                <w:r>
                  <w:rPr>
                    <w:i/>
                    <w:color w:val="151515"/>
                    <w:sz w:val="16"/>
                  </w:rPr>
                  <w:t>Medicare Cost Plan, Medicare Fee-for</w:t>
                </w:r>
                <w:r>
                  <w:rPr>
                    <w:i/>
                    <w:color w:val="313131"/>
                    <w:sz w:val="16"/>
                  </w:rPr>
                  <w:t>-</w:t>
                </w:r>
                <w:r>
                  <w:rPr>
                    <w:i/>
                    <w:color w:val="151515"/>
                    <w:sz w:val="16"/>
                  </w:rPr>
                  <w:t>Service, the Medicare Prescription Drug Benefit Programs and the PACE</w:t>
                </w:r>
              </w:p>
              <w:p w:rsidR="00CC6912" w:rsidRDefault="00B65337">
                <w:pPr>
                  <w:ind w:right="37"/>
                  <w:jc w:val="right"/>
                  <w:rPr>
                    <w:i/>
                    <w:sz w:val="16"/>
                  </w:rPr>
                </w:pPr>
                <w:r>
                  <w:rPr>
                    <w:i/>
                    <w:color w:val="151515"/>
                    <w:sz w:val="16"/>
                  </w:rPr>
                  <w:t>Program.</w:t>
                </w:r>
              </w:p>
              <w:p w:rsidR="00CC6912" w:rsidRDefault="00B65337">
                <w:pPr>
                  <w:spacing w:before="31"/>
                  <w:ind w:right="18"/>
                  <w:jc w:val="right"/>
                  <w:rPr>
                    <w:i/>
                    <w:sz w:val="16"/>
                  </w:rPr>
                </w:pPr>
                <w:r>
                  <w:rPr>
                    <w:i/>
                    <w:color w:val="151515"/>
                    <w:sz w:val="16"/>
                  </w:rPr>
                  <w:t xml:space="preserve">{Docket Number </w:t>
                </w:r>
                <w:r>
                  <w:rPr>
                    <w:i/>
                    <w:color w:val="313131"/>
                    <w:sz w:val="16"/>
                  </w:rPr>
                  <w:t xml:space="preserve">: </w:t>
                </w:r>
                <w:r>
                  <w:rPr>
                    <w:i/>
                    <w:color w:val="151515"/>
                    <w:sz w:val="16"/>
                  </w:rPr>
                  <w:t>CMS-418 2</w:t>
                </w:r>
                <w:r>
                  <w:rPr>
                    <w:i/>
                    <w:color w:val="313131"/>
                    <w:sz w:val="16"/>
                  </w:rPr>
                  <w:t>-</w:t>
                </w:r>
                <w:r>
                  <w:rPr>
                    <w:i/>
                    <w:color w:val="151515"/>
                    <w:sz w:val="16"/>
                  </w:rPr>
                  <w:t>P)</w:t>
                </w:r>
              </w:p>
              <w:p w:rsidR="00CC6912" w:rsidRDefault="00B65337">
                <w:pPr>
                  <w:spacing w:before="36"/>
                  <w:ind w:right="23"/>
                  <w:jc w:val="right"/>
                  <w:rPr>
                    <w:i/>
                    <w:sz w:val="16"/>
                  </w:rPr>
                </w:pPr>
                <w:r>
                  <w:rPr>
                    <w:i/>
                    <w:color w:val="151515"/>
                    <w:sz w:val="16"/>
                  </w:rPr>
                  <w:t>January 16, 2018</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C6912"/>
    <w:rsid w:val="00B65337"/>
    <w:rsid w:val="00CC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F6855478-FF94-44FE-81F1-E84C7498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hia.org/"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kendallvanpool@nhia.org" TargetMode="Externa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1651</Words>
  <Characters>9146</Characters>
  <Application>Microsoft Office Word</Application>
  <DocSecurity>0</DocSecurity>
  <Lines>185</Lines>
  <Paragraphs>41</Paragraphs>
  <ScaleCrop>false</ScaleCrop>
  <Company>CMS</Company>
  <LinksUpToDate>false</LinksUpToDate>
  <CharactersWithSpaces>10793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2018-06-14T21:39:00Z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Canon iR-ADV C5550  PDF</vt:lpwstr>
  </property>
  <property fmtid="{D5CDD505-2E9C-101B-9397-08002B2CF9AE}" pid="4" name="LastSaved">
    <vt:filetime>2018-06-15T00:00:00Z</vt:filetime>
  </property>
</Properties>
</file>