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48810" w14:textId="77777777" w:rsidR="00AF1034" w:rsidRPr="00A30DEF" w:rsidRDefault="00AF1034" w:rsidP="00A83595">
      <w:pPr>
        <w:autoSpaceDE w:val="0"/>
        <w:autoSpaceDN w:val="0"/>
        <w:jc w:val="center"/>
        <w:rPr>
          <w:rFonts w:ascii="Times New Roman" w:hAnsi="Times New Roman"/>
          <w:b/>
          <w:bCs/>
          <w:u w:val="single"/>
        </w:rPr>
      </w:pPr>
      <w:r w:rsidRPr="00A30DEF">
        <w:rPr>
          <w:rFonts w:ascii="Times New Roman" w:hAnsi="Times New Roman"/>
          <w:b/>
          <w:bCs/>
          <w:u w:val="single"/>
        </w:rPr>
        <w:t>December 1, 2016:</w:t>
      </w:r>
    </w:p>
    <w:p w14:paraId="067AEB8B" w14:textId="71A807F6" w:rsidR="00AF1034" w:rsidRPr="00A30DEF" w:rsidRDefault="00DF4491" w:rsidP="00A83595">
      <w:pPr>
        <w:autoSpaceDE w:val="0"/>
        <w:autoSpaceDN w:val="0"/>
        <w:jc w:val="center"/>
        <w:rPr>
          <w:rFonts w:ascii="Times New Roman" w:hAnsi="Times New Roman"/>
          <w:b/>
          <w:bCs/>
          <w:u w:val="single"/>
        </w:rPr>
      </w:pPr>
      <w:r w:rsidRPr="00A30DEF">
        <w:rPr>
          <w:rFonts w:ascii="Times New Roman" w:hAnsi="Times New Roman"/>
          <w:b/>
          <w:bCs/>
          <w:u w:val="single"/>
        </w:rPr>
        <w:t xml:space="preserve">Call </w:t>
      </w:r>
      <w:r w:rsidR="00933177" w:rsidRPr="00A30DEF">
        <w:rPr>
          <w:rFonts w:ascii="Times New Roman" w:hAnsi="Times New Roman"/>
          <w:b/>
          <w:bCs/>
          <w:u w:val="single"/>
        </w:rPr>
        <w:t xml:space="preserve">Summary and Action Item </w:t>
      </w:r>
      <w:r w:rsidR="00AF1034" w:rsidRPr="00A30DEF">
        <w:rPr>
          <w:rFonts w:ascii="Times New Roman" w:hAnsi="Times New Roman"/>
          <w:b/>
          <w:bCs/>
          <w:u w:val="single"/>
        </w:rPr>
        <w:t>Follow-up</w:t>
      </w:r>
    </w:p>
    <w:p w14:paraId="52CE4316" w14:textId="63663A8B" w:rsidR="00AF1034" w:rsidRPr="00A30DEF" w:rsidRDefault="00E54EAF" w:rsidP="00A83595">
      <w:pPr>
        <w:autoSpaceDE w:val="0"/>
        <w:autoSpaceDN w:val="0"/>
        <w:jc w:val="center"/>
        <w:rPr>
          <w:rFonts w:ascii="Times New Roman" w:hAnsi="Times New Roman"/>
          <w:b/>
          <w:bCs/>
          <w:u w:val="single"/>
        </w:rPr>
      </w:pPr>
      <w:r w:rsidRPr="00A30DEF">
        <w:rPr>
          <w:rFonts w:ascii="Times New Roman" w:hAnsi="Times New Roman"/>
          <w:b/>
          <w:bCs/>
          <w:u w:val="single"/>
        </w:rPr>
        <w:t xml:space="preserve">Industry </w:t>
      </w:r>
      <w:r w:rsidR="00AF1034" w:rsidRPr="00A30DEF">
        <w:rPr>
          <w:rFonts w:ascii="Times New Roman" w:hAnsi="Times New Roman"/>
          <w:b/>
          <w:bCs/>
          <w:u w:val="single"/>
        </w:rPr>
        <w:t>&amp;</w:t>
      </w:r>
      <w:r w:rsidR="00A83595" w:rsidRPr="00A30DEF">
        <w:rPr>
          <w:rFonts w:ascii="Times New Roman" w:hAnsi="Times New Roman"/>
          <w:b/>
          <w:bCs/>
          <w:u w:val="single"/>
        </w:rPr>
        <w:t xml:space="preserve"> CM</w:t>
      </w:r>
      <w:r w:rsidR="00CE0E5D" w:rsidRPr="00A30DEF">
        <w:rPr>
          <w:rFonts w:ascii="Times New Roman" w:hAnsi="Times New Roman"/>
          <w:b/>
          <w:bCs/>
          <w:u w:val="single"/>
        </w:rPr>
        <w:t>S</w:t>
      </w:r>
    </w:p>
    <w:p w14:paraId="05D901C0" w14:textId="5377ACFB" w:rsidR="00A83595" w:rsidRPr="00A30DEF" w:rsidRDefault="00A83595" w:rsidP="00A83595">
      <w:pPr>
        <w:autoSpaceDE w:val="0"/>
        <w:autoSpaceDN w:val="0"/>
        <w:jc w:val="center"/>
        <w:rPr>
          <w:rFonts w:ascii="Times New Roman" w:hAnsi="Times New Roman"/>
          <w:u w:val="single"/>
        </w:rPr>
      </w:pPr>
      <w:r w:rsidRPr="00A30DEF">
        <w:rPr>
          <w:rFonts w:ascii="Times New Roman" w:hAnsi="Times New Roman"/>
          <w:b/>
          <w:bCs/>
          <w:u w:val="single"/>
        </w:rPr>
        <w:t>Preclusion List Requirements</w:t>
      </w:r>
      <w:r w:rsidR="00F56B00" w:rsidRPr="00A30DEF">
        <w:rPr>
          <w:rFonts w:ascii="Times New Roman" w:hAnsi="Times New Roman"/>
          <w:b/>
          <w:bCs/>
          <w:u w:val="single"/>
        </w:rPr>
        <w:br/>
      </w:r>
    </w:p>
    <w:p w14:paraId="1209CFD3" w14:textId="143941F6" w:rsidR="006A4B11" w:rsidRPr="00A30DEF" w:rsidRDefault="00CE0E5D" w:rsidP="001C7BBB">
      <w:pPr>
        <w:rPr>
          <w:rFonts w:ascii="Times New Roman" w:hAnsi="Times New Roman"/>
          <w:sz w:val="20"/>
          <w:szCs w:val="20"/>
        </w:rPr>
      </w:pPr>
      <w:r w:rsidRPr="00A30DEF">
        <w:rPr>
          <w:rFonts w:ascii="Times New Roman" w:hAnsi="Times New Roman"/>
          <w:sz w:val="20"/>
          <w:szCs w:val="20"/>
        </w:rPr>
        <w:t xml:space="preserve">Outlined below is a summary of the discussion and action items from the </w:t>
      </w:r>
      <w:r w:rsidR="003D24D8" w:rsidRPr="00A30DEF">
        <w:rPr>
          <w:rFonts w:ascii="Times New Roman" w:hAnsi="Times New Roman"/>
          <w:sz w:val="20"/>
          <w:szCs w:val="20"/>
        </w:rPr>
        <w:t xml:space="preserve">call of December 1, 2016. </w:t>
      </w:r>
    </w:p>
    <w:p w14:paraId="66233D10" w14:textId="77777777" w:rsidR="006A4B11" w:rsidRPr="00A30DEF" w:rsidRDefault="006A4B11" w:rsidP="001C7BBB">
      <w:pPr>
        <w:rPr>
          <w:rFonts w:ascii="Times New Roman" w:hAnsi="Times New Roman"/>
          <w:sz w:val="20"/>
          <w:szCs w:val="20"/>
        </w:rPr>
      </w:pPr>
    </w:p>
    <w:p w14:paraId="6BB7A833" w14:textId="7E627369" w:rsidR="009564A4" w:rsidRPr="00A30DEF" w:rsidRDefault="0068276B" w:rsidP="001C7BBB">
      <w:pPr>
        <w:rPr>
          <w:rFonts w:ascii="Times New Roman" w:hAnsi="Times New Roman"/>
          <w:sz w:val="20"/>
          <w:szCs w:val="20"/>
        </w:rPr>
      </w:pPr>
      <w:r w:rsidRPr="00A30DEF">
        <w:rPr>
          <w:rFonts w:ascii="Times New Roman" w:hAnsi="Times New Roman"/>
          <w:sz w:val="20"/>
          <w:szCs w:val="20"/>
        </w:rPr>
        <w:t>Based on the November 9</w:t>
      </w:r>
      <w:r w:rsidR="00DE69CA" w:rsidRPr="00A30DEF">
        <w:rPr>
          <w:rFonts w:ascii="Times New Roman" w:hAnsi="Times New Roman"/>
          <w:sz w:val="20"/>
          <w:szCs w:val="20"/>
        </w:rPr>
        <w:t>, 2016</w:t>
      </w:r>
      <w:r w:rsidRPr="00A30DEF">
        <w:rPr>
          <w:rFonts w:ascii="Times New Roman" w:hAnsi="Times New Roman"/>
          <w:sz w:val="20"/>
          <w:szCs w:val="20"/>
        </w:rPr>
        <w:t xml:space="preserve"> meeting su</w:t>
      </w:r>
      <w:r w:rsidR="001C7BBB" w:rsidRPr="00A30DEF">
        <w:rPr>
          <w:rFonts w:ascii="Times New Roman" w:hAnsi="Times New Roman"/>
          <w:sz w:val="20"/>
          <w:szCs w:val="20"/>
        </w:rPr>
        <w:t>mmary</w:t>
      </w:r>
      <w:r w:rsidR="002B5D5E" w:rsidRPr="00A30DEF">
        <w:rPr>
          <w:rFonts w:ascii="Times New Roman" w:hAnsi="Times New Roman"/>
          <w:sz w:val="20"/>
          <w:szCs w:val="20"/>
        </w:rPr>
        <w:t xml:space="preserve">, </w:t>
      </w:r>
      <w:r w:rsidR="006A4B11" w:rsidRPr="00A30DEF">
        <w:rPr>
          <w:rFonts w:ascii="Times New Roman" w:hAnsi="Times New Roman"/>
          <w:sz w:val="20"/>
          <w:szCs w:val="20"/>
        </w:rPr>
        <w:t xml:space="preserve">a major portion of the </w:t>
      </w:r>
      <w:r w:rsidR="001C7BBB" w:rsidRPr="00A30DEF">
        <w:rPr>
          <w:rFonts w:ascii="Times New Roman" w:hAnsi="Times New Roman"/>
          <w:sz w:val="20"/>
          <w:szCs w:val="20"/>
        </w:rPr>
        <w:t xml:space="preserve">discussion focused </w:t>
      </w:r>
      <w:r w:rsidR="009564A4" w:rsidRPr="00A30DEF">
        <w:rPr>
          <w:rFonts w:ascii="Times New Roman" w:hAnsi="Times New Roman"/>
          <w:sz w:val="20"/>
          <w:szCs w:val="20"/>
        </w:rPr>
        <w:t xml:space="preserve">on the impact of the application of the </w:t>
      </w:r>
      <w:r w:rsidR="001C7BBB" w:rsidRPr="00A30DEF">
        <w:rPr>
          <w:rFonts w:ascii="Times New Roman" w:hAnsi="Times New Roman"/>
          <w:sz w:val="20"/>
          <w:szCs w:val="20"/>
        </w:rPr>
        <w:t>Pre</w:t>
      </w:r>
      <w:r w:rsidR="00153960" w:rsidRPr="00A30DEF">
        <w:rPr>
          <w:rFonts w:ascii="Times New Roman" w:hAnsi="Times New Roman"/>
          <w:sz w:val="20"/>
          <w:szCs w:val="20"/>
        </w:rPr>
        <w:t xml:space="preserve">clusion </w:t>
      </w:r>
      <w:r w:rsidR="00CC3D39" w:rsidRPr="00A30DEF">
        <w:rPr>
          <w:rFonts w:ascii="Times New Roman" w:hAnsi="Times New Roman"/>
          <w:sz w:val="20"/>
          <w:szCs w:val="20"/>
        </w:rPr>
        <w:t xml:space="preserve">file </w:t>
      </w:r>
      <w:r w:rsidR="00A34F0A" w:rsidRPr="00A30DEF">
        <w:rPr>
          <w:rFonts w:ascii="Times New Roman" w:hAnsi="Times New Roman"/>
          <w:sz w:val="20"/>
          <w:szCs w:val="20"/>
        </w:rPr>
        <w:t xml:space="preserve">to </w:t>
      </w:r>
      <w:r w:rsidR="00153960" w:rsidRPr="00A30DEF">
        <w:rPr>
          <w:rFonts w:ascii="Times New Roman" w:hAnsi="Times New Roman"/>
          <w:sz w:val="20"/>
          <w:szCs w:val="20"/>
        </w:rPr>
        <w:t>Medicare</w:t>
      </w:r>
      <w:r w:rsidR="00B9749B" w:rsidRPr="00A30DEF">
        <w:rPr>
          <w:rFonts w:ascii="Times New Roman" w:hAnsi="Times New Roman"/>
          <w:sz w:val="20"/>
          <w:szCs w:val="20"/>
        </w:rPr>
        <w:t xml:space="preserve">, </w:t>
      </w:r>
      <w:r w:rsidR="003D24D8" w:rsidRPr="00A30DEF">
        <w:rPr>
          <w:rFonts w:ascii="Times New Roman" w:hAnsi="Times New Roman"/>
          <w:sz w:val="20"/>
          <w:szCs w:val="20"/>
        </w:rPr>
        <w:t xml:space="preserve">but </w:t>
      </w:r>
      <w:r w:rsidR="00B9749B" w:rsidRPr="00A30DEF">
        <w:rPr>
          <w:rFonts w:ascii="Times New Roman" w:hAnsi="Times New Roman"/>
          <w:sz w:val="20"/>
          <w:szCs w:val="20"/>
        </w:rPr>
        <w:t xml:space="preserve">not Medicaid, and </w:t>
      </w:r>
      <w:r w:rsidR="003D24D8" w:rsidRPr="00A30DEF">
        <w:rPr>
          <w:rFonts w:ascii="Times New Roman" w:hAnsi="Times New Roman"/>
          <w:sz w:val="20"/>
          <w:szCs w:val="20"/>
        </w:rPr>
        <w:t xml:space="preserve">the </w:t>
      </w:r>
      <w:r w:rsidR="00B9749B" w:rsidRPr="00A30DEF">
        <w:rPr>
          <w:rFonts w:ascii="Times New Roman" w:hAnsi="Times New Roman"/>
          <w:sz w:val="20"/>
          <w:szCs w:val="20"/>
        </w:rPr>
        <w:t xml:space="preserve">implications </w:t>
      </w:r>
      <w:r w:rsidR="003D24D8" w:rsidRPr="00A30DEF">
        <w:rPr>
          <w:rFonts w:ascii="Times New Roman" w:hAnsi="Times New Roman"/>
          <w:sz w:val="20"/>
          <w:szCs w:val="20"/>
        </w:rPr>
        <w:t>of this limitation</w:t>
      </w:r>
      <w:r w:rsidR="00B9749B" w:rsidRPr="00A30DEF">
        <w:rPr>
          <w:rFonts w:ascii="Times New Roman" w:hAnsi="Times New Roman"/>
          <w:sz w:val="20"/>
          <w:szCs w:val="20"/>
        </w:rPr>
        <w:t>.</w:t>
      </w:r>
    </w:p>
    <w:p w14:paraId="08B9104F" w14:textId="77777777" w:rsidR="003D24D8" w:rsidRPr="00A30DEF" w:rsidRDefault="003D24D8" w:rsidP="001C7BBB">
      <w:pPr>
        <w:rPr>
          <w:rFonts w:ascii="Times New Roman" w:hAnsi="Times New Roman"/>
          <w:sz w:val="20"/>
          <w:szCs w:val="20"/>
        </w:rPr>
      </w:pPr>
    </w:p>
    <w:p w14:paraId="2696F81C" w14:textId="5E2B3AFA" w:rsidR="003D24D8" w:rsidRPr="00A30DEF" w:rsidRDefault="003D24D8" w:rsidP="003D24D8">
      <w:pPr>
        <w:rPr>
          <w:rFonts w:ascii="Times New Roman" w:hAnsi="Times New Roman"/>
          <w:sz w:val="20"/>
          <w:szCs w:val="20"/>
          <w:u w:val="single"/>
        </w:rPr>
      </w:pPr>
      <w:r w:rsidRPr="00A30DEF">
        <w:rPr>
          <w:rFonts w:ascii="Times New Roman" w:hAnsi="Times New Roman"/>
          <w:sz w:val="20"/>
          <w:szCs w:val="20"/>
          <w:u w:val="single"/>
        </w:rPr>
        <w:t xml:space="preserve">1.) Preclusion and Exclusion </w:t>
      </w:r>
      <w:r w:rsidR="006A4B11" w:rsidRPr="00A30DEF">
        <w:rPr>
          <w:rFonts w:ascii="Times New Roman" w:hAnsi="Times New Roman"/>
          <w:sz w:val="20"/>
          <w:szCs w:val="20"/>
          <w:u w:val="single"/>
        </w:rPr>
        <w:t>f</w:t>
      </w:r>
      <w:r w:rsidR="00475894" w:rsidRPr="00A30DEF">
        <w:rPr>
          <w:rFonts w:ascii="Times New Roman" w:hAnsi="Times New Roman"/>
          <w:sz w:val="20"/>
          <w:szCs w:val="20"/>
          <w:u w:val="single"/>
        </w:rPr>
        <w:t>iles</w:t>
      </w:r>
    </w:p>
    <w:p w14:paraId="396166AB" w14:textId="1386892E" w:rsidR="009564A4" w:rsidRPr="00A30DEF" w:rsidRDefault="009564A4" w:rsidP="001C7BBB">
      <w:pPr>
        <w:rPr>
          <w:rFonts w:ascii="Times New Roman" w:hAnsi="Times New Roman"/>
          <w:sz w:val="20"/>
          <w:szCs w:val="20"/>
        </w:rPr>
      </w:pPr>
      <w:r w:rsidRPr="00A30DEF">
        <w:rPr>
          <w:rFonts w:ascii="Times New Roman" w:hAnsi="Times New Roman"/>
          <w:sz w:val="20"/>
          <w:szCs w:val="20"/>
        </w:rPr>
        <w:t>Industry provided the following explanation and expressed the</w:t>
      </w:r>
      <w:r w:rsidR="00A34F0A" w:rsidRPr="00A30DEF">
        <w:rPr>
          <w:rFonts w:ascii="Times New Roman" w:hAnsi="Times New Roman"/>
          <w:sz w:val="20"/>
          <w:szCs w:val="20"/>
        </w:rPr>
        <w:t xml:space="preserve"> identified </w:t>
      </w:r>
      <w:r w:rsidRPr="00A30DEF">
        <w:rPr>
          <w:rFonts w:ascii="Times New Roman" w:hAnsi="Times New Roman"/>
          <w:sz w:val="20"/>
          <w:szCs w:val="20"/>
        </w:rPr>
        <w:t xml:space="preserve">additional concerns:  </w:t>
      </w:r>
    </w:p>
    <w:p w14:paraId="7624AA68" w14:textId="21F28140" w:rsidR="006B27D2" w:rsidRPr="00A30DEF" w:rsidRDefault="009564A4" w:rsidP="006B27D2">
      <w:pPr>
        <w:pStyle w:val="ListParagraph"/>
        <w:numPr>
          <w:ilvl w:val="0"/>
          <w:numId w:val="10"/>
        </w:numPr>
        <w:rPr>
          <w:rFonts w:ascii="Times New Roman" w:hAnsi="Times New Roman"/>
          <w:sz w:val="20"/>
          <w:szCs w:val="20"/>
        </w:rPr>
      </w:pPr>
      <w:r w:rsidRPr="00A30DEF">
        <w:rPr>
          <w:rFonts w:ascii="Times New Roman" w:hAnsi="Times New Roman"/>
          <w:sz w:val="20"/>
          <w:szCs w:val="20"/>
        </w:rPr>
        <w:t>L</w:t>
      </w:r>
      <w:r w:rsidR="00153960" w:rsidRPr="00A30DEF">
        <w:rPr>
          <w:rFonts w:ascii="Times New Roman" w:hAnsi="Times New Roman"/>
          <w:sz w:val="20"/>
          <w:szCs w:val="20"/>
        </w:rPr>
        <w:t xml:space="preserve">imiting the Preclusion file to Medicare </w:t>
      </w:r>
      <w:r w:rsidR="003D24D8" w:rsidRPr="00A30DEF">
        <w:rPr>
          <w:rFonts w:ascii="Times New Roman" w:hAnsi="Times New Roman"/>
          <w:sz w:val="20"/>
          <w:szCs w:val="20"/>
        </w:rPr>
        <w:t xml:space="preserve">only </w:t>
      </w:r>
      <w:r w:rsidRPr="00A30DEF">
        <w:rPr>
          <w:rFonts w:ascii="Times New Roman" w:hAnsi="Times New Roman"/>
          <w:sz w:val="20"/>
          <w:szCs w:val="20"/>
        </w:rPr>
        <w:t>represents a</w:t>
      </w:r>
      <w:r w:rsidR="002B5D5E" w:rsidRPr="00A30DEF">
        <w:rPr>
          <w:rFonts w:ascii="Times New Roman" w:hAnsi="Times New Roman"/>
          <w:sz w:val="20"/>
          <w:szCs w:val="20"/>
        </w:rPr>
        <w:t xml:space="preserve"> </w:t>
      </w:r>
      <w:r w:rsidR="00153960" w:rsidRPr="00A30DEF">
        <w:rPr>
          <w:rFonts w:ascii="Times New Roman" w:hAnsi="Times New Roman"/>
          <w:sz w:val="20"/>
          <w:szCs w:val="20"/>
        </w:rPr>
        <w:t>major change</w:t>
      </w:r>
      <w:r w:rsidR="003D24D8" w:rsidRPr="00A30DEF">
        <w:rPr>
          <w:rFonts w:ascii="Times New Roman" w:hAnsi="Times New Roman"/>
          <w:sz w:val="20"/>
          <w:szCs w:val="20"/>
        </w:rPr>
        <w:t xml:space="preserve"> from th</w:t>
      </w:r>
      <w:r w:rsidR="00B55BD4" w:rsidRPr="00A30DEF">
        <w:rPr>
          <w:rFonts w:ascii="Times New Roman" w:hAnsi="Times New Roman"/>
          <w:sz w:val="20"/>
          <w:szCs w:val="20"/>
        </w:rPr>
        <w:t>e process</w:t>
      </w:r>
      <w:r w:rsidR="00A34F0A" w:rsidRPr="00A30DEF">
        <w:rPr>
          <w:rFonts w:ascii="Times New Roman" w:hAnsi="Times New Roman"/>
          <w:sz w:val="20"/>
          <w:szCs w:val="20"/>
        </w:rPr>
        <w:t xml:space="preserve"> </w:t>
      </w:r>
      <w:r w:rsidR="00DE69CA" w:rsidRPr="00A30DEF">
        <w:rPr>
          <w:rFonts w:ascii="Times New Roman" w:hAnsi="Times New Roman"/>
          <w:sz w:val="20"/>
          <w:szCs w:val="20"/>
        </w:rPr>
        <w:t xml:space="preserve">currently </w:t>
      </w:r>
      <w:r w:rsidR="003D24D8" w:rsidRPr="00A30DEF">
        <w:rPr>
          <w:rFonts w:ascii="Times New Roman" w:hAnsi="Times New Roman"/>
          <w:sz w:val="20"/>
          <w:szCs w:val="20"/>
        </w:rPr>
        <w:t xml:space="preserve">used in processing OIG </w:t>
      </w:r>
      <w:r w:rsidR="00B9749B" w:rsidRPr="00A30DEF">
        <w:rPr>
          <w:rFonts w:ascii="Times New Roman" w:hAnsi="Times New Roman"/>
          <w:sz w:val="20"/>
          <w:szCs w:val="20"/>
        </w:rPr>
        <w:t xml:space="preserve">Exclusion </w:t>
      </w:r>
      <w:r w:rsidR="00A34F0A" w:rsidRPr="00A30DEF">
        <w:rPr>
          <w:rFonts w:ascii="Times New Roman" w:hAnsi="Times New Roman"/>
          <w:sz w:val="20"/>
          <w:szCs w:val="20"/>
        </w:rPr>
        <w:t>f</w:t>
      </w:r>
      <w:r w:rsidR="00B9749B" w:rsidRPr="00A30DEF">
        <w:rPr>
          <w:rFonts w:ascii="Times New Roman" w:hAnsi="Times New Roman"/>
          <w:sz w:val="20"/>
          <w:szCs w:val="20"/>
        </w:rPr>
        <w:t xml:space="preserve">ile denials </w:t>
      </w:r>
      <w:r w:rsidR="003D24D8" w:rsidRPr="00A30DEF">
        <w:rPr>
          <w:rFonts w:ascii="Times New Roman" w:hAnsi="Times New Roman"/>
          <w:sz w:val="20"/>
          <w:szCs w:val="20"/>
        </w:rPr>
        <w:t xml:space="preserve">which </w:t>
      </w:r>
      <w:r w:rsidRPr="00A30DEF">
        <w:rPr>
          <w:rFonts w:ascii="Times New Roman" w:hAnsi="Times New Roman"/>
          <w:sz w:val="20"/>
          <w:szCs w:val="20"/>
        </w:rPr>
        <w:t>appl</w:t>
      </w:r>
      <w:r w:rsidR="00B9749B" w:rsidRPr="00A30DEF">
        <w:rPr>
          <w:rFonts w:ascii="Times New Roman" w:hAnsi="Times New Roman"/>
          <w:sz w:val="20"/>
          <w:szCs w:val="20"/>
        </w:rPr>
        <w:t>y</w:t>
      </w:r>
      <w:r w:rsidRPr="00A30DEF">
        <w:rPr>
          <w:rFonts w:ascii="Times New Roman" w:hAnsi="Times New Roman"/>
          <w:sz w:val="20"/>
          <w:szCs w:val="20"/>
        </w:rPr>
        <w:t xml:space="preserve"> to both Medicare and Medicaid.</w:t>
      </w:r>
      <w:r w:rsidR="006B27D2" w:rsidRPr="00A30DEF">
        <w:rPr>
          <w:rFonts w:ascii="Times New Roman" w:hAnsi="Times New Roman"/>
          <w:sz w:val="20"/>
          <w:szCs w:val="20"/>
        </w:rPr>
        <w:t xml:space="preserve"> </w:t>
      </w:r>
      <w:r w:rsidRPr="00A30DEF">
        <w:rPr>
          <w:rFonts w:ascii="Times New Roman" w:hAnsi="Times New Roman"/>
          <w:sz w:val="20"/>
          <w:szCs w:val="20"/>
        </w:rPr>
        <w:t xml:space="preserve"> </w:t>
      </w:r>
    </w:p>
    <w:p w14:paraId="0130FC6E" w14:textId="6DA6DC5D" w:rsidR="006B27D2" w:rsidRPr="00A30DEF" w:rsidRDefault="009564A4" w:rsidP="006B27D2">
      <w:pPr>
        <w:pStyle w:val="ListParagraph"/>
        <w:numPr>
          <w:ilvl w:val="0"/>
          <w:numId w:val="10"/>
        </w:numPr>
        <w:rPr>
          <w:rFonts w:ascii="Times New Roman" w:hAnsi="Times New Roman"/>
          <w:sz w:val="20"/>
          <w:szCs w:val="20"/>
        </w:rPr>
      </w:pPr>
      <w:r w:rsidRPr="00A30DEF">
        <w:rPr>
          <w:rFonts w:ascii="Times New Roman" w:hAnsi="Times New Roman"/>
          <w:sz w:val="20"/>
          <w:szCs w:val="20"/>
        </w:rPr>
        <w:t xml:space="preserve">Limiting the </w:t>
      </w:r>
      <w:r w:rsidR="006B27D2" w:rsidRPr="00A30DEF">
        <w:rPr>
          <w:rFonts w:ascii="Times New Roman" w:hAnsi="Times New Roman"/>
          <w:sz w:val="20"/>
          <w:szCs w:val="20"/>
        </w:rPr>
        <w:t xml:space="preserve">Preclusion file </w:t>
      </w:r>
      <w:r w:rsidRPr="00A30DEF">
        <w:rPr>
          <w:rFonts w:ascii="Times New Roman" w:hAnsi="Times New Roman"/>
          <w:sz w:val="20"/>
          <w:szCs w:val="20"/>
        </w:rPr>
        <w:t xml:space="preserve">to Medicare only </w:t>
      </w:r>
      <w:r w:rsidR="006B27D2" w:rsidRPr="00A30DEF">
        <w:rPr>
          <w:rFonts w:ascii="Times New Roman" w:hAnsi="Times New Roman"/>
          <w:sz w:val="20"/>
          <w:szCs w:val="20"/>
        </w:rPr>
        <w:t>significantly impact</w:t>
      </w:r>
      <w:r w:rsidRPr="00A30DEF">
        <w:rPr>
          <w:rFonts w:ascii="Times New Roman" w:hAnsi="Times New Roman"/>
          <w:sz w:val="20"/>
          <w:szCs w:val="20"/>
        </w:rPr>
        <w:t>s</w:t>
      </w:r>
      <w:r w:rsidR="006B27D2" w:rsidRPr="00A30DEF">
        <w:rPr>
          <w:rFonts w:ascii="Times New Roman" w:hAnsi="Times New Roman"/>
          <w:sz w:val="20"/>
          <w:szCs w:val="20"/>
        </w:rPr>
        <w:t xml:space="preserve"> </w:t>
      </w:r>
      <w:r w:rsidR="00DE69CA" w:rsidRPr="00A30DEF">
        <w:rPr>
          <w:rFonts w:ascii="Times New Roman" w:hAnsi="Times New Roman"/>
          <w:sz w:val="20"/>
          <w:szCs w:val="20"/>
        </w:rPr>
        <w:t xml:space="preserve">the </w:t>
      </w:r>
      <w:r w:rsidR="00153960" w:rsidRPr="00A30DEF">
        <w:rPr>
          <w:rFonts w:ascii="Times New Roman" w:hAnsi="Times New Roman"/>
          <w:sz w:val="20"/>
          <w:szCs w:val="20"/>
        </w:rPr>
        <w:t>dual eligible</w:t>
      </w:r>
      <w:r w:rsidR="0044099F" w:rsidRPr="00A30DEF">
        <w:rPr>
          <w:rFonts w:ascii="Times New Roman" w:hAnsi="Times New Roman"/>
          <w:sz w:val="20"/>
          <w:szCs w:val="20"/>
        </w:rPr>
        <w:t xml:space="preserve"> program</w:t>
      </w:r>
      <w:r w:rsidR="00DE69CA" w:rsidRPr="00A30DEF">
        <w:rPr>
          <w:rFonts w:ascii="Times New Roman" w:hAnsi="Times New Roman"/>
          <w:sz w:val="20"/>
          <w:szCs w:val="20"/>
        </w:rPr>
        <w:t>s.</w:t>
      </w:r>
    </w:p>
    <w:p w14:paraId="7EF95021" w14:textId="526C9F43" w:rsidR="009564A4" w:rsidRPr="00A30DEF" w:rsidRDefault="009564A4" w:rsidP="001C7BBB">
      <w:pPr>
        <w:pStyle w:val="ListParagraph"/>
        <w:numPr>
          <w:ilvl w:val="0"/>
          <w:numId w:val="10"/>
        </w:numPr>
        <w:rPr>
          <w:rFonts w:ascii="Times New Roman" w:hAnsi="Times New Roman"/>
          <w:sz w:val="20"/>
          <w:szCs w:val="20"/>
        </w:rPr>
      </w:pPr>
      <w:r w:rsidRPr="00A30DEF">
        <w:rPr>
          <w:rFonts w:ascii="Times New Roman" w:hAnsi="Times New Roman"/>
          <w:sz w:val="20"/>
          <w:szCs w:val="20"/>
        </w:rPr>
        <w:t xml:space="preserve">To </w:t>
      </w:r>
      <w:r w:rsidR="00A34F0A" w:rsidRPr="00A30DEF">
        <w:rPr>
          <w:rFonts w:ascii="Times New Roman" w:hAnsi="Times New Roman"/>
          <w:sz w:val="20"/>
          <w:szCs w:val="20"/>
        </w:rPr>
        <w:t xml:space="preserve">better understand </w:t>
      </w:r>
      <w:r w:rsidRPr="00A30DEF">
        <w:rPr>
          <w:rFonts w:ascii="Times New Roman" w:hAnsi="Times New Roman"/>
          <w:sz w:val="20"/>
          <w:szCs w:val="20"/>
        </w:rPr>
        <w:t>the impact of limiting the Preclusion file</w:t>
      </w:r>
      <w:r w:rsidR="002717B6" w:rsidRPr="00A30DEF">
        <w:rPr>
          <w:rFonts w:ascii="Times New Roman" w:hAnsi="Times New Roman"/>
          <w:sz w:val="20"/>
          <w:szCs w:val="20"/>
        </w:rPr>
        <w:t xml:space="preserve"> to Medicare only</w:t>
      </w:r>
      <w:r w:rsidRPr="00A30DEF">
        <w:rPr>
          <w:rFonts w:ascii="Times New Roman" w:hAnsi="Times New Roman"/>
          <w:sz w:val="20"/>
          <w:szCs w:val="20"/>
        </w:rPr>
        <w:t xml:space="preserve">, CMS </w:t>
      </w:r>
      <w:r w:rsidR="00B9749B" w:rsidRPr="00A30DEF">
        <w:rPr>
          <w:rFonts w:ascii="Times New Roman" w:hAnsi="Times New Roman"/>
          <w:sz w:val="20"/>
          <w:szCs w:val="20"/>
        </w:rPr>
        <w:t xml:space="preserve">should </w:t>
      </w:r>
      <w:r w:rsidRPr="00A30DEF">
        <w:rPr>
          <w:rFonts w:ascii="Times New Roman" w:hAnsi="Times New Roman"/>
          <w:sz w:val="20"/>
          <w:szCs w:val="20"/>
        </w:rPr>
        <w:t>clarify p</w:t>
      </w:r>
      <w:r w:rsidR="0044099F" w:rsidRPr="00A30DEF">
        <w:rPr>
          <w:rFonts w:ascii="Times New Roman" w:hAnsi="Times New Roman"/>
          <w:sz w:val="20"/>
          <w:szCs w:val="20"/>
        </w:rPr>
        <w:t>rioritization</w:t>
      </w:r>
      <w:r w:rsidR="00A34F0A" w:rsidRPr="00A30DEF">
        <w:rPr>
          <w:rFonts w:ascii="Times New Roman" w:hAnsi="Times New Roman"/>
          <w:sz w:val="20"/>
          <w:szCs w:val="20"/>
        </w:rPr>
        <w:t>,</w:t>
      </w:r>
      <w:r w:rsidR="0044099F" w:rsidRPr="00A30DEF">
        <w:rPr>
          <w:rFonts w:ascii="Times New Roman" w:hAnsi="Times New Roman"/>
          <w:sz w:val="20"/>
          <w:szCs w:val="20"/>
        </w:rPr>
        <w:t xml:space="preserve"> </w:t>
      </w:r>
      <w:r w:rsidRPr="00A30DEF">
        <w:rPr>
          <w:rFonts w:ascii="Times New Roman" w:hAnsi="Times New Roman"/>
          <w:sz w:val="20"/>
          <w:szCs w:val="20"/>
        </w:rPr>
        <w:t xml:space="preserve">cost sharing, </w:t>
      </w:r>
      <w:r w:rsidR="00B9749B" w:rsidRPr="00A30DEF">
        <w:rPr>
          <w:rFonts w:ascii="Times New Roman" w:hAnsi="Times New Roman"/>
          <w:sz w:val="20"/>
          <w:szCs w:val="20"/>
        </w:rPr>
        <w:t xml:space="preserve">and </w:t>
      </w:r>
      <w:r w:rsidRPr="00A30DEF">
        <w:rPr>
          <w:rFonts w:ascii="Times New Roman" w:hAnsi="Times New Roman"/>
          <w:sz w:val="20"/>
          <w:szCs w:val="20"/>
        </w:rPr>
        <w:t xml:space="preserve">applicable coverage limitations when the drug is not covered by Medicare but is covered by Medicaid. </w:t>
      </w:r>
    </w:p>
    <w:p w14:paraId="618005AC" w14:textId="2C26AB3A" w:rsidR="006B27D2" w:rsidRPr="00A30DEF" w:rsidRDefault="009564A4" w:rsidP="001C7BBB">
      <w:pPr>
        <w:pStyle w:val="ListParagraph"/>
        <w:numPr>
          <w:ilvl w:val="0"/>
          <w:numId w:val="10"/>
        </w:numPr>
        <w:rPr>
          <w:rFonts w:ascii="Times New Roman" w:hAnsi="Times New Roman"/>
          <w:sz w:val="20"/>
          <w:szCs w:val="20"/>
        </w:rPr>
      </w:pPr>
      <w:r w:rsidRPr="00A30DEF">
        <w:rPr>
          <w:rFonts w:ascii="Times New Roman" w:hAnsi="Times New Roman"/>
          <w:sz w:val="20"/>
          <w:szCs w:val="20"/>
        </w:rPr>
        <w:t xml:space="preserve">Since the Exclusion </w:t>
      </w:r>
      <w:r w:rsidR="003D24D8" w:rsidRPr="00A30DEF">
        <w:rPr>
          <w:rFonts w:ascii="Times New Roman" w:hAnsi="Times New Roman"/>
          <w:sz w:val="20"/>
          <w:szCs w:val="20"/>
        </w:rPr>
        <w:t>file</w:t>
      </w:r>
      <w:r w:rsidRPr="00A30DEF">
        <w:rPr>
          <w:rFonts w:ascii="Times New Roman" w:hAnsi="Times New Roman"/>
          <w:sz w:val="20"/>
          <w:szCs w:val="20"/>
        </w:rPr>
        <w:t xml:space="preserve"> requires a specific beneficiary </w:t>
      </w:r>
      <w:r w:rsidR="0044099F" w:rsidRPr="00A30DEF">
        <w:rPr>
          <w:rFonts w:ascii="Times New Roman" w:hAnsi="Times New Roman"/>
          <w:sz w:val="20"/>
          <w:szCs w:val="20"/>
        </w:rPr>
        <w:t>notification process</w:t>
      </w:r>
      <w:r w:rsidRPr="00A30DEF">
        <w:rPr>
          <w:rFonts w:ascii="Times New Roman" w:hAnsi="Times New Roman"/>
          <w:sz w:val="20"/>
          <w:szCs w:val="20"/>
        </w:rPr>
        <w:t xml:space="preserve">, </w:t>
      </w:r>
      <w:r w:rsidR="002717B6" w:rsidRPr="00A30DEF">
        <w:rPr>
          <w:rFonts w:ascii="Times New Roman" w:hAnsi="Times New Roman"/>
          <w:sz w:val="20"/>
          <w:szCs w:val="20"/>
        </w:rPr>
        <w:t>plans/</w:t>
      </w:r>
      <w:r w:rsidRPr="00A30DEF">
        <w:rPr>
          <w:rFonts w:ascii="Times New Roman" w:hAnsi="Times New Roman"/>
          <w:sz w:val="20"/>
          <w:szCs w:val="20"/>
        </w:rPr>
        <w:t xml:space="preserve">PBMs need </w:t>
      </w:r>
      <w:r w:rsidR="00B9749B" w:rsidRPr="00A30DEF">
        <w:rPr>
          <w:rFonts w:ascii="Times New Roman" w:hAnsi="Times New Roman"/>
          <w:sz w:val="20"/>
          <w:szCs w:val="20"/>
        </w:rPr>
        <w:t xml:space="preserve">guidance on whether a separate letter will be </w:t>
      </w:r>
      <w:r w:rsidRPr="00A30DEF">
        <w:rPr>
          <w:rFonts w:ascii="Times New Roman" w:hAnsi="Times New Roman"/>
          <w:sz w:val="20"/>
          <w:szCs w:val="20"/>
        </w:rPr>
        <w:t>required for beneficiaries whose prescribers are on the Preclusion List.</w:t>
      </w:r>
      <w:r w:rsidR="00475894" w:rsidRPr="00A30DEF">
        <w:rPr>
          <w:rFonts w:ascii="Times New Roman" w:hAnsi="Times New Roman"/>
          <w:sz w:val="20"/>
          <w:szCs w:val="20"/>
        </w:rPr>
        <w:t xml:space="preserve">  Further guidance is also requested on the appeals process.</w:t>
      </w:r>
    </w:p>
    <w:p w14:paraId="1FCB3F61" w14:textId="77777777" w:rsidR="009564A4" w:rsidRPr="00A30DEF" w:rsidRDefault="009564A4" w:rsidP="006B27D2">
      <w:pPr>
        <w:rPr>
          <w:rFonts w:ascii="Times New Roman" w:hAnsi="Times New Roman"/>
          <w:sz w:val="20"/>
          <w:szCs w:val="20"/>
        </w:rPr>
      </w:pPr>
    </w:p>
    <w:p w14:paraId="5ACD8C76" w14:textId="71EBCD93" w:rsidR="009564A4" w:rsidRPr="00A30DEF" w:rsidRDefault="009564A4" w:rsidP="006B27D2">
      <w:pPr>
        <w:rPr>
          <w:rFonts w:ascii="Times New Roman" w:hAnsi="Times New Roman"/>
          <w:sz w:val="20"/>
          <w:szCs w:val="20"/>
        </w:rPr>
      </w:pPr>
      <w:r w:rsidRPr="00A30DEF">
        <w:rPr>
          <w:rFonts w:ascii="Times New Roman" w:hAnsi="Times New Roman"/>
          <w:sz w:val="20"/>
          <w:szCs w:val="20"/>
        </w:rPr>
        <w:t xml:space="preserve">CMS stated the prescribers on the Preclusion </w:t>
      </w:r>
      <w:r w:rsidR="003D24D8" w:rsidRPr="00A30DEF">
        <w:rPr>
          <w:rFonts w:ascii="Times New Roman" w:hAnsi="Times New Roman"/>
          <w:sz w:val="20"/>
          <w:szCs w:val="20"/>
        </w:rPr>
        <w:t>file</w:t>
      </w:r>
      <w:r w:rsidRPr="00A30DEF">
        <w:rPr>
          <w:rFonts w:ascii="Times New Roman" w:hAnsi="Times New Roman"/>
          <w:sz w:val="20"/>
          <w:szCs w:val="20"/>
        </w:rPr>
        <w:t xml:space="preserve"> are not enrolled in Medicare and therefore should be handled in accordance with the HPMS December 27, 2015 Plan guidance page 27</w:t>
      </w:r>
      <w:r w:rsidR="00B9749B" w:rsidRPr="00A30DEF">
        <w:rPr>
          <w:rFonts w:ascii="Times New Roman" w:hAnsi="Times New Roman"/>
          <w:sz w:val="20"/>
          <w:szCs w:val="20"/>
        </w:rPr>
        <w:t>.</w:t>
      </w:r>
      <w:r w:rsidRPr="00A30DEF">
        <w:rPr>
          <w:rFonts w:ascii="Times New Roman" w:hAnsi="Times New Roman"/>
          <w:sz w:val="20"/>
          <w:szCs w:val="20"/>
        </w:rPr>
        <w:t xml:space="preserve"> (Separately CMS will have an internal discussion on the elements of the Guidance </w:t>
      </w:r>
      <w:r w:rsidR="00A34F0A" w:rsidRPr="00A30DEF">
        <w:rPr>
          <w:rFonts w:ascii="Times New Roman" w:hAnsi="Times New Roman"/>
          <w:sz w:val="20"/>
          <w:szCs w:val="20"/>
        </w:rPr>
        <w:t xml:space="preserve">that </w:t>
      </w:r>
      <w:r w:rsidR="002717B6" w:rsidRPr="00A30DEF">
        <w:rPr>
          <w:rFonts w:ascii="Times New Roman" w:hAnsi="Times New Roman"/>
          <w:sz w:val="20"/>
          <w:szCs w:val="20"/>
        </w:rPr>
        <w:t>may be applicable in general</w:t>
      </w:r>
      <w:r w:rsidR="00A34F0A" w:rsidRPr="00A30DEF">
        <w:rPr>
          <w:rFonts w:ascii="Times New Roman" w:hAnsi="Times New Roman"/>
          <w:sz w:val="20"/>
          <w:szCs w:val="20"/>
        </w:rPr>
        <w:t>.</w:t>
      </w:r>
      <w:r w:rsidRPr="00A30DEF">
        <w:rPr>
          <w:rFonts w:ascii="Times New Roman" w:hAnsi="Times New Roman"/>
          <w:sz w:val="20"/>
          <w:szCs w:val="20"/>
        </w:rPr>
        <w:t xml:space="preserve">)  </w:t>
      </w:r>
    </w:p>
    <w:p w14:paraId="3F260A0D" w14:textId="77777777" w:rsidR="009564A4" w:rsidRPr="00A30DEF" w:rsidRDefault="009564A4" w:rsidP="006B27D2">
      <w:pPr>
        <w:rPr>
          <w:rFonts w:ascii="Times New Roman" w:hAnsi="Times New Roman"/>
          <w:sz w:val="20"/>
          <w:szCs w:val="20"/>
        </w:rPr>
      </w:pPr>
    </w:p>
    <w:p w14:paraId="13E199A3" w14:textId="39ABFDD2" w:rsidR="006B27D2" w:rsidRPr="00A30DEF" w:rsidRDefault="009564A4" w:rsidP="009564A4">
      <w:pPr>
        <w:tabs>
          <w:tab w:val="left" w:pos="6545"/>
        </w:tabs>
        <w:rPr>
          <w:rFonts w:ascii="Times New Roman" w:hAnsi="Times New Roman"/>
          <w:sz w:val="20"/>
          <w:szCs w:val="20"/>
        </w:rPr>
      </w:pPr>
      <w:r w:rsidRPr="00A30DEF">
        <w:rPr>
          <w:rFonts w:ascii="Times New Roman" w:hAnsi="Times New Roman"/>
          <w:sz w:val="20"/>
          <w:szCs w:val="20"/>
        </w:rPr>
        <w:t xml:space="preserve">Industry asked that CMS further explain the differences between the Exclusion and the Preclusion </w:t>
      </w:r>
      <w:r w:rsidR="006A4B11" w:rsidRPr="00A30DEF">
        <w:rPr>
          <w:rFonts w:ascii="Times New Roman" w:hAnsi="Times New Roman"/>
          <w:sz w:val="20"/>
          <w:szCs w:val="20"/>
        </w:rPr>
        <w:t>f</w:t>
      </w:r>
      <w:r w:rsidRPr="00A30DEF">
        <w:rPr>
          <w:rFonts w:ascii="Times New Roman" w:hAnsi="Times New Roman"/>
          <w:sz w:val="20"/>
          <w:szCs w:val="20"/>
        </w:rPr>
        <w:t>ile</w:t>
      </w:r>
      <w:r w:rsidR="006A4B11" w:rsidRPr="00A30DEF">
        <w:rPr>
          <w:rFonts w:ascii="Times New Roman" w:hAnsi="Times New Roman"/>
          <w:sz w:val="20"/>
          <w:szCs w:val="20"/>
        </w:rPr>
        <w:t>s</w:t>
      </w:r>
      <w:r w:rsidRPr="00A30DEF">
        <w:rPr>
          <w:rFonts w:ascii="Times New Roman" w:hAnsi="Times New Roman"/>
          <w:sz w:val="20"/>
          <w:szCs w:val="20"/>
        </w:rPr>
        <w:t xml:space="preserve"> and </w:t>
      </w:r>
      <w:r w:rsidR="00A34F0A" w:rsidRPr="00A30DEF">
        <w:rPr>
          <w:rFonts w:ascii="Times New Roman" w:hAnsi="Times New Roman"/>
          <w:sz w:val="20"/>
          <w:szCs w:val="20"/>
        </w:rPr>
        <w:t xml:space="preserve">explain </w:t>
      </w:r>
      <w:r w:rsidRPr="00A30DEF">
        <w:rPr>
          <w:rFonts w:ascii="Times New Roman" w:hAnsi="Times New Roman"/>
          <w:sz w:val="20"/>
          <w:szCs w:val="20"/>
        </w:rPr>
        <w:t>why the two files c</w:t>
      </w:r>
      <w:r w:rsidR="002717B6" w:rsidRPr="00A30DEF">
        <w:rPr>
          <w:rFonts w:ascii="Times New Roman" w:hAnsi="Times New Roman"/>
          <w:sz w:val="20"/>
          <w:szCs w:val="20"/>
        </w:rPr>
        <w:t>annot</w:t>
      </w:r>
      <w:r w:rsidRPr="00A30DEF">
        <w:rPr>
          <w:rFonts w:ascii="Times New Roman" w:hAnsi="Times New Roman"/>
          <w:sz w:val="20"/>
          <w:szCs w:val="20"/>
        </w:rPr>
        <w:t xml:space="preserve"> be handled in the same manner</w:t>
      </w:r>
      <w:r w:rsidR="00475894" w:rsidRPr="00A30DEF">
        <w:rPr>
          <w:rFonts w:ascii="Times New Roman" w:hAnsi="Times New Roman"/>
          <w:sz w:val="20"/>
          <w:szCs w:val="20"/>
        </w:rPr>
        <w:t xml:space="preserve"> by the plans/PBMs</w:t>
      </w:r>
      <w:r w:rsidRPr="00A30DEF">
        <w:rPr>
          <w:rFonts w:ascii="Times New Roman" w:hAnsi="Times New Roman"/>
          <w:sz w:val="20"/>
          <w:szCs w:val="20"/>
        </w:rPr>
        <w:t xml:space="preserve">. </w:t>
      </w:r>
    </w:p>
    <w:p w14:paraId="35532296" w14:textId="77777777" w:rsidR="009564A4" w:rsidRPr="00A30DEF" w:rsidRDefault="009564A4" w:rsidP="009564A4">
      <w:pPr>
        <w:tabs>
          <w:tab w:val="left" w:pos="6545"/>
        </w:tabs>
        <w:rPr>
          <w:rFonts w:ascii="Times New Roman" w:hAnsi="Times New Roman"/>
          <w:sz w:val="20"/>
          <w:szCs w:val="20"/>
        </w:rPr>
      </w:pPr>
    </w:p>
    <w:p w14:paraId="1E187E39" w14:textId="1DD91B13" w:rsidR="009564A4" w:rsidRPr="00A30DEF" w:rsidRDefault="002717B6" w:rsidP="00A42426">
      <w:pPr>
        <w:pStyle w:val="ListParagraph"/>
        <w:numPr>
          <w:ilvl w:val="0"/>
          <w:numId w:val="12"/>
        </w:numPr>
        <w:tabs>
          <w:tab w:val="left" w:pos="6545"/>
        </w:tabs>
        <w:rPr>
          <w:rFonts w:ascii="Times New Roman" w:hAnsi="Times New Roman"/>
          <w:sz w:val="20"/>
          <w:szCs w:val="20"/>
        </w:rPr>
      </w:pPr>
      <w:r w:rsidRPr="00A30DEF">
        <w:rPr>
          <w:rFonts w:ascii="Times New Roman" w:hAnsi="Times New Roman"/>
          <w:sz w:val="20"/>
          <w:szCs w:val="20"/>
        </w:rPr>
        <w:t xml:space="preserve">CMS explained that, in reference to the Exclusion file, OIG has the statutory authority to exclude </w:t>
      </w:r>
      <w:r w:rsidR="009564A4" w:rsidRPr="00A30DEF">
        <w:rPr>
          <w:rFonts w:ascii="Times New Roman" w:hAnsi="Times New Roman"/>
          <w:sz w:val="20"/>
          <w:szCs w:val="20"/>
        </w:rPr>
        <w:t>providers from both Medicare and Medicaid</w:t>
      </w:r>
      <w:r w:rsidR="00B9749B" w:rsidRPr="00A30DEF">
        <w:rPr>
          <w:rFonts w:ascii="Times New Roman" w:hAnsi="Times New Roman"/>
          <w:sz w:val="20"/>
          <w:szCs w:val="20"/>
        </w:rPr>
        <w:t>.</w:t>
      </w:r>
      <w:r w:rsidR="009564A4" w:rsidRPr="00A30DEF">
        <w:rPr>
          <w:rFonts w:ascii="Times New Roman" w:hAnsi="Times New Roman"/>
          <w:sz w:val="20"/>
          <w:szCs w:val="20"/>
        </w:rPr>
        <w:t xml:space="preserve">  </w:t>
      </w:r>
    </w:p>
    <w:p w14:paraId="4FF7F95F" w14:textId="2CF065DF" w:rsidR="009564A4" w:rsidRPr="00A30DEF" w:rsidRDefault="009564A4" w:rsidP="006D45DF">
      <w:pPr>
        <w:pStyle w:val="ListParagraph"/>
        <w:numPr>
          <w:ilvl w:val="0"/>
          <w:numId w:val="11"/>
        </w:numPr>
        <w:tabs>
          <w:tab w:val="left" w:pos="6545"/>
        </w:tabs>
        <w:rPr>
          <w:rFonts w:ascii="Times New Roman" w:hAnsi="Times New Roman"/>
          <w:sz w:val="20"/>
          <w:szCs w:val="20"/>
        </w:rPr>
      </w:pPr>
      <w:r w:rsidRPr="00A30DEF">
        <w:rPr>
          <w:rFonts w:ascii="Times New Roman" w:hAnsi="Times New Roman"/>
          <w:sz w:val="20"/>
          <w:szCs w:val="20"/>
        </w:rPr>
        <w:t xml:space="preserve">The Preclusion </w:t>
      </w:r>
      <w:r w:rsidR="006A4B11" w:rsidRPr="00A30DEF">
        <w:rPr>
          <w:rFonts w:ascii="Times New Roman" w:hAnsi="Times New Roman"/>
          <w:sz w:val="20"/>
          <w:szCs w:val="20"/>
        </w:rPr>
        <w:t>f</w:t>
      </w:r>
      <w:r w:rsidRPr="00A30DEF">
        <w:rPr>
          <w:rFonts w:ascii="Times New Roman" w:hAnsi="Times New Roman"/>
          <w:sz w:val="20"/>
          <w:szCs w:val="20"/>
        </w:rPr>
        <w:t xml:space="preserve">ile cannot </w:t>
      </w:r>
      <w:r w:rsidR="006A4B11" w:rsidRPr="00A30DEF">
        <w:rPr>
          <w:rFonts w:ascii="Times New Roman" w:hAnsi="Times New Roman"/>
          <w:sz w:val="20"/>
          <w:szCs w:val="20"/>
        </w:rPr>
        <w:t xml:space="preserve">be </w:t>
      </w:r>
      <w:r w:rsidR="00A34F0A" w:rsidRPr="00A30DEF">
        <w:rPr>
          <w:rFonts w:ascii="Times New Roman" w:hAnsi="Times New Roman"/>
          <w:sz w:val="20"/>
          <w:szCs w:val="20"/>
        </w:rPr>
        <w:t xml:space="preserve">applied in the same manner </w:t>
      </w:r>
      <w:r w:rsidR="00475894" w:rsidRPr="00A30DEF">
        <w:rPr>
          <w:rFonts w:ascii="Times New Roman" w:hAnsi="Times New Roman"/>
          <w:sz w:val="20"/>
          <w:szCs w:val="20"/>
        </w:rPr>
        <w:t>because different statutory and regulatory authorities are applicable. T</w:t>
      </w:r>
      <w:r w:rsidR="00B9749B" w:rsidRPr="00A30DEF">
        <w:rPr>
          <w:rFonts w:ascii="Times New Roman" w:hAnsi="Times New Roman"/>
          <w:sz w:val="20"/>
          <w:szCs w:val="20"/>
        </w:rPr>
        <w:t xml:space="preserve">he Preclusion file </w:t>
      </w:r>
      <w:r w:rsidR="006A4B11" w:rsidRPr="00A30DEF">
        <w:rPr>
          <w:rFonts w:ascii="Times New Roman" w:hAnsi="Times New Roman"/>
          <w:sz w:val="20"/>
          <w:szCs w:val="20"/>
        </w:rPr>
        <w:t xml:space="preserve">includes revoked </w:t>
      </w:r>
      <w:r w:rsidR="00B9749B" w:rsidRPr="00A30DEF">
        <w:rPr>
          <w:rFonts w:ascii="Times New Roman" w:hAnsi="Times New Roman"/>
          <w:sz w:val="20"/>
          <w:szCs w:val="20"/>
        </w:rPr>
        <w:t>prescribers</w:t>
      </w:r>
      <w:r w:rsidR="00A34F0A" w:rsidRPr="00A30DEF">
        <w:rPr>
          <w:rFonts w:ascii="Times New Roman" w:hAnsi="Times New Roman"/>
          <w:sz w:val="20"/>
          <w:szCs w:val="20"/>
        </w:rPr>
        <w:t>,</w:t>
      </w:r>
      <w:r w:rsidR="00B9749B" w:rsidRPr="00A30DEF">
        <w:rPr>
          <w:rFonts w:ascii="Times New Roman" w:hAnsi="Times New Roman"/>
          <w:sz w:val="20"/>
          <w:szCs w:val="20"/>
        </w:rPr>
        <w:t xml:space="preserve"> or </w:t>
      </w:r>
      <w:r w:rsidR="006A4B11" w:rsidRPr="00A30DEF">
        <w:rPr>
          <w:rFonts w:ascii="Times New Roman" w:hAnsi="Times New Roman"/>
          <w:sz w:val="20"/>
          <w:szCs w:val="20"/>
        </w:rPr>
        <w:t>non-enrolled prescribers who</w:t>
      </w:r>
      <w:r w:rsidR="00B9749B" w:rsidRPr="00A30DEF">
        <w:rPr>
          <w:rFonts w:ascii="Times New Roman" w:hAnsi="Times New Roman"/>
          <w:sz w:val="20"/>
          <w:szCs w:val="20"/>
        </w:rPr>
        <w:t xml:space="preserve"> have been convicted of a felony with</w:t>
      </w:r>
      <w:r w:rsidR="00A34F0A" w:rsidRPr="00A30DEF">
        <w:rPr>
          <w:rFonts w:ascii="Times New Roman" w:hAnsi="Times New Roman"/>
          <w:sz w:val="20"/>
          <w:szCs w:val="20"/>
        </w:rPr>
        <w:t>in</w:t>
      </w:r>
      <w:r w:rsidR="00B9749B" w:rsidRPr="00A30DEF">
        <w:rPr>
          <w:rFonts w:ascii="Times New Roman" w:hAnsi="Times New Roman"/>
          <w:sz w:val="20"/>
          <w:szCs w:val="20"/>
        </w:rPr>
        <w:t xml:space="preserve"> the past ten years. The regulations </w:t>
      </w:r>
      <w:r w:rsidR="006A4B11" w:rsidRPr="00A30DEF">
        <w:rPr>
          <w:rFonts w:ascii="Times New Roman" w:hAnsi="Times New Roman"/>
          <w:sz w:val="20"/>
          <w:szCs w:val="20"/>
        </w:rPr>
        <w:t xml:space="preserve">specifically </w:t>
      </w:r>
      <w:r w:rsidRPr="00A30DEF">
        <w:rPr>
          <w:rFonts w:ascii="Times New Roman" w:hAnsi="Times New Roman"/>
          <w:sz w:val="20"/>
          <w:szCs w:val="20"/>
        </w:rPr>
        <w:t xml:space="preserve">limit </w:t>
      </w:r>
      <w:r w:rsidR="006A4B11" w:rsidRPr="00A30DEF">
        <w:rPr>
          <w:rFonts w:ascii="Times New Roman" w:hAnsi="Times New Roman"/>
          <w:sz w:val="20"/>
          <w:szCs w:val="20"/>
        </w:rPr>
        <w:t xml:space="preserve">the extent to which </w:t>
      </w:r>
      <w:r w:rsidRPr="00A30DEF">
        <w:rPr>
          <w:rFonts w:ascii="Times New Roman" w:hAnsi="Times New Roman"/>
          <w:sz w:val="20"/>
          <w:szCs w:val="20"/>
        </w:rPr>
        <w:t>Me</w:t>
      </w:r>
      <w:r w:rsidR="00B9749B" w:rsidRPr="00A30DEF">
        <w:rPr>
          <w:rFonts w:ascii="Times New Roman" w:hAnsi="Times New Roman"/>
          <w:sz w:val="20"/>
          <w:szCs w:val="20"/>
        </w:rPr>
        <w:t xml:space="preserve">dicare’s revocation </w:t>
      </w:r>
      <w:r w:rsidR="006A4B11" w:rsidRPr="00A30DEF">
        <w:rPr>
          <w:rFonts w:ascii="Times New Roman" w:hAnsi="Times New Roman"/>
          <w:sz w:val="20"/>
          <w:szCs w:val="20"/>
        </w:rPr>
        <w:t xml:space="preserve">(or other) </w:t>
      </w:r>
      <w:r w:rsidR="00A34F0A" w:rsidRPr="00A30DEF">
        <w:rPr>
          <w:rFonts w:ascii="Times New Roman" w:hAnsi="Times New Roman"/>
          <w:sz w:val="20"/>
          <w:szCs w:val="20"/>
        </w:rPr>
        <w:t xml:space="preserve">authority </w:t>
      </w:r>
      <w:r w:rsidR="006A4B11" w:rsidRPr="00A30DEF">
        <w:rPr>
          <w:rFonts w:ascii="Times New Roman" w:hAnsi="Times New Roman"/>
          <w:sz w:val="20"/>
          <w:szCs w:val="20"/>
        </w:rPr>
        <w:t xml:space="preserve">can be applied to </w:t>
      </w:r>
      <w:r w:rsidR="00B9749B" w:rsidRPr="00A30DEF">
        <w:rPr>
          <w:rFonts w:ascii="Times New Roman" w:hAnsi="Times New Roman"/>
          <w:sz w:val="20"/>
          <w:szCs w:val="20"/>
        </w:rPr>
        <w:t>Medicaid</w:t>
      </w:r>
      <w:r w:rsidR="006A4B11" w:rsidRPr="00A30DEF">
        <w:rPr>
          <w:rFonts w:ascii="Times New Roman" w:hAnsi="Times New Roman"/>
          <w:sz w:val="20"/>
          <w:szCs w:val="20"/>
        </w:rPr>
        <w:t xml:space="preserve"> prescribers.</w:t>
      </w:r>
    </w:p>
    <w:p w14:paraId="28447205" w14:textId="77777777" w:rsidR="009564A4" w:rsidRPr="00A30DEF" w:rsidRDefault="009564A4" w:rsidP="009564A4">
      <w:pPr>
        <w:tabs>
          <w:tab w:val="left" w:pos="6545"/>
        </w:tabs>
        <w:rPr>
          <w:rFonts w:ascii="Times New Roman" w:hAnsi="Times New Roman"/>
          <w:sz w:val="20"/>
          <w:szCs w:val="20"/>
        </w:rPr>
      </w:pPr>
    </w:p>
    <w:p w14:paraId="10139D1E" w14:textId="67F16827" w:rsidR="009564A4" w:rsidRPr="00A30DEF" w:rsidRDefault="009564A4" w:rsidP="009564A4">
      <w:pPr>
        <w:tabs>
          <w:tab w:val="left" w:pos="6545"/>
        </w:tabs>
        <w:rPr>
          <w:rFonts w:ascii="Times New Roman" w:hAnsi="Times New Roman"/>
          <w:sz w:val="20"/>
          <w:szCs w:val="20"/>
        </w:rPr>
      </w:pPr>
      <w:r w:rsidRPr="00A30DEF">
        <w:rPr>
          <w:rFonts w:ascii="Times New Roman" w:hAnsi="Times New Roman"/>
          <w:sz w:val="20"/>
          <w:szCs w:val="20"/>
        </w:rPr>
        <w:t>Preliminarily, plans/PBMs indicated that</w:t>
      </w:r>
      <w:r w:rsidR="00B9749B" w:rsidRPr="00A30DEF">
        <w:rPr>
          <w:rFonts w:ascii="Times New Roman" w:hAnsi="Times New Roman"/>
          <w:sz w:val="20"/>
          <w:szCs w:val="20"/>
        </w:rPr>
        <w:t xml:space="preserve"> applying the Preclusion </w:t>
      </w:r>
      <w:r w:rsidR="006A4B11" w:rsidRPr="00A30DEF">
        <w:rPr>
          <w:rFonts w:ascii="Times New Roman" w:hAnsi="Times New Roman"/>
          <w:sz w:val="20"/>
          <w:szCs w:val="20"/>
        </w:rPr>
        <w:t>file</w:t>
      </w:r>
      <w:r w:rsidR="00B9749B" w:rsidRPr="00A30DEF">
        <w:rPr>
          <w:rFonts w:ascii="Times New Roman" w:hAnsi="Times New Roman"/>
          <w:sz w:val="20"/>
          <w:szCs w:val="20"/>
        </w:rPr>
        <w:t xml:space="preserve"> to Medicare only </w:t>
      </w:r>
      <w:r w:rsidRPr="00A30DEF">
        <w:rPr>
          <w:rFonts w:ascii="Times New Roman" w:hAnsi="Times New Roman"/>
          <w:sz w:val="20"/>
          <w:szCs w:val="20"/>
        </w:rPr>
        <w:t xml:space="preserve">could </w:t>
      </w:r>
      <w:r w:rsidR="00A34F0A" w:rsidRPr="00A30DEF">
        <w:rPr>
          <w:rFonts w:ascii="Times New Roman" w:hAnsi="Times New Roman"/>
          <w:sz w:val="20"/>
          <w:szCs w:val="20"/>
        </w:rPr>
        <w:t xml:space="preserve">delay </w:t>
      </w:r>
      <w:r w:rsidR="00475894" w:rsidRPr="00A30DEF">
        <w:rPr>
          <w:rFonts w:ascii="Times New Roman" w:hAnsi="Times New Roman"/>
          <w:sz w:val="20"/>
          <w:szCs w:val="20"/>
        </w:rPr>
        <w:t xml:space="preserve">the Preclusion file </w:t>
      </w:r>
      <w:r w:rsidR="00A34F0A" w:rsidRPr="00A30DEF">
        <w:rPr>
          <w:rFonts w:ascii="Times New Roman" w:hAnsi="Times New Roman"/>
          <w:sz w:val="20"/>
          <w:szCs w:val="20"/>
        </w:rPr>
        <w:t xml:space="preserve">implementation from </w:t>
      </w:r>
      <w:r w:rsidR="00B9749B" w:rsidRPr="00A30DEF">
        <w:rPr>
          <w:rFonts w:ascii="Times New Roman" w:hAnsi="Times New Roman"/>
          <w:sz w:val="20"/>
          <w:szCs w:val="20"/>
        </w:rPr>
        <w:t>two to twelve m</w:t>
      </w:r>
      <w:r w:rsidRPr="00A30DEF">
        <w:rPr>
          <w:rFonts w:ascii="Times New Roman" w:hAnsi="Times New Roman"/>
          <w:sz w:val="20"/>
          <w:szCs w:val="20"/>
        </w:rPr>
        <w:t>onths</w:t>
      </w:r>
      <w:r w:rsidR="002717B6" w:rsidRPr="00A30DEF">
        <w:rPr>
          <w:rFonts w:ascii="Times New Roman" w:hAnsi="Times New Roman"/>
          <w:sz w:val="20"/>
          <w:szCs w:val="20"/>
        </w:rPr>
        <w:t xml:space="preserve"> while system changes are made</w:t>
      </w:r>
      <w:r w:rsidRPr="00A30DEF">
        <w:rPr>
          <w:rFonts w:ascii="Times New Roman" w:hAnsi="Times New Roman"/>
          <w:sz w:val="20"/>
          <w:szCs w:val="20"/>
        </w:rPr>
        <w:t xml:space="preserve">. To allow the plans/PBMs to further understand the differences and similarities between the Exclusion and the Preclusion </w:t>
      </w:r>
      <w:r w:rsidR="006A4B11" w:rsidRPr="00A30DEF">
        <w:rPr>
          <w:rFonts w:ascii="Times New Roman" w:hAnsi="Times New Roman"/>
          <w:sz w:val="20"/>
          <w:szCs w:val="20"/>
        </w:rPr>
        <w:t>f</w:t>
      </w:r>
      <w:r w:rsidRPr="00A30DEF">
        <w:rPr>
          <w:rFonts w:ascii="Times New Roman" w:hAnsi="Times New Roman"/>
          <w:sz w:val="20"/>
          <w:szCs w:val="20"/>
        </w:rPr>
        <w:t>ile</w:t>
      </w:r>
      <w:r w:rsidR="006A4B11" w:rsidRPr="00A30DEF">
        <w:rPr>
          <w:rFonts w:ascii="Times New Roman" w:hAnsi="Times New Roman"/>
          <w:sz w:val="20"/>
          <w:szCs w:val="20"/>
        </w:rPr>
        <w:t>s</w:t>
      </w:r>
      <w:r w:rsidRPr="00A30DEF">
        <w:rPr>
          <w:rFonts w:ascii="Times New Roman" w:hAnsi="Times New Roman"/>
          <w:sz w:val="20"/>
          <w:szCs w:val="20"/>
        </w:rPr>
        <w:t xml:space="preserve">, CMS </w:t>
      </w:r>
      <w:r w:rsidR="00475894" w:rsidRPr="00A30DEF">
        <w:rPr>
          <w:rFonts w:ascii="Times New Roman" w:hAnsi="Times New Roman"/>
          <w:sz w:val="20"/>
          <w:szCs w:val="20"/>
        </w:rPr>
        <w:t xml:space="preserve">has provided </w:t>
      </w:r>
      <w:r w:rsidRPr="00A30DEF">
        <w:rPr>
          <w:rFonts w:ascii="Times New Roman" w:hAnsi="Times New Roman"/>
          <w:sz w:val="20"/>
          <w:szCs w:val="20"/>
        </w:rPr>
        <w:t xml:space="preserve">a comparison flow chart to detail how providers on each list are to be handled operationally. </w:t>
      </w:r>
      <w:r w:rsidR="00475894" w:rsidRPr="00A30DEF">
        <w:rPr>
          <w:rFonts w:ascii="Times New Roman" w:hAnsi="Times New Roman"/>
          <w:sz w:val="20"/>
          <w:szCs w:val="20"/>
        </w:rPr>
        <w:t xml:space="preserve">(See Attachment 1). </w:t>
      </w:r>
      <w:r w:rsidRPr="00A30DEF">
        <w:rPr>
          <w:rFonts w:ascii="Times New Roman" w:hAnsi="Times New Roman"/>
          <w:sz w:val="20"/>
          <w:szCs w:val="20"/>
        </w:rPr>
        <w:t>This information should allow plan</w:t>
      </w:r>
      <w:r w:rsidR="00DF6DF3">
        <w:rPr>
          <w:rFonts w:ascii="Times New Roman" w:hAnsi="Times New Roman"/>
          <w:sz w:val="20"/>
          <w:szCs w:val="20"/>
        </w:rPr>
        <w:t>s</w:t>
      </w:r>
      <w:r w:rsidRPr="00A30DEF">
        <w:rPr>
          <w:rFonts w:ascii="Times New Roman" w:hAnsi="Times New Roman"/>
          <w:sz w:val="20"/>
          <w:szCs w:val="20"/>
        </w:rPr>
        <w:t xml:space="preserve">/PBMs to better assess the level of effort required to implement the Preclusion </w:t>
      </w:r>
      <w:r w:rsidR="006A4B11" w:rsidRPr="00A30DEF">
        <w:rPr>
          <w:rFonts w:ascii="Times New Roman" w:hAnsi="Times New Roman"/>
          <w:sz w:val="20"/>
          <w:szCs w:val="20"/>
        </w:rPr>
        <w:t>file</w:t>
      </w:r>
      <w:r w:rsidRPr="00A30DEF">
        <w:rPr>
          <w:rFonts w:ascii="Times New Roman" w:hAnsi="Times New Roman"/>
          <w:sz w:val="20"/>
          <w:szCs w:val="20"/>
        </w:rPr>
        <w:t xml:space="preserve"> requirements. Plans</w:t>
      </w:r>
      <w:r w:rsidR="006A4B11" w:rsidRPr="00A30DEF">
        <w:rPr>
          <w:rFonts w:ascii="Times New Roman" w:hAnsi="Times New Roman"/>
          <w:sz w:val="20"/>
          <w:szCs w:val="20"/>
        </w:rPr>
        <w:t>/PBMs</w:t>
      </w:r>
      <w:r w:rsidRPr="00A30DEF">
        <w:rPr>
          <w:rFonts w:ascii="Times New Roman" w:hAnsi="Times New Roman"/>
          <w:sz w:val="20"/>
          <w:szCs w:val="20"/>
        </w:rPr>
        <w:t xml:space="preserve"> are expected to respond to CMS with level of effort estimates by mid-January 2017.</w:t>
      </w:r>
    </w:p>
    <w:p w14:paraId="48FCE7DB" w14:textId="77777777" w:rsidR="009564A4" w:rsidRPr="00A30DEF" w:rsidRDefault="009564A4" w:rsidP="009564A4">
      <w:pPr>
        <w:tabs>
          <w:tab w:val="left" w:pos="6545"/>
        </w:tabs>
        <w:rPr>
          <w:rFonts w:ascii="Times New Roman" w:hAnsi="Times New Roman"/>
          <w:sz w:val="20"/>
          <w:szCs w:val="20"/>
        </w:rPr>
      </w:pPr>
    </w:p>
    <w:p w14:paraId="421B44DF" w14:textId="20077174" w:rsidR="00F463F7" w:rsidRPr="00A30DEF" w:rsidRDefault="009564A4" w:rsidP="002A5C60">
      <w:pPr>
        <w:tabs>
          <w:tab w:val="left" w:pos="6545"/>
        </w:tabs>
        <w:rPr>
          <w:rFonts w:ascii="Times New Roman" w:hAnsi="Times New Roman"/>
          <w:sz w:val="20"/>
          <w:szCs w:val="20"/>
        </w:rPr>
      </w:pPr>
      <w:r w:rsidRPr="00A30DEF">
        <w:rPr>
          <w:rFonts w:ascii="Times New Roman" w:hAnsi="Times New Roman"/>
          <w:sz w:val="20"/>
          <w:szCs w:val="20"/>
          <w:u w:val="single"/>
        </w:rPr>
        <w:t>2.) Preclusion File Characteristics</w:t>
      </w:r>
    </w:p>
    <w:p w14:paraId="3D668E1C" w14:textId="42F62004" w:rsidR="009564A4" w:rsidRPr="00A30DEF" w:rsidRDefault="002A5C60" w:rsidP="002A5C60">
      <w:pPr>
        <w:pStyle w:val="ListParagraph"/>
        <w:numPr>
          <w:ilvl w:val="0"/>
          <w:numId w:val="11"/>
        </w:numPr>
        <w:tabs>
          <w:tab w:val="left" w:pos="6545"/>
        </w:tabs>
        <w:rPr>
          <w:rFonts w:ascii="Times New Roman" w:hAnsi="Times New Roman"/>
          <w:sz w:val="20"/>
          <w:szCs w:val="20"/>
        </w:rPr>
      </w:pPr>
      <w:r w:rsidRPr="00A30DEF">
        <w:rPr>
          <w:rFonts w:ascii="Times New Roman" w:hAnsi="Times New Roman"/>
          <w:sz w:val="20"/>
          <w:szCs w:val="20"/>
        </w:rPr>
        <w:t>T</w:t>
      </w:r>
      <w:r w:rsidR="009564A4" w:rsidRPr="00A30DEF">
        <w:rPr>
          <w:rFonts w:ascii="Times New Roman" w:hAnsi="Times New Roman"/>
          <w:sz w:val="20"/>
          <w:szCs w:val="20"/>
        </w:rPr>
        <w:t>he file layout</w:t>
      </w:r>
      <w:r w:rsidRPr="00A30DEF">
        <w:rPr>
          <w:rFonts w:ascii="Times New Roman" w:hAnsi="Times New Roman"/>
          <w:sz w:val="20"/>
          <w:szCs w:val="20"/>
        </w:rPr>
        <w:t xml:space="preserve"> should be </w:t>
      </w:r>
      <w:r w:rsidR="009564A4" w:rsidRPr="00A30DEF">
        <w:rPr>
          <w:rFonts w:ascii="Times New Roman" w:hAnsi="Times New Roman"/>
          <w:sz w:val="20"/>
          <w:szCs w:val="20"/>
        </w:rPr>
        <w:t xml:space="preserve">the same </w:t>
      </w:r>
      <w:r w:rsidR="00CE0E5D" w:rsidRPr="00A30DEF">
        <w:rPr>
          <w:rFonts w:ascii="Times New Roman" w:hAnsi="Times New Roman"/>
          <w:sz w:val="20"/>
          <w:szCs w:val="20"/>
        </w:rPr>
        <w:t xml:space="preserve">as </w:t>
      </w:r>
      <w:r w:rsidR="00475894" w:rsidRPr="00A30DEF">
        <w:rPr>
          <w:rFonts w:ascii="Times New Roman" w:hAnsi="Times New Roman"/>
          <w:sz w:val="20"/>
          <w:szCs w:val="20"/>
        </w:rPr>
        <w:t>the Exclusion f</w:t>
      </w:r>
      <w:r w:rsidR="009564A4" w:rsidRPr="00A30DEF">
        <w:rPr>
          <w:rFonts w:ascii="Times New Roman" w:hAnsi="Times New Roman"/>
          <w:sz w:val="20"/>
          <w:szCs w:val="20"/>
        </w:rPr>
        <w:t>ile.</w:t>
      </w:r>
    </w:p>
    <w:p w14:paraId="0A57101E" w14:textId="7AAADE94" w:rsidR="002A5C60" w:rsidRPr="00A30DEF" w:rsidRDefault="009564A4" w:rsidP="002A5C60">
      <w:pPr>
        <w:pStyle w:val="ListParagraph"/>
        <w:numPr>
          <w:ilvl w:val="0"/>
          <w:numId w:val="11"/>
        </w:numPr>
        <w:tabs>
          <w:tab w:val="left" w:pos="6545"/>
        </w:tabs>
        <w:rPr>
          <w:rFonts w:ascii="Times New Roman" w:hAnsi="Times New Roman"/>
          <w:sz w:val="20"/>
          <w:szCs w:val="20"/>
        </w:rPr>
      </w:pPr>
      <w:r w:rsidRPr="00A30DEF">
        <w:rPr>
          <w:rFonts w:ascii="Times New Roman" w:hAnsi="Times New Roman"/>
          <w:sz w:val="20"/>
          <w:szCs w:val="20"/>
        </w:rPr>
        <w:t xml:space="preserve">The Preclusion file </w:t>
      </w:r>
      <w:r w:rsidR="00F463F7" w:rsidRPr="00A30DEF">
        <w:rPr>
          <w:rFonts w:ascii="Times New Roman" w:hAnsi="Times New Roman"/>
          <w:sz w:val="20"/>
          <w:szCs w:val="20"/>
        </w:rPr>
        <w:t xml:space="preserve">will </w:t>
      </w:r>
      <w:r w:rsidRPr="00A30DEF">
        <w:rPr>
          <w:rFonts w:ascii="Times New Roman" w:hAnsi="Times New Roman"/>
          <w:sz w:val="20"/>
          <w:szCs w:val="20"/>
        </w:rPr>
        <w:t xml:space="preserve">be a new, separate file which will be </w:t>
      </w:r>
      <w:r w:rsidR="00475894" w:rsidRPr="00A30DEF">
        <w:rPr>
          <w:rFonts w:ascii="Times New Roman" w:hAnsi="Times New Roman"/>
          <w:sz w:val="20"/>
          <w:szCs w:val="20"/>
        </w:rPr>
        <w:t>placed</w:t>
      </w:r>
      <w:r w:rsidR="00CE0E5D" w:rsidRPr="00A30DEF">
        <w:rPr>
          <w:rFonts w:ascii="Times New Roman" w:hAnsi="Times New Roman"/>
          <w:sz w:val="20"/>
          <w:szCs w:val="20"/>
        </w:rPr>
        <w:t xml:space="preserve"> in the same location as the </w:t>
      </w:r>
      <w:r w:rsidR="005F2B4C" w:rsidRPr="00A30DEF">
        <w:rPr>
          <w:rFonts w:ascii="Times New Roman" w:hAnsi="Times New Roman"/>
          <w:sz w:val="20"/>
          <w:szCs w:val="20"/>
        </w:rPr>
        <w:t>Exclusion f</w:t>
      </w:r>
      <w:r w:rsidRPr="00A30DEF">
        <w:rPr>
          <w:rFonts w:ascii="Times New Roman" w:hAnsi="Times New Roman"/>
          <w:sz w:val="20"/>
          <w:szCs w:val="20"/>
        </w:rPr>
        <w:t>ile.</w:t>
      </w:r>
    </w:p>
    <w:p w14:paraId="3962D442" w14:textId="234FCD70" w:rsidR="002A299D" w:rsidRPr="00A30DEF" w:rsidRDefault="002A299D" w:rsidP="002A299D">
      <w:pPr>
        <w:pStyle w:val="ListParagraph"/>
        <w:numPr>
          <w:ilvl w:val="0"/>
          <w:numId w:val="11"/>
        </w:numPr>
        <w:tabs>
          <w:tab w:val="left" w:pos="6545"/>
        </w:tabs>
        <w:rPr>
          <w:rFonts w:ascii="Times New Roman" w:hAnsi="Times New Roman"/>
          <w:sz w:val="20"/>
          <w:szCs w:val="20"/>
        </w:rPr>
      </w:pPr>
      <w:r w:rsidRPr="00A30DEF">
        <w:rPr>
          <w:rFonts w:ascii="Times New Roman" w:hAnsi="Times New Roman"/>
          <w:sz w:val="20"/>
          <w:szCs w:val="20"/>
        </w:rPr>
        <w:t>I</w:t>
      </w:r>
      <w:r w:rsidR="00CE0E5D" w:rsidRPr="00A30DEF">
        <w:rPr>
          <w:rFonts w:ascii="Times New Roman" w:hAnsi="Times New Roman"/>
          <w:sz w:val="20"/>
          <w:szCs w:val="20"/>
        </w:rPr>
        <w:t xml:space="preserve">n terms of </w:t>
      </w:r>
      <w:r w:rsidRPr="00A30DEF">
        <w:rPr>
          <w:rFonts w:ascii="Times New Roman" w:hAnsi="Times New Roman"/>
          <w:sz w:val="20"/>
          <w:szCs w:val="20"/>
        </w:rPr>
        <w:t>whether a provider should be on one or both lists</w:t>
      </w:r>
      <w:r w:rsidR="00F463F7" w:rsidRPr="00A30DEF">
        <w:rPr>
          <w:rFonts w:ascii="Times New Roman" w:hAnsi="Times New Roman"/>
          <w:sz w:val="20"/>
          <w:szCs w:val="20"/>
        </w:rPr>
        <w:t>,</w:t>
      </w:r>
      <w:r w:rsidRPr="00A30DEF">
        <w:rPr>
          <w:rFonts w:ascii="Times New Roman" w:hAnsi="Times New Roman"/>
          <w:sz w:val="20"/>
          <w:szCs w:val="20"/>
        </w:rPr>
        <w:t xml:space="preserve"> it </w:t>
      </w:r>
      <w:r w:rsidR="00475894" w:rsidRPr="00A30DEF">
        <w:rPr>
          <w:rFonts w:ascii="Times New Roman" w:hAnsi="Times New Roman"/>
          <w:sz w:val="20"/>
          <w:szCs w:val="20"/>
        </w:rPr>
        <w:t xml:space="preserve">was </w:t>
      </w:r>
      <w:r w:rsidRPr="00A30DEF">
        <w:rPr>
          <w:rFonts w:ascii="Times New Roman" w:hAnsi="Times New Roman"/>
          <w:sz w:val="20"/>
          <w:szCs w:val="20"/>
        </w:rPr>
        <w:t>noted that pr</w:t>
      </w:r>
      <w:r w:rsidR="00F463F7" w:rsidRPr="00A30DEF">
        <w:rPr>
          <w:rFonts w:ascii="Times New Roman" w:hAnsi="Times New Roman"/>
          <w:sz w:val="20"/>
          <w:szCs w:val="20"/>
        </w:rPr>
        <w:t>escribers</w:t>
      </w:r>
      <w:r w:rsidRPr="00A30DEF">
        <w:rPr>
          <w:rFonts w:ascii="Times New Roman" w:hAnsi="Times New Roman"/>
          <w:sz w:val="20"/>
          <w:szCs w:val="20"/>
        </w:rPr>
        <w:t xml:space="preserve"> may be removed from th</w:t>
      </w:r>
      <w:r w:rsidR="00F463F7" w:rsidRPr="00A30DEF">
        <w:rPr>
          <w:rFonts w:ascii="Times New Roman" w:hAnsi="Times New Roman"/>
          <w:sz w:val="20"/>
          <w:szCs w:val="20"/>
        </w:rPr>
        <w:t xml:space="preserve">e Exclusion </w:t>
      </w:r>
      <w:r w:rsidR="005F2B4C" w:rsidRPr="00A30DEF">
        <w:rPr>
          <w:rFonts w:ascii="Times New Roman" w:hAnsi="Times New Roman"/>
          <w:sz w:val="20"/>
          <w:szCs w:val="20"/>
        </w:rPr>
        <w:t>file</w:t>
      </w:r>
      <w:r w:rsidR="00F463F7" w:rsidRPr="00A30DEF">
        <w:rPr>
          <w:rFonts w:ascii="Times New Roman" w:hAnsi="Times New Roman"/>
          <w:sz w:val="20"/>
          <w:szCs w:val="20"/>
        </w:rPr>
        <w:t xml:space="preserve"> but remain on </w:t>
      </w:r>
      <w:r w:rsidR="00CE0E5D" w:rsidRPr="00A30DEF">
        <w:rPr>
          <w:rFonts w:ascii="Times New Roman" w:hAnsi="Times New Roman"/>
          <w:sz w:val="20"/>
          <w:szCs w:val="20"/>
        </w:rPr>
        <w:t xml:space="preserve">the </w:t>
      </w:r>
      <w:r w:rsidR="005F2B4C" w:rsidRPr="00A30DEF">
        <w:rPr>
          <w:rFonts w:ascii="Times New Roman" w:hAnsi="Times New Roman"/>
          <w:sz w:val="20"/>
          <w:szCs w:val="20"/>
        </w:rPr>
        <w:t>Preclusion file</w:t>
      </w:r>
      <w:r w:rsidR="00F463F7" w:rsidRPr="00A30DEF">
        <w:rPr>
          <w:rFonts w:ascii="Times New Roman" w:hAnsi="Times New Roman"/>
          <w:sz w:val="20"/>
          <w:szCs w:val="20"/>
        </w:rPr>
        <w:t xml:space="preserve"> </w:t>
      </w:r>
      <w:r w:rsidR="00CE0E5D" w:rsidRPr="00A30DEF">
        <w:rPr>
          <w:rFonts w:ascii="Times New Roman" w:hAnsi="Times New Roman"/>
          <w:sz w:val="20"/>
          <w:szCs w:val="20"/>
        </w:rPr>
        <w:t>because the E</w:t>
      </w:r>
      <w:r w:rsidR="005F2B4C" w:rsidRPr="00A30DEF">
        <w:rPr>
          <w:rFonts w:ascii="Times New Roman" w:hAnsi="Times New Roman"/>
          <w:sz w:val="20"/>
          <w:szCs w:val="20"/>
        </w:rPr>
        <w:t>xclusion file</w:t>
      </w:r>
      <w:r w:rsidR="00CE0E5D" w:rsidRPr="00A30DEF">
        <w:rPr>
          <w:rFonts w:ascii="Times New Roman" w:hAnsi="Times New Roman"/>
          <w:sz w:val="20"/>
          <w:szCs w:val="20"/>
        </w:rPr>
        <w:t xml:space="preserve"> </w:t>
      </w:r>
      <w:r w:rsidR="00C52374" w:rsidRPr="00A30DEF">
        <w:rPr>
          <w:rFonts w:ascii="Times New Roman" w:hAnsi="Times New Roman"/>
          <w:sz w:val="20"/>
          <w:szCs w:val="20"/>
        </w:rPr>
        <w:t xml:space="preserve">time periods </w:t>
      </w:r>
      <w:r w:rsidR="00CE0E5D" w:rsidRPr="00A30DEF">
        <w:rPr>
          <w:rFonts w:ascii="Times New Roman" w:hAnsi="Times New Roman"/>
          <w:sz w:val="20"/>
          <w:szCs w:val="20"/>
        </w:rPr>
        <w:t xml:space="preserve">and Preclusion </w:t>
      </w:r>
      <w:r w:rsidR="005F2B4C" w:rsidRPr="00A30DEF">
        <w:rPr>
          <w:rFonts w:ascii="Times New Roman" w:hAnsi="Times New Roman"/>
          <w:sz w:val="20"/>
          <w:szCs w:val="20"/>
        </w:rPr>
        <w:t xml:space="preserve">file </w:t>
      </w:r>
      <w:r w:rsidR="00C52374" w:rsidRPr="00A30DEF">
        <w:rPr>
          <w:rFonts w:ascii="Times New Roman" w:hAnsi="Times New Roman"/>
          <w:sz w:val="20"/>
          <w:szCs w:val="20"/>
        </w:rPr>
        <w:t xml:space="preserve">time periods are </w:t>
      </w:r>
      <w:r w:rsidR="00CE0E5D" w:rsidRPr="00A30DEF">
        <w:rPr>
          <w:rFonts w:ascii="Times New Roman" w:hAnsi="Times New Roman"/>
          <w:sz w:val="20"/>
          <w:szCs w:val="20"/>
        </w:rPr>
        <w:t>not always the same.</w:t>
      </w:r>
      <w:r w:rsidRPr="00A30DEF">
        <w:rPr>
          <w:rFonts w:ascii="Times New Roman" w:hAnsi="Times New Roman"/>
          <w:sz w:val="20"/>
          <w:szCs w:val="20"/>
        </w:rPr>
        <w:t xml:space="preserve"> </w:t>
      </w:r>
    </w:p>
    <w:p w14:paraId="11460A2D" w14:textId="06090081" w:rsidR="002A299D" w:rsidRPr="00A30DEF" w:rsidRDefault="002A299D" w:rsidP="00F463F7">
      <w:pPr>
        <w:pStyle w:val="ListParagraph"/>
        <w:numPr>
          <w:ilvl w:val="0"/>
          <w:numId w:val="11"/>
        </w:numPr>
        <w:tabs>
          <w:tab w:val="left" w:pos="6545"/>
        </w:tabs>
        <w:rPr>
          <w:rFonts w:ascii="Times New Roman" w:hAnsi="Times New Roman"/>
          <w:sz w:val="20"/>
          <w:szCs w:val="20"/>
        </w:rPr>
      </w:pPr>
      <w:r w:rsidRPr="00A30DEF">
        <w:rPr>
          <w:rFonts w:ascii="Times New Roman" w:hAnsi="Times New Roman"/>
          <w:sz w:val="20"/>
          <w:szCs w:val="20"/>
        </w:rPr>
        <w:t xml:space="preserve">CMS will </w:t>
      </w:r>
      <w:r w:rsidR="00F463F7" w:rsidRPr="00A30DEF">
        <w:rPr>
          <w:rFonts w:ascii="Times New Roman" w:hAnsi="Times New Roman"/>
          <w:sz w:val="20"/>
          <w:szCs w:val="20"/>
        </w:rPr>
        <w:t xml:space="preserve">continue to investigate adding </w:t>
      </w:r>
      <w:r w:rsidRPr="00A30DEF">
        <w:rPr>
          <w:rFonts w:ascii="Times New Roman" w:hAnsi="Times New Roman"/>
          <w:sz w:val="20"/>
          <w:szCs w:val="20"/>
        </w:rPr>
        <w:t>date</w:t>
      </w:r>
      <w:r w:rsidR="00F463F7" w:rsidRPr="00A30DEF">
        <w:rPr>
          <w:rFonts w:ascii="Times New Roman" w:hAnsi="Times New Roman"/>
          <w:sz w:val="20"/>
          <w:szCs w:val="20"/>
        </w:rPr>
        <w:t>(s)</w:t>
      </w:r>
      <w:r w:rsidRPr="00A30DEF">
        <w:rPr>
          <w:rFonts w:ascii="Times New Roman" w:hAnsi="Times New Roman"/>
          <w:sz w:val="20"/>
          <w:szCs w:val="20"/>
        </w:rPr>
        <w:t xml:space="preserve"> </w:t>
      </w:r>
      <w:r w:rsidR="00CE0E5D" w:rsidRPr="00A30DEF">
        <w:rPr>
          <w:rFonts w:ascii="Times New Roman" w:hAnsi="Times New Roman"/>
          <w:sz w:val="20"/>
          <w:szCs w:val="20"/>
        </w:rPr>
        <w:t xml:space="preserve">fields </w:t>
      </w:r>
      <w:r w:rsidRPr="00A30DEF">
        <w:rPr>
          <w:rFonts w:ascii="Times New Roman" w:hAnsi="Times New Roman"/>
          <w:sz w:val="20"/>
          <w:szCs w:val="20"/>
        </w:rPr>
        <w:t>to the Preclusion file.</w:t>
      </w:r>
    </w:p>
    <w:p w14:paraId="274DB7BA" w14:textId="2AFD34AB" w:rsidR="009564A4" w:rsidRPr="00A30DEF" w:rsidRDefault="002A5C60" w:rsidP="00CE0E5D">
      <w:pPr>
        <w:pStyle w:val="ListParagraph"/>
        <w:numPr>
          <w:ilvl w:val="0"/>
          <w:numId w:val="11"/>
        </w:numPr>
        <w:tabs>
          <w:tab w:val="left" w:pos="6545"/>
        </w:tabs>
        <w:rPr>
          <w:rFonts w:ascii="Times New Roman" w:hAnsi="Times New Roman"/>
          <w:sz w:val="20"/>
          <w:szCs w:val="20"/>
        </w:rPr>
      </w:pPr>
      <w:r w:rsidRPr="00A30DEF">
        <w:rPr>
          <w:rFonts w:ascii="Times New Roman" w:hAnsi="Times New Roman"/>
          <w:sz w:val="20"/>
          <w:szCs w:val="20"/>
        </w:rPr>
        <w:t xml:space="preserve">CMS also noted the </w:t>
      </w:r>
      <w:r w:rsidR="009564A4" w:rsidRPr="00A30DEF">
        <w:rPr>
          <w:rFonts w:ascii="Times New Roman" w:hAnsi="Times New Roman"/>
          <w:sz w:val="20"/>
          <w:szCs w:val="20"/>
        </w:rPr>
        <w:t xml:space="preserve">Preclusion </w:t>
      </w:r>
      <w:r w:rsidR="00F01FB1">
        <w:rPr>
          <w:rFonts w:ascii="Times New Roman" w:hAnsi="Times New Roman"/>
          <w:sz w:val="20"/>
          <w:szCs w:val="20"/>
        </w:rPr>
        <w:t xml:space="preserve">file </w:t>
      </w:r>
      <w:r w:rsidRPr="00A30DEF">
        <w:rPr>
          <w:rFonts w:ascii="Times New Roman" w:hAnsi="Times New Roman"/>
          <w:sz w:val="20"/>
          <w:szCs w:val="20"/>
        </w:rPr>
        <w:t xml:space="preserve">is expected to be a monthly </w:t>
      </w:r>
      <w:r w:rsidR="009564A4" w:rsidRPr="00A30DEF">
        <w:rPr>
          <w:rFonts w:ascii="Times New Roman" w:hAnsi="Times New Roman"/>
          <w:sz w:val="20"/>
          <w:szCs w:val="20"/>
        </w:rPr>
        <w:t>replacement</w:t>
      </w:r>
      <w:r w:rsidR="002A299D" w:rsidRPr="00A30DEF">
        <w:rPr>
          <w:rFonts w:ascii="Times New Roman" w:hAnsi="Times New Roman"/>
          <w:sz w:val="20"/>
          <w:szCs w:val="20"/>
        </w:rPr>
        <w:t xml:space="preserve"> file.</w:t>
      </w:r>
    </w:p>
    <w:p w14:paraId="52CA0F94" w14:textId="77777777" w:rsidR="009564A4" w:rsidRPr="00A30DEF" w:rsidRDefault="009564A4" w:rsidP="009564A4">
      <w:pPr>
        <w:pStyle w:val="ListParagraph"/>
        <w:tabs>
          <w:tab w:val="left" w:pos="6545"/>
        </w:tabs>
        <w:rPr>
          <w:rFonts w:ascii="Times New Roman" w:hAnsi="Times New Roman"/>
          <w:sz w:val="20"/>
          <w:szCs w:val="20"/>
        </w:rPr>
      </w:pPr>
    </w:p>
    <w:p w14:paraId="1C76B237" w14:textId="0065B5B4" w:rsidR="009564A4" w:rsidRPr="00A30DEF" w:rsidRDefault="009564A4" w:rsidP="009564A4">
      <w:pPr>
        <w:tabs>
          <w:tab w:val="left" w:pos="6545"/>
        </w:tabs>
        <w:rPr>
          <w:rFonts w:ascii="Times New Roman" w:hAnsi="Times New Roman"/>
          <w:sz w:val="20"/>
          <w:szCs w:val="20"/>
        </w:rPr>
      </w:pPr>
      <w:r w:rsidRPr="00A30DEF">
        <w:rPr>
          <w:rFonts w:ascii="Times New Roman" w:hAnsi="Times New Roman"/>
          <w:sz w:val="20"/>
          <w:szCs w:val="20"/>
        </w:rPr>
        <w:t xml:space="preserve">3.) </w:t>
      </w:r>
      <w:r w:rsidRPr="00FA44BF">
        <w:rPr>
          <w:rFonts w:ascii="Times New Roman" w:hAnsi="Times New Roman"/>
          <w:sz w:val="20"/>
          <w:szCs w:val="20"/>
          <w:u w:val="single"/>
        </w:rPr>
        <w:t>Test File Availability</w:t>
      </w:r>
    </w:p>
    <w:p w14:paraId="46B6203F" w14:textId="225636E4" w:rsidR="00556065" w:rsidRDefault="009564A4" w:rsidP="009564A4">
      <w:pPr>
        <w:pStyle w:val="ListParagraph"/>
        <w:numPr>
          <w:ilvl w:val="0"/>
          <w:numId w:val="13"/>
        </w:numPr>
        <w:tabs>
          <w:tab w:val="left" w:pos="6545"/>
        </w:tabs>
        <w:rPr>
          <w:rFonts w:ascii="Times New Roman" w:hAnsi="Times New Roman"/>
          <w:sz w:val="20"/>
          <w:szCs w:val="20"/>
        </w:rPr>
      </w:pPr>
      <w:bookmarkStart w:id="0" w:name="_GoBack"/>
      <w:r w:rsidRPr="00A30DEF">
        <w:rPr>
          <w:rFonts w:ascii="Times New Roman" w:hAnsi="Times New Roman"/>
          <w:sz w:val="20"/>
          <w:szCs w:val="20"/>
        </w:rPr>
        <w:lastRenderedPageBreak/>
        <w:t xml:space="preserve">Industry agreed </w:t>
      </w:r>
      <w:r w:rsidR="003C387A" w:rsidRPr="00A30DEF">
        <w:rPr>
          <w:rFonts w:ascii="Times New Roman" w:hAnsi="Times New Roman"/>
          <w:sz w:val="20"/>
          <w:szCs w:val="20"/>
        </w:rPr>
        <w:t xml:space="preserve">that </w:t>
      </w:r>
      <w:r w:rsidR="003C387A">
        <w:rPr>
          <w:rFonts w:ascii="Times New Roman" w:hAnsi="Times New Roman"/>
          <w:sz w:val="20"/>
          <w:szCs w:val="20"/>
        </w:rPr>
        <w:t>production</w:t>
      </w:r>
      <w:r w:rsidR="00556065">
        <w:rPr>
          <w:rFonts w:ascii="Times New Roman" w:hAnsi="Times New Roman"/>
          <w:sz w:val="20"/>
          <w:szCs w:val="20"/>
        </w:rPr>
        <w:t xml:space="preserve"> of the test Preclusion file that</w:t>
      </w:r>
      <w:r w:rsidR="003C387A">
        <w:rPr>
          <w:rFonts w:ascii="Times New Roman" w:hAnsi="Times New Roman"/>
          <w:sz w:val="20"/>
          <w:szCs w:val="20"/>
        </w:rPr>
        <w:t xml:space="preserve"> was originally</w:t>
      </w:r>
      <w:r w:rsidR="00556065">
        <w:rPr>
          <w:rFonts w:ascii="Times New Roman" w:hAnsi="Times New Roman"/>
          <w:sz w:val="20"/>
          <w:szCs w:val="20"/>
        </w:rPr>
        <w:t xml:space="preserve"> projected to be available in </w:t>
      </w:r>
      <w:r w:rsidRPr="00A30DEF">
        <w:rPr>
          <w:rFonts w:ascii="Times New Roman" w:hAnsi="Times New Roman"/>
          <w:sz w:val="20"/>
          <w:szCs w:val="20"/>
        </w:rPr>
        <w:t xml:space="preserve">January 2017 </w:t>
      </w:r>
      <w:r w:rsidR="00556065">
        <w:rPr>
          <w:rFonts w:ascii="Times New Roman" w:hAnsi="Times New Roman"/>
          <w:sz w:val="20"/>
          <w:szCs w:val="20"/>
        </w:rPr>
        <w:t xml:space="preserve">should be delayed.  </w:t>
      </w:r>
    </w:p>
    <w:p w14:paraId="46B6A3C0" w14:textId="79267FE4" w:rsidR="009564A4" w:rsidRPr="00A30DEF" w:rsidRDefault="009564A4" w:rsidP="003C387A">
      <w:pPr>
        <w:pStyle w:val="ListParagraph"/>
        <w:tabs>
          <w:tab w:val="left" w:pos="6545"/>
        </w:tabs>
        <w:rPr>
          <w:rFonts w:ascii="Times New Roman" w:hAnsi="Times New Roman"/>
          <w:sz w:val="20"/>
          <w:szCs w:val="20"/>
        </w:rPr>
      </w:pPr>
    </w:p>
    <w:p w14:paraId="1B1F0D28" w14:textId="77777777" w:rsidR="00FE1A9E" w:rsidRDefault="009564A4" w:rsidP="00FE1A9E">
      <w:pPr>
        <w:spacing w:line="276" w:lineRule="auto"/>
        <w:rPr>
          <w:rFonts w:ascii="Times New Roman" w:hAnsi="Times New Roman"/>
          <w:sz w:val="20"/>
          <w:szCs w:val="20"/>
        </w:rPr>
      </w:pPr>
      <w:r w:rsidRPr="00A30DEF">
        <w:rPr>
          <w:rFonts w:ascii="Times New Roman" w:hAnsi="Times New Roman"/>
          <w:sz w:val="20"/>
          <w:szCs w:val="20"/>
        </w:rPr>
        <w:t xml:space="preserve">4) </w:t>
      </w:r>
      <w:r w:rsidRPr="00FE1A9E">
        <w:rPr>
          <w:rFonts w:ascii="Times New Roman" w:hAnsi="Times New Roman"/>
          <w:sz w:val="20"/>
          <w:szCs w:val="20"/>
          <w:u w:val="single"/>
        </w:rPr>
        <w:t>Comments on the November 9, 2016 Meeting Summary</w:t>
      </w:r>
    </w:p>
    <w:p w14:paraId="2B66EE18" w14:textId="03AB8AD9" w:rsidR="009564A4" w:rsidRPr="00FE1A9E" w:rsidRDefault="00FE1A9E" w:rsidP="00FE1A9E">
      <w:pPr>
        <w:pStyle w:val="ListParagraph"/>
        <w:numPr>
          <w:ilvl w:val="0"/>
          <w:numId w:val="13"/>
        </w:numPr>
        <w:spacing w:after="200" w:line="276" w:lineRule="auto"/>
        <w:rPr>
          <w:rFonts w:ascii="Times New Roman" w:hAnsi="Times New Roman"/>
          <w:sz w:val="20"/>
          <w:szCs w:val="20"/>
        </w:rPr>
      </w:pPr>
      <w:r w:rsidRPr="00FE1A9E">
        <w:rPr>
          <w:rFonts w:ascii="Times New Roman" w:hAnsi="Times New Roman"/>
          <w:sz w:val="20"/>
          <w:szCs w:val="20"/>
        </w:rPr>
        <w:t>T</w:t>
      </w:r>
      <w:r w:rsidR="009564A4" w:rsidRPr="00FE1A9E">
        <w:rPr>
          <w:rFonts w:ascii="Times New Roman" w:hAnsi="Times New Roman"/>
          <w:sz w:val="20"/>
          <w:szCs w:val="20"/>
        </w:rPr>
        <w:t xml:space="preserve">he due date for comments/responses </w:t>
      </w:r>
      <w:r>
        <w:rPr>
          <w:rFonts w:ascii="Times New Roman" w:hAnsi="Times New Roman"/>
          <w:sz w:val="20"/>
          <w:szCs w:val="20"/>
        </w:rPr>
        <w:t xml:space="preserve">was </w:t>
      </w:r>
      <w:r w:rsidR="009564A4" w:rsidRPr="00FE1A9E">
        <w:rPr>
          <w:rFonts w:ascii="Times New Roman" w:hAnsi="Times New Roman"/>
          <w:sz w:val="20"/>
          <w:szCs w:val="20"/>
        </w:rPr>
        <w:t xml:space="preserve">moved to </w:t>
      </w:r>
      <w:r w:rsidR="00AF1034" w:rsidRPr="00FE1A9E">
        <w:rPr>
          <w:rFonts w:ascii="Times New Roman" w:hAnsi="Times New Roman"/>
          <w:sz w:val="20"/>
          <w:szCs w:val="20"/>
        </w:rPr>
        <w:t>December</w:t>
      </w:r>
      <w:r w:rsidR="009564A4" w:rsidRPr="00FE1A9E">
        <w:rPr>
          <w:rFonts w:ascii="Times New Roman" w:hAnsi="Times New Roman"/>
          <w:sz w:val="20"/>
          <w:szCs w:val="20"/>
        </w:rPr>
        <w:t xml:space="preserve"> 9, 2016. </w:t>
      </w:r>
    </w:p>
    <w:tbl>
      <w:tblPr>
        <w:tblStyle w:val="TableGrid"/>
        <w:tblW w:w="0" w:type="auto"/>
        <w:tblLook w:val="04A0" w:firstRow="1" w:lastRow="0" w:firstColumn="1" w:lastColumn="0" w:noHBand="0" w:noVBand="1"/>
      </w:tblPr>
      <w:tblGrid>
        <w:gridCol w:w="6835"/>
        <w:gridCol w:w="1170"/>
        <w:gridCol w:w="1345"/>
      </w:tblGrid>
      <w:tr w:rsidR="00A30DEF" w:rsidRPr="00A30DEF" w14:paraId="139194FE" w14:textId="77777777" w:rsidTr="005F2B4C">
        <w:tc>
          <w:tcPr>
            <w:tcW w:w="6835" w:type="dxa"/>
          </w:tcPr>
          <w:p w14:paraId="0E8B688C" w14:textId="5B0850D9" w:rsidR="003B47E4" w:rsidRPr="00A30DEF" w:rsidRDefault="003B47E4" w:rsidP="003B47E4">
            <w:pPr>
              <w:spacing w:after="200" w:line="276" w:lineRule="auto"/>
              <w:jc w:val="center"/>
              <w:rPr>
                <w:rFonts w:ascii="Times New Roman" w:hAnsi="Times New Roman"/>
                <w:b/>
                <w:sz w:val="20"/>
                <w:szCs w:val="20"/>
              </w:rPr>
            </w:pPr>
            <w:r w:rsidRPr="00A30DEF">
              <w:rPr>
                <w:rFonts w:ascii="Times New Roman" w:hAnsi="Times New Roman"/>
                <w:b/>
                <w:sz w:val="20"/>
                <w:szCs w:val="20"/>
              </w:rPr>
              <w:t xml:space="preserve">December 1, 2016 </w:t>
            </w:r>
            <w:r w:rsidR="005F2B4C" w:rsidRPr="00A30DEF">
              <w:rPr>
                <w:rFonts w:ascii="Times New Roman" w:hAnsi="Times New Roman"/>
                <w:b/>
                <w:sz w:val="20"/>
                <w:szCs w:val="20"/>
              </w:rPr>
              <w:t>Action Item</w:t>
            </w:r>
            <w:r w:rsidR="00AF1034" w:rsidRPr="00A30DEF">
              <w:rPr>
                <w:rFonts w:ascii="Times New Roman" w:hAnsi="Times New Roman"/>
                <w:b/>
                <w:sz w:val="20"/>
                <w:szCs w:val="20"/>
              </w:rPr>
              <w:t xml:space="preserve"> List</w:t>
            </w:r>
            <w:r w:rsidRPr="00A30DEF">
              <w:rPr>
                <w:rFonts w:ascii="Times New Roman" w:hAnsi="Times New Roman"/>
                <w:b/>
                <w:sz w:val="20"/>
                <w:szCs w:val="20"/>
              </w:rPr>
              <w:t xml:space="preserve"> </w:t>
            </w:r>
          </w:p>
        </w:tc>
        <w:tc>
          <w:tcPr>
            <w:tcW w:w="1170" w:type="dxa"/>
          </w:tcPr>
          <w:p w14:paraId="15367331" w14:textId="7917DFC8" w:rsidR="005F2B4C" w:rsidRPr="00A30DEF" w:rsidRDefault="005F2B4C" w:rsidP="00AF1034">
            <w:pPr>
              <w:spacing w:after="200" w:line="276" w:lineRule="auto"/>
              <w:jc w:val="center"/>
              <w:rPr>
                <w:rFonts w:ascii="Times New Roman" w:hAnsi="Times New Roman"/>
                <w:b/>
                <w:sz w:val="20"/>
                <w:szCs w:val="20"/>
              </w:rPr>
            </w:pPr>
            <w:r w:rsidRPr="00A30DEF">
              <w:rPr>
                <w:rFonts w:ascii="Times New Roman" w:hAnsi="Times New Roman"/>
                <w:b/>
                <w:sz w:val="20"/>
                <w:szCs w:val="20"/>
              </w:rPr>
              <w:t>Assigned</w:t>
            </w:r>
          </w:p>
        </w:tc>
        <w:tc>
          <w:tcPr>
            <w:tcW w:w="1345" w:type="dxa"/>
          </w:tcPr>
          <w:p w14:paraId="64EDD858" w14:textId="42F40186" w:rsidR="005F2B4C" w:rsidRPr="00A30DEF" w:rsidRDefault="003B47E4" w:rsidP="003B47E4">
            <w:pPr>
              <w:spacing w:after="200" w:line="276" w:lineRule="auto"/>
              <w:jc w:val="center"/>
              <w:rPr>
                <w:rFonts w:ascii="Times New Roman" w:hAnsi="Times New Roman"/>
                <w:b/>
                <w:sz w:val="20"/>
                <w:szCs w:val="20"/>
              </w:rPr>
            </w:pPr>
            <w:r w:rsidRPr="00A30DEF">
              <w:rPr>
                <w:rFonts w:ascii="Times New Roman" w:hAnsi="Times New Roman"/>
                <w:b/>
                <w:sz w:val="20"/>
                <w:szCs w:val="20"/>
              </w:rPr>
              <w:t>Completion Date</w:t>
            </w:r>
          </w:p>
        </w:tc>
      </w:tr>
      <w:tr w:rsidR="00A30DEF" w:rsidRPr="00A30DEF" w14:paraId="4F90F028" w14:textId="77777777" w:rsidTr="005F2B4C">
        <w:tc>
          <w:tcPr>
            <w:tcW w:w="6835" w:type="dxa"/>
          </w:tcPr>
          <w:p w14:paraId="530D92C3" w14:textId="31DF6736" w:rsidR="003C387A" w:rsidRPr="00A30DEF" w:rsidRDefault="005F2B4C" w:rsidP="007A5FEA">
            <w:pPr>
              <w:pStyle w:val="ListParagraph"/>
              <w:numPr>
                <w:ilvl w:val="0"/>
                <w:numId w:val="14"/>
              </w:numPr>
              <w:spacing w:after="200" w:line="276" w:lineRule="auto"/>
              <w:rPr>
                <w:rFonts w:ascii="Times New Roman" w:hAnsi="Times New Roman"/>
                <w:sz w:val="20"/>
                <w:szCs w:val="20"/>
              </w:rPr>
            </w:pPr>
            <w:r w:rsidRPr="00A30DEF">
              <w:rPr>
                <w:rFonts w:ascii="Times New Roman" w:hAnsi="Times New Roman"/>
                <w:sz w:val="20"/>
                <w:szCs w:val="20"/>
              </w:rPr>
              <w:t>To better understand the impact of limiting the Preclusion file, CMS should clarify prioritization, cost sharing, and applicable coverage limitations when the drug is not covered by Medicare but is covered by Medicaid.</w:t>
            </w:r>
            <w:r w:rsidR="003C387A">
              <w:rPr>
                <w:rFonts w:ascii="Times New Roman" w:hAnsi="Times New Roman"/>
                <w:sz w:val="20"/>
                <w:szCs w:val="20"/>
              </w:rPr>
              <w:t xml:space="preserve">  </w:t>
            </w:r>
            <w:r w:rsidR="003C387A" w:rsidRPr="00A30DEF">
              <w:rPr>
                <w:rFonts w:ascii="Times New Roman" w:hAnsi="Times New Roman"/>
                <w:sz w:val="20"/>
                <w:szCs w:val="20"/>
              </w:rPr>
              <w:t>CMS stated the prescribers on the Preclusion file are not enrolled in Medicare and therefore should be handled in accordance with the HPMS December 27</w:t>
            </w:r>
            <w:r w:rsidR="007A5FEA">
              <w:rPr>
                <w:rFonts w:ascii="Times New Roman" w:hAnsi="Times New Roman"/>
                <w:sz w:val="20"/>
                <w:szCs w:val="20"/>
              </w:rPr>
              <w:t xml:space="preserve">, 2015 Plan guidance page 27.  </w:t>
            </w:r>
            <w:r w:rsidR="003C387A" w:rsidRPr="00A30DEF">
              <w:rPr>
                <w:rFonts w:ascii="Times New Roman" w:hAnsi="Times New Roman"/>
                <w:sz w:val="20"/>
                <w:szCs w:val="20"/>
              </w:rPr>
              <w:t>Separately CMS will have an internal discussion on the elements of the Guidance that are generally applicable.</w:t>
            </w:r>
          </w:p>
        </w:tc>
        <w:tc>
          <w:tcPr>
            <w:tcW w:w="1170" w:type="dxa"/>
          </w:tcPr>
          <w:p w14:paraId="4AC42F69" w14:textId="447F2C54" w:rsidR="005F2B4C" w:rsidRPr="00A30DEF" w:rsidRDefault="00D64196" w:rsidP="00DF6DF3">
            <w:pPr>
              <w:spacing w:after="200" w:line="276" w:lineRule="auto"/>
              <w:rPr>
                <w:rFonts w:ascii="Times New Roman" w:hAnsi="Times New Roman"/>
                <w:sz w:val="20"/>
                <w:szCs w:val="20"/>
              </w:rPr>
            </w:pPr>
            <w:r>
              <w:rPr>
                <w:rFonts w:ascii="Times New Roman" w:hAnsi="Times New Roman"/>
                <w:sz w:val="20"/>
                <w:szCs w:val="20"/>
              </w:rPr>
              <w:t>CPI/</w:t>
            </w:r>
            <w:r w:rsidR="005F2B4C" w:rsidRPr="00A30DEF">
              <w:rPr>
                <w:rFonts w:ascii="Times New Roman" w:hAnsi="Times New Roman"/>
                <w:sz w:val="20"/>
                <w:szCs w:val="20"/>
              </w:rPr>
              <w:t>CM</w:t>
            </w:r>
          </w:p>
        </w:tc>
        <w:tc>
          <w:tcPr>
            <w:tcW w:w="1345" w:type="dxa"/>
          </w:tcPr>
          <w:p w14:paraId="635BB08D" w14:textId="77777777" w:rsidR="005F2B4C" w:rsidRPr="00A30DEF" w:rsidRDefault="005F2B4C">
            <w:pPr>
              <w:spacing w:after="200" w:line="276" w:lineRule="auto"/>
              <w:rPr>
                <w:rFonts w:ascii="Times New Roman" w:hAnsi="Times New Roman"/>
                <w:sz w:val="20"/>
                <w:szCs w:val="20"/>
              </w:rPr>
            </w:pPr>
          </w:p>
        </w:tc>
      </w:tr>
      <w:tr w:rsidR="00A30DEF" w:rsidRPr="00A30DEF" w14:paraId="10F0DBDB" w14:textId="77777777" w:rsidTr="005F2B4C">
        <w:tc>
          <w:tcPr>
            <w:tcW w:w="6835" w:type="dxa"/>
          </w:tcPr>
          <w:p w14:paraId="065A0DB2" w14:textId="525AE92F" w:rsidR="00475894" w:rsidRPr="00A30DEF" w:rsidRDefault="00475894" w:rsidP="00F01FB1">
            <w:pPr>
              <w:pStyle w:val="ListParagraph"/>
              <w:numPr>
                <w:ilvl w:val="0"/>
                <w:numId w:val="14"/>
              </w:numPr>
              <w:spacing w:after="200" w:line="276" w:lineRule="auto"/>
              <w:rPr>
                <w:rFonts w:ascii="Times New Roman" w:hAnsi="Times New Roman"/>
                <w:sz w:val="20"/>
                <w:szCs w:val="20"/>
              </w:rPr>
            </w:pPr>
            <w:r w:rsidRPr="00A30DEF">
              <w:rPr>
                <w:rFonts w:ascii="Times New Roman" w:hAnsi="Times New Roman"/>
                <w:sz w:val="20"/>
                <w:szCs w:val="20"/>
              </w:rPr>
              <w:t>Since the Exclusion file requires a specific beneficiary notification process, PBMs need guidance on whether a separate letter will be required for beneficiaries whose prescribers are on the Preclusion file. Further</w:t>
            </w:r>
            <w:r w:rsidR="003C387A">
              <w:rPr>
                <w:rFonts w:ascii="Times New Roman" w:hAnsi="Times New Roman"/>
                <w:sz w:val="20"/>
                <w:szCs w:val="20"/>
              </w:rPr>
              <w:t xml:space="preserve"> guidance was </w:t>
            </w:r>
            <w:r w:rsidRPr="00A30DEF">
              <w:rPr>
                <w:rFonts w:ascii="Times New Roman" w:hAnsi="Times New Roman"/>
                <w:sz w:val="20"/>
                <w:szCs w:val="20"/>
              </w:rPr>
              <w:t>also requested on the appeals</w:t>
            </w:r>
            <w:r w:rsidR="003C387A">
              <w:rPr>
                <w:rFonts w:ascii="Times New Roman" w:hAnsi="Times New Roman"/>
                <w:sz w:val="20"/>
                <w:szCs w:val="20"/>
              </w:rPr>
              <w:t xml:space="preserve"> process for Preclusion denials. </w:t>
            </w:r>
            <w:r w:rsidR="00C1009B">
              <w:rPr>
                <w:rFonts w:ascii="Times New Roman" w:hAnsi="Times New Roman"/>
                <w:sz w:val="20"/>
                <w:szCs w:val="20"/>
              </w:rPr>
              <w:t xml:space="preserve"> Additionally, </w:t>
            </w:r>
            <w:r w:rsidR="003C387A">
              <w:rPr>
                <w:rFonts w:ascii="Times New Roman" w:hAnsi="Times New Roman"/>
                <w:sz w:val="20"/>
                <w:szCs w:val="20"/>
              </w:rPr>
              <w:t xml:space="preserve">guidance </w:t>
            </w:r>
            <w:r w:rsidR="00F01FB1">
              <w:rPr>
                <w:rFonts w:ascii="Times New Roman" w:hAnsi="Times New Roman"/>
                <w:sz w:val="20"/>
                <w:szCs w:val="20"/>
              </w:rPr>
              <w:t xml:space="preserve">was requested </w:t>
            </w:r>
            <w:r w:rsidR="003C387A">
              <w:rPr>
                <w:rFonts w:ascii="Times New Roman" w:hAnsi="Times New Roman"/>
                <w:sz w:val="20"/>
                <w:szCs w:val="20"/>
              </w:rPr>
              <w:t>on</w:t>
            </w:r>
            <w:r w:rsidR="005E52E7">
              <w:rPr>
                <w:rFonts w:ascii="Times New Roman" w:hAnsi="Times New Roman"/>
                <w:sz w:val="20"/>
                <w:szCs w:val="20"/>
              </w:rPr>
              <w:t xml:space="preserve"> </w:t>
            </w:r>
            <w:r w:rsidR="00C1009B">
              <w:rPr>
                <w:rFonts w:ascii="Times New Roman" w:hAnsi="Times New Roman"/>
                <w:sz w:val="20"/>
                <w:szCs w:val="20"/>
              </w:rPr>
              <w:t xml:space="preserve">processing medical and </w:t>
            </w:r>
            <w:r w:rsidR="00F01FB1">
              <w:rPr>
                <w:rFonts w:ascii="Times New Roman" w:hAnsi="Times New Roman"/>
                <w:sz w:val="20"/>
                <w:szCs w:val="20"/>
              </w:rPr>
              <w:t>related services</w:t>
            </w:r>
            <w:r w:rsidR="00C1009B">
              <w:rPr>
                <w:rFonts w:ascii="Times New Roman" w:hAnsi="Times New Roman"/>
                <w:sz w:val="20"/>
                <w:szCs w:val="20"/>
              </w:rPr>
              <w:t xml:space="preserve"> and supplies provided by plan network prescribers when the prescriber is on the Preclusion file.</w:t>
            </w:r>
          </w:p>
        </w:tc>
        <w:tc>
          <w:tcPr>
            <w:tcW w:w="1170" w:type="dxa"/>
          </w:tcPr>
          <w:p w14:paraId="47CC0D00" w14:textId="3902F418" w:rsidR="00475894" w:rsidRPr="00A30DEF" w:rsidRDefault="00D64196" w:rsidP="00475894">
            <w:pPr>
              <w:spacing w:after="200" w:line="276" w:lineRule="auto"/>
              <w:rPr>
                <w:rFonts w:ascii="Times New Roman" w:hAnsi="Times New Roman"/>
                <w:sz w:val="20"/>
                <w:szCs w:val="20"/>
              </w:rPr>
            </w:pPr>
            <w:r>
              <w:rPr>
                <w:rFonts w:ascii="Times New Roman" w:hAnsi="Times New Roman"/>
                <w:sz w:val="20"/>
                <w:szCs w:val="20"/>
              </w:rPr>
              <w:t>CPI/</w:t>
            </w:r>
            <w:r w:rsidR="00475894" w:rsidRPr="00A30DEF">
              <w:rPr>
                <w:rFonts w:ascii="Times New Roman" w:hAnsi="Times New Roman"/>
                <w:sz w:val="20"/>
                <w:szCs w:val="20"/>
              </w:rPr>
              <w:t>CM</w:t>
            </w:r>
          </w:p>
        </w:tc>
        <w:tc>
          <w:tcPr>
            <w:tcW w:w="1345" w:type="dxa"/>
          </w:tcPr>
          <w:p w14:paraId="7A1BA0B3" w14:textId="77777777" w:rsidR="00475894" w:rsidRPr="00A30DEF" w:rsidRDefault="00475894" w:rsidP="00475894">
            <w:pPr>
              <w:spacing w:after="200" w:line="276" w:lineRule="auto"/>
              <w:rPr>
                <w:rFonts w:ascii="Times New Roman" w:hAnsi="Times New Roman"/>
                <w:sz w:val="20"/>
                <w:szCs w:val="20"/>
              </w:rPr>
            </w:pPr>
          </w:p>
        </w:tc>
      </w:tr>
      <w:tr w:rsidR="00A30DEF" w:rsidRPr="00A30DEF" w14:paraId="240A66D1" w14:textId="77777777" w:rsidTr="005F2B4C">
        <w:tc>
          <w:tcPr>
            <w:tcW w:w="6835" w:type="dxa"/>
          </w:tcPr>
          <w:p w14:paraId="19983B7C" w14:textId="4753A26A" w:rsidR="00475894" w:rsidRPr="00A30DEF" w:rsidRDefault="00475894" w:rsidP="00A30DEF">
            <w:pPr>
              <w:pStyle w:val="ListParagraph"/>
              <w:numPr>
                <w:ilvl w:val="0"/>
                <w:numId w:val="14"/>
              </w:numPr>
              <w:spacing w:after="200" w:line="276" w:lineRule="auto"/>
              <w:rPr>
                <w:rFonts w:ascii="Times New Roman" w:hAnsi="Times New Roman"/>
                <w:sz w:val="20"/>
                <w:szCs w:val="20"/>
              </w:rPr>
            </w:pPr>
            <w:r w:rsidRPr="00A30DEF">
              <w:rPr>
                <w:rFonts w:ascii="Times New Roman" w:hAnsi="Times New Roman"/>
                <w:sz w:val="20"/>
                <w:szCs w:val="20"/>
              </w:rPr>
              <w:t>To allow the plans/PBMs to further understand the differences and similarities between the Exclusion and the Preclusion files, CMS agreed to provide a descriptive comparison flow chart to detail how providers on each list are to be handled operationally.</w:t>
            </w:r>
          </w:p>
        </w:tc>
        <w:tc>
          <w:tcPr>
            <w:tcW w:w="1170" w:type="dxa"/>
          </w:tcPr>
          <w:p w14:paraId="002EC829" w14:textId="183A2EE2" w:rsidR="00475894" w:rsidRPr="00A30DEF" w:rsidRDefault="00475894" w:rsidP="00475894">
            <w:pPr>
              <w:spacing w:after="200" w:line="276" w:lineRule="auto"/>
              <w:rPr>
                <w:rFonts w:ascii="Times New Roman" w:hAnsi="Times New Roman"/>
                <w:sz w:val="20"/>
                <w:szCs w:val="20"/>
              </w:rPr>
            </w:pPr>
            <w:r w:rsidRPr="00A30DEF">
              <w:rPr>
                <w:rFonts w:ascii="Times New Roman" w:hAnsi="Times New Roman"/>
                <w:sz w:val="20"/>
                <w:szCs w:val="20"/>
              </w:rPr>
              <w:t>CPI</w:t>
            </w:r>
          </w:p>
        </w:tc>
        <w:tc>
          <w:tcPr>
            <w:tcW w:w="1345" w:type="dxa"/>
          </w:tcPr>
          <w:p w14:paraId="1DC184A5" w14:textId="31265FB4" w:rsidR="00475894" w:rsidRPr="00A30DEF" w:rsidRDefault="00475894" w:rsidP="00475894">
            <w:pPr>
              <w:spacing w:after="200" w:line="276" w:lineRule="auto"/>
              <w:rPr>
                <w:rFonts w:ascii="Times New Roman" w:hAnsi="Times New Roman"/>
                <w:sz w:val="20"/>
                <w:szCs w:val="20"/>
              </w:rPr>
            </w:pPr>
            <w:r w:rsidRPr="00A30DEF">
              <w:rPr>
                <w:rFonts w:ascii="Times New Roman" w:hAnsi="Times New Roman"/>
                <w:sz w:val="20"/>
                <w:szCs w:val="20"/>
              </w:rPr>
              <w:t>12/12/2016</w:t>
            </w:r>
          </w:p>
        </w:tc>
      </w:tr>
      <w:tr w:rsidR="00A30DEF" w:rsidRPr="00A30DEF" w14:paraId="7B589D8D" w14:textId="77777777" w:rsidTr="005F2B4C">
        <w:tc>
          <w:tcPr>
            <w:tcW w:w="6835" w:type="dxa"/>
          </w:tcPr>
          <w:p w14:paraId="3E171C9E" w14:textId="7076F86E" w:rsidR="00475894" w:rsidRPr="00A30DEF" w:rsidRDefault="00475894" w:rsidP="003B47E4">
            <w:pPr>
              <w:pStyle w:val="ListParagraph"/>
              <w:numPr>
                <w:ilvl w:val="0"/>
                <w:numId w:val="14"/>
              </w:numPr>
              <w:tabs>
                <w:tab w:val="left" w:pos="6545"/>
              </w:tabs>
              <w:rPr>
                <w:rFonts w:ascii="Times New Roman" w:hAnsi="Times New Roman"/>
                <w:sz w:val="20"/>
                <w:szCs w:val="20"/>
              </w:rPr>
            </w:pPr>
            <w:r w:rsidRPr="00A30DEF">
              <w:rPr>
                <w:rFonts w:ascii="Times New Roman" w:hAnsi="Times New Roman"/>
                <w:sz w:val="20"/>
                <w:szCs w:val="20"/>
              </w:rPr>
              <w:t>CMS will continue to investigate adding date(s) fields to the Preclusion List file.</w:t>
            </w:r>
          </w:p>
        </w:tc>
        <w:tc>
          <w:tcPr>
            <w:tcW w:w="1170" w:type="dxa"/>
          </w:tcPr>
          <w:p w14:paraId="17B1B82F" w14:textId="28325901" w:rsidR="00475894" w:rsidRPr="00A30DEF" w:rsidRDefault="00475894" w:rsidP="00475894">
            <w:pPr>
              <w:spacing w:after="200" w:line="276" w:lineRule="auto"/>
              <w:rPr>
                <w:rFonts w:ascii="Times New Roman" w:hAnsi="Times New Roman"/>
                <w:sz w:val="20"/>
                <w:szCs w:val="20"/>
              </w:rPr>
            </w:pPr>
            <w:r w:rsidRPr="00A30DEF">
              <w:rPr>
                <w:rFonts w:ascii="Times New Roman" w:hAnsi="Times New Roman"/>
                <w:sz w:val="20"/>
                <w:szCs w:val="20"/>
              </w:rPr>
              <w:t>CPI</w:t>
            </w:r>
          </w:p>
        </w:tc>
        <w:tc>
          <w:tcPr>
            <w:tcW w:w="1345" w:type="dxa"/>
          </w:tcPr>
          <w:p w14:paraId="17F3B44D" w14:textId="77777777" w:rsidR="00475894" w:rsidRPr="00A30DEF" w:rsidRDefault="00475894" w:rsidP="00475894">
            <w:pPr>
              <w:spacing w:after="200" w:line="276" w:lineRule="auto"/>
              <w:rPr>
                <w:rFonts w:ascii="Times New Roman" w:hAnsi="Times New Roman"/>
                <w:sz w:val="20"/>
                <w:szCs w:val="20"/>
              </w:rPr>
            </w:pPr>
          </w:p>
        </w:tc>
      </w:tr>
      <w:tr w:rsidR="00A30DEF" w:rsidRPr="00A30DEF" w14:paraId="30667754" w14:textId="77777777" w:rsidTr="005F2B4C">
        <w:tc>
          <w:tcPr>
            <w:tcW w:w="6835" w:type="dxa"/>
          </w:tcPr>
          <w:p w14:paraId="11A1112D" w14:textId="6E8A9C43" w:rsidR="00475894" w:rsidRPr="00A30DEF" w:rsidRDefault="00475894" w:rsidP="00A30DEF">
            <w:pPr>
              <w:pStyle w:val="ListParagraph"/>
              <w:numPr>
                <w:ilvl w:val="0"/>
                <w:numId w:val="14"/>
              </w:numPr>
              <w:spacing w:after="200" w:line="276" w:lineRule="auto"/>
              <w:rPr>
                <w:rFonts w:ascii="Times New Roman" w:hAnsi="Times New Roman"/>
                <w:sz w:val="20"/>
                <w:szCs w:val="20"/>
              </w:rPr>
            </w:pPr>
            <w:r w:rsidRPr="00A30DEF">
              <w:rPr>
                <w:rFonts w:ascii="Times New Roman" w:hAnsi="Times New Roman"/>
                <w:sz w:val="20"/>
                <w:szCs w:val="20"/>
              </w:rPr>
              <w:t>Comments on the November 9, 2016 Meeting Summary: The due date for comments/responses has been moved to December 9, 2016.</w:t>
            </w:r>
          </w:p>
        </w:tc>
        <w:tc>
          <w:tcPr>
            <w:tcW w:w="1170" w:type="dxa"/>
          </w:tcPr>
          <w:p w14:paraId="6B1CB500" w14:textId="62ABFCB1" w:rsidR="00475894" w:rsidRPr="00A30DEF" w:rsidRDefault="00475894" w:rsidP="00475894">
            <w:pPr>
              <w:spacing w:after="200" w:line="276" w:lineRule="auto"/>
              <w:rPr>
                <w:rFonts w:ascii="Times New Roman" w:hAnsi="Times New Roman"/>
                <w:sz w:val="20"/>
                <w:szCs w:val="20"/>
              </w:rPr>
            </w:pPr>
            <w:r w:rsidRPr="00A30DEF">
              <w:rPr>
                <w:rFonts w:ascii="Times New Roman" w:hAnsi="Times New Roman"/>
                <w:sz w:val="20"/>
                <w:szCs w:val="20"/>
              </w:rPr>
              <w:t>Industry</w:t>
            </w:r>
          </w:p>
        </w:tc>
        <w:tc>
          <w:tcPr>
            <w:tcW w:w="1345" w:type="dxa"/>
          </w:tcPr>
          <w:p w14:paraId="4758B00B" w14:textId="0C9226BA" w:rsidR="00475894" w:rsidRPr="00A30DEF" w:rsidRDefault="00475894" w:rsidP="00475894">
            <w:pPr>
              <w:spacing w:after="200" w:line="276" w:lineRule="auto"/>
              <w:rPr>
                <w:rFonts w:ascii="Times New Roman" w:hAnsi="Times New Roman"/>
                <w:sz w:val="20"/>
                <w:szCs w:val="20"/>
              </w:rPr>
            </w:pPr>
            <w:r w:rsidRPr="00A30DEF">
              <w:rPr>
                <w:rFonts w:ascii="Times New Roman" w:hAnsi="Times New Roman"/>
                <w:sz w:val="20"/>
                <w:szCs w:val="20"/>
              </w:rPr>
              <w:t>12/9/2016</w:t>
            </w:r>
          </w:p>
        </w:tc>
      </w:tr>
      <w:tr w:rsidR="00A30DEF" w:rsidRPr="00A30DEF" w14:paraId="6788D74E" w14:textId="77777777" w:rsidTr="005F2B4C">
        <w:tc>
          <w:tcPr>
            <w:tcW w:w="6835" w:type="dxa"/>
          </w:tcPr>
          <w:p w14:paraId="65FCA97B" w14:textId="4DABEB46" w:rsidR="00475894" w:rsidRPr="00A30DEF" w:rsidRDefault="003B47E4" w:rsidP="003B47E4">
            <w:pPr>
              <w:pStyle w:val="ListParagraph"/>
              <w:numPr>
                <w:ilvl w:val="0"/>
                <w:numId w:val="14"/>
              </w:numPr>
              <w:spacing w:after="200" w:line="276" w:lineRule="auto"/>
              <w:rPr>
                <w:rFonts w:ascii="Times New Roman" w:hAnsi="Times New Roman"/>
                <w:sz w:val="20"/>
                <w:szCs w:val="20"/>
              </w:rPr>
            </w:pPr>
            <w:r w:rsidRPr="00A30DEF">
              <w:rPr>
                <w:rFonts w:ascii="Times New Roman" w:hAnsi="Times New Roman"/>
                <w:sz w:val="20"/>
                <w:szCs w:val="20"/>
              </w:rPr>
              <w:t>Plans/PBMs are expected to respond to CMS with level of effort estimates by mid-January 2017. [1/13/2017]</w:t>
            </w:r>
          </w:p>
        </w:tc>
        <w:tc>
          <w:tcPr>
            <w:tcW w:w="1170" w:type="dxa"/>
          </w:tcPr>
          <w:p w14:paraId="28FEB6F7" w14:textId="41B8E529" w:rsidR="00475894" w:rsidRPr="00A30DEF" w:rsidRDefault="003B47E4" w:rsidP="00475894">
            <w:pPr>
              <w:spacing w:after="200" w:line="276" w:lineRule="auto"/>
              <w:rPr>
                <w:rFonts w:ascii="Times New Roman" w:hAnsi="Times New Roman"/>
                <w:sz w:val="20"/>
                <w:szCs w:val="20"/>
              </w:rPr>
            </w:pPr>
            <w:r w:rsidRPr="00A30DEF">
              <w:rPr>
                <w:rFonts w:ascii="Times New Roman" w:hAnsi="Times New Roman"/>
                <w:sz w:val="20"/>
                <w:szCs w:val="20"/>
              </w:rPr>
              <w:t>Industry</w:t>
            </w:r>
          </w:p>
        </w:tc>
        <w:tc>
          <w:tcPr>
            <w:tcW w:w="1345" w:type="dxa"/>
          </w:tcPr>
          <w:p w14:paraId="4EBDEF0E" w14:textId="25EB4467" w:rsidR="00475894" w:rsidRPr="00A30DEF" w:rsidRDefault="00475894" w:rsidP="00475894">
            <w:pPr>
              <w:spacing w:after="200" w:line="276" w:lineRule="auto"/>
              <w:rPr>
                <w:rFonts w:ascii="Times New Roman" w:hAnsi="Times New Roman"/>
                <w:sz w:val="20"/>
                <w:szCs w:val="20"/>
              </w:rPr>
            </w:pPr>
          </w:p>
        </w:tc>
      </w:tr>
      <w:bookmarkEnd w:id="0"/>
    </w:tbl>
    <w:p w14:paraId="2E944C21" w14:textId="77777777" w:rsidR="005F2B4C" w:rsidRPr="00A30DEF" w:rsidRDefault="005F2B4C">
      <w:pPr>
        <w:spacing w:after="200" w:line="276" w:lineRule="auto"/>
        <w:rPr>
          <w:rFonts w:ascii="Times New Roman" w:hAnsi="Times New Roman"/>
          <w:sz w:val="20"/>
          <w:szCs w:val="20"/>
        </w:rPr>
      </w:pPr>
    </w:p>
    <w:sectPr w:rsidR="005F2B4C" w:rsidRPr="00A30DEF" w:rsidSect="00E033A8">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E55734" w14:textId="77777777" w:rsidR="009C06E6" w:rsidRDefault="009C06E6" w:rsidP="00A83595">
      <w:r>
        <w:separator/>
      </w:r>
    </w:p>
  </w:endnote>
  <w:endnote w:type="continuationSeparator" w:id="0">
    <w:p w14:paraId="66CB34EA" w14:textId="77777777" w:rsidR="009C06E6" w:rsidRDefault="009C06E6" w:rsidP="00A83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980443"/>
      <w:docPartObj>
        <w:docPartGallery w:val="Page Numbers (Bottom of Page)"/>
        <w:docPartUnique/>
      </w:docPartObj>
    </w:sdtPr>
    <w:sdtEndPr>
      <w:rPr>
        <w:noProof/>
      </w:rPr>
    </w:sdtEndPr>
    <w:sdtContent>
      <w:p w14:paraId="7715548F" w14:textId="7E9D090C" w:rsidR="0051719B" w:rsidRDefault="0051719B">
        <w:pPr>
          <w:pStyle w:val="Footer"/>
          <w:jc w:val="right"/>
        </w:pPr>
        <w:r>
          <w:fldChar w:fldCharType="begin"/>
        </w:r>
        <w:r>
          <w:instrText xml:space="preserve"> PAGE   \* MERGEFORMAT </w:instrText>
        </w:r>
        <w:r>
          <w:fldChar w:fldCharType="separate"/>
        </w:r>
        <w:r w:rsidR="004A36AC">
          <w:rPr>
            <w:noProof/>
          </w:rPr>
          <w:t>2</w:t>
        </w:r>
        <w:r>
          <w:rPr>
            <w:noProof/>
          </w:rPr>
          <w:fldChar w:fldCharType="end"/>
        </w:r>
      </w:p>
    </w:sdtContent>
  </w:sdt>
  <w:p w14:paraId="29FB19B0" w14:textId="77777777" w:rsidR="00CA32E8" w:rsidRDefault="00CA32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4889709"/>
      <w:docPartObj>
        <w:docPartGallery w:val="Page Numbers (Bottom of Page)"/>
        <w:docPartUnique/>
      </w:docPartObj>
    </w:sdtPr>
    <w:sdtEndPr>
      <w:rPr>
        <w:noProof/>
      </w:rPr>
    </w:sdtEndPr>
    <w:sdtContent>
      <w:p w14:paraId="33E6D091" w14:textId="6DA30DF4" w:rsidR="00DE69CA" w:rsidRDefault="00DE69CA">
        <w:pPr>
          <w:pStyle w:val="Footer"/>
          <w:jc w:val="right"/>
        </w:pPr>
        <w:r>
          <w:fldChar w:fldCharType="begin"/>
        </w:r>
        <w:r>
          <w:instrText xml:space="preserve"> PAGE   \* MERGEFORMAT </w:instrText>
        </w:r>
        <w:r>
          <w:fldChar w:fldCharType="separate"/>
        </w:r>
        <w:r w:rsidR="004A36AC">
          <w:rPr>
            <w:noProof/>
          </w:rPr>
          <w:t>1</w:t>
        </w:r>
        <w:r>
          <w:rPr>
            <w:noProof/>
          </w:rPr>
          <w:fldChar w:fldCharType="end"/>
        </w:r>
      </w:p>
    </w:sdtContent>
  </w:sdt>
  <w:p w14:paraId="3BF7FE62" w14:textId="77777777" w:rsidR="00DE69CA" w:rsidRDefault="00DE69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24F43" w14:textId="77777777" w:rsidR="009C06E6" w:rsidRDefault="009C06E6" w:rsidP="00A83595">
      <w:r>
        <w:separator/>
      </w:r>
    </w:p>
  </w:footnote>
  <w:footnote w:type="continuationSeparator" w:id="0">
    <w:p w14:paraId="0898EDB1" w14:textId="77777777" w:rsidR="009C06E6" w:rsidRDefault="009C06E6" w:rsidP="00A835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D0801"/>
    <w:multiLevelType w:val="hybridMultilevel"/>
    <w:tmpl w:val="706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405B0"/>
    <w:multiLevelType w:val="hybridMultilevel"/>
    <w:tmpl w:val="9CB6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31B51"/>
    <w:multiLevelType w:val="hybridMultilevel"/>
    <w:tmpl w:val="D570C4EC"/>
    <w:lvl w:ilvl="0" w:tplc="15D4CA10">
      <w:start w:val="1"/>
      <w:numFmt w:val="decimal"/>
      <w:lvlText w:val="%1."/>
      <w:lvlJc w:val="left"/>
      <w:pPr>
        <w:ind w:left="360" w:hanging="360"/>
      </w:pPr>
      <w:rPr>
        <w:b/>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3" w15:restartNumberingAfterBreak="0">
    <w:nsid w:val="3C106C11"/>
    <w:multiLevelType w:val="hybridMultilevel"/>
    <w:tmpl w:val="11C89D16"/>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 w15:restartNumberingAfterBreak="0">
    <w:nsid w:val="41726426"/>
    <w:multiLevelType w:val="hybridMultilevel"/>
    <w:tmpl w:val="A0F8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7755F3"/>
    <w:multiLevelType w:val="hybridMultilevel"/>
    <w:tmpl w:val="A9C09F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5400FD"/>
    <w:multiLevelType w:val="hybridMultilevel"/>
    <w:tmpl w:val="6E66C00A"/>
    <w:lvl w:ilvl="0" w:tplc="C346039E">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BF277C"/>
    <w:multiLevelType w:val="hybridMultilevel"/>
    <w:tmpl w:val="E842D19A"/>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E07C84"/>
    <w:multiLevelType w:val="hybridMultilevel"/>
    <w:tmpl w:val="51E2A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2200B"/>
    <w:multiLevelType w:val="hybridMultilevel"/>
    <w:tmpl w:val="EDA22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FD4743"/>
    <w:multiLevelType w:val="hybridMultilevel"/>
    <w:tmpl w:val="3C2CF3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97B6B78"/>
    <w:multiLevelType w:val="hybridMultilevel"/>
    <w:tmpl w:val="37A64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E02B09"/>
    <w:multiLevelType w:val="hybridMultilevel"/>
    <w:tmpl w:val="7BD4D0AA"/>
    <w:lvl w:ilvl="0" w:tplc="0409000F">
      <w:start w:val="1"/>
      <w:numFmt w:val="decimal"/>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
  </w:num>
  <w:num w:numId="3">
    <w:abstractNumId w:val="5"/>
  </w:num>
  <w:num w:numId="4">
    <w:abstractNumId w:val="6"/>
  </w:num>
  <w:num w:numId="5">
    <w:abstractNumId w:val="10"/>
  </w:num>
  <w:num w:numId="6">
    <w:abstractNumId w:val="9"/>
  </w:num>
  <w:num w:numId="7">
    <w:abstractNumId w:val="7"/>
  </w:num>
  <w:num w:numId="8">
    <w:abstractNumId w:val="3"/>
  </w:num>
  <w:num w:numId="9">
    <w:abstractNumId w:val="8"/>
  </w:num>
  <w:num w:numId="10">
    <w:abstractNumId w:val="11"/>
  </w:num>
  <w:num w:numId="11">
    <w:abstractNumId w:val="4"/>
  </w:num>
  <w:num w:numId="12">
    <w:abstractNumId w:val="0"/>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595"/>
    <w:rsid w:val="00010F4E"/>
    <w:rsid w:val="000832DC"/>
    <w:rsid w:val="00086BBB"/>
    <w:rsid w:val="000A4C14"/>
    <w:rsid w:val="000C4259"/>
    <w:rsid w:val="000C446B"/>
    <w:rsid w:val="000E3FE3"/>
    <w:rsid w:val="0010219E"/>
    <w:rsid w:val="001167FC"/>
    <w:rsid w:val="00125418"/>
    <w:rsid w:val="00135432"/>
    <w:rsid w:val="00141A57"/>
    <w:rsid w:val="00153960"/>
    <w:rsid w:val="00153A5D"/>
    <w:rsid w:val="00175A77"/>
    <w:rsid w:val="001A71AD"/>
    <w:rsid w:val="001C7BBB"/>
    <w:rsid w:val="001D7959"/>
    <w:rsid w:val="001E111F"/>
    <w:rsid w:val="001E5A0E"/>
    <w:rsid w:val="002023CA"/>
    <w:rsid w:val="00224A18"/>
    <w:rsid w:val="00225287"/>
    <w:rsid w:val="00241A9C"/>
    <w:rsid w:val="00244E4C"/>
    <w:rsid w:val="002561F8"/>
    <w:rsid w:val="00256A73"/>
    <w:rsid w:val="00266699"/>
    <w:rsid w:val="002717B6"/>
    <w:rsid w:val="0028276B"/>
    <w:rsid w:val="00285116"/>
    <w:rsid w:val="00292F5F"/>
    <w:rsid w:val="002A299D"/>
    <w:rsid w:val="002A5C60"/>
    <w:rsid w:val="002B5D5E"/>
    <w:rsid w:val="002E3CCD"/>
    <w:rsid w:val="002E5489"/>
    <w:rsid w:val="00322393"/>
    <w:rsid w:val="003347AF"/>
    <w:rsid w:val="003524E2"/>
    <w:rsid w:val="00372AD1"/>
    <w:rsid w:val="003B47E4"/>
    <w:rsid w:val="003B614C"/>
    <w:rsid w:val="003C2D5D"/>
    <w:rsid w:val="003C387A"/>
    <w:rsid w:val="003C70C9"/>
    <w:rsid w:val="003D24D8"/>
    <w:rsid w:val="003E25ED"/>
    <w:rsid w:val="003E3E9F"/>
    <w:rsid w:val="003E7F18"/>
    <w:rsid w:val="003F1E1C"/>
    <w:rsid w:val="003F6D6D"/>
    <w:rsid w:val="00416575"/>
    <w:rsid w:val="00417C1B"/>
    <w:rsid w:val="00421F01"/>
    <w:rsid w:val="00430F95"/>
    <w:rsid w:val="0044099F"/>
    <w:rsid w:val="00457F6D"/>
    <w:rsid w:val="00475894"/>
    <w:rsid w:val="004821C9"/>
    <w:rsid w:val="00482C76"/>
    <w:rsid w:val="004A36AC"/>
    <w:rsid w:val="004B02E4"/>
    <w:rsid w:val="004D7405"/>
    <w:rsid w:val="005064C2"/>
    <w:rsid w:val="005147BF"/>
    <w:rsid w:val="0051719B"/>
    <w:rsid w:val="00522170"/>
    <w:rsid w:val="00525705"/>
    <w:rsid w:val="00535698"/>
    <w:rsid w:val="005376FE"/>
    <w:rsid w:val="00551EDC"/>
    <w:rsid w:val="00556065"/>
    <w:rsid w:val="005610B0"/>
    <w:rsid w:val="00576657"/>
    <w:rsid w:val="005D2932"/>
    <w:rsid w:val="005E52E7"/>
    <w:rsid w:val="005F2B4C"/>
    <w:rsid w:val="00621446"/>
    <w:rsid w:val="006338A5"/>
    <w:rsid w:val="00643838"/>
    <w:rsid w:val="00657C5B"/>
    <w:rsid w:val="0066084A"/>
    <w:rsid w:val="0068276B"/>
    <w:rsid w:val="006A4B11"/>
    <w:rsid w:val="006B1BC8"/>
    <w:rsid w:val="006B27D2"/>
    <w:rsid w:val="006C45E6"/>
    <w:rsid w:val="006F3C8C"/>
    <w:rsid w:val="00720F78"/>
    <w:rsid w:val="00721BF6"/>
    <w:rsid w:val="00726780"/>
    <w:rsid w:val="0074614A"/>
    <w:rsid w:val="00750900"/>
    <w:rsid w:val="007521B0"/>
    <w:rsid w:val="007735AB"/>
    <w:rsid w:val="00792DC2"/>
    <w:rsid w:val="007A0D7D"/>
    <w:rsid w:val="007A5FEA"/>
    <w:rsid w:val="007A7323"/>
    <w:rsid w:val="007D4524"/>
    <w:rsid w:val="007E2E38"/>
    <w:rsid w:val="007E3631"/>
    <w:rsid w:val="00805C6F"/>
    <w:rsid w:val="00821057"/>
    <w:rsid w:val="00854B46"/>
    <w:rsid w:val="00854D7B"/>
    <w:rsid w:val="0085663E"/>
    <w:rsid w:val="00862A1E"/>
    <w:rsid w:val="008770F5"/>
    <w:rsid w:val="008A27CA"/>
    <w:rsid w:val="008A7491"/>
    <w:rsid w:val="008C032C"/>
    <w:rsid w:val="00911965"/>
    <w:rsid w:val="0092358A"/>
    <w:rsid w:val="00933177"/>
    <w:rsid w:val="009510B9"/>
    <w:rsid w:val="009564A4"/>
    <w:rsid w:val="00962DC2"/>
    <w:rsid w:val="009945FE"/>
    <w:rsid w:val="00997CD5"/>
    <w:rsid w:val="009A4AEA"/>
    <w:rsid w:val="009C06E6"/>
    <w:rsid w:val="009E31C2"/>
    <w:rsid w:val="009F1A61"/>
    <w:rsid w:val="00A2068C"/>
    <w:rsid w:val="00A30DEF"/>
    <w:rsid w:val="00A34F0A"/>
    <w:rsid w:val="00A37BB0"/>
    <w:rsid w:val="00A40EC6"/>
    <w:rsid w:val="00A456F3"/>
    <w:rsid w:val="00A47E15"/>
    <w:rsid w:val="00A5125A"/>
    <w:rsid w:val="00A83595"/>
    <w:rsid w:val="00AB2662"/>
    <w:rsid w:val="00AD396F"/>
    <w:rsid w:val="00AE1ECE"/>
    <w:rsid w:val="00AE4027"/>
    <w:rsid w:val="00AF1034"/>
    <w:rsid w:val="00B02E06"/>
    <w:rsid w:val="00B05732"/>
    <w:rsid w:val="00B13923"/>
    <w:rsid w:val="00B323F9"/>
    <w:rsid w:val="00B41825"/>
    <w:rsid w:val="00B4649C"/>
    <w:rsid w:val="00B47DF8"/>
    <w:rsid w:val="00B55BD4"/>
    <w:rsid w:val="00B6167F"/>
    <w:rsid w:val="00B9749B"/>
    <w:rsid w:val="00BB01D7"/>
    <w:rsid w:val="00BC0204"/>
    <w:rsid w:val="00BC6E56"/>
    <w:rsid w:val="00C01364"/>
    <w:rsid w:val="00C03542"/>
    <w:rsid w:val="00C0384A"/>
    <w:rsid w:val="00C1009B"/>
    <w:rsid w:val="00C13979"/>
    <w:rsid w:val="00C162C1"/>
    <w:rsid w:val="00C231CE"/>
    <w:rsid w:val="00C321DA"/>
    <w:rsid w:val="00C52374"/>
    <w:rsid w:val="00C70D56"/>
    <w:rsid w:val="00C83085"/>
    <w:rsid w:val="00C950C8"/>
    <w:rsid w:val="00CA32E8"/>
    <w:rsid w:val="00CA6601"/>
    <w:rsid w:val="00CB0778"/>
    <w:rsid w:val="00CB5723"/>
    <w:rsid w:val="00CC0EAD"/>
    <w:rsid w:val="00CC3D39"/>
    <w:rsid w:val="00CD1427"/>
    <w:rsid w:val="00CD6AF4"/>
    <w:rsid w:val="00CE0E5D"/>
    <w:rsid w:val="00D60351"/>
    <w:rsid w:val="00D64196"/>
    <w:rsid w:val="00D67A0D"/>
    <w:rsid w:val="00DB541F"/>
    <w:rsid w:val="00DC0BEC"/>
    <w:rsid w:val="00DD552F"/>
    <w:rsid w:val="00DE69CA"/>
    <w:rsid w:val="00DF4491"/>
    <w:rsid w:val="00DF600A"/>
    <w:rsid w:val="00DF6DF3"/>
    <w:rsid w:val="00E033A8"/>
    <w:rsid w:val="00E0691B"/>
    <w:rsid w:val="00E2105C"/>
    <w:rsid w:val="00E43A6D"/>
    <w:rsid w:val="00E54561"/>
    <w:rsid w:val="00E54EAF"/>
    <w:rsid w:val="00E63670"/>
    <w:rsid w:val="00E65FF6"/>
    <w:rsid w:val="00E67E0B"/>
    <w:rsid w:val="00E74C61"/>
    <w:rsid w:val="00EB0763"/>
    <w:rsid w:val="00EB0910"/>
    <w:rsid w:val="00EB5EEB"/>
    <w:rsid w:val="00EC2E31"/>
    <w:rsid w:val="00EF7D85"/>
    <w:rsid w:val="00F0030A"/>
    <w:rsid w:val="00F01FB1"/>
    <w:rsid w:val="00F37693"/>
    <w:rsid w:val="00F463F7"/>
    <w:rsid w:val="00F56B00"/>
    <w:rsid w:val="00F705FF"/>
    <w:rsid w:val="00F75C66"/>
    <w:rsid w:val="00F81F10"/>
    <w:rsid w:val="00F9596B"/>
    <w:rsid w:val="00FA44BF"/>
    <w:rsid w:val="00FC09A0"/>
    <w:rsid w:val="00FC4AF5"/>
    <w:rsid w:val="00FD6C17"/>
    <w:rsid w:val="00FE1A9E"/>
    <w:rsid w:val="00FE4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DEE5"/>
  <w15:docId w15:val="{D1A831CB-3443-41BC-B5A6-53C481E5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595"/>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595"/>
    <w:rPr>
      <w:color w:val="0000FF"/>
      <w:u w:val="single"/>
    </w:rPr>
  </w:style>
  <w:style w:type="paragraph" w:styleId="ListParagraph">
    <w:name w:val="List Paragraph"/>
    <w:basedOn w:val="Normal"/>
    <w:uiPriority w:val="34"/>
    <w:qFormat/>
    <w:rsid w:val="00A83595"/>
    <w:pPr>
      <w:ind w:left="720"/>
    </w:pPr>
  </w:style>
  <w:style w:type="paragraph" w:styleId="Header">
    <w:name w:val="header"/>
    <w:basedOn w:val="Normal"/>
    <w:link w:val="HeaderChar"/>
    <w:uiPriority w:val="99"/>
    <w:unhideWhenUsed/>
    <w:rsid w:val="00A83595"/>
    <w:pPr>
      <w:tabs>
        <w:tab w:val="center" w:pos="4680"/>
        <w:tab w:val="right" w:pos="9360"/>
      </w:tabs>
    </w:pPr>
  </w:style>
  <w:style w:type="character" w:customStyle="1" w:styleId="HeaderChar">
    <w:name w:val="Header Char"/>
    <w:basedOn w:val="DefaultParagraphFont"/>
    <w:link w:val="Header"/>
    <w:uiPriority w:val="99"/>
    <w:rsid w:val="00A83595"/>
    <w:rPr>
      <w:rFonts w:ascii="Calibri" w:hAnsi="Calibri" w:cs="Times New Roman"/>
    </w:rPr>
  </w:style>
  <w:style w:type="paragraph" w:styleId="Footer">
    <w:name w:val="footer"/>
    <w:basedOn w:val="Normal"/>
    <w:link w:val="FooterChar"/>
    <w:uiPriority w:val="99"/>
    <w:unhideWhenUsed/>
    <w:rsid w:val="00A83595"/>
    <w:pPr>
      <w:tabs>
        <w:tab w:val="center" w:pos="4680"/>
        <w:tab w:val="right" w:pos="9360"/>
      </w:tabs>
    </w:pPr>
  </w:style>
  <w:style w:type="character" w:customStyle="1" w:styleId="FooterChar">
    <w:name w:val="Footer Char"/>
    <w:basedOn w:val="DefaultParagraphFont"/>
    <w:link w:val="Footer"/>
    <w:uiPriority w:val="99"/>
    <w:rsid w:val="00A83595"/>
    <w:rPr>
      <w:rFonts w:ascii="Calibri" w:hAnsi="Calibri" w:cs="Times New Roman"/>
    </w:rPr>
  </w:style>
  <w:style w:type="paragraph" w:styleId="BalloonText">
    <w:name w:val="Balloon Text"/>
    <w:basedOn w:val="Normal"/>
    <w:link w:val="BalloonTextChar"/>
    <w:uiPriority w:val="99"/>
    <w:semiHidden/>
    <w:unhideWhenUsed/>
    <w:rsid w:val="00F0030A"/>
    <w:rPr>
      <w:rFonts w:ascii="Tahoma" w:hAnsi="Tahoma" w:cs="Tahoma"/>
      <w:sz w:val="16"/>
      <w:szCs w:val="16"/>
    </w:rPr>
  </w:style>
  <w:style w:type="character" w:customStyle="1" w:styleId="BalloonTextChar">
    <w:name w:val="Balloon Text Char"/>
    <w:basedOn w:val="DefaultParagraphFont"/>
    <w:link w:val="BalloonText"/>
    <w:uiPriority w:val="99"/>
    <w:semiHidden/>
    <w:rsid w:val="00F0030A"/>
    <w:rPr>
      <w:rFonts w:ascii="Tahoma" w:hAnsi="Tahoma" w:cs="Tahoma"/>
      <w:sz w:val="16"/>
      <w:szCs w:val="16"/>
    </w:rPr>
  </w:style>
  <w:style w:type="character" w:styleId="CommentReference">
    <w:name w:val="annotation reference"/>
    <w:basedOn w:val="DefaultParagraphFont"/>
    <w:uiPriority w:val="99"/>
    <w:semiHidden/>
    <w:unhideWhenUsed/>
    <w:rsid w:val="00482C76"/>
    <w:rPr>
      <w:sz w:val="16"/>
      <w:szCs w:val="16"/>
    </w:rPr>
  </w:style>
  <w:style w:type="paragraph" w:styleId="CommentText">
    <w:name w:val="annotation text"/>
    <w:basedOn w:val="Normal"/>
    <w:link w:val="CommentTextChar"/>
    <w:uiPriority w:val="99"/>
    <w:semiHidden/>
    <w:unhideWhenUsed/>
    <w:rsid w:val="00482C76"/>
    <w:rPr>
      <w:sz w:val="20"/>
      <w:szCs w:val="20"/>
    </w:rPr>
  </w:style>
  <w:style w:type="character" w:customStyle="1" w:styleId="CommentTextChar">
    <w:name w:val="Comment Text Char"/>
    <w:basedOn w:val="DefaultParagraphFont"/>
    <w:link w:val="CommentText"/>
    <w:uiPriority w:val="99"/>
    <w:semiHidden/>
    <w:rsid w:val="00482C76"/>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82C76"/>
    <w:rPr>
      <w:b/>
      <w:bCs/>
    </w:rPr>
  </w:style>
  <w:style w:type="character" w:customStyle="1" w:styleId="CommentSubjectChar">
    <w:name w:val="Comment Subject Char"/>
    <w:basedOn w:val="CommentTextChar"/>
    <w:link w:val="CommentSubject"/>
    <w:uiPriority w:val="99"/>
    <w:semiHidden/>
    <w:rsid w:val="00482C76"/>
    <w:rPr>
      <w:rFonts w:ascii="Calibri" w:hAnsi="Calibri" w:cs="Times New Roman"/>
      <w:b/>
      <w:bCs/>
      <w:sz w:val="20"/>
      <w:szCs w:val="20"/>
    </w:rPr>
  </w:style>
  <w:style w:type="table" w:styleId="TableGrid">
    <w:name w:val="Table Grid"/>
    <w:basedOn w:val="TableNormal"/>
    <w:uiPriority w:val="59"/>
    <w:rsid w:val="005F2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038453">
      <w:bodyDiv w:val="1"/>
      <w:marLeft w:val="0"/>
      <w:marRight w:val="0"/>
      <w:marTop w:val="0"/>
      <w:marBottom w:val="0"/>
      <w:divBdr>
        <w:top w:val="none" w:sz="0" w:space="0" w:color="auto"/>
        <w:left w:val="none" w:sz="0" w:space="0" w:color="auto"/>
        <w:bottom w:val="none" w:sz="0" w:space="0" w:color="auto"/>
        <w:right w:val="none" w:sz="0" w:space="0" w:color="auto"/>
      </w:divBdr>
    </w:div>
    <w:div w:id="780489908">
      <w:bodyDiv w:val="1"/>
      <w:marLeft w:val="0"/>
      <w:marRight w:val="0"/>
      <w:marTop w:val="0"/>
      <w:marBottom w:val="0"/>
      <w:divBdr>
        <w:top w:val="none" w:sz="0" w:space="0" w:color="auto"/>
        <w:left w:val="none" w:sz="0" w:space="0" w:color="auto"/>
        <w:bottom w:val="none" w:sz="0" w:space="0" w:color="auto"/>
        <w:right w:val="none" w:sz="0" w:space="0" w:color="auto"/>
      </w:divBdr>
    </w:div>
    <w:div w:id="829098058">
      <w:bodyDiv w:val="1"/>
      <w:marLeft w:val="0"/>
      <w:marRight w:val="0"/>
      <w:marTop w:val="0"/>
      <w:marBottom w:val="0"/>
      <w:divBdr>
        <w:top w:val="none" w:sz="0" w:space="0" w:color="auto"/>
        <w:left w:val="none" w:sz="0" w:space="0" w:color="auto"/>
        <w:bottom w:val="none" w:sz="0" w:space="0" w:color="auto"/>
        <w:right w:val="none" w:sz="0" w:space="0" w:color="auto"/>
      </w:divBdr>
    </w:div>
    <w:div w:id="857086269">
      <w:bodyDiv w:val="1"/>
      <w:marLeft w:val="0"/>
      <w:marRight w:val="0"/>
      <w:marTop w:val="0"/>
      <w:marBottom w:val="0"/>
      <w:divBdr>
        <w:top w:val="none" w:sz="0" w:space="0" w:color="auto"/>
        <w:left w:val="none" w:sz="0" w:space="0" w:color="auto"/>
        <w:bottom w:val="none" w:sz="0" w:space="0" w:color="auto"/>
        <w:right w:val="none" w:sz="0" w:space="0" w:color="auto"/>
      </w:divBdr>
    </w:div>
    <w:div w:id="1566336122">
      <w:bodyDiv w:val="1"/>
      <w:marLeft w:val="0"/>
      <w:marRight w:val="0"/>
      <w:marTop w:val="0"/>
      <w:marBottom w:val="0"/>
      <w:divBdr>
        <w:top w:val="none" w:sz="0" w:space="0" w:color="auto"/>
        <w:left w:val="none" w:sz="0" w:space="0" w:color="auto"/>
        <w:bottom w:val="none" w:sz="0" w:space="0" w:color="auto"/>
        <w:right w:val="none" w:sz="0" w:space="0" w:color="auto"/>
      </w:divBdr>
    </w:div>
    <w:div w:id="169214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65A9B-1CCD-4131-AEB0-71F502635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876</Words>
  <Characters>4789</Characters>
  <Application>Microsoft Office Word</Application>
  <DocSecurity>0</DocSecurity>
  <Lines>99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Deloris Tinsley</dc:creator>
  <cp:lastModifiedBy>Arthur Pignotti</cp:lastModifiedBy>
  <cp:revision>3</cp:revision>
  <cp:lastPrinted>2016-11-18T16:25:00Z</cp:lastPrinted>
  <dcterms:created xsi:type="dcterms:W3CDTF">2018-01-10T15:14:00Z</dcterms:created>
  <dcterms:modified xsi:type="dcterms:W3CDTF">2018-06-15T02:10:00Z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