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F3" w:rsidRDefault="00F93FF3">
      <w:pPr>
        <w:pStyle w:val="BodyText"/>
      </w:pPr>
    </w:p>
    <w:p w:rsidR="00F93FF3" w:rsidRDefault="00F93FF3">
      <w:pPr>
        <w:pStyle w:val="BodyText"/>
      </w:pPr>
    </w:p>
    <w:p w:rsidR="00F93FF3" w:rsidRDefault="00F93FF3">
      <w:pPr>
        <w:pStyle w:val="BodyText"/>
      </w:pPr>
    </w:p>
    <w:p w:rsidR="00F93FF3" w:rsidRDefault="00F93FF3">
      <w:pPr>
        <w:pStyle w:val="BodyText"/>
        <w:spacing w:before="11"/>
        <w:rPr>
          <w:sz w:val="16"/>
        </w:rPr>
      </w:pPr>
    </w:p>
    <w:p w:rsidR="00F93FF3" w:rsidRDefault="00A173A1">
      <w:pPr>
        <w:pStyle w:val="Heading2"/>
        <w:spacing w:before="91"/>
        <w:ind w:left="247"/>
      </w:pPr>
      <w:r>
        <w:rPr>
          <w:color w:val="131313"/>
          <w:w w:val="105"/>
        </w:rPr>
        <w:t>January  16, 2018</w:t>
      </w:r>
    </w:p>
    <w:p w:rsidR="00F93FF3" w:rsidRDefault="00F93FF3">
      <w:pPr>
        <w:pStyle w:val="BodyText"/>
        <w:spacing w:before="1"/>
        <w:rPr>
          <w:sz w:val="23"/>
        </w:rPr>
      </w:pPr>
    </w:p>
    <w:p w:rsidR="00F93FF3" w:rsidRDefault="00A173A1">
      <w:pPr>
        <w:spacing w:line="252" w:lineRule="auto"/>
        <w:ind w:left="250" w:right="7173" w:hanging="2"/>
        <w:rPr>
          <w:sz w:val="21"/>
        </w:rPr>
      </w:pPr>
      <w:r>
        <w:rPr>
          <w:color w:val="131313"/>
          <w:sz w:val="21"/>
        </w:rPr>
        <w:t>Seema Verma Administrator</w:t>
      </w:r>
    </w:p>
    <w:p w:rsidR="00F93FF3" w:rsidRDefault="00A173A1">
      <w:pPr>
        <w:spacing w:line="252" w:lineRule="auto"/>
        <w:ind w:left="250" w:right="5581" w:hanging="7"/>
        <w:jc w:val="both"/>
        <w:rPr>
          <w:sz w:val="21"/>
        </w:rPr>
      </w:pPr>
      <w:r>
        <w:rPr>
          <w:color w:val="131313"/>
          <w:w w:val="105"/>
          <w:sz w:val="21"/>
        </w:rPr>
        <w:t>Centers</w:t>
      </w:r>
      <w:r>
        <w:rPr>
          <w:color w:val="131313"/>
          <w:spacing w:val="-1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for</w:t>
      </w:r>
      <w:r>
        <w:rPr>
          <w:color w:val="131313"/>
          <w:spacing w:val="-11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Medicare</w:t>
      </w:r>
      <w:r>
        <w:rPr>
          <w:color w:val="131313"/>
          <w:spacing w:val="-9"/>
          <w:w w:val="105"/>
          <w:sz w:val="21"/>
        </w:rPr>
        <w:t xml:space="preserve"> </w:t>
      </w:r>
      <w:r>
        <w:rPr>
          <w:color w:val="131313"/>
          <w:w w:val="105"/>
          <w:sz w:val="20"/>
        </w:rPr>
        <w:t>&amp;</w:t>
      </w:r>
      <w:r>
        <w:rPr>
          <w:color w:val="131313"/>
          <w:spacing w:val="-12"/>
          <w:w w:val="105"/>
          <w:sz w:val="20"/>
        </w:rPr>
        <w:t xml:space="preserve"> </w:t>
      </w:r>
      <w:r>
        <w:rPr>
          <w:color w:val="131313"/>
          <w:w w:val="105"/>
          <w:sz w:val="21"/>
        </w:rPr>
        <w:t>Medicaid</w:t>
      </w:r>
      <w:r>
        <w:rPr>
          <w:color w:val="131313"/>
          <w:spacing w:val="-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Services Department</w:t>
      </w:r>
      <w:r>
        <w:rPr>
          <w:color w:val="131313"/>
          <w:spacing w:val="-10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of</w:t>
      </w:r>
      <w:r>
        <w:rPr>
          <w:color w:val="131313"/>
          <w:spacing w:val="-1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Health</w:t>
      </w:r>
      <w:r>
        <w:rPr>
          <w:color w:val="131313"/>
          <w:spacing w:val="-17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and</w:t>
      </w:r>
      <w:r>
        <w:rPr>
          <w:color w:val="131313"/>
          <w:spacing w:val="-9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Human</w:t>
      </w:r>
      <w:r>
        <w:rPr>
          <w:color w:val="131313"/>
          <w:spacing w:val="-12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Services Attention:</w:t>
      </w:r>
      <w:r>
        <w:rPr>
          <w:color w:val="131313"/>
          <w:spacing w:val="6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CMS-4182-P</w:t>
      </w:r>
    </w:p>
    <w:p w:rsidR="00F93FF3" w:rsidRDefault="00A173A1">
      <w:pPr>
        <w:spacing w:before="5" w:line="247" w:lineRule="auto"/>
        <w:ind w:left="244" w:right="7173" w:firstLine="9"/>
        <w:rPr>
          <w:sz w:val="21"/>
        </w:rPr>
      </w:pPr>
      <w:r>
        <w:rPr>
          <w:color w:val="131313"/>
          <w:sz w:val="21"/>
        </w:rPr>
        <w:t xml:space="preserve">Mail Stop C4-26-05 7500 Security </w:t>
      </w:r>
      <w:r>
        <w:rPr>
          <w:color w:val="131313"/>
          <w:spacing w:val="6"/>
          <w:sz w:val="21"/>
        </w:rPr>
        <w:t xml:space="preserve"> </w:t>
      </w:r>
      <w:r>
        <w:rPr>
          <w:color w:val="131313"/>
          <w:sz w:val="21"/>
        </w:rPr>
        <w:t>Boulevard</w:t>
      </w:r>
    </w:p>
    <w:p w:rsidR="00F93FF3" w:rsidRDefault="00A173A1">
      <w:pPr>
        <w:spacing w:before="5" w:line="494" w:lineRule="auto"/>
        <w:ind w:left="253" w:right="6838"/>
        <w:rPr>
          <w:sz w:val="21"/>
        </w:rPr>
      </w:pPr>
      <w:r>
        <w:rPr>
          <w:color w:val="131313"/>
          <w:w w:val="105"/>
          <w:sz w:val="21"/>
        </w:rPr>
        <w:t>Baltimore, MD 21244-1850 Dear Ms. Verma,</w:t>
      </w:r>
    </w:p>
    <w:p w:rsidR="00F93FF3" w:rsidRDefault="00A173A1">
      <w:pPr>
        <w:spacing w:before="53" w:line="252" w:lineRule="auto"/>
        <w:ind w:left="239" w:right="261" w:firstLine="1"/>
        <w:rPr>
          <w:sz w:val="21"/>
        </w:rPr>
      </w:pPr>
      <w:r>
        <w:rPr>
          <w:color w:val="131313"/>
          <w:sz w:val="21"/>
        </w:rPr>
        <w:t xml:space="preserve">The  Compliance  </w:t>
      </w:r>
      <w:r>
        <w:rPr>
          <w:color w:val="131313"/>
          <w:spacing w:val="-5"/>
          <w:sz w:val="21"/>
        </w:rPr>
        <w:t>Team</w:t>
      </w:r>
      <w:r>
        <w:rPr>
          <w:color w:val="333333"/>
          <w:spacing w:val="-5"/>
          <w:sz w:val="21"/>
        </w:rPr>
        <w:t xml:space="preserve">,  </w:t>
      </w:r>
      <w:r>
        <w:rPr>
          <w:color w:val="131313"/>
          <w:sz w:val="21"/>
        </w:rPr>
        <w:t xml:space="preserve">Inc. (TCT)  </w:t>
      </w:r>
      <w:r>
        <w:rPr>
          <w:color w:val="050505"/>
          <w:sz w:val="21"/>
        </w:rPr>
        <w:t xml:space="preserve">is </w:t>
      </w:r>
      <w:r>
        <w:rPr>
          <w:color w:val="131313"/>
          <w:sz w:val="21"/>
        </w:rPr>
        <w:t>a  Pennsylvania-based  national  healthcare  accreditation organization with authority granted by the Secretary of Health and Human Services to accredit Medicare  Part A- Rural  Health Clinic (RHC)</w:t>
      </w:r>
      <w:r>
        <w:rPr>
          <w:color w:val="333333"/>
          <w:sz w:val="21"/>
        </w:rPr>
        <w:t xml:space="preserve">, </w:t>
      </w:r>
      <w:r>
        <w:rPr>
          <w:color w:val="131313"/>
          <w:sz w:val="21"/>
        </w:rPr>
        <w:t>and Patient-Centered  Medical  Home</w:t>
      </w:r>
      <w:r>
        <w:rPr>
          <w:color w:val="131313"/>
          <w:sz w:val="21"/>
        </w:rPr>
        <w:t xml:space="preserve"> (PCMH)  practices as well as  Part B- Durable  Medical  Equipment,  Prosthetics, Orthotics, Supplies (DMEPOS) </w:t>
      </w:r>
      <w:r>
        <w:rPr>
          <w:color w:val="131313"/>
          <w:spacing w:val="26"/>
          <w:sz w:val="21"/>
        </w:rPr>
        <w:t xml:space="preserve"> </w:t>
      </w:r>
      <w:r>
        <w:rPr>
          <w:color w:val="131313"/>
          <w:sz w:val="21"/>
        </w:rPr>
        <w:t xml:space="preserve">providers </w:t>
      </w:r>
      <w:r>
        <w:rPr>
          <w:color w:val="333333"/>
          <w:sz w:val="21"/>
        </w:rPr>
        <w:t>.</w:t>
      </w:r>
    </w:p>
    <w:p w:rsidR="00F93FF3" w:rsidRDefault="00F93FF3">
      <w:pPr>
        <w:pStyle w:val="BodyText"/>
        <w:spacing w:before="8"/>
        <w:rPr>
          <w:sz w:val="21"/>
        </w:rPr>
      </w:pPr>
    </w:p>
    <w:p w:rsidR="00F93FF3" w:rsidRDefault="00A173A1">
      <w:pPr>
        <w:spacing w:line="252" w:lineRule="auto"/>
        <w:ind w:left="245" w:right="261" w:hanging="5"/>
        <w:rPr>
          <w:sz w:val="21"/>
        </w:rPr>
      </w:pPr>
      <w:r>
        <w:rPr>
          <w:color w:val="131313"/>
          <w:w w:val="105"/>
          <w:sz w:val="21"/>
        </w:rPr>
        <w:t>The Compliance Team, which is a WBENC certified woman-owned and nurse directed organization, was formed in 1994. The first of our "</w:t>
      </w:r>
      <w:r>
        <w:rPr>
          <w:color w:val="131313"/>
          <w:w w:val="105"/>
          <w:sz w:val="21"/>
        </w:rPr>
        <w:t>operations-based" Exemplary Provider</w:t>
      </w:r>
      <w:r>
        <w:rPr>
          <w:color w:val="333333"/>
          <w:w w:val="105"/>
          <w:sz w:val="21"/>
        </w:rPr>
        <w:t xml:space="preserve">® </w:t>
      </w:r>
      <w:r>
        <w:rPr>
          <w:color w:val="131313"/>
          <w:w w:val="105"/>
          <w:sz w:val="21"/>
        </w:rPr>
        <w:t>accreditation programs were launched in 1998. Formal managed care recognition soon followed starting in 1999 with recognition from North Carolina BC</w:t>
      </w:r>
      <w:r>
        <w:rPr>
          <w:color w:val="333333"/>
          <w:w w:val="105"/>
          <w:sz w:val="21"/>
        </w:rPr>
        <w:t>/</w:t>
      </w:r>
      <w:r>
        <w:rPr>
          <w:color w:val="131313"/>
          <w:w w:val="105"/>
          <w:sz w:val="21"/>
        </w:rPr>
        <w:t>BS ofTCT's accreditation process for DMEPOS providers.</w:t>
      </w:r>
    </w:p>
    <w:p w:rsidR="00F93FF3" w:rsidRDefault="00F93FF3">
      <w:pPr>
        <w:pStyle w:val="BodyText"/>
        <w:spacing w:before="3"/>
        <w:rPr>
          <w:sz w:val="21"/>
        </w:rPr>
      </w:pPr>
    </w:p>
    <w:p w:rsidR="00F93FF3" w:rsidRDefault="00A173A1">
      <w:pPr>
        <w:spacing w:before="1" w:line="242" w:lineRule="auto"/>
        <w:ind w:left="239" w:right="259" w:firstLine="11"/>
        <w:jc w:val="both"/>
        <w:rPr>
          <w:sz w:val="21"/>
        </w:rPr>
      </w:pPr>
      <w:r>
        <w:rPr>
          <w:color w:val="131313"/>
          <w:sz w:val="21"/>
        </w:rPr>
        <w:t xml:space="preserve">Included in the number and types of healthcare organizations accredited  by TCT over the ensuing years  are thousands of community pharmacies located in all fifty </w:t>
      </w:r>
      <w:r>
        <w:rPr>
          <w:color w:val="131313"/>
          <w:spacing w:val="-4"/>
          <w:sz w:val="21"/>
        </w:rPr>
        <w:t>states</w:t>
      </w:r>
      <w:r>
        <w:rPr>
          <w:color w:val="333333"/>
          <w:spacing w:val="-4"/>
          <w:sz w:val="21"/>
        </w:rPr>
        <w:t xml:space="preserve">, </w:t>
      </w:r>
      <w:r>
        <w:rPr>
          <w:color w:val="131313"/>
          <w:sz w:val="21"/>
        </w:rPr>
        <w:t xml:space="preserve">Puerto </w:t>
      </w:r>
      <w:r>
        <w:rPr>
          <w:color w:val="131313"/>
          <w:spacing w:val="2"/>
          <w:sz w:val="21"/>
        </w:rPr>
        <w:t>Rico</w:t>
      </w:r>
      <w:r>
        <w:rPr>
          <w:color w:val="494949"/>
          <w:spacing w:val="2"/>
          <w:sz w:val="21"/>
        </w:rPr>
        <w:t xml:space="preserve">, </w:t>
      </w:r>
      <w:r>
        <w:rPr>
          <w:color w:val="131313"/>
          <w:sz w:val="21"/>
        </w:rPr>
        <w:t xml:space="preserve">the US Virgin  </w:t>
      </w:r>
      <w:r>
        <w:rPr>
          <w:color w:val="050505"/>
          <w:sz w:val="21"/>
        </w:rPr>
        <w:t xml:space="preserve">Islands </w:t>
      </w:r>
      <w:r>
        <w:rPr>
          <w:color w:val="131313"/>
          <w:sz w:val="21"/>
        </w:rPr>
        <w:t>as well as throughout  rural</w:t>
      </w:r>
      <w:r>
        <w:rPr>
          <w:color w:val="131313"/>
          <w:spacing w:val="34"/>
          <w:sz w:val="21"/>
        </w:rPr>
        <w:t xml:space="preserve"> </w:t>
      </w:r>
      <w:r>
        <w:rPr>
          <w:color w:val="131313"/>
          <w:sz w:val="21"/>
        </w:rPr>
        <w:t>America.</w:t>
      </w:r>
    </w:p>
    <w:p w:rsidR="00F93FF3" w:rsidRDefault="00F93FF3">
      <w:pPr>
        <w:pStyle w:val="BodyText"/>
        <w:rPr>
          <w:sz w:val="23"/>
        </w:rPr>
      </w:pPr>
    </w:p>
    <w:p w:rsidR="00F93FF3" w:rsidRDefault="00A173A1">
      <w:pPr>
        <w:spacing w:line="252" w:lineRule="auto"/>
        <w:ind w:left="243" w:right="307" w:hanging="3"/>
        <w:rPr>
          <w:sz w:val="21"/>
        </w:rPr>
      </w:pPr>
      <w:r>
        <w:rPr>
          <w:color w:val="131313"/>
          <w:sz w:val="21"/>
        </w:rPr>
        <w:t>The Compli</w:t>
      </w:r>
      <w:r>
        <w:rPr>
          <w:color w:val="131313"/>
          <w:sz w:val="21"/>
        </w:rPr>
        <w:t xml:space="preserve">ance Team's suite of Pharmacy Services accreditation tracks has grown over the years </w:t>
      </w:r>
      <w:r>
        <w:rPr>
          <w:color w:val="050505"/>
          <w:sz w:val="21"/>
        </w:rPr>
        <w:t xml:space="preserve">to </w:t>
      </w:r>
      <w:r>
        <w:rPr>
          <w:color w:val="131313"/>
          <w:sz w:val="21"/>
        </w:rPr>
        <w:t>include programs for Sterile and Non-sterile Compounding, Infusion</w:t>
      </w:r>
      <w:r>
        <w:rPr>
          <w:color w:val="333333"/>
          <w:sz w:val="21"/>
        </w:rPr>
        <w:t xml:space="preserve">, </w:t>
      </w:r>
      <w:r>
        <w:rPr>
          <w:color w:val="131313"/>
          <w:sz w:val="21"/>
        </w:rPr>
        <w:t>Long-term Care</w:t>
      </w:r>
      <w:r>
        <w:rPr>
          <w:color w:val="333333"/>
          <w:sz w:val="21"/>
        </w:rPr>
        <w:t xml:space="preserve">, </w:t>
      </w:r>
      <w:r>
        <w:rPr>
          <w:color w:val="131313"/>
          <w:sz w:val="21"/>
        </w:rPr>
        <w:t xml:space="preserve">Mail Order, Specialty Drug, Retail Clinic, DMEPOS </w:t>
      </w:r>
      <w:r>
        <w:rPr>
          <w:color w:val="333333"/>
          <w:sz w:val="21"/>
        </w:rPr>
        <w:t xml:space="preserve">, </w:t>
      </w:r>
      <w:r>
        <w:rPr>
          <w:color w:val="131313"/>
          <w:sz w:val="21"/>
        </w:rPr>
        <w:t>Remote Rx/ Tele-Pharmacy and Pat</w:t>
      </w:r>
      <w:r>
        <w:rPr>
          <w:color w:val="131313"/>
          <w:sz w:val="21"/>
        </w:rPr>
        <w:t>ient-Centered Pharmacy Home™ (PCPH) accreditation  for advanced  pharmacy  services.</w:t>
      </w:r>
    </w:p>
    <w:p w:rsidR="00F93FF3" w:rsidRDefault="00F93FF3">
      <w:pPr>
        <w:pStyle w:val="BodyText"/>
        <w:spacing w:before="10"/>
      </w:pPr>
    </w:p>
    <w:p w:rsidR="00F93FF3" w:rsidRDefault="00A173A1">
      <w:pPr>
        <w:spacing w:line="249" w:lineRule="auto"/>
        <w:ind w:left="239" w:right="275" w:firstLine="11"/>
        <w:jc w:val="both"/>
        <w:rPr>
          <w:sz w:val="21"/>
        </w:rPr>
      </w:pPr>
      <w:r>
        <w:rPr>
          <w:color w:val="131313"/>
          <w:sz w:val="21"/>
        </w:rPr>
        <w:t xml:space="preserve">It is important to note that </w:t>
      </w:r>
      <w:r>
        <w:rPr>
          <w:color w:val="131313"/>
          <w:spacing w:val="6"/>
          <w:sz w:val="21"/>
        </w:rPr>
        <w:t>TCT</w:t>
      </w:r>
      <w:r>
        <w:rPr>
          <w:color w:val="333333"/>
          <w:spacing w:val="6"/>
          <w:sz w:val="21"/>
        </w:rPr>
        <w:t xml:space="preserve">' </w:t>
      </w:r>
      <w:r>
        <w:rPr>
          <w:color w:val="131313"/>
          <w:sz w:val="21"/>
        </w:rPr>
        <w:t>s Safety-H onesty-Caring</w:t>
      </w:r>
      <w:r>
        <w:rPr>
          <w:color w:val="333333"/>
          <w:sz w:val="21"/>
        </w:rPr>
        <w:t xml:space="preserve">® </w:t>
      </w:r>
      <w:r>
        <w:rPr>
          <w:color w:val="131313"/>
          <w:sz w:val="21"/>
        </w:rPr>
        <w:t>accreditation quality standards and evidence  of compliance for Specialty Drug pharmacy were first developed in the year 2000</w:t>
      </w:r>
      <w:r>
        <w:rPr>
          <w:color w:val="333333"/>
          <w:sz w:val="21"/>
        </w:rPr>
        <w:t xml:space="preserve">, </w:t>
      </w:r>
      <w:r>
        <w:rPr>
          <w:color w:val="131313"/>
          <w:sz w:val="21"/>
        </w:rPr>
        <w:t xml:space="preserve">and when applicable have been actively  employed  as part of our core pharmacy  accreditation  process since that </w:t>
      </w:r>
      <w:r>
        <w:rPr>
          <w:color w:val="131313"/>
          <w:spacing w:val="34"/>
          <w:sz w:val="21"/>
        </w:rPr>
        <w:t xml:space="preserve"> </w:t>
      </w:r>
      <w:r>
        <w:rPr>
          <w:color w:val="131313"/>
          <w:sz w:val="21"/>
        </w:rPr>
        <w:t>time.</w:t>
      </w:r>
    </w:p>
    <w:p w:rsidR="00F93FF3" w:rsidRDefault="00F93FF3">
      <w:pPr>
        <w:pStyle w:val="BodyText"/>
        <w:spacing w:before="5"/>
        <w:rPr>
          <w:sz w:val="21"/>
        </w:rPr>
      </w:pPr>
    </w:p>
    <w:p w:rsidR="00F93FF3" w:rsidRDefault="00A173A1">
      <w:pPr>
        <w:spacing w:line="252" w:lineRule="auto"/>
        <w:ind w:left="239" w:right="107"/>
        <w:rPr>
          <w:sz w:val="21"/>
        </w:rPr>
      </w:pPr>
      <w:r>
        <w:rPr>
          <w:color w:val="131313"/>
          <w:w w:val="105"/>
          <w:sz w:val="21"/>
        </w:rPr>
        <w:t>Given o</w:t>
      </w:r>
      <w:r>
        <w:rPr>
          <w:color w:val="131313"/>
          <w:w w:val="105"/>
          <w:sz w:val="21"/>
        </w:rPr>
        <w:t xml:space="preserve">ur extensive experience accrediting Specialty Drug pharmacy services, we greatly appreciate the opportunity to provide comments on ways </w:t>
      </w:r>
      <w:r>
        <w:rPr>
          <w:color w:val="050505"/>
          <w:w w:val="105"/>
          <w:sz w:val="21"/>
        </w:rPr>
        <w:t xml:space="preserve">in </w:t>
      </w:r>
      <w:r>
        <w:rPr>
          <w:color w:val="131313"/>
          <w:w w:val="105"/>
          <w:sz w:val="21"/>
        </w:rPr>
        <w:t>which Medicare beneficiaries could maximize their access to their preferred pharmacies for getting the specialty drug</w:t>
      </w:r>
      <w:r>
        <w:rPr>
          <w:color w:val="131313"/>
          <w:w w:val="105"/>
          <w:sz w:val="21"/>
        </w:rPr>
        <w:t xml:space="preserve">s that have been prescribed for them. In addition to increasing beneficiary access to their preferred specialty drug community pharmacy </w:t>
      </w:r>
      <w:r>
        <w:rPr>
          <w:color w:val="333333"/>
          <w:w w:val="105"/>
          <w:sz w:val="21"/>
        </w:rPr>
        <w:t xml:space="preserve">, </w:t>
      </w:r>
      <w:r>
        <w:rPr>
          <w:color w:val="131313"/>
          <w:w w:val="105"/>
          <w:sz w:val="21"/>
        </w:rPr>
        <w:t xml:space="preserve">we are also confident that the recommendations that follow will ultimately lead </w:t>
      </w:r>
      <w:r>
        <w:rPr>
          <w:color w:val="050505"/>
          <w:w w:val="105"/>
          <w:sz w:val="21"/>
        </w:rPr>
        <w:t xml:space="preserve">to </w:t>
      </w:r>
      <w:r>
        <w:rPr>
          <w:color w:val="131313"/>
          <w:w w:val="105"/>
          <w:sz w:val="21"/>
        </w:rPr>
        <w:t>more affordable Part D plan pharmac</w:t>
      </w:r>
      <w:r>
        <w:rPr>
          <w:color w:val="131313"/>
          <w:w w:val="105"/>
          <w:sz w:val="21"/>
        </w:rPr>
        <w:t>y accreditation choices.</w:t>
      </w:r>
    </w:p>
    <w:p w:rsidR="00F93FF3" w:rsidRDefault="00F93FF3">
      <w:pPr>
        <w:spacing w:line="252" w:lineRule="auto"/>
        <w:rPr>
          <w:sz w:val="21"/>
        </w:rPr>
        <w:sectPr w:rsidR="00F93FF3">
          <w:headerReference w:type="default" r:id="rId7"/>
          <w:footerReference w:type="default" r:id="rId8"/>
          <w:type w:val="continuous"/>
          <w:pgSz w:w="12240" w:h="15840"/>
          <w:pgMar w:top="1700" w:right="1720" w:bottom="940" w:left="940" w:header="672" w:footer="756" w:gutter="0"/>
          <w:pgNumType w:start="1"/>
          <w:cols w:space="720"/>
        </w:sectPr>
      </w:pPr>
    </w:p>
    <w:p w:rsidR="00F93FF3" w:rsidRDefault="00F93FF3">
      <w:pPr>
        <w:pStyle w:val="BodyText"/>
      </w:pPr>
    </w:p>
    <w:p w:rsidR="00F93FF3" w:rsidRDefault="00F93FF3">
      <w:pPr>
        <w:pStyle w:val="BodyText"/>
        <w:spacing w:before="2"/>
        <w:rPr>
          <w:sz w:val="18"/>
        </w:rPr>
      </w:pPr>
    </w:p>
    <w:p w:rsidR="00F93FF3" w:rsidRDefault="00A173A1">
      <w:pPr>
        <w:spacing w:before="1"/>
        <w:ind w:left="235"/>
        <w:rPr>
          <w:b/>
          <w:sz w:val="21"/>
        </w:rPr>
      </w:pPr>
      <w:r>
        <w:rPr>
          <w:b/>
          <w:color w:val="131313"/>
          <w:sz w:val="21"/>
          <w:u w:val="single" w:color="000000"/>
        </w:rPr>
        <w:t>"Any  Willing  Pharmacy" Provisions</w:t>
      </w:r>
    </w:p>
    <w:p w:rsidR="00F93FF3" w:rsidRDefault="00F93FF3">
      <w:pPr>
        <w:pStyle w:val="BodyText"/>
        <w:spacing w:before="3"/>
        <w:rPr>
          <w:b/>
          <w:sz w:val="24"/>
        </w:rPr>
      </w:pPr>
    </w:p>
    <w:p w:rsidR="00F93FF3" w:rsidRDefault="00A173A1">
      <w:pPr>
        <w:pStyle w:val="BodyText"/>
        <w:spacing w:before="1" w:line="264" w:lineRule="auto"/>
        <w:ind w:left="231" w:right="197"/>
      </w:pPr>
      <w:r>
        <w:rPr>
          <w:color w:val="131313"/>
          <w:w w:val="110"/>
        </w:rPr>
        <w:t xml:space="preserve">Congress established "any willin </w:t>
      </w:r>
      <w:r>
        <w:rPr>
          <w:color w:val="2D2D2D"/>
          <w:w w:val="110"/>
        </w:rPr>
        <w:t xml:space="preserve">g </w:t>
      </w:r>
      <w:r>
        <w:rPr>
          <w:color w:val="131313"/>
          <w:w w:val="110"/>
        </w:rPr>
        <w:t xml:space="preserve">pharmacy" provisions to apply to pharmacies participating in the Medicare Part D prog </w:t>
      </w:r>
      <w:r>
        <w:rPr>
          <w:color w:val="131313"/>
          <w:spacing w:val="3"/>
          <w:w w:val="110"/>
        </w:rPr>
        <w:t>ram</w:t>
      </w:r>
      <w:r>
        <w:rPr>
          <w:color w:val="2D2D2D"/>
          <w:spacing w:val="3"/>
          <w:w w:val="110"/>
        </w:rPr>
        <w:t xml:space="preserve">. </w:t>
      </w:r>
      <w:r>
        <w:rPr>
          <w:color w:val="131313"/>
          <w:w w:val="110"/>
        </w:rPr>
        <w:t xml:space="preserve">42 U.S </w:t>
      </w:r>
      <w:r>
        <w:rPr>
          <w:color w:val="2D2D2D"/>
          <w:spacing w:val="3"/>
          <w:w w:val="110"/>
        </w:rPr>
        <w:t>.</w:t>
      </w:r>
      <w:r>
        <w:rPr>
          <w:color w:val="131313"/>
          <w:spacing w:val="3"/>
          <w:w w:val="110"/>
        </w:rPr>
        <w:t xml:space="preserve">C. </w:t>
      </w:r>
      <w:r>
        <w:rPr>
          <w:color w:val="131313"/>
          <w:w w:val="110"/>
        </w:rPr>
        <w:t xml:space="preserve">§ 1395w-104(b)(l)(A). Regulations established by the Centers  for Medicare and  Medicaid  Services (CMS)  require  Medicare  Part  D plan sponsors "to agree to have a standard contract with reasonable and relevant terms and conditions of participation </w:t>
      </w:r>
      <w:r>
        <w:rPr>
          <w:color w:val="131313"/>
          <w:w w:val="110"/>
        </w:rPr>
        <w:t xml:space="preserve">whereby any willing pharmacy may access the standard contract and participate as a network pharmacy." 42 </w:t>
      </w:r>
      <w:r>
        <w:rPr>
          <w:color w:val="131313"/>
          <w:spacing w:val="8"/>
          <w:w w:val="105"/>
        </w:rPr>
        <w:t>C</w:t>
      </w:r>
      <w:r>
        <w:rPr>
          <w:color w:val="2D2D2D"/>
          <w:spacing w:val="8"/>
          <w:w w:val="105"/>
        </w:rPr>
        <w:t>.</w:t>
      </w:r>
      <w:r>
        <w:rPr>
          <w:color w:val="131313"/>
          <w:spacing w:val="8"/>
          <w:w w:val="105"/>
        </w:rPr>
        <w:t>F</w:t>
      </w:r>
      <w:r>
        <w:rPr>
          <w:color w:val="2D2D2D"/>
          <w:spacing w:val="8"/>
          <w:w w:val="105"/>
        </w:rPr>
        <w:t>.</w:t>
      </w:r>
      <w:r>
        <w:rPr>
          <w:color w:val="131313"/>
          <w:spacing w:val="8"/>
          <w:w w:val="105"/>
        </w:rPr>
        <w:t>R</w:t>
      </w:r>
      <w:r>
        <w:rPr>
          <w:color w:val="464646"/>
          <w:spacing w:val="8"/>
          <w:w w:val="105"/>
        </w:rPr>
        <w:t xml:space="preserve">. </w:t>
      </w:r>
      <w:r>
        <w:rPr>
          <w:color w:val="131313"/>
          <w:spacing w:val="2"/>
          <w:w w:val="105"/>
        </w:rPr>
        <w:t>423</w:t>
      </w:r>
      <w:r>
        <w:rPr>
          <w:color w:val="2D2D2D"/>
          <w:spacing w:val="2"/>
          <w:w w:val="105"/>
        </w:rPr>
        <w:t>.</w:t>
      </w:r>
      <w:r>
        <w:rPr>
          <w:color w:val="131313"/>
          <w:spacing w:val="2"/>
          <w:w w:val="105"/>
        </w:rPr>
        <w:t xml:space="preserve">SOS(b)(I)  </w:t>
      </w:r>
      <w:r>
        <w:rPr>
          <w:color w:val="131313"/>
          <w:w w:val="105"/>
        </w:rPr>
        <w:t>and</w:t>
      </w:r>
      <w:r>
        <w:rPr>
          <w:color w:val="131313"/>
          <w:spacing w:val="-21"/>
          <w:w w:val="105"/>
        </w:rPr>
        <w:t xml:space="preserve"> </w:t>
      </w:r>
      <w:r>
        <w:rPr>
          <w:color w:val="131313"/>
          <w:w w:val="105"/>
        </w:rPr>
        <w:t>(18).</w:t>
      </w:r>
    </w:p>
    <w:p w:rsidR="00F93FF3" w:rsidRDefault="00F93FF3">
      <w:pPr>
        <w:pStyle w:val="BodyText"/>
        <w:spacing w:before="8"/>
        <w:rPr>
          <w:sz w:val="21"/>
        </w:rPr>
      </w:pPr>
    </w:p>
    <w:p w:rsidR="00F93FF3" w:rsidRDefault="00A173A1">
      <w:pPr>
        <w:pStyle w:val="BodyText"/>
        <w:spacing w:before="1" w:line="259" w:lineRule="auto"/>
        <w:ind w:left="239" w:hanging="12"/>
      </w:pPr>
      <w:r>
        <w:rPr>
          <w:color w:val="131313"/>
          <w:w w:val="110"/>
        </w:rPr>
        <w:t>The intended result of the "any willing pharmacy</w:t>
      </w:r>
      <w:r>
        <w:rPr>
          <w:color w:val="2D2D2D"/>
          <w:w w:val="110"/>
        </w:rPr>
        <w:t xml:space="preserve">" </w:t>
      </w:r>
      <w:r>
        <w:rPr>
          <w:color w:val="131313"/>
          <w:w w:val="110"/>
        </w:rPr>
        <w:t>provision is to ensure that any pharmacy wishing to participate in a network may do so. CMS highlighted this fact in the preamble to the Medicare Prescription  Drug Benefit Final Rule issued on January 28, 2005:</w:t>
      </w:r>
    </w:p>
    <w:p w:rsidR="00F93FF3" w:rsidRDefault="00F93FF3">
      <w:pPr>
        <w:pStyle w:val="BodyText"/>
        <w:spacing w:before="1"/>
        <w:rPr>
          <w:sz w:val="22"/>
        </w:rPr>
      </w:pPr>
    </w:p>
    <w:p w:rsidR="00F93FF3" w:rsidRDefault="00A173A1">
      <w:pPr>
        <w:pStyle w:val="BodyText"/>
        <w:spacing w:before="1" w:line="264" w:lineRule="auto"/>
        <w:ind w:left="935" w:right="450" w:firstLine="2"/>
        <w:rPr>
          <w:rFonts w:ascii="Arial"/>
          <w:sz w:val="13"/>
        </w:rPr>
      </w:pPr>
      <w:r>
        <w:rPr>
          <w:color w:val="131313"/>
          <w:w w:val="105"/>
        </w:rPr>
        <w:t xml:space="preserve">Given the current industry practice  of  broad  pharmacy  networks  and  given  Medicare  Part D's any willing pharmacy provision </w:t>
      </w:r>
      <w:r>
        <w:rPr>
          <w:color w:val="2D2D2D"/>
          <w:w w:val="105"/>
        </w:rPr>
        <w:t xml:space="preserve">, </w:t>
      </w:r>
      <w:r>
        <w:rPr>
          <w:color w:val="131313"/>
          <w:w w:val="105"/>
        </w:rPr>
        <w:t>which includes  the  requirement  that  plans offer reasonable and relevant standard terms  and  conditions  for  network  p</w:t>
      </w:r>
      <w:r>
        <w:rPr>
          <w:color w:val="131313"/>
          <w:w w:val="105"/>
        </w:rPr>
        <w:t xml:space="preserve">articipation  to  all similarly situated pharmac ies </w:t>
      </w:r>
      <w:r>
        <w:rPr>
          <w:color w:val="2D2D2D"/>
          <w:w w:val="105"/>
        </w:rPr>
        <w:t xml:space="preserve">, </w:t>
      </w:r>
      <w:r>
        <w:rPr>
          <w:color w:val="131313"/>
          <w:w w:val="105"/>
        </w:rPr>
        <w:t xml:space="preserve">we anticipate that all pharmacies that wish to participate in </w:t>
      </w:r>
      <w:r>
        <w:rPr>
          <w:color w:val="131313"/>
          <w:w w:val="109"/>
        </w:rPr>
        <w:t>Medicare</w:t>
      </w:r>
      <w:r>
        <w:rPr>
          <w:color w:val="131313"/>
        </w:rPr>
        <w:t xml:space="preserve">  </w:t>
      </w:r>
      <w:r>
        <w:rPr>
          <w:color w:val="131313"/>
          <w:w w:val="108"/>
        </w:rPr>
        <w:t>Part</w:t>
      </w:r>
      <w:r>
        <w:rPr>
          <w:color w:val="131313"/>
        </w:rPr>
        <w:t xml:space="preserve"> </w:t>
      </w:r>
      <w:r>
        <w:rPr>
          <w:color w:val="131313"/>
          <w:w w:val="108"/>
        </w:rPr>
        <w:t>D</w:t>
      </w:r>
      <w:r>
        <w:rPr>
          <w:color w:val="131313"/>
        </w:rPr>
        <w:t xml:space="preserve"> </w:t>
      </w:r>
      <w:r>
        <w:rPr>
          <w:color w:val="131313"/>
          <w:w w:val="103"/>
        </w:rPr>
        <w:t>will</w:t>
      </w:r>
      <w:r>
        <w:rPr>
          <w:color w:val="131313"/>
        </w:rPr>
        <w:t xml:space="preserve">  </w:t>
      </w:r>
      <w:r>
        <w:rPr>
          <w:color w:val="131313"/>
          <w:w w:val="106"/>
        </w:rPr>
        <w:t>be</w:t>
      </w:r>
      <w:r>
        <w:rPr>
          <w:color w:val="131313"/>
        </w:rPr>
        <w:t xml:space="preserve"> </w:t>
      </w:r>
      <w:r>
        <w:rPr>
          <w:color w:val="131313"/>
          <w:w w:val="113"/>
        </w:rPr>
        <w:t>able</w:t>
      </w:r>
      <w:r>
        <w:rPr>
          <w:color w:val="131313"/>
        </w:rPr>
        <w:t xml:space="preserve"> </w:t>
      </w:r>
      <w:r>
        <w:rPr>
          <w:color w:val="131313"/>
          <w:w w:val="113"/>
        </w:rPr>
        <w:t>to</w:t>
      </w:r>
      <w:r>
        <w:rPr>
          <w:color w:val="131313"/>
        </w:rPr>
        <w:t xml:space="preserve"> </w:t>
      </w:r>
      <w:r>
        <w:rPr>
          <w:color w:val="131313"/>
          <w:w w:val="114"/>
        </w:rPr>
        <w:t>do</w:t>
      </w:r>
      <w:r>
        <w:rPr>
          <w:color w:val="131313"/>
        </w:rPr>
        <w:t xml:space="preserve"> </w:t>
      </w:r>
      <w:r>
        <w:rPr>
          <w:color w:val="131313"/>
          <w:w w:val="113"/>
        </w:rPr>
        <w:t>so</w:t>
      </w:r>
      <w:r>
        <w:rPr>
          <w:color w:val="2D2D2D"/>
          <w:w w:val="114"/>
        </w:rPr>
        <w:t>.</w:t>
      </w:r>
      <w:r>
        <w:rPr>
          <w:rFonts w:ascii="Arial"/>
          <w:color w:val="131313"/>
          <w:w w:val="25"/>
          <w:sz w:val="13"/>
        </w:rPr>
        <w:t>1</w:t>
      </w:r>
    </w:p>
    <w:p w:rsidR="00F93FF3" w:rsidRDefault="00F93FF3">
      <w:pPr>
        <w:pStyle w:val="BodyText"/>
        <w:spacing w:before="11"/>
        <w:rPr>
          <w:rFonts w:ascii="Arial"/>
        </w:rPr>
      </w:pPr>
    </w:p>
    <w:p w:rsidR="00F93FF3" w:rsidRDefault="00A173A1">
      <w:pPr>
        <w:pStyle w:val="Heading1"/>
      </w:pPr>
      <w:r>
        <w:rPr>
          <w:color w:val="131313"/>
          <w:u w:val="single" w:color="000000"/>
        </w:rPr>
        <w:t>The Problem</w:t>
      </w:r>
    </w:p>
    <w:p w:rsidR="00F93FF3" w:rsidRDefault="00F93FF3">
      <w:pPr>
        <w:pStyle w:val="BodyText"/>
        <w:spacing w:before="5"/>
        <w:rPr>
          <w:b/>
          <w:sz w:val="23"/>
        </w:rPr>
      </w:pPr>
    </w:p>
    <w:p w:rsidR="00F93FF3" w:rsidRDefault="00A173A1">
      <w:pPr>
        <w:pStyle w:val="BodyText"/>
        <w:spacing w:line="261" w:lineRule="auto"/>
        <w:ind w:left="227" w:firstLine="3"/>
      </w:pPr>
      <w:r>
        <w:rPr>
          <w:color w:val="131313"/>
          <w:w w:val="110"/>
        </w:rPr>
        <w:t>Many pharmacies have been a victim of arbitrary and baseless exclusion from participation in Part D networks.</w:t>
      </w:r>
      <w:r>
        <w:rPr>
          <w:color w:val="131313"/>
          <w:spacing w:val="32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pharmacy</w:t>
      </w:r>
      <w:r>
        <w:rPr>
          <w:color w:val="131313"/>
          <w:spacing w:val="7"/>
          <w:w w:val="110"/>
        </w:rPr>
        <w:t xml:space="preserve"> </w:t>
      </w:r>
      <w:r>
        <w:rPr>
          <w:color w:val="131313"/>
          <w:w w:val="110"/>
        </w:rPr>
        <w:t>benefit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managers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("PBM's")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w w:val="110"/>
        </w:rPr>
        <w:t>that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manage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these</w:t>
      </w:r>
      <w:r>
        <w:rPr>
          <w:color w:val="131313"/>
          <w:spacing w:val="-1"/>
          <w:w w:val="110"/>
        </w:rPr>
        <w:t xml:space="preserve"> </w:t>
      </w:r>
      <w:r>
        <w:rPr>
          <w:color w:val="131313"/>
          <w:w w:val="110"/>
        </w:rPr>
        <w:t>Part</w:t>
      </w:r>
      <w:r>
        <w:rPr>
          <w:color w:val="131313"/>
          <w:spacing w:val="-2"/>
          <w:w w:val="110"/>
        </w:rPr>
        <w:t xml:space="preserve"> </w:t>
      </w:r>
      <w:r>
        <w:rPr>
          <w:color w:val="131313"/>
          <w:w w:val="110"/>
        </w:rPr>
        <w:t>D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networks</w:t>
      </w:r>
      <w:r>
        <w:rPr>
          <w:color w:val="131313"/>
          <w:spacing w:val="-8"/>
          <w:w w:val="110"/>
        </w:rPr>
        <w:t xml:space="preserve"> </w:t>
      </w:r>
      <w:r>
        <w:rPr>
          <w:color w:val="131313"/>
          <w:w w:val="110"/>
        </w:rPr>
        <w:t>are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 xml:space="preserve">requiring terms and conditions for </w:t>
      </w:r>
      <w:r>
        <w:rPr>
          <w:color w:val="131313"/>
          <w:spacing w:val="3"/>
          <w:w w:val="110"/>
        </w:rPr>
        <w:t xml:space="preserve">partici </w:t>
      </w:r>
      <w:r>
        <w:rPr>
          <w:color w:val="131313"/>
          <w:spacing w:val="2"/>
          <w:w w:val="110"/>
        </w:rPr>
        <w:t>p</w:t>
      </w:r>
      <w:r>
        <w:rPr>
          <w:color w:val="2D2D2D"/>
          <w:spacing w:val="2"/>
          <w:w w:val="110"/>
        </w:rPr>
        <w:t>a</w:t>
      </w:r>
      <w:r>
        <w:rPr>
          <w:color w:val="131313"/>
          <w:spacing w:val="2"/>
          <w:w w:val="110"/>
        </w:rPr>
        <w:t xml:space="preserve">tion </w:t>
      </w:r>
      <w:r>
        <w:rPr>
          <w:color w:val="131313"/>
          <w:w w:val="110"/>
        </w:rPr>
        <w:t>that are not reaso</w:t>
      </w:r>
      <w:r>
        <w:rPr>
          <w:color w:val="131313"/>
          <w:w w:val="110"/>
        </w:rPr>
        <w:t>nable and relevant. These actio n</w:t>
      </w:r>
      <w:r>
        <w:rPr>
          <w:color w:val="2D2D2D"/>
          <w:w w:val="110"/>
        </w:rPr>
        <w:t xml:space="preserve">s </w:t>
      </w:r>
      <w:r>
        <w:rPr>
          <w:color w:val="131313"/>
          <w:w w:val="110"/>
        </w:rPr>
        <w:t xml:space="preserve">are to the detriment of the numerous Medicare beneficiaries that are no longer able to use their </w:t>
      </w:r>
      <w:r>
        <w:rPr>
          <w:color w:val="131313"/>
          <w:spacing w:val="3"/>
          <w:w w:val="110"/>
        </w:rPr>
        <w:t>local</w:t>
      </w:r>
      <w:r>
        <w:rPr>
          <w:color w:val="2D2D2D"/>
          <w:spacing w:val="3"/>
          <w:w w:val="110"/>
        </w:rPr>
        <w:t xml:space="preserve">, </w:t>
      </w:r>
      <w:r>
        <w:rPr>
          <w:color w:val="131313"/>
          <w:w w:val="110"/>
        </w:rPr>
        <w:t xml:space="preserve">chosen </w:t>
      </w:r>
      <w:r>
        <w:rPr>
          <w:color w:val="131313"/>
          <w:spacing w:val="2"/>
          <w:w w:val="110"/>
        </w:rPr>
        <w:t>pharmacy</w:t>
      </w:r>
      <w:r>
        <w:rPr>
          <w:color w:val="2D2D2D"/>
          <w:spacing w:val="2"/>
          <w:w w:val="110"/>
        </w:rPr>
        <w:t>,</w:t>
      </w:r>
      <w:r>
        <w:rPr>
          <w:color w:val="2D2D2D"/>
          <w:spacing w:val="-19"/>
          <w:w w:val="110"/>
        </w:rPr>
        <w:t xml:space="preserve"> </w:t>
      </w:r>
      <w:r>
        <w:rPr>
          <w:color w:val="131313"/>
          <w:w w:val="110"/>
        </w:rPr>
        <w:t>often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with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w w:val="110"/>
        </w:rPr>
        <w:t>little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or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no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notice</w:t>
      </w:r>
      <w:r>
        <w:rPr>
          <w:color w:val="131313"/>
          <w:spacing w:val="-17"/>
          <w:w w:val="110"/>
        </w:rPr>
        <w:t xml:space="preserve"> </w:t>
      </w:r>
      <w:r>
        <w:rPr>
          <w:color w:val="2D2D2D"/>
          <w:w w:val="110"/>
        </w:rPr>
        <w:t>,</w:t>
      </w:r>
      <w:r>
        <w:rPr>
          <w:color w:val="2D2D2D"/>
          <w:spacing w:val="-17"/>
          <w:w w:val="110"/>
        </w:rPr>
        <w:t xml:space="preserve"> </w:t>
      </w:r>
      <w:r>
        <w:rPr>
          <w:color w:val="131313"/>
          <w:w w:val="110"/>
        </w:rPr>
        <w:t>and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w w:val="110"/>
        </w:rPr>
        <w:t>threaten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3"/>
          <w:w w:val="110"/>
        </w:rPr>
        <w:t xml:space="preserve"> </w:t>
      </w:r>
      <w:r>
        <w:rPr>
          <w:color w:val="131313"/>
          <w:w w:val="110"/>
        </w:rPr>
        <w:t>very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survival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of</w:t>
      </w:r>
      <w:r>
        <w:rPr>
          <w:color w:val="131313"/>
          <w:spacing w:val="-17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6"/>
          <w:w w:val="110"/>
        </w:rPr>
        <w:t xml:space="preserve"> </w:t>
      </w:r>
      <w:r>
        <w:rPr>
          <w:color w:val="131313"/>
          <w:w w:val="110"/>
        </w:rPr>
        <w:t>long-standing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pharmacies involved.</w:t>
      </w:r>
    </w:p>
    <w:p w:rsidR="00F93FF3" w:rsidRDefault="00F93FF3">
      <w:pPr>
        <w:pStyle w:val="BodyText"/>
        <w:spacing w:before="5"/>
        <w:rPr>
          <w:sz w:val="21"/>
        </w:rPr>
      </w:pPr>
    </w:p>
    <w:p w:rsidR="00F93FF3" w:rsidRDefault="00A173A1">
      <w:pPr>
        <w:pStyle w:val="BodyText"/>
        <w:spacing w:line="261" w:lineRule="auto"/>
        <w:ind w:left="224" w:right="143" w:firstLine="8"/>
      </w:pPr>
      <w:r>
        <w:rPr>
          <w:color w:val="131313"/>
          <w:w w:val="115"/>
        </w:rPr>
        <w:t xml:space="preserve">A prime example involves the unjustified PBM contract condition that restricts specialty drug network pharmacies to the PBM </w:t>
      </w:r>
      <w:r>
        <w:rPr>
          <w:color w:val="2D2D2D"/>
          <w:w w:val="115"/>
        </w:rPr>
        <w:t xml:space="preserve">' </w:t>
      </w:r>
      <w:r>
        <w:rPr>
          <w:color w:val="131313"/>
          <w:w w:val="115"/>
        </w:rPr>
        <w:t xml:space="preserve">s choice of just </w:t>
      </w:r>
      <w:r>
        <w:rPr>
          <w:color w:val="131313"/>
        </w:rPr>
        <w:t xml:space="preserve">I </w:t>
      </w:r>
      <w:r>
        <w:rPr>
          <w:color w:val="131313"/>
          <w:w w:val="115"/>
        </w:rPr>
        <w:t xml:space="preserve">accreditation vendor. Raising concerns even more is the fact that this accreditation vendor heretofore had no prior experience in provider-based healthcare accred </w:t>
      </w:r>
      <w:r>
        <w:rPr>
          <w:color w:val="131313"/>
        </w:rPr>
        <w:t xml:space="preserve">itation </w:t>
      </w:r>
      <w:r>
        <w:rPr>
          <w:color w:val="2D2D2D"/>
          <w:w w:val="115"/>
        </w:rPr>
        <w:t xml:space="preserve">, </w:t>
      </w:r>
      <w:r>
        <w:rPr>
          <w:color w:val="131313"/>
          <w:w w:val="115"/>
        </w:rPr>
        <w:t>and their fees commonly run Sx's more than the customary charges for the same servi</w:t>
      </w:r>
      <w:r>
        <w:rPr>
          <w:color w:val="131313"/>
          <w:w w:val="115"/>
        </w:rPr>
        <w:t xml:space="preserve">ce performed by The Compliance Team, Inc. or other </w:t>
      </w:r>
      <w:r>
        <w:rPr>
          <w:color w:val="030303"/>
          <w:w w:val="115"/>
        </w:rPr>
        <w:t xml:space="preserve">like </w:t>
      </w:r>
      <w:r>
        <w:rPr>
          <w:color w:val="131313"/>
          <w:w w:val="115"/>
        </w:rPr>
        <w:t>competitors.</w:t>
      </w:r>
    </w:p>
    <w:p w:rsidR="00F93FF3" w:rsidRDefault="00F93FF3">
      <w:pPr>
        <w:pStyle w:val="BodyText"/>
        <w:spacing w:before="5"/>
        <w:rPr>
          <w:sz w:val="21"/>
        </w:rPr>
      </w:pPr>
    </w:p>
    <w:p w:rsidR="00F93FF3" w:rsidRDefault="00A173A1">
      <w:pPr>
        <w:pStyle w:val="BodyText"/>
        <w:spacing w:line="264" w:lineRule="auto"/>
        <w:ind w:left="226" w:right="450" w:hanging="1"/>
      </w:pPr>
      <w:r>
        <w:rPr>
          <w:color w:val="131313"/>
          <w:w w:val="105"/>
        </w:rPr>
        <w:t>Such monopolistic behavior dramatically increases costs  to  independent  pharmacies  and  creates limited pharmacy access for beneficiaries. To make matters  worse for  prospective  spe</w:t>
      </w:r>
      <w:r>
        <w:rPr>
          <w:color w:val="131313"/>
          <w:w w:val="105"/>
        </w:rPr>
        <w:t xml:space="preserve">cialty  drug network pharmacies </w:t>
      </w:r>
      <w:r>
        <w:rPr>
          <w:color w:val="2D2D2D"/>
          <w:w w:val="105"/>
        </w:rPr>
        <w:t xml:space="preserve">, </w:t>
      </w:r>
      <w:r>
        <w:rPr>
          <w:color w:val="131313"/>
          <w:w w:val="105"/>
        </w:rPr>
        <w:t>some PBMs are now requirin</w:t>
      </w:r>
      <w:r>
        <w:rPr>
          <w:color w:val="2D2D2D"/>
          <w:w w:val="105"/>
        </w:rPr>
        <w:t xml:space="preserve">g </w:t>
      </w:r>
      <w:r>
        <w:rPr>
          <w:color w:val="131313"/>
          <w:w w:val="105"/>
        </w:rPr>
        <w:t xml:space="preserve">a second seemingly redundant and unnecessary accredita tion </w:t>
      </w:r>
      <w:r>
        <w:rPr>
          <w:color w:val="2D2D2D"/>
          <w:w w:val="105"/>
        </w:rPr>
        <w:t xml:space="preserve">. </w:t>
      </w:r>
      <w:r>
        <w:rPr>
          <w:color w:val="131313"/>
          <w:w w:val="105"/>
        </w:rPr>
        <w:t>It is important to point out that CMS does not have a core accreditation requirement for any area of pharmacy  services.</w:t>
      </w:r>
    </w:p>
    <w:p w:rsidR="00F93FF3" w:rsidRDefault="00F93FF3">
      <w:pPr>
        <w:pStyle w:val="BodyText"/>
        <w:spacing w:before="10"/>
      </w:pPr>
    </w:p>
    <w:p w:rsidR="00F93FF3" w:rsidRDefault="00A173A1">
      <w:pPr>
        <w:pStyle w:val="BodyText"/>
        <w:spacing w:line="249" w:lineRule="auto"/>
        <w:ind w:left="226" w:right="244" w:firstLine="8"/>
        <w:jc w:val="both"/>
      </w:pPr>
      <w:r>
        <w:rPr>
          <w:color w:val="131313"/>
          <w:w w:val="105"/>
        </w:rPr>
        <w:t>By restric</w:t>
      </w:r>
      <w:r>
        <w:rPr>
          <w:color w:val="131313"/>
          <w:w w:val="105"/>
        </w:rPr>
        <w:t xml:space="preserve">ting specialty drug pharmacy accreditation to choice of just one or two exorbitantly expensive sources is neither reasonable </w:t>
      </w:r>
      <w:r>
        <w:rPr>
          <w:color w:val="2D2D2D"/>
          <w:w w:val="105"/>
        </w:rPr>
        <w:t xml:space="preserve">, </w:t>
      </w:r>
      <w:r>
        <w:rPr>
          <w:color w:val="131313"/>
          <w:w w:val="105"/>
        </w:rPr>
        <w:t xml:space="preserve">nor relevant. </w:t>
      </w:r>
      <w:r>
        <w:rPr>
          <w:color w:val="131313"/>
          <w:w w:val="105"/>
          <w:sz w:val="22"/>
        </w:rPr>
        <w:t xml:space="preserve">It </w:t>
      </w:r>
      <w:r>
        <w:rPr>
          <w:color w:val="131313"/>
          <w:w w:val="105"/>
        </w:rPr>
        <w:t>i</w:t>
      </w:r>
      <w:r>
        <w:rPr>
          <w:color w:val="2D2D2D"/>
          <w:w w:val="105"/>
        </w:rPr>
        <w:t xml:space="preserve">s </w:t>
      </w:r>
      <w:r>
        <w:rPr>
          <w:color w:val="131313"/>
          <w:w w:val="105"/>
        </w:rPr>
        <w:t>readily apparent that these now common PBM practices operate as a barrier to network participation for many s</w:t>
      </w:r>
      <w:r>
        <w:rPr>
          <w:color w:val="131313"/>
          <w:w w:val="105"/>
        </w:rPr>
        <w:t xml:space="preserve">maller </w:t>
      </w:r>
      <w:r>
        <w:rPr>
          <w:color w:val="2D2D2D"/>
          <w:w w:val="105"/>
        </w:rPr>
        <w:t xml:space="preserve">, </w:t>
      </w:r>
      <w:r>
        <w:rPr>
          <w:color w:val="131313"/>
          <w:w w:val="105"/>
        </w:rPr>
        <w:t xml:space="preserve">independent  </w:t>
      </w:r>
      <w:r>
        <w:rPr>
          <w:color w:val="2D2D2D"/>
          <w:w w:val="105"/>
        </w:rPr>
        <w:t xml:space="preserve">, </w:t>
      </w:r>
      <w:r>
        <w:rPr>
          <w:color w:val="131313"/>
          <w:w w:val="105"/>
        </w:rPr>
        <w:t>often rural and  otherwise</w:t>
      </w:r>
    </w:p>
    <w:p w:rsidR="00F93FF3" w:rsidRDefault="00A173A1">
      <w:pPr>
        <w:pStyle w:val="BodyText"/>
        <w:spacing w:before="10"/>
        <w:ind w:left="220"/>
      </w:pPr>
      <w:r>
        <w:rPr>
          <w:color w:val="131313"/>
        </w:rPr>
        <w:t xml:space="preserve">" willing </w:t>
      </w:r>
      <w:r>
        <w:rPr>
          <w:color w:val="2D2D2D"/>
        </w:rPr>
        <w:t xml:space="preserve">" </w:t>
      </w:r>
      <w:r>
        <w:rPr>
          <w:color w:val="131313"/>
        </w:rPr>
        <w:t xml:space="preserve">pharmacies </w:t>
      </w:r>
      <w:r>
        <w:rPr>
          <w:color w:val="2D2D2D"/>
        </w:rPr>
        <w:t>.</w:t>
      </w:r>
    </w:p>
    <w:p w:rsidR="00F93FF3" w:rsidRDefault="00F93FF3">
      <w:pPr>
        <w:sectPr w:rsidR="00F93FF3">
          <w:pgSz w:w="12240" w:h="15840"/>
          <w:pgMar w:top="1740" w:right="1720" w:bottom="960" w:left="960" w:header="672" w:footer="756" w:gutter="0"/>
          <w:cols w:space="720"/>
        </w:sectPr>
      </w:pPr>
    </w:p>
    <w:p w:rsidR="00F93FF3" w:rsidRDefault="00F93FF3">
      <w:pPr>
        <w:pStyle w:val="BodyText"/>
      </w:pPr>
    </w:p>
    <w:p w:rsidR="00F93FF3" w:rsidRDefault="00F93FF3">
      <w:pPr>
        <w:pStyle w:val="BodyText"/>
        <w:spacing w:before="10"/>
        <w:rPr>
          <w:sz w:val="21"/>
        </w:rPr>
      </w:pPr>
    </w:p>
    <w:p w:rsidR="00F93FF3" w:rsidRDefault="00A173A1">
      <w:pPr>
        <w:pStyle w:val="BodyText"/>
        <w:spacing w:before="1" w:line="261" w:lineRule="auto"/>
        <w:ind w:left="234" w:right="337" w:firstLine="6"/>
      </w:pPr>
      <w:r>
        <w:rPr>
          <w:color w:val="131313"/>
          <w:w w:val="110"/>
        </w:rPr>
        <w:t>Adding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7"/>
          <w:w w:val="110"/>
        </w:rPr>
        <w:t xml:space="preserve"> </w:t>
      </w:r>
      <w:r>
        <w:rPr>
          <w:color w:val="131313"/>
          <w:w w:val="110"/>
        </w:rPr>
        <w:t>need</w:t>
      </w:r>
      <w:r>
        <w:rPr>
          <w:color w:val="131313"/>
          <w:spacing w:val="-6"/>
          <w:w w:val="110"/>
        </w:rPr>
        <w:t xml:space="preserve"> </w:t>
      </w:r>
      <w:r>
        <w:rPr>
          <w:color w:val="131313"/>
          <w:w w:val="110"/>
        </w:rPr>
        <w:t>to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reign-in these</w:t>
      </w:r>
      <w:r>
        <w:rPr>
          <w:color w:val="131313"/>
          <w:spacing w:val="-10"/>
          <w:w w:val="110"/>
        </w:rPr>
        <w:t xml:space="preserve"> </w:t>
      </w:r>
      <w:r>
        <w:rPr>
          <w:color w:val="131313"/>
          <w:w w:val="110"/>
        </w:rPr>
        <w:t>anti-competitive</w:t>
      </w:r>
      <w:r>
        <w:rPr>
          <w:color w:val="131313"/>
          <w:spacing w:val="-14"/>
          <w:w w:val="110"/>
        </w:rPr>
        <w:t xml:space="preserve"> </w:t>
      </w:r>
      <w:r>
        <w:rPr>
          <w:color w:val="131313"/>
          <w:w w:val="110"/>
        </w:rPr>
        <w:t>practices,</w:t>
      </w:r>
      <w:r>
        <w:rPr>
          <w:color w:val="131313"/>
          <w:spacing w:val="-6"/>
          <w:w w:val="110"/>
        </w:rPr>
        <w:t xml:space="preserve"> </w:t>
      </w:r>
      <w:r>
        <w:rPr>
          <w:color w:val="131313"/>
          <w:w w:val="110"/>
        </w:rPr>
        <w:t>The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Compliance</w:t>
      </w:r>
      <w:r>
        <w:rPr>
          <w:color w:val="131313"/>
          <w:spacing w:val="-4"/>
          <w:w w:val="110"/>
        </w:rPr>
        <w:t xml:space="preserve"> </w:t>
      </w:r>
      <w:r>
        <w:rPr>
          <w:color w:val="131313"/>
          <w:w w:val="110"/>
        </w:rPr>
        <w:t>Team</w:t>
      </w:r>
      <w:r>
        <w:rPr>
          <w:color w:val="131313"/>
          <w:spacing w:val="6"/>
          <w:w w:val="110"/>
        </w:rPr>
        <w:t xml:space="preserve"> </w:t>
      </w:r>
      <w:r>
        <w:rPr>
          <w:color w:val="131313"/>
          <w:w w:val="110"/>
        </w:rPr>
        <w:t>has</w:t>
      </w:r>
      <w:r>
        <w:rPr>
          <w:color w:val="131313"/>
          <w:spacing w:val="-15"/>
          <w:w w:val="110"/>
        </w:rPr>
        <w:t xml:space="preserve"> </w:t>
      </w:r>
      <w:r>
        <w:rPr>
          <w:color w:val="131313"/>
          <w:w w:val="110"/>
        </w:rPr>
        <w:t>experienced first hand that the nation'</w:t>
      </w:r>
      <w:r>
        <w:rPr>
          <w:color w:val="131313"/>
          <w:w w:val="110"/>
        </w:rPr>
        <w:t>s major PBMs lack a formal good faith vetting process for adding qualified accreditation vendor choices. Despite numerous formal requests over the past few yea rs</w:t>
      </w:r>
      <w:r>
        <w:rPr>
          <w:color w:val="2F3131"/>
          <w:w w:val="110"/>
        </w:rPr>
        <w:t xml:space="preserve">, </w:t>
      </w:r>
      <w:r>
        <w:rPr>
          <w:color w:val="131313"/>
          <w:w w:val="110"/>
        </w:rPr>
        <w:t>the nation's three primary  PBMs cannot or will  not disclose to us their core criteria rega</w:t>
      </w:r>
      <w:r>
        <w:rPr>
          <w:color w:val="131313"/>
          <w:w w:val="110"/>
        </w:rPr>
        <w:t>rding their specialty   drug pharmacy  accreditation  vendor</w:t>
      </w:r>
      <w:r>
        <w:rPr>
          <w:color w:val="131313"/>
          <w:spacing w:val="34"/>
          <w:w w:val="110"/>
        </w:rPr>
        <w:t xml:space="preserve"> </w:t>
      </w:r>
      <w:r>
        <w:rPr>
          <w:color w:val="131313"/>
          <w:w w:val="110"/>
        </w:rPr>
        <w:t>vetting.</w:t>
      </w:r>
    </w:p>
    <w:p w:rsidR="00F93FF3" w:rsidRDefault="00F93FF3">
      <w:pPr>
        <w:pStyle w:val="BodyText"/>
        <w:spacing w:before="2"/>
        <w:rPr>
          <w:sz w:val="21"/>
        </w:rPr>
      </w:pPr>
    </w:p>
    <w:p w:rsidR="00F93FF3" w:rsidRDefault="00A173A1">
      <w:pPr>
        <w:pStyle w:val="BodyText"/>
        <w:spacing w:line="264" w:lineRule="auto"/>
        <w:ind w:left="230" w:right="261"/>
      </w:pPr>
      <w:r>
        <w:rPr>
          <w:color w:val="131313"/>
          <w:w w:val="110"/>
        </w:rPr>
        <w:t xml:space="preserve">Over the years </w:t>
      </w:r>
      <w:r>
        <w:rPr>
          <w:color w:val="2F3131"/>
          <w:w w:val="110"/>
        </w:rPr>
        <w:t xml:space="preserve">, </w:t>
      </w:r>
      <w:r>
        <w:rPr>
          <w:color w:val="131313"/>
          <w:w w:val="110"/>
        </w:rPr>
        <w:t xml:space="preserve">The Compliance Team, Inc. and its Exemplary Provide </w:t>
      </w:r>
      <w:r>
        <w:rPr>
          <w:color w:val="131313"/>
          <w:spacing w:val="-36"/>
          <w:w w:val="110"/>
        </w:rPr>
        <w:t>r</w:t>
      </w:r>
      <w:r>
        <w:rPr>
          <w:color w:val="414141"/>
          <w:spacing w:val="-36"/>
          <w:w w:val="110"/>
        </w:rPr>
        <w:t xml:space="preserve">® </w:t>
      </w:r>
      <w:r>
        <w:rPr>
          <w:color w:val="131313"/>
          <w:w w:val="110"/>
        </w:rPr>
        <w:t>accreditation process has undergone multiple successful  vetting processes  by the Centers for Medicare and Medic</w:t>
      </w:r>
      <w:r>
        <w:rPr>
          <w:color w:val="131313"/>
          <w:w w:val="110"/>
        </w:rPr>
        <w:t xml:space="preserve">aid Services   as well as a whole host of national  and  regional  managed  care and state entities.  Yet, despite our  most earnest attempts to seek similar recognition from the nation's major PBMs </w:t>
      </w:r>
      <w:r>
        <w:rPr>
          <w:color w:val="2F3131"/>
          <w:w w:val="110"/>
        </w:rPr>
        <w:t xml:space="preserve">, </w:t>
      </w:r>
      <w:r>
        <w:rPr>
          <w:color w:val="131313"/>
          <w:w w:val="110"/>
        </w:rPr>
        <w:t>The  Compliance Team  has been  rebuffed  each time; of</w:t>
      </w:r>
      <w:r>
        <w:rPr>
          <w:color w:val="131313"/>
          <w:w w:val="110"/>
        </w:rPr>
        <w:t>ten  in a most unprofessional and  insulting</w:t>
      </w:r>
      <w:r>
        <w:rPr>
          <w:color w:val="131313"/>
          <w:spacing w:val="33"/>
          <w:w w:val="110"/>
        </w:rPr>
        <w:t xml:space="preserve"> </w:t>
      </w:r>
      <w:r>
        <w:rPr>
          <w:color w:val="131313"/>
          <w:w w:val="110"/>
        </w:rPr>
        <w:t>manner.</w:t>
      </w:r>
    </w:p>
    <w:p w:rsidR="00F93FF3" w:rsidRDefault="00F93FF3">
      <w:pPr>
        <w:pStyle w:val="BodyText"/>
        <w:spacing w:before="11"/>
      </w:pPr>
    </w:p>
    <w:p w:rsidR="00F93FF3" w:rsidRDefault="00A173A1">
      <w:pPr>
        <w:pStyle w:val="Heading1"/>
        <w:ind w:left="233"/>
      </w:pPr>
      <w:r>
        <w:rPr>
          <w:color w:val="131313"/>
          <w:w w:val="110"/>
          <w:u w:val="thick" w:color="000000"/>
        </w:rPr>
        <w:t>Recommendations</w:t>
      </w:r>
    </w:p>
    <w:p w:rsidR="00F93FF3" w:rsidRDefault="00F93FF3">
      <w:pPr>
        <w:pStyle w:val="BodyText"/>
        <w:spacing w:before="11"/>
        <w:rPr>
          <w:b/>
          <w:sz w:val="23"/>
        </w:rPr>
      </w:pPr>
    </w:p>
    <w:p w:rsidR="00F93FF3" w:rsidRDefault="00A173A1">
      <w:pPr>
        <w:pStyle w:val="BodyText"/>
        <w:spacing w:line="259" w:lineRule="auto"/>
        <w:ind w:left="225" w:right="187" w:firstLine="9"/>
      </w:pPr>
      <w:r>
        <w:rPr>
          <w:color w:val="131313"/>
          <w:w w:val="110"/>
        </w:rPr>
        <w:t>Given the overwhelming evidence that  PBMs are assuming  unwarranted  monopolistic  powers  when it comes to specialty drug pharmacy accreditation vendor options, it is The Compliance T</w:t>
      </w:r>
      <w:r>
        <w:rPr>
          <w:color w:val="131313"/>
          <w:w w:val="110"/>
        </w:rPr>
        <w:t xml:space="preserve">eam's recommendation that CMS reign-in such overreach by requiring that PBMs open their network accreditation choices to established national pharmacy accreditation organizations such as The Compliance Team, Inc., </w:t>
      </w:r>
      <w:r>
        <w:rPr>
          <w:color w:val="131313"/>
          <w:spacing w:val="4"/>
          <w:w w:val="110"/>
        </w:rPr>
        <w:t xml:space="preserve">and </w:t>
      </w:r>
      <w:r>
        <w:rPr>
          <w:color w:val="2F3131"/>
          <w:spacing w:val="3"/>
          <w:w w:val="110"/>
        </w:rPr>
        <w:t>/</w:t>
      </w:r>
      <w:r>
        <w:rPr>
          <w:color w:val="131313"/>
          <w:spacing w:val="3"/>
          <w:w w:val="110"/>
        </w:rPr>
        <w:t xml:space="preserve">or </w:t>
      </w:r>
      <w:r>
        <w:rPr>
          <w:color w:val="131313"/>
          <w:w w:val="110"/>
        </w:rPr>
        <w:t>set in place PBM accreditation  ve</w:t>
      </w:r>
      <w:r>
        <w:rPr>
          <w:color w:val="131313"/>
          <w:w w:val="110"/>
        </w:rPr>
        <w:t>tting procedures  that follow federally</w:t>
      </w:r>
      <w:r>
        <w:rPr>
          <w:color w:val="131313"/>
          <w:spacing w:val="-11"/>
          <w:w w:val="110"/>
        </w:rPr>
        <w:t xml:space="preserve"> </w:t>
      </w:r>
      <w:r>
        <w:rPr>
          <w:color w:val="131313"/>
          <w:w w:val="110"/>
        </w:rPr>
        <w:t>approved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spacing w:val="4"/>
          <w:w w:val="110"/>
        </w:rPr>
        <w:t>guide</w:t>
      </w:r>
      <w:r>
        <w:rPr>
          <w:color w:val="131313"/>
          <w:spacing w:val="-37"/>
          <w:w w:val="110"/>
        </w:rPr>
        <w:t xml:space="preserve"> </w:t>
      </w:r>
      <w:r>
        <w:rPr>
          <w:color w:val="131313"/>
          <w:w w:val="110"/>
        </w:rPr>
        <w:t>lines</w:t>
      </w:r>
      <w:r>
        <w:rPr>
          <w:color w:val="131313"/>
          <w:spacing w:val="2"/>
          <w:w w:val="110"/>
        </w:rPr>
        <w:t xml:space="preserve"> </w:t>
      </w:r>
      <w:r>
        <w:rPr>
          <w:color w:val="2F3131"/>
          <w:w w:val="110"/>
        </w:rPr>
        <w:t>.</w:t>
      </w:r>
    </w:p>
    <w:p w:rsidR="00F93FF3" w:rsidRDefault="00F93FF3">
      <w:pPr>
        <w:pStyle w:val="BodyText"/>
        <w:rPr>
          <w:sz w:val="23"/>
        </w:rPr>
      </w:pPr>
    </w:p>
    <w:p w:rsidR="00F93FF3" w:rsidRDefault="00A173A1">
      <w:pPr>
        <w:pStyle w:val="BodyText"/>
        <w:spacing w:line="261" w:lineRule="auto"/>
        <w:ind w:left="225" w:right="261" w:firstLine="4"/>
      </w:pPr>
      <w:r>
        <w:rPr>
          <w:color w:val="131313"/>
          <w:w w:val="110"/>
        </w:rPr>
        <w:t xml:space="preserve">Such actions will undoubtedly result in allowing many more "willing pharmacies" into the nation's specialty drug PBM networks </w:t>
      </w:r>
      <w:r>
        <w:rPr>
          <w:color w:val="2F3131"/>
          <w:w w:val="110"/>
        </w:rPr>
        <w:t xml:space="preserve">; </w:t>
      </w:r>
      <w:r>
        <w:rPr>
          <w:color w:val="131313"/>
          <w:w w:val="110"/>
        </w:rPr>
        <w:t>thus expanding stronger beneficiary access and lowering overall plan costs as a result.</w:t>
      </w:r>
    </w:p>
    <w:p w:rsidR="00F93FF3" w:rsidRDefault="00F93FF3">
      <w:pPr>
        <w:pStyle w:val="BodyText"/>
        <w:spacing w:before="6"/>
        <w:rPr>
          <w:sz w:val="21"/>
        </w:rPr>
      </w:pPr>
    </w:p>
    <w:p w:rsidR="00F93FF3" w:rsidRDefault="00A173A1">
      <w:pPr>
        <w:pStyle w:val="Heading1"/>
        <w:ind w:left="227"/>
      </w:pPr>
      <w:r>
        <w:rPr>
          <w:color w:val="131313"/>
          <w:w w:val="105"/>
          <w:u w:val="single" w:color="000000"/>
        </w:rPr>
        <w:t xml:space="preserve">Proposed  Amendment  to 42 C.F.R.  </w:t>
      </w:r>
      <w:r>
        <w:rPr>
          <w:rFonts w:ascii="Arial" w:hAnsi="Arial"/>
          <w:color w:val="131313"/>
          <w:w w:val="105"/>
          <w:sz w:val="19"/>
          <w:u w:val="single" w:color="000000"/>
        </w:rPr>
        <w:t xml:space="preserve">§ </w:t>
      </w:r>
      <w:r>
        <w:rPr>
          <w:color w:val="131313"/>
          <w:w w:val="105"/>
          <w:u w:val="single" w:color="000000"/>
        </w:rPr>
        <w:t>423.505  (Part D Contract  Provisions)</w:t>
      </w:r>
    </w:p>
    <w:p w:rsidR="00F93FF3" w:rsidRDefault="00F93FF3">
      <w:pPr>
        <w:pStyle w:val="BodyText"/>
        <w:spacing w:before="3"/>
        <w:rPr>
          <w:b/>
          <w:sz w:val="22"/>
        </w:rPr>
      </w:pPr>
    </w:p>
    <w:p w:rsidR="00F93FF3" w:rsidRDefault="00A173A1">
      <w:pPr>
        <w:pStyle w:val="BodyText"/>
        <w:ind w:left="221"/>
      </w:pPr>
      <w:r>
        <w:rPr>
          <w:color w:val="131313"/>
          <w:w w:val="110"/>
        </w:rPr>
        <w:t>The  Part D plan sponsor agrees to</w:t>
      </w:r>
      <w:r>
        <w:rPr>
          <w:color w:val="131313"/>
          <w:spacing w:val="51"/>
          <w:w w:val="110"/>
        </w:rPr>
        <w:t xml:space="preserve"> </w:t>
      </w:r>
      <w:r>
        <w:rPr>
          <w:color w:val="131313"/>
          <w:w w:val="110"/>
        </w:rPr>
        <w:t>-</w:t>
      </w:r>
    </w:p>
    <w:p w:rsidR="00F93FF3" w:rsidRDefault="00F93FF3">
      <w:pPr>
        <w:pStyle w:val="BodyText"/>
        <w:spacing w:before="4"/>
        <w:rPr>
          <w:sz w:val="23"/>
        </w:rPr>
      </w:pPr>
    </w:p>
    <w:p w:rsidR="00F93FF3" w:rsidRDefault="00A173A1">
      <w:pPr>
        <w:pStyle w:val="BodyText"/>
        <w:spacing w:line="264" w:lineRule="auto"/>
        <w:ind w:left="222" w:right="261" w:firstLine="11"/>
      </w:pPr>
      <w:r>
        <w:rPr>
          <w:color w:val="131313"/>
          <w:w w:val="110"/>
        </w:rPr>
        <w:t>Recognize any accreditation organization (1) approve</w:t>
      </w:r>
      <w:r>
        <w:rPr>
          <w:color w:val="131313"/>
          <w:w w:val="110"/>
        </w:rPr>
        <w:t xml:space="preserve">d by CMS to accredit provider-based services with (2) demonstrated  pharmacy standards and </w:t>
      </w:r>
      <w:r>
        <w:rPr>
          <w:color w:val="131313"/>
          <w:spacing w:val="7"/>
          <w:w w:val="110"/>
        </w:rPr>
        <w:t xml:space="preserve">experie </w:t>
      </w:r>
      <w:r>
        <w:rPr>
          <w:color w:val="131313"/>
          <w:w w:val="110"/>
        </w:rPr>
        <w:t xml:space="preserve">nce </w:t>
      </w:r>
      <w:r>
        <w:rPr>
          <w:color w:val="2F3131"/>
          <w:w w:val="110"/>
        </w:rPr>
        <w:t xml:space="preserve">. </w:t>
      </w:r>
      <w:r>
        <w:rPr>
          <w:color w:val="131313"/>
          <w:w w:val="110"/>
        </w:rPr>
        <w:t xml:space="preserve">Demonstrated  pharmacy experience shall  include the following </w:t>
      </w:r>
      <w:r>
        <w:rPr>
          <w:color w:val="131313"/>
          <w:spacing w:val="9"/>
          <w:w w:val="110"/>
        </w:rPr>
        <w:t xml:space="preserve"> </w:t>
      </w:r>
      <w:r>
        <w:rPr>
          <w:color w:val="131313"/>
          <w:w w:val="110"/>
        </w:rPr>
        <w:t>programs:</w:t>
      </w:r>
    </w:p>
    <w:p w:rsidR="00F93FF3" w:rsidRDefault="00F93FF3">
      <w:pPr>
        <w:pStyle w:val="BodyText"/>
        <w:spacing w:before="1"/>
        <w:rPr>
          <w:sz w:val="23"/>
        </w:rPr>
      </w:pPr>
    </w:p>
    <w:p w:rsidR="00F93FF3" w:rsidRDefault="00A173A1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0"/>
        <w:ind w:hanging="353"/>
        <w:rPr>
          <w:color w:val="2F3131"/>
          <w:sz w:val="20"/>
        </w:rPr>
      </w:pPr>
      <w:r>
        <w:rPr>
          <w:color w:val="131313"/>
          <w:w w:val="110"/>
          <w:sz w:val="20"/>
        </w:rPr>
        <w:t>Community  Pharmacy Accreditation  (Including  Mail</w:t>
      </w:r>
      <w:r>
        <w:rPr>
          <w:color w:val="131313"/>
          <w:spacing w:val="-19"/>
          <w:w w:val="110"/>
          <w:sz w:val="20"/>
        </w:rPr>
        <w:t xml:space="preserve"> </w:t>
      </w:r>
      <w:r>
        <w:rPr>
          <w:color w:val="131313"/>
          <w:w w:val="110"/>
          <w:sz w:val="20"/>
        </w:rPr>
        <w:t>Order)</w:t>
      </w:r>
    </w:p>
    <w:p w:rsidR="00F93FF3" w:rsidRDefault="00A173A1">
      <w:pPr>
        <w:pStyle w:val="ListParagraph"/>
        <w:numPr>
          <w:ilvl w:val="0"/>
          <w:numId w:val="2"/>
        </w:numPr>
        <w:tabs>
          <w:tab w:val="left" w:pos="934"/>
          <w:tab w:val="left" w:pos="935"/>
        </w:tabs>
        <w:spacing w:before="38"/>
        <w:ind w:left="934"/>
        <w:rPr>
          <w:color w:val="2F3131"/>
          <w:sz w:val="20"/>
        </w:rPr>
      </w:pPr>
      <w:r>
        <w:rPr>
          <w:color w:val="131313"/>
          <w:w w:val="110"/>
          <w:sz w:val="20"/>
        </w:rPr>
        <w:t>Non-Sterile Compounding  Accreditation  (Referenced  by USP 795  or current</w:t>
      </w:r>
      <w:r>
        <w:rPr>
          <w:color w:val="131313"/>
          <w:spacing w:val="7"/>
          <w:w w:val="110"/>
          <w:sz w:val="20"/>
        </w:rPr>
        <w:t xml:space="preserve"> </w:t>
      </w:r>
      <w:r>
        <w:rPr>
          <w:color w:val="131313"/>
          <w:w w:val="110"/>
          <w:sz w:val="20"/>
        </w:rPr>
        <w:t>version)</w:t>
      </w:r>
    </w:p>
    <w:p w:rsidR="00F93FF3" w:rsidRDefault="00A173A1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33"/>
        <w:ind w:hanging="357"/>
        <w:rPr>
          <w:color w:val="2F3131"/>
          <w:sz w:val="20"/>
        </w:rPr>
      </w:pPr>
      <w:r>
        <w:rPr>
          <w:color w:val="131313"/>
          <w:w w:val="110"/>
          <w:sz w:val="20"/>
        </w:rPr>
        <w:t>Sterile Compounding  Accreditation  (Referenced  by USP 797 or current</w:t>
      </w:r>
      <w:r>
        <w:rPr>
          <w:color w:val="131313"/>
          <w:spacing w:val="38"/>
          <w:w w:val="110"/>
          <w:sz w:val="20"/>
        </w:rPr>
        <w:t xml:space="preserve"> </w:t>
      </w:r>
      <w:r>
        <w:rPr>
          <w:color w:val="131313"/>
          <w:w w:val="110"/>
          <w:sz w:val="20"/>
        </w:rPr>
        <w:t>version)</w:t>
      </w:r>
    </w:p>
    <w:p w:rsidR="00F93FF3" w:rsidRDefault="00A173A1">
      <w:pPr>
        <w:pStyle w:val="ListParagraph"/>
        <w:numPr>
          <w:ilvl w:val="0"/>
          <w:numId w:val="2"/>
        </w:numPr>
        <w:tabs>
          <w:tab w:val="left" w:pos="933"/>
          <w:tab w:val="left" w:pos="934"/>
        </w:tabs>
        <w:spacing w:before="38"/>
        <w:ind w:hanging="357"/>
        <w:rPr>
          <w:color w:val="131313"/>
          <w:sz w:val="20"/>
        </w:rPr>
      </w:pPr>
      <w:r>
        <w:rPr>
          <w:color w:val="131313"/>
          <w:w w:val="115"/>
          <w:sz w:val="20"/>
        </w:rPr>
        <w:t>Specialty</w:t>
      </w:r>
      <w:r>
        <w:rPr>
          <w:color w:val="131313"/>
          <w:spacing w:val="-32"/>
          <w:w w:val="115"/>
          <w:sz w:val="20"/>
        </w:rPr>
        <w:t xml:space="preserve"> </w:t>
      </w:r>
      <w:r>
        <w:rPr>
          <w:color w:val="131313"/>
          <w:w w:val="115"/>
          <w:sz w:val="20"/>
        </w:rPr>
        <w:t>DrugAccreditation</w:t>
      </w:r>
    </w:p>
    <w:p w:rsidR="00F93FF3" w:rsidRDefault="00A173A1">
      <w:pPr>
        <w:pStyle w:val="ListParagraph"/>
        <w:numPr>
          <w:ilvl w:val="0"/>
          <w:numId w:val="2"/>
        </w:numPr>
        <w:tabs>
          <w:tab w:val="left" w:pos="945"/>
          <w:tab w:val="left" w:pos="946"/>
        </w:tabs>
        <w:spacing w:before="33"/>
        <w:ind w:left="945" w:hanging="369"/>
        <w:rPr>
          <w:color w:val="131313"/>
          <w:sz w:val="20"/>
        </w:rPr>
      </w:pPr>
      <w:r>
        <w:rPr>
          <w:color w:val="131313"/>
          <w:w w:val="110"/>
          <w:sz w:val="20"/>
        </w:rPr>
        <w:t>Infusion Therapy</w:t>
      </w:r>
      <w:r>
        <w:rPr>
          <w:color w:val="131313"/>
          <w:spacing w:val="16"/>
          <w:w w:val="110"/>
          <w:sz w:val="20"/>
        </w:rPr>
        <w:t xml:space="preserve"> </w:t>
      </w:r>
      <w:r>
        <w:rPr>
          <w:color w:val="131313"/>
          <w:w w:val="110"/>
          <w:sz w:val="20"/>
        </w:rPr>
        <w:t>Accreditation</w:t>
      </w:r>
    </w:p>
    <w:p w:rsidR="00F93FF3" w:rsidRDefault="00A173A1">
      <w:pPr>
        <w:pStyle w:val="ListParagraph"/>
        <w:numPr>
          <w:ilvl w:val="0"/>
          <w:numId w:val="2"/>
        </w:numPr>
        <w:tabs>
          <w:tab w:val="left" w:pos="946"/>
          <w:tab w:val="left" w:pos="947"/>
        </w:tabs>
        <w:spacing w:before="38"/>
        <w:ind w:left="946" w:hanging="370"/>
        <w:rPr>
          <w:color w:val="2F3131"/>
          <w:sz w:val="20"/>
        </w:rPr>
      </w:pPr>
      <w:r>
        <w:rPr>
          <w:color w:val="131313"/>
          <w:w w:val="110"/>
          <w:sz w:val="20"/>
        </w:rPr>
        <w:t>Long-Term Care</w:t>
      </w:r>
      <w:r>
        <w:rPr>
          <w:color w:val="131313"/>
          <w:spacing w:val="3"/>
          <w:w w:val="110"/>
          <w:sz w:val="20"/>
        </w:rPr>
        <w:t xml:space="preserve"> </w:t>
      </w:r>
      <w:r>
        <w:rPr>
          <w:color w:val="131313"/>
          <w:w w:val="110"/>
          <w:sz w:val="20"/>
        </w:rPr>
        <w:t>Accreditation</w:t>
      </w:r>
    </w:p>
    <w:p w:rsidR="00F93FF3" w:rsidRDefault="00F93FF3">
      <w:pPr>
        <w:rPr>
          <w:sz w:val="20"/>
        </w:rPr>
        <w:sectPr w:rsidR="00F93FF3">
          <w:pgSz w:w="12240" w:h="15840"/>
          <w:pgMar w:top="1700" w:right="1720" w:bottom="940" w:left="940" w:header="672" w:footer="756" w:gutter="0"/>
          <w:cols w:space="720"/>
        </w:sectPr>
      </w:pPr>
    </w:p>
    <w:bookmarkStart w:id="0" w:name="_GoBack"/>
    <w:p w:rsidR="00F93FF3" w:rsidRDefault="00A173A1">
      <w:pPr>
        <w:pStyle w:val="BodyText"/>
        <w:spacing w:line="63" w:lineRule="exact"/>
        <w:ind w:left="1499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2050" style="width:24.5pt;height:3.15pt;mso-position-horizontal-relative:char;mso-position-vertical-relative:line" coordsize="490,63">
            <v:line id="_x0000_s2051" style="position:absolute" from="32,32" to="458,32" strokeweight="1.0977mm"/>
            <w10:wrap type="none"/>
            <w10:anchorlock/>
          </v:group>
        </w:pict>
      </w:r>
    </w:p>
    <w:p w:rsidR="00F93FF3" w:rsidRDefault="00A173A1">
      <w:pPr>
        <w:spacing w:before="42"/>
        <w:ind w:left="278"/>
        <w:rPr>
          <w:i/>
          <w:sz w:val="59"/>
        </w:rPr>
      </w:pPr>
      <w:r>
        <w:rPr>
          <w:rFonts w:ascii="Arial" w:hAnsi="Arial"/>
          <w:i/>
          <w:color w:val="131313"/>
          <w:spacing w:val="-2"/>
          <w:w w:val="55"/>
          <w:sz w:val="60"/>
        </w:rPr>
        <w:t>TheComP,f</w:t>
      </w:r>
      <w:r>
        <w:rPr>
          <w:i/>
          <w:color w:val="131313"/>
          <w:spacing w:val="-2"/>
          <w:w w:val="55"/>
          <w:sz w:val="59"/>
        </w:rPr>
        <w:t>!§!!ff!§§.{[{</w:t>
      </w:r>
    </w:p>
    <w:p w:rsidR="00F93FF3" w:rsidRDefault="00A173A1">
      <w:pPr>
        <w:pStyle w:val="ListParagraph"/>
        <w:numPr>
          <w:ilvl w:val="0"/>
          <w:numId w:val="1"/>
        </w:numPr>
        <w:tabs>
          <w:tab w:val="left" w:pos="362"/>
        </w:tabs>
        <w:spacing w:before="217" w:line="240" w:lineRule="exact"/>
        <w:ind w:right="543" w:firstLine="13"/>
        <w:rPr>
          <w:rFonts w:ascii="Arial"/>
          <w:sz w:val="18"/>
        </w:rPr>
      </w:pPr>
      <w:r>
        <w:rPr>
          <w:rFonts w:ascii="Arial"/>
          <w:color w:val="131313"/>
          <w:w w:val="70"/>
          <w:sz w:val="18"/>
        </w:rPr>
        <w:br w:type="column"/>
      </w:r>
      <w:r>
        <w:rPr>
          <w:rFonts w:ascii="Arial"/>
          <w:color w:val="131313"/>
          <w:sz w:val="18"/>
        </w:rPr>
        <w:t xml:space="preserve">0. Box 160, 905 Sheble Lane, Suite 102, Spring House, PA 19477 v:(215)  654-9110  </w:t>
      </w:r>
      <w:r>
        <w:rPr>
          <w:rFonts w:ascii="Arial"/>
          <w:color w:val="131313"/>
          <w:sz w:val="23"/>
        </w:rPr>
        <w:t xml:space="preserve">I  </w:t>
      </w:r>
      <w:r>
        <w:rPr>
          <w:rFonts w:ascii="Arial"/>
          <w:color w:val="131313"/>
          <w:sz w:val="19"/>
        </w:rPr>
        <w:t xml:space="preserve">f: </w:t>
      </w:r>
      <w:r>
        <w:rPr>
          <w:rFonts w:ascii="Arial"/>
          <w:color w:val="131313"/>
          <w:sz w:val="18"/>
        </w:rPr>
        <w:t xml:space="preserve">(215) 654-9068   </w:t>
      </w:r>
      <w:r>
        <w:rPr>
          <w:rFonts w:ascii="Arial"/>
          <w:color w:val="131313"/>
          <w:sz w:val="23"/>
        </w:rPr>
        <w:t>I</w:t>
      </w:r>
      <w:r>
        <w:rPr>
          <w:rFonts w:ascii="Arial"/>
          <w:color w:val="131313"/>
          <w:spacing w:val="6"/>
          <w:sz w:val="23"/>
        </w:rPr>
        <w:t xml:space="preserve"> </w:t>
      </w:r>
      <w:r>
        <w:rPr>
          <w:rFonts w:ascii="Arial"/>
          <w:color w:val="131313"/>
          <w:sz w:val="18"/>
        </w:rPr>
        <w:t>TheComplianceTeam.org</w:t>
      </w:r>
    </w:p>
    <w:p w:rsidR="00F93FF3" w:rsidRDefault="00F93FF3">
      <w:pPr>
        <w:spacing w:line="240" w:lineRule="exact"/>
        <w:rPr>
          <w:rFonts w:ascii="Arial"/>
          <w:sz w:val="18"/>
        </w:rPr>
        <w:sectPr w:rsidR="00F93FF3">
          <w:headerReference w:type="default" r:id="rId9"/>
          <w:footerReference w:type="default" r:id="rId10"/>
          <w:pgSz w:w="12240" w:h="15840"/>
          <w:pgMar w:top="880" w:right="1720" w:bottom="960" w:left="700" w:header="0" w:footer="760" w:gutter="0"/>
          <w:pgNumType w:start="4"/>
          <w:cols w:num="2" w:space="720" w:equalWidth="0">
            <w:col w:w="3491" w:space="40"/>
            <w:col w:w="6289"/>
          </w:cols>
        </w:sectPr>
      </w:pPr>
    </w:p>
    <w:p w:rsidR="00F93FF3" w:rsidRDefault="00F93FF3">
      <w:pPr>
        <w:pStyle w:val="BodyText"/>
        <w:rPr>
          <w:rFonts w:ascii="Arial"/>
        </w:rPr>
      </w:pPr>
    </w:p>
    <w:p w:rsidR="00F93FF3" w:rsidRDefault="00F93FF3">
      <w:pPr>
        <w:pStyle w:val="BodyText"/>
        <w:spacing w:before="11"/>
        <w:rPr>
          <w:rFonts w:ascii="Arial"/>
          <w:sz w:val="15"/>
        </w:rPr>
      </w:pPr>
    </w:p>
    <w:p w:rsidR="00F93FF3" w:rsidRDefault="00A173A1">
      <w:pPr>
        <w:pStyle w:val="Heading2"/>
        <w:spacing w:before="91"/>
        <w:ind w:left="483"/>
      </w:pPr>
      <w:r>
        <w:rPr>
          <w:color w:val="131313"/>
          <w:w w:val="105"/>
        </w:rPr>
        <w:t>Demonstrated  pharmacy  standards shall include the  following:</w:t>
      </w:r>
    </w:p>
    <w:p w:rsidR="00F93FF3" w:rsidRDefault="00F93FF3">
      <w:pPr>
        <w:pStyle w:val="BodyText"/>
        <w:spacing w:before="11"/>
        <w:rPr>
          <w:sz w:val="23"/>
        </w:rPr>
      </w:pPr>
    </w:p>
    <w:p w:rsidR="00F93FF3" w:rsidRDefault="00A173A1">
      <w:pPr>
        <w:pStyle w:val="ListParagraph"/>
        <w:numPr>
          <w:ilvl w:val="1"/>
          <w:numId w:val="1"/>
        </w:numPr>
        <w:tabs>
          <w:tab w:val="left" w:pos="1182"/>
          <w:tab w:val="left" w:pos="1184"/>
        </w:tabs>
        <w:spacing w:before="0"/>
        <w:ind w:hanging="717"/>
        <w:rPr>
          <w:sz w:val="21"/>
        </w:rPr>
      </w:pPr>
      <w:r>
        <w:rPr>
          <w:color w:val="131313"/>
          <w:w w:val="105"/>
          <w:sz w:val="21"/>
        </w:rPr>
        <w:t xml:space="preserve">Corporate Compliance  Plan Including OIG and SAM Exclusion </w:t>
      </w:r>
      <w:r>
        <w:rPr>
          <w:color w:val="131313"/>
          <w:spacing w:val="26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Verifications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87"/>
          <w:tab w:val="left" w:pos="1188"/>
        </w:tabs>
        <w:ind w:left="1187" w:hanging="362"/>
        <w:rPr>
          <w:sz w:val="21"/>
        </w:rPr>
      </w:pPr>
      <w:r>
        <w:rPr>
          <w:color w:val="131313"/>
          <w:w w:val="105"/>
          <w:sz w:val="21"/>
        </w:rPr>
        <w:t>Standards of Conduct  with Non-retaliation</w:t>
      </w:r>
      <w:r>
        <w:rPr>
          <w:color w:val="131313"/>
          <w:spacing w:val="13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statement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82"/>
          <w:tab w:val="left" w:pos="1184"/>
        </w:tabs>
        <w:spacing w:before="21"/>
        <w:ind w:left="1183"/>
        <w:rPr>
          <w:sz w:val="21"/>
        </w:rPr>
      </w:pPr>
      <w:r>
        <w:rPr>
          <w:color w:val="131313"/>
          <w:sz w:val="21"/>
        </w:rPr>
        <w:t xml:space="preserve">Confidentiality </w:t>
      </w:r>
      <w:r>
        <w:rPr>
          <w:color w:val="131313"/>
          <w:spacing w:val="17"/>
          <w:sz w:val="21"/>
        </w:rPr>
        <w:t xml:space="preserve"> </w:t>
      </w:r>
      <w:r>
        <w:rPr>
          <w:color w:val="131313"/>
          <w:sz w:val="21"/>
        </w:rPr>
        <w:t>Statement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82"/>
          <w:tab w:val="left" w:pos="1183"/>
        </w:tabs>
        <w:ind w:left="1182" w:hanging="357"/>
        <w:rPr>
          <w:sz w:val="21"/>
        </w:rPr>
      </w:pPr>
      <w:r>
        <w:rPr>
          <w:color w:val="131313"/>
          <w:w w:val="110"/>
          <w:sz w:val="21"/>
        </w:rPr>
        <w:t>Scope</w:t>
      </w:r>
      <w:r>
        <w:rPr>
          <w:color w:val="131313"/>
          <w:spacing w:val="-7"/>
          <w:w w:val="110"/>
          <w:sz w:val="21"/>
        </w:rPr>
        <w:t xml:space="preserve"> </w:t>
      </w:r>
      <w:r>
        <w:rPr>
          <w:color w:val="131313"/>
          <w:w w:val="110"/>
          <w:sz w:val="21"/>
        </w:rPr>
        <w:t>ofServices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71"/>
        <w:rPr>
          <w:sz w:val="21"/>
        </w:rPr>
      </w:pPr>
      <w:r>
        <w:rPr>
          <w:color w:val="131313"/>
          <w:w w:val="105"/>
          <w:sz w:val="21"/>
        </w:rPr>
        <w:t>Billing</w:t>
      </w:r>
      <w:r>
        <w:rPr>
          <w:color w:val="131313"/>
          <w:spacing w:val="-4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Practices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ind w:left="1192" w:hanging="367"/>
        <w:rPr>
          <w:sz w:val="21"/>
        </w:rPr>
      </w:pPr>
      <w:r>
        <w:rPr>
          <w:color w:val="131313"/>
          <w:sz w:val="21"/>
        </w:rPr>
        <w:t xml:space="preserve">Financial </w:t>
      </w:r>
      <w:r>
        <w:rPr>
          <w:color w:val="131313"/>
          <w:spacing w:val="46"/>
          <w:sz w:val="21"/>
        </w:rPr>
        <w:t xml:space="preserve"> </w:t>
      </w:r>
      <w:r>
        <w:rPr>
          <w:color w:val="131313"/>
          <w:sz w:val="21"/>
        </w:rPr>
        <w:t>Management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1"/>
          <w:tab w:val="left" w:pos="1193"/>
        </w:tabs>
        <w:ind w:left="1192" w:hanging="367"/>
        <w:rPr>
          <w:sz w:val="21"/>
        </w:rPr>
      </w:pPr>
      <w:r>
        <w:rPr>
          <w:color w:val="131313"/>
          <w:sz w:val="21"/>
        </w:rPr>
        <w:t xml:space="preserve">Human  Resources (Includes  License  Ver ificat ion  </w:t>
      </w:r>
      <w:r>
        <w:rPr>
          <w:color w:val="424242"/>
          <w:sz w:val="21"/>
        </w:rPr>
        <w:t xml:space="preserve">,  </w:t>
      </w:r>
      <w:r>
        <w:rPr>
          <w:color w:val="131313"/>
          <w:sz w:val="21"/>
        </w:rPr>
        <w:t xml:space="preserve">Independent  Cont </w:t>
      </w:r>
      <w:r>
        <w:rPr>
          <w:color w:val="131313"/>
          <w:spacing w:val="2"/>
          <w:sz w:val="21"/>
        </w:rPr>
        <w:t>ractors</w:t>
      </w:r>
      <w:r>
        <w:rPr>
          <w:color w:val="313333"/>
          <w:spacing w:val="2"/>
          <w:sz w:val="21"/>
        </w:rPr>
        <w:t xml:space="preserve">, </w:t>
      </w:r>
      <w:r>
        <w:rPr>
          <w:color w:val="131313"/>
          <w:sz w:val="21"/>
        </w:rPr>
        <w:t>and</w:t>
      </w:r>
      <w:r>
        <w:rPr>
          <w:color w:val="131313"/>
          <w:spacing w:val="4"/>
          <w:sz w:val="21"/>
        </w:rPr>
        <w:t xml:space="preserve"> </w:t>
      </w:r>
      <w:r>
        <w:rPr>
          <w:color w:val="131313"/>
          <w:sz w:val="21"/>
        </w:rPr>
        <w:t>Training)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83"/>
          <w:tab w:val="left" w:pos="1184"/>
        </w:tabs>
        <w:spacing w:before="21"/>
        <w:ind w:left="1183"/>
        <w:rPr>
          <w:sz w:val="21"/>
        </w:rPr>
      </w:pPr>
      <w:r>
        <w:rPr>
          <w:color w:val="131313"/>
          <w:w w:val="105"/>
          <w:sz w:val="21"/>
        </w:rPr>
        <w:t>Quality  Improvement  Program (Includes Patient Satisfaction and</w:t>
      </w:r>
      <w:r>
        <w:rPr>
          <w:color w:val="131313"/>
          <w:spacing w:val="25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Complaints)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1"/>
          <w:tab w:val="left" w:pos="1193"/>
        </w:tabs>
        <w:spacing w:before="31"/>
        <w:ind w:left="1192" w:hanging="367"/>
        <w:rPr>
          <w:sz w:val="21"/>
        </w:rPr>
      </w:pPr>
      <w:r>
        <w:rPr>
          <w:color w:val="131313"/>
          <w:w w:val="105"/>
          <w:sz w:val="21"/>
        </w:rPr>
        <w:t>Risk Management  (Includes  Patient and  Employee</w:t>
      </w:r>
      <w:r>
        <w:rPr>
          <w:color w:val="131313"/>
          <w:spacing w:val="30"/>
          <w:w w:val="105"/>
          <w:sz w:val="21"/>
        </w:rPr>
        <w:t xml:space="preserve"> </w:t>
      </w:r>
      <w:r>
        <w:rPr>
          <w:color w:val="131313"/>
          <w:w w:val="105"/>
          <w:sz w:val="21"/>
        </w:rPr>
        <w:t>Incidents/adverseevents)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3"/>
          <w:tab w:val="left" w:pos="1194"/>
        </w:tabs>
        <w:spacing w:before="31"/>
        <w:ind w:left="1193" w:hanging="368"/>
        <w:rPr>
          <w:sz w:val="21"/>
        </w:rPr>
      </w:pPr>
      <w:r>
        <w:rPr>
          <w:color w:val="131313"/>
          <w:w w:val="110"/>
          <w:sz w:val="21"/>
        </w:rPr>
        <w:t>lnfectionControl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6"/>
          <w:tab w:val="left" w:pos="1197"/>
        </w:tabs>
        <w:ind w:left="1196" w:hanging="371"/>
        <w:rPr>
          <w:sz w:val="21"/>
        </w:rPr>
      </w:pPr>
      <w:r>
        <w:rPr>
          <w:color w:val="131313"/>
          <w:sz w:val="21"/>
        </w:rPr>
        <w:t xml:space="preserve">Equipment </w:t>
      </w:r>
      <w:r>
        <w:rPr>
          <w:color w:val="131313"/>
          <w:spacing w:val="47"/>
          <w:sz w:val="21"/>
        </w:rPr>
        <w:t xml:space="preserve"> </w:t>
      </w:r>
      <w:r>
        <w:rPr>
          <w:color w:val="131313"/>
          <w:sz w:val="21"/>
        </w:rPr>
        <w:t>Management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2"/>
          <w:tab w:val="left" w:pos="1193"/>
          <w:tab w:val="left" w:pos="1903"/>
        </w:tabs>
        <w:spacing w:before="22" w:line="247" w:lineRule="auto"/>
        <w:ind w:right="5902" w:hanging="717"/>
        <w:rPr>
          <w:sz w:val="21"/>
        </w:rPr>
      </w:pPr>
      <w:r>
        <w:rPr>
          <w:color w:val="131313"/>
          <w:w w:val="105"/>
          <w:sz w:val="21"/>
        </w:rPr>
        <w:t>Patient Service and Instruction o</w:t>
      </w:r>
      <w:r>
        <w:rPr>
          <w:color w:val="131313"/>
          <w:w w:val="105"/>
          <w:sz w:val="21"/>
        </w:rPr>
        <w:tab/>
      </w:r>
      <w:r>
        <w:rPr>
          <w:color w:val="131313"/>
          <w:sz w:val="21"/>
        </w:rPr>
        <w:t xml:space="preserve">Immunization </w:t>
      </w:r>
      <w:r>
        <w:rPr>
          <w:color w:val="131313"/>
          <w:spacing w:val="15"/>
          <w:sz w:val="21"/>
        </w:rPr>
        <w:t xml:space="preserve"> </w:t>
      </w:r>
      <w:r>
        <w:rPr>
          <w:color w:val="131313"/>
          <w:sz w:val="21"/>
        </w:rPr>
        <w:t>Services</w:t>
      </w:r>
    </w:p>
    <w:p w:rsidR="00F93FF3" w:rsidRDefault="00A173A1">
      <w:pPr>
        <w:pStyle w:val="ListParagraph"/>
        <w:numPr>
          <w:ilvl w:val="2"/>
          <w:numId w:val="1"/>
        </w:numPr>
        <w:tabs>
          <w:tab w:val="left" w:pos="1905"/>
          <w:tab w:val="left" w:pos="1906"/>
        </w:tabs>
        <w:spacing w:before="5"/>
        <w:ind w:hanging="363"/>
        <w:rPr>
          <w:sz w:val="21"/>
        </w:rPr>
      </w:pPr>
      <w:r>
        <w:rPr>
          <w:color w:val="131313"/>
          <w:sz w:val="21"/>
        </w:rPr>
        <w:t>Medication  Therapy</w:t>
      </w:r>
      <w:r>
        <w:rPr>
          <w:color w:val="131313"/>
          <w:spacing w:val="37"/>
          <w:sz w:val="21"/>
        </w:rPr>
        <w:t xml:space="preserve"> </w:t>
      </w:r>
      <w:r>
        <w:rPr>
          <w:color w:val="131313"/>
          <w:sz w:val="21"/>
        </w:rPr>
        <w:t>Management</w:t>
      </w:r>
    </w:p>
    <w:p w:rsidR="00F93FF3" w:rsidRDefault="00A173A1">
      <w:pPr>
        <w:pStyle w:val="ListParagraph"/>
        <w:numPr>
          <w:ilvl w:val="2"/>
          <w:numId w:val="1"/>
        </w:numPr>
        <w:tabs>
          <w:tab w:val="left" w:pos="1905"/>
          <w:tab w:val="left" w:pos="1906"/>
        </w:tabs>
        <w:spacing w:before="12"/>
        <w:ind w:hanging="363"/>
        <w:rPr>
          <w:sz w:val="21"/>
        </w:rPr>
      </w:pPr>
      <w:r>
        <w:rPr>
          <w:color w:val="131313"/>
          <w:sz w:val="21"/>
        </w:rPr>
        <w:t>Health Screening Tests</w:t>
      </w:r>
      <w:r>
        <w:rPr>
          <w:color w:val="313333"/>
          <w:sz w:val="21"/>
        </w:rPr>
        <w:t>/</w:t>
      </w:r>
      <w:r>
        <w:rPr>
          <w:color w:val="131313"/>
          <w:sz w:val="21"/>
        </w:rPr>
        <w:t xml:space="preserve">Medic  ation Reconc  ili </w:t>
      </w:r>
      <w:r>
        <w:rPr>
          <w:color w:val="131313"/>
          <w:spacing w:val="2"/>
          <w:sz w:val="21"/>
        </w:rPr>
        <w:t>ation</w:t>
      </w:r>
      <w:r>
        <w:rPr>
          <w:color w:val="313333"/>
          <w:spacing w:val="2"/>
          <w:sz w:val="21"/>
        </w:rPr>
        <w:t>/</w:t>
      </w:r>
      <w:r>
        <w:rPr>
          <w:color w:val="131313"/>
          <w:spacing w:val="2"/>
          <w:sz w:val="21"/>
        </w:rPr>
        <w:t xml:space="preserve">Care </w:t>
      </w:r>
      <w:r>
        <w:rPr>
          <w:color w:val="131313"/>
          <w:sz w:val="21"/>
        </w:rPr>
        <w:t xml:space="preserve">Transition  </w:t>
      </w:r>
      <w:r>
        <w:rPr>
          <w:color w:val="131313"/>
          <w:spacing w:val="15"/>
          <w:sz w:val="21"/>
        </w:rPr>
        <w:t xml:space="preserve"> </w:t>
      </w:r>
      <w:r>
        <w:rPr>
          <w:color w:val="131313"/>
          <w:sz w:val="21"/>
        </w:rPr>
        <w:t>Services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92"/>
          <w:tab w:val="left" w:pos="1193"/>
        </w:tabs>
        <w:spacing w:before="22"/>
        <w:ind w:left="1192" w:hanging="372"/>
        <w:rPr>
          <w:sz w:val="21"/>
        </w:rPr>
      </w:pPr>
      <w:r>
        <w:rPr>
          <w:color w:val="131313"/>
          <w:sz w:val="21"/>
        </w:rPr>
        <w:t xml:space="preserve">Pharmaceutical </w:t>
      </w:r>
      <w:r>
        <w:rPr>
          <w:color w:val="131313"/>
          <w:spacing w:val="7"/>
          <w:sz w:val="21"/>
        </w:rPr>
        <w:t xml:space="preserve"> </w:t>
      </w:r>
      <w:r>
        <w:rPr>
          <w:color w:val="131313"/>
          <w:sz w:val="21"/>
        </w:rPr>
        <w:t>Management</w:t>
      </w:r>
    </w:p>
    <w:p w:rsidR="00F93FF3" w:rsidRDefault="00A173A1">
      <w:pPr>
        <w:pStyle w:val="ListParagraph"/>
        <w:numPr>
          <w:ilvl w:val="2"/>
          <w:numId w:val="1"/>
        </w:numPr>
        <w:tabs>
          <w:tab w:val="left" w:pos="1897"/>
          <w:tab w:val="left" w:pos="1898"/>
        </w:tabs>
        <w:spacing w:before="12"/>
        <w:ind w:left="1897" w:hanging="355"/>
        <w:rPr>
          <w:sz w:val="21"/>
        </w:rPr>
      </w:pPr>
      <w:r>
        <w:rPr>
          <w:color w:val="131313"/>
          <w:sz w:val="21"/>
        </w:rPr>
        <w:t xml:space="preserve">Non-Sterile/Sterile </w:t>
      </w:r>
      <w:r>
        <w:rPr>
          <w:color w:val="131313"/>
          <w:spacing w:val="42"/>
          <w:sz w:val="21"/>
        </w:rPr>
        <w:t xml:space="preserve"> </w:t>
      </w:r>
      <w:r>
        <w:rPr>
          <w:color w:val="131313"/>
          <w:sz w:val="21"/>
        </w:rPr>
        <w:t>Compounding</w:t>
      </w:r>
    </w:p>
    <w:p w:rsidR="00F93FF3" w:rsidRDefault="00A173A1">
      <w:pPr>
        <w:pStyle w:val="ListParagraph"/>
        <w:numPr>
          <w:ilvl w:val="2"/>
          <w:numId w:val="1"/>
        </w:numPr>
        <w:tabs>
          <w:tab w:val="left" w:pos="1895"/>
          <w:tab w:val="left" w:pos="1896"/>
        </w:tabs>
        <w:spacing w:before="12"/>
        <w:ind w:left="1895" w:hanging="353"/>
        <w:rPr>
          <w:sz w:val="21"/>
        </w:rPr>
      </w:pPr>
      <w:r>
        <w:rPr>
          <w:color w:val="131313"/>
          <w:sz w:val="21"/>
        </w:rPr>
        <w:t>Specialty</w:t>
      </w:r>
      <w:r>
        <w:rPr>
          <w:color w:val="131313"/>
          <w:spacing w:val="40"/>
          <w:sz w:val="21"/>
        </w:rPr>
        <w:t xml:space="preserve"> </w:t>
      </w:r>
      <w:r>
        <w:rPr>
          <w:color w:val="131313"/>
          <w:sz w:val="21"/>
        </w:rPr>
        <w:t>Pharmacy</w:t>
      </w:r>
    </w:p>
    <w:p w:rsidR="00F93FF3" w:rsidRDefault="00A173A1">
      <w:pPr>
        <w:pStyle w:val="ListParagraph"/>
        <w:numPr>
          <w:ilvl w:val="2"/>
          <w:numId w:val="1"/>
        </w:numPr>
        <w:tabs>
          <w:tab w:val="left" w:pos="1903"/>
          <w:tab w:val="left" w:pos="1904"/>
        </w:tabs>
        <w:spacing w:before="12"/>
        <w:ind w:left="1903" w:hanging="361"/>
        <w:rPr>
          <w:sz w:val="21"/>
        </w:rPr>
      </w:pPr>
      <w:r>
        <w:rPr>
          <w:color w:val="131313"/>
          <w:sz w:val="21"/>
        </w:rPr>
        <w:t xml:space="preserve">Infusion Therapy </w:t>
      </w:r>
      <w:r>
        <w:rPr>
          <w:color w:val="131313"/>
          <w:spacing w:val="7"/>
          <w:sz w:val="21"/>
        </w:rPr>
        <w:t xml:space="preserve"> </w:t>
      </w:r>
      <w:r>
        <w:rPr>
          <w:color w:val="131313"/>
          <w:sz w:val="21"/>
        </w:rPr>
        <w:t>Pharmacy</w:t>
      </w:r>
    </w:p>
    <w:p w:rsidR="00F93FF3" w:rsidRDefault="00A173A1">
      <w:pPr>
        <w:pStyle w:val="ListParagraph"/>
        <w:numPr>
          <w:ilvl w:val="2"/>
          <w:numId w:val="1"/>
        </w:numPr>
        <w:tabs>
          <w:tab w:val="left" w:pos="1904"/>
          <w:tab w:val="left" w:pos="1905"/>
        </w:tabs>
        <w:spacing w:before="17"/>
        <w:ind w:left="1904" w:hanging="362"/>
        <w:rPr>
          <w:sz w:val="21"/>
        </w:rPr>
      </w:pPr>
      <w:r>
        <w:rPr>
          <w:color w:val="131313"/>
          <w:sz w:val="21"/>
        </w:rPr>
        <w:t>Long-Term  Care</w:t>
      </w:r>
      <w:r>
        <w:rPr>
          <w:color w:val="131313"/>
          <w:spacing w:val="1"/>
          <w:sz w:val="21"/>
        </w:rPr>
        <w:t xml:space="preserve"> </w:t>
      </w:r>
      <w:r>
        <w:rPr>
          <w:color w:val="131313"/>
          <w:sz w:val="21"/>
        </w:rPr>
        <w:t>Pharmacy</w:t>
      </w:r>
    </w:p>
    <w:p w:rsidR="00F93FF3" w:rsidRDefault="00A173A1">
      <w:pPr>
        <w:pStyle w:val="ListParagraph"/>
        <w:numPr>
          <w:ilvl w:val="1"/>
          <w:numId w:val="1"/>
        </w:numPr>
        <w:tabs>
          <w:tab w:val="left" w:pos="1183"/>
          <w:tab w:val="left" w:pos="1184"/>
        </w:tabs>
        <w:spacing w:before="22"/>
        <w:ind w:left="1183"/>
        <w:rPr>
          <w:sz w:val="21"/>
        </w:rPr>
      </w:pPr>
      <w:r>
        <w:rPr>
          <w:color w:val="131313"/>
          <w:sz w:val="21"/>
        </w:rPr>
        <w:t xml:space="preserve">Government  </w:t>
      </w:r>
      <w:r>
        <w:rPr>
          <w:color w:val="131313"/>
          <w:spacing w:val="1"/>
          <w:sz w:val="21"/>
        </w:rPr>
        <w:t xml:space="preserve"> </w:t>
      </w:r>
      <w:r>
        <w:rPr>
          <w:color w:val="131313"/>
          <w:sz w:val="21"/>
        </w:rPr>
        <w:t>Regulatory</w:t>
      </w:r>
    </w:p>
    <w:p w:rsidR="00F93FF3" w:rsidRDefault="00F93FF3">
      <w:pPr>
        <w:pStyle w:val="BodyText"/>
        <w:spacing w:before="4"/>
        <w:rPr>
          <w:sz w:val="22"/>
        </w:rPr>
      </w:pPr>
    </w:p>
    <w:p w:rsidR="00F93FF3" w:rsidRDefault="00A173A1">
      <w:pPr>
        <w:spacing w:line="247" w:lineRule="auto"/>
        <w:ind w:left="470" w:right="121"/>
        <w:rPr>
          <w:sz w:val="21"/>
        </w:rPr>
      </w:pPr>
      <w:r>
        <w:rPr>
          <w:color w:val="131313"/>
          <w:sz w:val="21"/>
        </w:rPr>
        <w:t>On behalf of all our pharmacy clien ts</w:t>
      </w:r>
      <w:r>
        <w:rPr>
          <w:color w:val="313333"/>
          <w:sz w:val="21"/>
        </w:rPr>
        <w:t xml:space="preserve">, </w:t>
      </w:r>
      <w:r>
        <w:rPr>
          <w:color w:val="131313"/>
          <w:sz w:val="21"/>
        </w:rPr>
        <w:t>The Compliance Team appreciates the opportunity to provide comment to CMS about this important   issue</w:t>
      </w:r>
      <w:r>
        <w:rPr>
          <w:color w:val="424242"/>
          <w:sz w:val="21"/>
        </w:rPr>
        <w:t>.</w:t>
      </w:r>
    </w:p>
    <w:p w:rsidR="00F93FF3" w:rsidRDefault="00F93FF3">
      <w:pPr>
        <w:pStyle w:val="BodyText"/>
        <w:spacing w:before="8"/>
        <w:rPr>
          <w:sz w:val="21"/>
        </w:rPr>
      </w:pPr>
    </w:p>
    <w:p w:rsidR="00F93FF3" w:rsidRDefault="00A173A1">
      <w:pPr>
        <w:ind w:left="478"/>
        <w:rPr>
          <w:sz w:val="21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512063</wp:posOffset>
            </wp:positionH>
            <wp:positionV relativeFrom="paragraph">
              <wp:posOffset>180495</wp:posOffset>
            </wp:positionV>
            <wp:extent cx="1877568" cy="8534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7568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313"/>
          <w:sz w:val="21"/>
        </w:rPr>
        <w:t>Regards,</w:t>
      </w:r>
    </w:p>
    <w:p w:rsidR="00F93FF3" w:rsidRDefault="00A173A1">
      <w:pPr>
        <w:spacing w:before="102"/>
        <w:ind w:left="831"/>
        <w:rPr>
          <w:sz w:val="21"/>
        </w:rPr>
      </w:pPr>
      <w:r>
        <w:rPr>
          <w:color w:val="131313"/>
          <w:sz w:val="21"/>
        </w:rPr>
        <w:t xml:space="preserve">1 </w:t>
      </w:r>
      <w:r>
        <w:rPr>
          <w:color w:val="424242"/>
          <w:sz w:val="21"/>
        </w:rPr>
        <w:t xml:space="preserve">.   </w:t>
      </w:r>
      <w:r>
        <w:rPr>
          <w:color w:val="131313"/>
          <w:sz w:val="21"/>
        </w:rPr>
        <w:t xml:space="preserve">Medicare  Prescription   Drug  Benefit  Final  Rule </w:t>
      </w:r>
      <w:r>
        <w:rPr>
          <w:color w:val="313333"/>
          <w:sz w:val="21"/>
        </w:rPr>
        <w:t xml:space="preserve">, </w:t>
      </w:r>
      <w:r>
        <w:rPr>
          <w:color w:val="131313"/>
          <w:sz w:val="21"/>
        </w:rPr>
        <w:t>70  Fed</w:t>
      </w:r>
      <w:r>
        <w:rPr>
          <w:color w:val="898C8C"/>
          <w:sz w:val="21"/>
        </w:rPr>
        <w:t xml:space="preserve">. </w:t>
      </w:r>
      <w:r>
        <w:rPr>
          <w:color w:val="131313"/>
          <w:sz w:val="21"/>
        </w:rPr>
        <w:t xml:space="preserve">Reg </w:t>
      </w:r>
      <w:r>
        <w:rPr>
          <w:color w:val="898C8C"/>
          <w:sz w:val="21"/>
        </w:rPr>
        <w:t xml:space="preserve">. </w:t>
      </w:r>
      <w:r>
        <w:rPr>
          <w:color w:val="131313"/>
          <w:sz w:val="21"/>
        </w:rPr>
        <w:t>4194</w:t>
      </w:r>
      <w:r>
        <w:rPr>
          <w:color w:val="5E5E60"/>
          <w:sz w:val="21"/>
        </w:rPr>
        <w:t xml:space="preserve">, </w:t>
      </w:r>
      <w:r>
        <w:rPr>
          <w:color w:val="131313"/>
          <w:sz w:val="21"/>
        </w:rPr>
        <w:t>4506 (Jan</w:t>
      </w:r>
      <w:r>
        <w:rPr>
          <w:color w:val="313333"/>
          <w:sz w:val="21"/>
        </w:rPr>
        <w:t xml:space="preserve">. </w:t>
      </w:r>
      <w:r>
        <w:rPr>
          <w:color w:val="131313"/>
          <w:sz w:val="21"/>
        </w:rPr>
        <w:t>28, 2005).</w:t>
      </w:r>
      <w:bookmarkEnd w:id="0"/>
    </w:p>
    <w:sectPr w:rsidR="00F93FF3">
      <w:type w:val="continuous"/>
      <w:pgSz w:w="12240" w:h="15840"/>
      <w:pgMar w:top="1700" w:right="1720" w:bottom="94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173A1">
      <w:r>
        <w:separator/>
      </w:r>
    </w:p>
  </w:endnote>
  <w:endnote w:type="continuationSeparator" w:id="0">
    <w:p w:rsidR="00000000" w:rsidRDefault="00A1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F3" w:rsidRDefault="00A173A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7.15pt;margin-top:743.2pt;width:220.45pt;height:10.4pt;z-index:-5152;mso-position-horizontal-relative:page;mso-position-vertical-relative:page" filled="f" stroked="f">
          <v:textbox inset="0,0,0,0">
            <w:txbxContent>
              <w:p w:rsidR="00F93FF3" w:rsidRDefault="00A173A1">
                <w:pPr>
                  <w:spacing w:before="15"/>
                  <w:ind w:left="20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131313"/>
                    <w:w w:val="105"/>
                    <w:sz w:val="15"/>
                  </w:rPr>
                  <w:t>A WBENC-CERTIFIED WOMEN</w:t>
                </w:r>
                <w:r>
                  <w:rPr>
                    <w:rFonts w:ascii="Arial"/>
                    <w:color w:val="2F3131"/>
                    <w:w w:val="105"/>
                    <w:sz w:val="15"/>
                  </w:rPr>
                  <w:t>'</w:t>
                </w:r>
                <w:r>
                  <w:rPr>
                    <w:rFonts w:ascii="Arial"/>
                    <w:color w:val="131313"/>
                    <w:w w:val="105"/>
                    <w:sz w:val="15"/>
                  </w:rPr>
                  <w:t>S BUSINESS ENTERPRISE.</w:t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509.75pt;margin-top:742.3pt;width:11.7pt;height:16.15pt;z-index:-5128;mso-position-horizontal-relative:page;mso-position-vertical-relative:page" filled="f" stroked="f">
          <v:textbox inset="0,0,0,0">
            <w:txbxContent>
              <w:p w:rsidR="00F93FF3" w:rsidRDefault="00A173A1">
                <w:pPr>
                  <w:spacing w:before="49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131313"/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131313"/>
                    <w:w w:val="103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F3" w:rsidRDefault="00A173A1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8.15pt;margin-top:743pt;width:220.45pt;height:10.4pt;z-index:-5104;mso-position-horizontal-relative:page;mso-position-vertical-relative:page" filled="f" stroked="f">
          <v:textbox inset="0,0,0,0">
            <w:txbxContent>
              <w:p w:rsidR="00F93FF3" w:rsidRDefault="00A173A1">
                <w:pPr>
                  <w:spacing w:before="15"/>
                  <w:ind w:left="20"/>
                  <w:rPr>
                    <w:rFonts w:ascii="Arial"/>
                    <w:sz w:val="15"/>
                  </w:rPr>
                </w:pPr>
                <w:r>
                  <w:rPr>
                    <w:rFonts w:ascii="Arial"/>
                    <w:color w:val="131313"/>
                    <w:w w:val="105"/>
                    <w:sz w:val="15"/>
                  </w:rPr>
                  <w:t>A WBENC-CERTIFIED WOMEN</w:t>
                </w:r>
                <w:r>
                  <w:rPr>
                    <w:rFonts w:ascii="Arial"/>
                    <w:color w:val="313333"/>
                    <w:w w:val="105"/>
                    <w:sz w:val="15"/>
                  </w:rPr>
                  <w:t>'</w:t>
                </w:r>
                <w:r>
                  <w:rPr>
                    <w:rFonts w:ascii="Arial"/>
                    <w:color w:val="131313"/>
                    <w:w w:val="105"/>
                    <w:sz w:val="15"/>
                  </w:rPr>
                  <w:t>S BUSINESS ENTERPRISE.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11pt;margin-top:743.15pt;width:10.4pt;height:14.3pt;z-index:-5080;mso-position-horizontal-relative:page;mso-position-vertical-relative:page" filled="f" stroked="f">
          <v:textbox inset="0,0,0,0">
            <w:txbxContent>
              <w:p w:rsidR="00F93FF3" w:rsidRDefault="00A173A1">
                <w:pPr>
                  <w:spacing w:before="13"/>
                  <w:ind w:left="4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color w:val="131313"/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color w:val="131313"/>
                    <w:w w:val="103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173A1">
      <w:r>
        <w:separator/>
      </w:r>
    </w:p>
  </w:footnote>
  <w:footnote w:type="continuationSeparator" w:id="0">
    <w:p w:rsidR="00000000" w:rsidRDefault="00A17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F3" w:rsidRDefault="00A173A1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68430255" behindDoc="1" locked="0" layoutInCell="1" allowOverlap="1">
          <wp:simplePos x="0" y="0"/>
          <wp:positionH relativeFrom="page">
            <wp:posOffset>670559</wp:posOffset>
          </wp:positionH>
          <wp:positionV relativeFrom="page">
            <wp:posOffset>426719</wp:posOffset>
          </wp:positionV>
          <wp:extent cx="2084831" cy="6705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4831" cy="670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19.85pt;margin-top:54.8pt;width:279.9pt;height:25.1pt;z-index:-5176;mso-position-horizontal-relative:page;mso-position-vertical-relative:page" filled="f" stroked="f">
          <v:textbox inset="0,0,0,0">
            <w:txbxContent>
              <w:p w:rsidR="00F93FF3" w:rsidRDefault="00A173A1">
                <w:pPr>
                  <w:spacing w:before="11" w:line="218" w:lineRule="exact"/>
                  <w:ind w:left="37"/>
                  <w:rPr>
                    <w:rFonts w:ascii="Arial"/>
                    <w:sz w:val="18"/>
                  </w:rPr>
                </w:pPr>
                <w:r>
                  <w:rPr>
                    <w:color w:val="131313"/>
                    <w:sz w:val="20"/>
                  </w:rPr>
                  <w:t xml:space="preserve">P. 0. Box </w:t>
                </w:r>
                <w:r>
                  <w:rPr>
                    <w:rFonts w:ascii="Arial"/>
                    <w:color w:val="131313"/>
                    <w:sz w:val="18"/>
                  </w:rPr>
                  <w:t xml:space="preserve">160, 905 </w:t>
                </w:r>
                <w:r>
                  <w:rPr>
                    <w:color w:val="131313"/>
                    <w:sz w:val="20"/>
                  </w:rPr>
                  <w:t xml:space="preserve">Sheble Lane, Suite </w:t>
                </w:r>
                <w:r>
                  <w:rPr>
                    <w:rFonts w:ascii="Arial"/>
                    <w:color w:val="131313"/>
                    <w:sz w:val="18"/>
                  </w:rPr>
                  <w:t xml:space="preserve">102, </w:t>
                </w:r>
                <w:r>
                  <w:rPr>
                    <w:color w:val="131313"/>
                    <w:sz w:val="20"/>
                  </w:rPr>
                  <w:t xml:space="preserve">Spring House, </w:t>
                </w:r>
                <w:r>
                  <w:rPr>
                    <w:rFonts w:ascii="Arial"/>
                    <w:color w:val="131313"/>
                    <w:sz w:val="18"/>
                  </w:rPr>
                  <w:t>PA 19477</w:t>
                </w:r>
              </w:p>
              <w:p w:rsidR="00F93FF3" w:rsidRDefault="00A173A1">
                <w:pPr>
                  <w:spacing w:line="252" w:lineRule="exact"/>
                  <w:ind w:left="20"/>
                  <w:rPr>
                    <w:sz w:val="20"/>
                  </w:rPr>
                </w:pPr>
                <w:r>
                  <w:rPr>
                    <w:color w:val="131313"/>
                    <w:sz w:val="20"/>
                  </w:rPr>
                  <w:t>v:</w:t>
                </w:r>
                <w:r>
                  <w:rPr>
                    <w:rFonts w:ascii="Arial"/>
                    <w:color w:val="131313"/>
                    <w:sz w:val="18"/>
                  </w:rPr>
                  <w:t xml:space="preserve">(215) 654-9110  </w:t>
                </w:r>
                <w:r>
                  <w:rPr>
                    <w:rFonts w:ascii="Arial"/>
                    <w:color w:val="131313"/>
                    <w:sz w:val="23"/>
                  </w:rPr>
                  <w:t xml:space="preserve">I  </w:t>
                </w:r>
                <w:r>
                  <w:rPr>
                    <w:rFonts w:ascii="Arial"/>
                    <w:color w:val="131313"/>
                    <w:sz w:val="19"/>
                  </w:rPr>
                  <w:t>f</w:t>
                </w:r>
                <w:r>
                  <w:rPr>
                    <w:rFonts w:ascii="Arial"/>
                    <w:color w:val="2F3131"/>
                    <w:sz w:val="19"/>
                  </w:rPr>
                  <w:t xml:space="preserve">: </w:t>
                </w:r>
                <w:r>
                  <w:rPr>
                    <w:rFonts w:ascii="Arial"/>
                    <w:color w:val="131313"/>
                    <w:sz w:val="18"/>
                  </w:rPr>
                  <w:t xml:space="preserve">(215) 654-9068  </w:t>
                </w:r>
                <w:r>
                  <w:rPr>
                    <w:rFonts w:ascii="Arial"/>
                    <w:color w:val="131313"/>
                    <w:sz w:val="23"/>
                  </w:rPr>
                  <w:t xml:space="preserve">I </w:t>
                </w:r>
                <w:r>
                  <w:rPr>
                    <w:color w:val="131313"/>
                    <w:sz w:val="20"/>
                  </w:rPr>
                  <w:t>TheComplianceTeam.org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FF3" w:rsidRDefault="00F93FF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F78"/>
    <w:multiLevelType w:val="hybridMultilevel"/>
    <w:tmpl w:val="D3642D5E"/>
    <w:lvl w:ilvl="0" w:tplc="C0DA02F8">
      <w:numFmt w:val="bullet"/>
      <w:lvlText w:val="•"/>
      <w:lvlJc w:val="left"/>
      <w:pPr>
        <w:ind w:left="933" w:hanging="354"/>
      </w:pPr>
      <w:rPr>
        <w:rFonts w:hint="default"/>
        <w:w w:val="111"/>
      </w:rPr>
    </w:lvl>
    <w:lvl w:ilvl="1" w:tplc="64EE6770">
      <w:numFmt w:val="bullet"/>
      <w:lvlText w:val="•"/>
      <w:lvlJc w:val="left"/>
      <w:pPr>
        <w:ind w:left="1804" w:hanging="354"/>
      </w:pPr>
      <w:rPr>
        <w:rFonts w:hint="default"/>
      </w:rPr>
    </w:lvl>
    <w:lvl w:ilvl="2" w:tplc="AAC60E9E">
      <w:numFmt w:val="bullet"/>
      <w:lvlText w:val="•"/>
      <w:lvlJc w:val="left"/>
      <w:pPr>
        <w:ind w:left="2668" w:hanging="354"/>
      </w:pPr>
      <w:rPr>
        <w:rFonts w:hint="default"/>
      </w:rPr>
    </w:lvl>
    <w:lvl w:ilvl="3" w:tplc="2F18FBEE">
      <w:numFmt w:val="bullet"/>
      <w:lvlText w:val="•"/>
      <w:lvlJc w:val="left"/>
      <w:pPr>
        <w:ind w:left="3532" w:hanging="354"/>
      </w:pPr>
      <w:rPr>
        <w:rFonts w:hint="default"/>
      </w:rPr>
    </w:lvl>
    <w:lvl w:ilvl="4" w:tplc="9B60568C">
      <w:numFmt w:val="bullet"/>
      <w:lvlText w:val="•"/>
      <w:lvlJc w:val="left"/>
      <w:pPr>
        <w:ind w:left="4396" w:hanging="354"/>
      </w:pPr>
      <w:rPr>
        <w:rFonts w:hint="default"/>
      </w:rPr>
    </w:lvl>
    <w:lvl w:ilvl="5" w:tplc="9C16A7C2">
      <w:numFmt w:val="bullet"/>
      <w:lvlText w:val="•"/>
      <w:lvlJc w:val="left"/>
      <w:pPr>
        <w:ind w:left="5260" w:hanging="354"/>
      </w:pPr>
      <w:rPr>
        <w:rFonts w:hint="default"/>
      </w:rPr>
    </w:lvl>
    <w:lvl w:ilvl="6" w:tplc="4BF4283E">
      <w:numFmt w:val="bullet"/>
      <w:lvlText w:val="•"/>
      <w:lvlJc w:val="left"/>
      <w:pPr>
        <w:ind w:left="6124" w:hanging="354"/>
      </w:pPr>
      <w:rPr>
        <w:rFonts w:hint="default"/>
      </w:rPr>
    </w:lvl>
    <w:lvl w:ilvl="7" w:tplc="425E850A">
      <w:numFmt w:val="bullet"/>
      <w:lvlText w:val="•"/>
      <w:lvlJc w:val="left"/>
      <w:pPr>
        <w:ind w:left="6988" w:hanging="354"/>
      </w:pPr>
      <w:rPr>
        <w:rFonts w:hint="default"/>
      </w:rPr>
    </w:lvl>
    <w:lvl w:ilvl="8" w:tplc="79567E60">
      <w:numFmt w:val="bullet"/>
      <w:lvlText w:val="•"/>
      <w:lvlJc w:val="left"/>
      <w:pPr>
        <w:ind w:left="7852" w:hanging="354"/>
      </w:pPr>
      <w:rPr>
        <w:rFonts w:hint="default"/>
      </w:rPr>
    </w:lvl>
  </w:abstractNum>
  <w:abstractNum w:abstractNumId="1" w15:restartNumberingAfterBreak="0">
    <w:nsid w:val="0BFB43C2"/>
    <w:multiLevelType w:val="hybridMultilevel"/>
    <w:tmpl w:val="3E5CC878"/>
    <w:lvl w:ilvl="0" w:tplc="3ACC307C">
      <w:start w:val="16"/>
      <w:numFmt w:val="upperLetter"/>
      <w:lvlText w:val="%1."/>
      <w:lvlJc w:val="left"/>
      <w:pPr>
        <w:ind w:left="185" w:hanging="164"/>
        <w:jc w:val="left"/>
      </w:pPr>
      <w:rPr>
        <w:rFonts w:ascii="Times New Roman" w:eastAsia="Times New Roman" w:hAnsi="Times New Roman" w:cs="Times New Roman" w:hint="default"/>
        <w:color w:val="131313"/>
        <w:w w:val="70"/>
        <w:sz w:val="20"/>
        <w:szCs w:val="20"/>
      </w:rPr>
    </w:lvl>
    <w:lvl w:ilvl="1" w:tplc="6D1C4062">
      <w:numFmt w:val="bullet"/>
      <w:lvlText w:val="•"/>
      <w:lvlJc w:val="left"/>
      <w:pPr>
        <w:ind w:left="1542" w:hanging="358"/>
      </w:pPr>
      <w:rPr>
        <w:rFonts w:ascii="Times New Roman" w:eastAsia="Times New Roman" w:hAnsi="Times New Roman" w:cs="Times New Roman" w:hint="default"/>
        <w:color w:val="131313"/>
        <w:w w:val="107"/>
        <w:sz w:val="21"/>
        <w:szCs w:val="21"/>
      </w:rPr>
    </w:lvl>
    <w:lvl w:ilvl="2" w:tplc="520C2E48">
      <w:numFmt w:val="bullet"/>
      <w:lvlText w:val="o"/>
      <w:lvlJc w:val="left"/>
      <w:pPr>
        <w:ind w:left="1905" w:hanging="364"/>
      </w:pPr>
      <w:rPr>
        <w:rFonts w:ascii="Times New Roman" w:eastAsia="Times New Roman" w:hAnsi="Times New Roman" w:cs="Times New Roman" w:hint="default"/>
        <w:color w:val="131313"/>
        <w:w w:val="103"/>
        <w:sz w:val="21"/>
        <w:szCs w:val="21"/>
      </w:rPr>
    </w:lvl>
    <w:lvl w:ilvl="3" w:tplc="DF8473EC">
      <w:numFmt w:val="bullet"/>
      <w:lvlText w:val="•"/>
      <w:lvlJc w:val="left"/>
      <w:pPr>
        <w:ind w:left="2448" w:hanging="364"/>
      </w:pPr>
      <w:rPr>
        <w:rFonts w:hint="default"/>
      </w:rPr>
    </w:lvl>
    <w:lvl w:ilvl="4" w:tplc="8E6E8C98">
      <w:numFmt w:val="bullet"/>
      <w:lvlText w:val="•"/>
      <w:lvlJc w:val="left"/>
      <w:pPr>
        <w:ind w:left="2997" w:hanging="364"/>
      </w:pPr>
      <w:rPr>
        <w:rFonts w:hint="default"/>
      </w:rPr>
    </w:lvl>
    <w:lvl w:ilvl="5" w:tplc="1A628536">
      <w:numFmt w:val="bullet"/>
      <w:lvlText w:val="•"/>
      <w:lvlJc w:val="left"/>
      <w:pPr>
        <w:ind w:left="3545" w:hanging="364"/>
      </w:pPr>
      <w:rPr>
        <w:rFonts w:hint="default"/>
      </w:rPr>
    </w:lvl>
    <w:lvl w:ilvl="6" w:tplc="11CC2CF0">
      <w:numFmt w:val="bullet"/>
      <w:lvlText w:val="•"/>
      <w:lvlJc w:val="left"/>
      <w:pPr>
        <w:ind w:left="4094" w:hanging="364"/>
      </w:pPr>
      <w:rPr>
        <w:rFonts w:hint="default"/>
      </w:rPr>
    </w:lvl>
    <w:lvl w:ilvl="7" w:tplc="387EC5E2">
      <w:numFmt w:val="bullet"/>
      <w:lvlText w:val="•"/>
      <w:lvlJc w:val="left"/>
      <w:pPr>
        <w:ind w:left="4643" w:hanging="364"/>
      </w:pPr>
      <w:rPr>
        <w:rFonts w:hint="default"/>
      </w:rPr>
    </w:lvl>
    <w:lvl w:ilvl="8" w:tplc="0FEC4868">
      <w:numFmt w:val="bullet"/>
      <w:lvlText w:val="•"/>
      <w:lvlJc w:val="left"/>
      <w:pPr>
        <w:ind w:left="5191" w:hanging="36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F93FF3"/>
    <w:rsid w:val="00A173A1"/>
    <w:rsid w:val="00F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EF1020EA-5CF4-47B9-86BC-917E276B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6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239"/>
      <w:outlineLvl w:val="1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6"/>
      <w:ind w:left="1192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1324</Words>
  <Characters>7843</Characters>
  <Application>Microsoft Office Word</Application>
  <DocSecurity>0</DocSecurity>
  <Lines>178</Lines>
  <Paragraphs>72</Paragraphs>
  <ScaleCrop>false</ScaleCrop>
  <Company>CMS</Company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Scanned Document</dc:title>
  <cp:lastModifiedBy>Arthur Pignotti</cp:lastModifiedBy>
  <cp:revision>2</cp:revision>
  <dcterms:created xsi:type="dcterms:W3CDTF">2018-06-14T21:44:00Z</dcterms:created>
  <dcterms:modified xsi:type="dcterms:W3CDTF">2018-06-15T02:12:00Z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HardCopy</vt:lpwstr>
  </property>
  <property fmtid="{D5CDD505-2E9C-101B-9397-08002B2CF9AE}" pid="4" name="LastSaved">
    <vt:filetime>2018-06-15T00:00:00Z</vt:filetime>
  </property>
</Properties>
</file>