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A8E" w:rsidRPr="00C95DC7" w:rsidRDefault="00AB1A8E" w:rsidP="00C95DC7">
      <w:pPr>
        <w:jc w:val="both"/>
        <w:rPr>
          <w:rFonts w:ascii="Times New Roman" w:hAnsi="Times New Roman" w:cs="Times New Roman"/>
          <w:sz w:val="24"/>
          <w:szCs w:val="24"/>
          <w:lang w:val="en-US"/>
        </w:rPr>
      </w:pPr>
      <w:r w:rsidRPr="0007593E">
        <w:rPr>
          <w:rFonts w:ascii="Times New Roman" w:hAnsi="Times New Roman" w:cs="Times New Roman"/>
          <w:sz w:val="24"/>
          <w:szCs w:val="24"/>
          <w:lang w:val="en-US"/>
        </w:rPr>
        <w:t xml:space="preserve">January </w:t>
      </w:r>
      <w:r w:rsidR="0007593E" w:rsidRPr="0007593E">
        <w:rPr>
          <w:rFonts w:ascii="Times New Roman" w:hAnsi="Times New Roman" w:cs="Times New Roman"/>
          <w:sz w:val="24"/>
          <w:szCs w:val="24"/>
          <w:lang w:val="en-US"/>
        </w:rPr>
        <w:t>16, 2018</w:t>
      </w:r>
    </w:p>
    <w:p w:rsidR="00AB1A8E" w:rsidRPr="00C95DC7" w:rsidRDefault="00AB1A8E" w:rsidP="00C95DC7">
      <w:pPr>
        <w:jc w:val="both"/>
        <w:rPr>
          <w:rFonts w:ascii="Times New Roman" w:hAnsi="Times New Roman" w:cs="Times New Roman"/>
          <w:sz w:val="24"/>
          <w:szCs w:val="24"/>
          <w:lang w:val="en-US"/>
        </w:rPr>
      </w:pPr>
    </w:p>
    <w:p w:rsidR="00AB1A8E" w:rsidRPr="00C95DC7" w:rsidRDefault="00AB1A8E" w:rsidP="00C95DC7">
      <w:pPr>
        <w:jc w:val="both"/>
        <w:rPr>
          <w:rFonts w:ascii="Times New Roman" w:hAnsi="Times New Roman" w:cs="Times New Roman"/>
          <w:i/>
          <w:sz w:val="24"/>
          <w:szCs w:val="24"/>
          <w:lang w:val="en-US"/>
        </w:rPr>
      </w:pPr>
      <w:r w:rsidRPr="00C95DC7">
        <w:rPr>
          <w:rFonts w:ascii="Times New Roman" w:hAnsi="Times New Roman" w:cs="Times New Roman"/>
          <w:i/>
          <w:sz w:val="24"/>
          <w:szCs w:val="24"/>
          <w:lang w:val="en-US"/>
        </w:rPr>
        <w:t>Submitted Electronically</w:t>
      </w:r>
    </w:p>
    <w:p w:rsidR="00AB1A8E" w:rsidRPr="00C95DC7" w:rsidRDefault="00AB1A8E" w:rsidP="00C95DC7">
      <w:pPr>
        <w:jc w:val="both"/>
        <w:rPr>
          <w:rFonts w:ascii="Times New Roman" w:hAnsi="Times New Roman" w:cs="Times New Roman"/>
          <w:sz w:val="24"/>
          <w:szCs w:val="24"/>
          <w:lang w:val="en-US"/>
        </w:rPr>
      </w:pPr>
    </w:p>
    <w:p w:rsidR="00AB1A8E" w:rsidRPr="00C95DC7" w:rsidRDefault="003E1D5B" w:rsidP="00C95DC7">
      <w:pPr>
        <w:jc w:val="both"/>
        <w:rPr>
          <w:rFonts w:ascii="Times New Roman" w:hAnsi="Times New Roman" w:cs="Times New Roman"/>
          <w:sz w:val="24"/>
          <w:szCs w:val="24"/>
          <w:lang w:val="en-US"/>
        </w:rPr>
      </w:pPr>
      <w:r>
        <w:rPr>
          <w:rFonts w:ascii="Times New Roman" w:hAnsi="Times New Roman" w:cs="Times New Roman"/>
          <w:sz w:val="24"/>
          <w:szCs w:val="24"/>
          <w:lang w:val="en-US"/>
        </w:rPr>
        <w:t>The Honorable</w:t>
      </w:r>
      <w:r w:rsidR="00AB1A8E" w:rsidRPr="00C95DC7">
        <w:rPr>
          <w:rFonts w:ascii="Times New Roman" w:hAnsi="Times New Roman" w:cs="Times New Roman"/>
          <w:sz w:val="24"/>
          <w:szCs w:val="24"/>
          <w:lang w:val="en-US"/>
        </w:rPr>
        <w:t xml:space="preserve"> Seema Verma</w:t>
      </w:r>
    </w:p>
    <w:p w:rsidR="00AB1A8E" w:rsidRPr="00C95DC7" w:rsidRDefault="00AB1A8E"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Administrator</w:t>
      </w:r>
    </w:p>
    <w:p w:rsidR="00AB1A8E" w:rsidRPr="00C95DC7" w:rsidRDefault="00AB1A8E"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Centers for Medicare &amp; Medicaid Services </w:t>
      </w:r>
    </w:p>
    <w:p w:rsidR="00AB1A8E" w:rsidRPr="00C95DC7" w:rsidRDefault="00AB1A8E"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Department of Health and Human Services </w:t>
      </w:r>
    </w:p>
    <w:p w:rsidR="00BB780D" w:rsidRPr="00C95DC7" w:rsidRDefault="00AB1A8E"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P.O. Box 8013, Baltimore, MD 21244-8013</w:t>
      </w:r>
    </w:p>
    <w:p w:rsidR="00AB1A8E" w:rsidRPr="00C95DC7" w:rsidRDefault="00AB1A8E" w:rsidP="00C95DC7">
      <w:pPr>
        <w:jc w:val="both"/>
        <w:rPr>
          <w:rFonts w:ascii="Times New Roman" w:hAnsi="Times New Roman" w:cs="Times New Roman"/>
          <w:sz w:val="24"/>
          <w:szCs w:val="24"/>
          <w:lang w:val="en-US"/>
        </w:rPr>
      </w:pPr>
    </w:p>
    <w:p w:rsidR="00BB780D" w:rsidRPr="00C95DC7" w:rsidRDefault="00AB1A8E" w:rsidP="00C95DC7">
      <w:pPr>
        <w:jc w:val="both"/>
        <w:rPr>
          <w:rFonts w:ascii="Times New Roman" w:hAnsi="Times New Roman" w:cs="Times New Roman"/>
          <w:b/>
          <w:sz w:val="24"/>
          <w:szCs w:val="24"/>
          <w:u w:val="single"/>
          <w:lang w:val="en-US"/>
        </w:rPr>
      </w:pPr>
      <w:r w:rsidRPr="00C95DC7">
        <w:rPr>
          <w:rFonts w:ascii="Times New Roman" w:hAnsi="Times New Roman" w:cs="Times New Roman"/>
          <w:b/>
          <w:sz w:val="24"/>
          <w:szCs w:val="24"/>
          <w:u w:val="single"/>
          <w:lang w:val="en-US"/>
        </w:rPr>
        <w:t xml:space="preserve">Re: </w:t>
      </w:r>
      <w:r w:rsidR="00BB780D" w:rsidRPr="00C95DC7">
        <w:rPr>
          <w:rFonts w:ascii="Times New Roman" w:hAnsi="Times New Roman" w:cs="Times New Roman"/>
          <w:b/>
          <w:sz w:val="24"/>
          <w:szCs w:val="24"/>
          <w:u w:val="single"/>
          <w:lang w:val="en-US"/>
        </w:rPr>
        <w:t>Medicare Program; Contract Year 2019 Policy and Technical Changes to the Medicare Advantage, Medicare Cost Plan, Medicare Fee-for-Service, the Medicare Prescription Drug Benefit Programs and the PACE Program [CMS-4182-P]</w:t>
      </w:r>
    </w:p>
    <w:p w:rsidR="00BB780D" w:rsidRPr="00C95DC7" w:rsidRDefault="00BB780D" w:rsidP="00C95DC7">
      <w:pPr>
        <w:jc w:val="both"/>
        <w:rPr>
          <w:rFonts w:ascii="Times New Roman" w:hAnsi="Times New Roman" w:cs="Times New Roman"/>
          <w:sz w:val="24"/>
          <w:szCs w:val="24"/>
          <w:lang w:val="en-US"/>
        </w:rPr>
      </w:pPr>
    </w:p>
    <w:p w:rsidR="00AB1A8E" w:rsidRPr="00C95DC7" w:rsidRDefault="00AB1A8E"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Dear Ms. Verma, </w:t>
      </w:r>
    </w:p>
    <w:p w:rsidR="00AB1A8E" w:rsidRPr="00C95DC7" w:rsidRDefault="00AB1A8E" w:rsidP="00C95DC7">
      <w:pPr>
        <w:jc w:val="both"/>
        <w:rPr>
          <w:rFonts w:ascii="Times New Roman" w:hAnsi="Times New Roman" w:cs="Times New Roman"/>
          <w:sz w:val="24"/>
          <w:szCs w:val="24"/>
          <w:lang w:val="en-US"/>
        </w:rPr>
      </w:pPr>
    </w:p>
    <w:p w:rsidR="00BB780D" w:rsidRPr="00C95DC7" w:rsidRDefault="00BB780D"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Novo Nordisk Inc. (“NNI”) appreciates the opportunity to comment on the Contract Year 2019 Policy and Technical changes to the Medicare Advantage, Medicare Cost Plan, Medicare Fee-for-Service, the Medicare Prescription Drug Benefit Programs and the Pace Program Proposed Rule (</w:t>
      </w:r>
      <w:r w:rsidR="00382531">
        <w:rPr>
          <w:rFonts w:ascii="Times New Roman" w:hAnsi="Times New Roman" w:cs="Times New Roman"/>
          <w:sz w:val="24"/>
          <w:szCs w:val="24"/>
          <w:lang w:val="en-US"/>
        </w:rPr>
        <w:t>“</w:t>
      </w:r>
      <w:r w:rsidRPr="00C95DC7">
        <w:rPr>
          <w:rFonts w:ascii="Times New Roman" w:hAnsi="Times New Roman" w:cs="Times New Roman"/>
          <w:sz w:val="24"/>
          <w:szCs w:val="24"/>
          <w:lang w:val="en-US"/>
        </w:rPr>
        <w:t>Proposed Rule</w:t>
      </w:r>
      <w:r w:rsidR="00382531">
        <w:rPr>
          <w:rFonts w:ascii="Times New Roman" w:hAnsi="Times New Roman" w:cs="Times New Roman"/>
          <w:sz w:val="24"/>
          <w:szCs w:val="24"/>
          <w:lang w:val="en-US"/>
        </w:rPr>
        <w:t>”</w:t>
      </w:r>
      <w:r w:rsidRPr="00C95DC7">
        <w:rPr>
          <w:rFonts w:ascii="Times New Roman" w:hAnsi="Times New Roman" w:cs="Times New Roman"/>
          <w:sz w:val="24"/>
          <w:szCs w:val="24"/>
          <w:lang w:val="en-US"/>
        </w:rPr>
        <w:t xml:space="preserve">). Headquartered in Denmark, and with nearly 5,000 U.S. employees, NNI is a global health care company with over 90 years of innovation and leadership in diabetes, obesity, </w:t>
      </w:r>
      <w:r w:rsidR="00AF2BB6" w:rsidRPr="00C95DC7">
        <w:rPr>
          <w:rFonts w:ascii="Times New Roman" w:hAnsi="Times New Roman" w:cs="Times New Roman"/>
          <w:sz w:val="24"/>
          <w:szCs w:val="24"/>
          <w:lang w:val="en-US"/>
        </w:rPr>
        <w:t>hemophilia</w:t>
      </w:r>
      <w:r w:rsidRPr="00C95DC7">
        <w:rPr>
          <w:rFonts w:ascii="Times New Roman" w:hAnsi="Times New Roman" w:cs="Times New Roman"/>
          <w:sz w:val="24"/>
          <w:szCs w:val="24"/>
          <w:lang w:val="en-US"/>
        </w:rPr>
        <w:t xml:space="preserve"> and growth hormone disorders. </w:t>
      </w:r>
    </w:p>
    <w:p w:rsidR="0086651F" w:rsidRPr="00C95DC7" w:rsidRDefault="0086651F" w:rsidP="00C95DC7">
      <w:pPr>
        <w:jc w:val="both"/>
        <w:rPr>
          <w:rFonts w:ascii="Times New Roman" w:hAnsi="Times New Roman" w:cs="Times New Roman"/>
          <w:sz w:val="24"/>
          <w:szCs w:val="24"/>
          <w:lang w:val="en-US"/>
        </w:rPr>
      </w:pPr>
    </w:p>
    <w:p w:rsidR="00BB780D" w:rsidRPr="00C95DC7" w:rsidRDefault="00BB780D"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As a company focused on improving the lives of people </w:t>
      </w:r>
      <w:r w:rsidR="003E1D5B">
        <w:rPr>
          <w:rFonts w:ascii="Times New Roman" w:hAnsi="Times New Roman" w:cs="Times New Roman"/>
          <w:sz w:val="24"/>
          <w:szCs w:val="24"/>
          <w:lang w:val="en-US"/>
        </w:rPr>
        <w:t>living with chronic conditions</w:t>
      </w:r>
      <w:r w:rsidRPr="00C95DC7">
        <w:rPr>
          <w:rFonts w:ascii="Times New Roman" w:hAnsi="Times New Roman" w:cs="Times New Roman"/>
          <w:sz w:val="24"/>
          <w:szCs w:val="24"/>
          <w:lang w:val="en-US"/>
        </w:rPr>
        <w:t xml:space="preserve">, Novo Nordisk is committed to the goal of ensuring patients have access to high-quality, affordable health care, and to improving patient protections in health insurance coverage. NNI supports the marked effort on the part of the Centers for Medicare and Medicaid Services (CMS) to increase flexibility and reduce administrative burden overall for </w:t>
      </w:r>
      <w:r w:rsidR="00382531">
        <w:rPr>
          <w:rFonts w:ascii="Times New Roman" w:hAnsi="Times New Roman" w:cs="Times New Roman"/>
          <w:sz w:val="24"/>
          <w:szCs w:val="24"/>
          <w:lang w:val="en-US"/>
        </w:rPr>
        <w:t>Medicare Advantage (MA)</w:t>
      </w:r>
      <w:r w:rsidR="00382531" w:rsidRPr="00C95DC7">
        <w:rPr>
          <w:rFonts w:ascii="Times New Roman" w:hAnsi="Times New Roman" w:cs="Times New Roman"/>
          <w:sz w:val="24"/>
          <w:szCs w:val="24"/>
          <w:lang w:val="en-US"/>
        </w:rPr>
        <w:t xml:space="preserve"> </w:t>
      </w:r>
      <w:r w:rsidRPr="00C95DC7">
        <w:rPr>
          <w:rFonts w:ascii="Times New Roman" w:hAnsi="Times New Roman" w:cs="Times New Roman"/>
          <w:sz w:val="24"/>
          <w:szCs w:val="24"/>
          <w:lang w:val="en-US"/>
        </w:rPr>
        <w:t xml:space="preserve">plans, and to reduce costs in the MA and Part D programs. NNI especially acknowledges and appreciates CMS’ proposals to formulate policies that will reduce </w:t>
      </w:r>
      <w:r w:rsidR="003E1D5B" w:rsidRPr="00C95DC7">
        <w:rPr>
          <w:rFonts w:ascii="Times New Roman" w:hAnsi="Times New Roman" w:cs="Times New Roman"/>
          <w:sz w:val="24"/>
          <w:szCs w:val="24"/>
          <w:lang w:val="en-US"/>
        </w:rPr>
        <w:t>out</w:t>
      </w:r>
      <w:r w:rsidR="003E1D5B">
        <w:rPr>
          <w:rFonts w:ascii="Times New Roman" w:hAnsi="Times New Roman" w:cs="Times New Roman"/>
          <w:sz w:val="24"/>
          <w:szCs w:val="24"/>
          <w:lang w:val="en-US"/>
        </w:rPr>
        <w:t>-</w:t>
      </w:r>
      <w:r w:rsidR="003E1D5B" w:rsidRPr="00C95DC7">
        <w:rPr>
          <w:rFonts w:ascii="Times New Roman" w:hAnsi="Times New Roman" w:cs="Times New Roman"/>
          <w:sz w:val="24"/>
          <w:szCs w:val="24"/>
          <w:lang w:val="en-US"/>
        </w:rPr>
        <w:t>of</w:t>
      </w:r>
      <w:r w:rsidR="003E1D5B">
        <w:rPr>
          <w:rFonts w:ascii="Times New Roman" w:hAnsi="Times New Roman" w:cs="Times New Roman"/>
          <w:sz w:val="24"/>
          <w:szCs w:val="24"/>
          <w:lang w:val="en-US"/>
        </w:rPr>
        <w:t>-</w:t>
      </w:r>
      <w:r w:rsidRPr="00C95DC7">
        <w:rPr>
          <w:rFonts w:ascii="Times New Roman" w:hAnsi="Times New Roman" w:cs="Times New Roman"/>
          <w:sz w:val="24"/>
          <w:szCs w:val="24"/>
          <w:lang w:val="en-US"/>
        </w:rPr>
        <w:t xml:space="preserve">pocket (OOP) expenses for consumers, without compromising quality of care or access to care. </w:t>
      </w:r>
      <w:r w:rsidR="000D40FA" w:rsidRPr="00C95DC7">
        <w:rPr>
          <w:rFonts w:ascii="Times New Roman" w:hAnsi="Times New Roman" w:cs="Times New Roman"/>
          <w:sz w:val="24"/>
          <w:szCs w:val="24"/>
          <w:lang w:val="en-US"/>
        </w:rPr>
        <w:t>However, we are concerned that several of CMS’ proposed changes could scale back important patient protections surrounding access to care, cost</w:t>
      </w:r>
      <w:r w:rsidR="003E1D5B">
        <w:rPr>
          <w:rFonts w:ascii="Times New Roman" w:hAnsi="Times New Roman" w:cs="Times New Roman"/>
          <w:sz w:val="24"/>
          <w:szCs w:val="24"/>
          <w:lang w:val="en-US"/>
        </w:rPr>
        <w:t xml:space="preserve"> </w:t>
      </w:r>
      <w:r w:rsidR="000D40FA" w:rsidRPr="00C95DC7">
        <w:rPr>
          <w:rFonts w:ascii="Times New Roman" w:hAnsi="Times New Roman" w:cs="Times New Roman"/>
          <w:sz w:val="24"/>
          <w:szCs w:val="24"/>
          <w:lang w:val="en-US"/>
        </w:rPr>
        <w:t xml:space="preserve">sharing and overall out of pocket expenses, that could disproportionately impact individuals living with chronic diseases. We request that CMS reconsider those proposed changes and remove them from the final rule. </w:t>
      </w:r>
    </w:p>
    <w:p w:rsidR="0086651F" w:rsidRPr="00C95DC7" w:rsidRDefault="0086651F" w:rsidP="00C95DC7">
      <w:pPr>
        <w:jc w:val="both"/>
        <w:rPr>
          <w:rFonts w:ascii="Times New Roman" w:hAnsi="Times New Roman" w:cs="Times New Roman"/>
          <w:sz w:val="24"/>
          <w:szCs w:val="24"/>
          <w:lang w:val="en-US"/>
        </w:rPr>
      </w:pPr>
    </w:p>
    <w:p w:rsidR="00BB780D" w:rsidRPr="00C95DC7" w:rsidRDefault="00BB780D" w:rsidP="00C95DC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The overarching summary of NNI’s comments can be found immediately below, and NNI’s comments on specific provisions in the Pr</w:t>
      </w:r>
      <w:r w:rsidR="000774CF" w:rsidRPr="00C95DC7">
        <w:rPr>
          <w:rFonts w:ascii="Times New Roman" w:hAnsi="Times New Roman" w:cs="Times New Roman"/>
          <w:sz w:val="24"/>
          <w:szCs w:val="24"/>
          <w:lang w:val="en-US"/>
        </w:rPr>
        <w:t xml:space="preserve">oposed Rule are provided </w:t>
      </w:r>
      <w:r w:rsidR="003E1D5B">
        <w:rPr>
          <w:rFonts w:ascii="Times New Roman" w:hAnsi="Times New Roman" w:cs="Times New Roman"/>
          <w:sz w:val="24"/>
          <w:szCs w:val="24"/>
          <w:lang w:val="en-US"/>
        </w:rPr>
        <w:t>as</w:t>
      </w:r>
      <w:r w:rsidR="003E1D5B" w:rsidRPr="00C95DC7">
        <w:rPr>
          <w:rFonts w:ascii="Times New Roman" w:hAnsi="Times New Roman" w:cs="Times New Roman"/>
          <w:sz w:val="24"/>
          <w:szCs w:val="24"/>
          <w:lang w:val="en-US"/>
        </w:rPr>
        <w:t xml:space="preserve"> </w:t>
      </w:r>
      <w:r w:rsidR="000774CF" w:rsidRPr="00C95DC7">
        <w:rPr>
          <w:rFonts w:ascii="Times New Roman" w:hAnsi="Times New Roman" w:cs="Times New Roman"/>
          <w:sz w:val="24"/>
          <w:szCs w:val="24"/>
          <w:lang w:val="en-US"/>
        </w:rPr>
        <w:t xml:space="preserve">they </w:t>
      </w:r>
      <w:r w:rsidRPr="00C95DC7">
        <w:rPr>
          <w:rFonts w:ascii="Times New Roman" w:hAnsi="Times New Roman" w:cs="Times New Roman"/>
          <w:sz w:val="24"/>
          <w:szCs w:val="24"/>
          <w:lang w:val="en-US"/>
        </w:rPr>
        <w:t>appear in the draft document.</w:t>
      </w:r>
    </w:p>
    <w:p w:rsidR="00AB1A8E" w:rsidRDefault="00AB1A8E" w:rsidP="00C95DC7">
      <w:pPr>
        <w:jc w:val="both"/>
        <w:rPr>
          <w:rFonts w:ascii="Times New Roman" w:hAnsi="Times New Roman" w:cs="Times New Roman"/>
          <w:sz w:val="24"/>
          <w:szCs w:val="24"/>
          <w:lang w:val="en-US"/>
        </w:rPr>
      </w:pPr>
    </w:p>
    <w:p w:rsidR="0096475D" w:rsidRDefault="0096475D" w:rsidP="00C95DC7">
      <w:pPr>
        <w:jc w:val="both"/>
        <w:rPr>
          <w:rFonts w:ascii="Times New Roman" w:hAnsi="Times New Roman" w:cs="Times New Roman"/>
          <w:sz w:val="24"/>
          <w:szCs w:val="24"/>
          <w:lang w:val="en-US"/>
        </w:rPr>
      </w:pPr>
    </w:p>
    <w:p w:rsidR="0096475D" w:rsidRPr="00C95DC7" w:rsidRDefault="0096475D" w:rsidP="00C95DC7">
      <w:pPr>
        <w:jc w:val="both"/>
        <w:rPr>
          <w:rFonts w:ascii="Times New Roman" w:hAnsi="Times New Roman" w:cs="Times New Roman"/>
          <w:sz w:val="24"/>
          <w:szCs w:val="24"/>
          <w:lang w:val="en-US"/>
        </w:rPr>
      </w:pP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lastRenderedPageBreak/>
        <w:t xml:space="preserve">Flexibility in the </w:t>
      </w:r>
      <w:r w:rsidR="00382531">
        <w:rPr>
          <w:rFonts w:ascii="Times New Roman" w:hAnsi="Times New Roman" w:cs="Times New Roman"/>
          <w:b/>
          <w:sz w:val="24"/>
          <w:szCs w:val="24"/>
          <w:lang w:val="en-US"/>
        </w:rPr>
        <w:t>MA</w:t>
      </w:r>
      <w:r w:rsidR="00D321AF" w:rsidRPr="00C95DC7">
        <w:rPr>
          <w:rFonts w:ascii="Times New Roman" w:hAnsi="Times New Roman" w:cs="Times New Roman"/>
          <w:b/>
          <w:sz w:val="24"/>
          <w:szCs w:val="24"/>
          <w:lang w:val="en-US"/>
        </w:rPr>
        <w:t xml:space="preserve"> </w:t>
      </w:r>
      <w:r w:rsidRPr="00C95DC7">
        <w:rPr>
          <w:rFonts w:ascii="Times New Roman" w:hAnsi="Times New Roman" w:cs="Times New Roman"/>
          <w:b/>
          <w:sz w:val="24"/>
          <w:szCs w:val="24"/>
          <w:lang w:val="en-US"/>
        </w:rPr>
        <w:t>Uniformity Requirements</w:t>
      </w:r>
      <w:r w:rsidR="00EC3449" w:rsidRPr="00C95DC7">
        <w:rPr>
          <w:rFonts w:ascii="Times New Roman" w:hAnsi="Times New Roman" w:cs="Times New Roman"/>
          <w:b/>
          <w:sz w:val="24"/>
          <w:szCs w:val="24"/>
          <w:lang w:val="en-US"/>
        </w:rPr>
        <w:t xml:space="preserve"> § 422.100(d)</w:t>
      </w:r>
    </w:p>
    <w:p w:rsidR="00D321AF" w:rsidRPr="00C95DC7" w:rsidRDefault="00D321AF" w:rsidP="00C95DC7">
      <w:pPr>
        <w:numPr>
          <w:ilvl w:val="1"/>
          <w:numId w:val="11"/>
        </w:numPr>
        <w:tabs>
          <w:tab w:val="left" w:pos="360"/>
          <w:tab w:val="left" w:pos="108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supports reforming MA uniformity requirements to allow greater flexibility, granted these flexibilities ensure patient protections against discriminatory practices</w:t>
      </w:r>
    </w:p>
    <w:p w:rsidR="00D321AF" w:rsidRPr="00C95DC7" w:rsidRDefault="00D321AF" w:rsidP="00C95DC7">
      <w:pPr>
        <w:numPr>
          <w:ilvl w:val="1"/>
          <w:numId w:val="11"/>
        </w:numPr>
        <w:tabs>
          <w:tab w:val="left" w:pos="360"/>
          <w:tab w:val="left" w:pos="108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supports implementing similar uniformity requirement reforms in Medicare Part D</w:t>
      </w: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Maximum Out-of-Pocket (MOOP) limit and Cost-Sharing Limits for M</w:t>
      </w:r>
      <w:r w:rsidR="00EC3449" w:rsidRPr="00C95DC7">
        <w:rPr>
          <w:rFonts w:ascii="Times New Roman" w:hAnsi="Times New Roman" w:cs="Times New Roman"/>
          <w:b/>
          <w:sz w:val="24"/>
          <w:szCs w:val="24"/>
          <w:lang w:val="en-US"/>
        </w:rPr>
        <w:t>edicare Parts A and B Services §</w:t>
      </w:r>
      <w:r w:rsidR="003034B3" w:rsidRPr="00C95DC7">
        <w:rPr>
          <w:rFonts w:ascii="Times New Roman" w:hAnsi="Times New Roman" w:cs="Times New Roman"/>
          <w:b/>
          <w:sz w:val="24"/>
          <w:szCs w:val="24"/>
          <w:lang w:val="en-US"/>
        </w:rPr>
        <w:t xml:space="preserve"> 422.100, § </w:t>
      </w:r>
      <w:r w:rsidR="00EC3449" w:rsidRPr="00C95DC7">
        <w:rPr>
          <w:rFonts w:ascii="Times New Roman" w:hAnsi="Times New Roman" w:cs="Times New Roman"/>
          <w:b/>
          <w:sz w:val="24"/>
          <w:szCs w:val="24"/>
          <w:lang w:val="en-US"/>
        </w:rPr>
        <w:t>422.101</w:t>
      </w:r>
    </w:p>
    <w:p w:rsidR="00931814" w:rsidRPr="00C95DC7" w:rsidRDefault="00AF2BB6"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supports continuing MOOP limits on Parts A and B services</w:t>
      </w:r>
      <w:r w:rsidR="00382531">
        <w:rPr>
          <w:rFonts w:ascii="Times New Roman" w:hAnsi="Times New Roman" w:cs="Times New Roman"/>
          <w:sz w:val="24"/>
          <w:szCs w:val="24"/>
          <w:lang w:val="en-US"/>
        </w:rPr>
        <w:t xml:space="preserve"> in MA</w:t>
      </w:r>
      <w:r w:rsidR="00240D1E" w:rsidRPr="00C95DC7">
        <w:rPr>
          <w:rFonts w:ascii="Times New Roman" w:hAnsi="Times New Roman" w:cs="Times New Roman"/>
          <w:sz w:val="24"/>
          <w:szCs w:val="24"/>
          <w:lang w:val="en-US"/>
        </w:rPr>
        <w:t xml:space="preserve"> </w:t>
      </w:r>
      <w:r w:rsidR="0007593E">
        <w:rPr>
          <w:rFonts w:ascii="Times New Roman" w:hAnsi="Times New Roman" w:cs="Times New Roman"/>
          <w:sz w:val="24"/>
          <w:szCs w:val="24"/>
          <w:lang w:val="en-US"/>
        </w:rPr>
        <w:t>but</w:t>
      </w:r>
      <w:r w:rsidR="00240D1E" w:rsidRPr="00C95DC7">
        <w:rPr>
          <w:rFonts w:ascii="Times New Roman" w:hAnsi="Times New Roman" w:cs="Times New Roman"/>
          <w:sz w:val="24"/>
          <w:szCs w:val="24"/>
          <w:lang w:val="en-US"/>
        </w:rPr>
        <w:t xml:space="preserve"> would like to ensure that proposed changes do not increase overall OOP expenses or erode patient protections</w:t>
      </w:r>
    </w:p>
    <w:p w:rsidR="00931814" w:rsidRPr="00C95DC7" w:rsidRDefault="00240D1E"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recommends the adoption of a MOOP limit in Medicare Part D to increase parity in benefit design throughout Medicare and protect patients from high OOP costs</w:t>
      </w: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Medicare Advantage and Part D Prescription Drug Program Quality Rating System</w:t>
      </w:r>
    </w:p>
    <w:p w:rsidR="00BF2059" w:rsidRPr="00C95DC7" w:rsidRDefault="00675464"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 xml:space="preserve">NNI </w:t>
      </w:r>
      <w:r w:rsidR="00382531">
        <w:rPr>
          <w:rFonts w:ascii="Times New Roman" w:hAnsi="Times New Roman" w:cs="Times New Roman"/>
          <w:sz w:val="24"/>
          <w:szCs w:val="24"/>
          <w:lang w:val="en-US"/>
        </w:rPr>
        <w:t xml:space="preserve">supports codifying in regulation some aspects of the Star Ratings program, but </w:t>
      </w:r>
      <w:r w:rsidRPr="00C95DC7">
        <w:rPr>
          <w:rFonts w:ascii="Times New Roman" w:hAnsi="Times New Roman" w:cs="Times New Roman"/>
          <w:sz w:val="24"/>
          <w:szCs w:val="24"/>
          <w:lang w:val="en-US"/>
        </w:rPr>
        <w:t>belie</w:t>
      </w:r>
      <w:r w:rsidR="008204DB" w:rsidRPr="00C95DC7">
        <w:rPr>
          <w:rFonts w:ascii="Times New Roman" w:hAnsi="Times New Roman" w:cs="Times New Roman"/>
          <w:sz w:val="24"/>
          <w:szCs w:val="24"/>
          <w:lang w:val="en-US"/>
        </w:rPr>
        <w:t>ves proposed changes for measure additions will increase regulatory burden and could delay important benefits for people living with chronic diseases</w:t>
      </w:r>
    </w:p>
    <w:p w:rsidR="008204DB" w:rsidRPr="00C95DC7" w:rsidRDefault="008204DB"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supports maintaining the current process for seeking comment on Star Ratings changes</w:t>
      </w: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Expedited Substitution of Certain Generics and Other Midyear Formulary Changes</w:t>
      </w:r>
      <w:r w:rsidR="00F30040" w:rsidRPr="00C95DC7">
        <w:rPr>
          <w:rFonts w:ascii="Times New Roman" w:hAnsi="Times New Roman" w:cs="Times New Roman"/>
          <w:b/>
          <w:sz w:val="24"/>
          <w:szCs w:val="24"/>
          <w:lang w:val="en-US"/>
        </w:rPr>
        <w:t xml:space="preserve"> §  423.100, § </w:t>
      </w:r>
      <w:r w:rsidR="003034B3" w:rsidRPr="00C95DC7">
        <w:rPr>
          <w:rFonts w:ascii="Times New Roman" w:hAnsi="Times New Roman" w:cs="Times New Roman"/>
          <w:b/>
          <w:sz w:val="24"/>
          <w:szCs w:val="24"/>
          <w:lang w:val="en-US"/>
        </w:rPr>
        <w:t>423.120,</w:t>
      </w:r>
      <w:r w:rsidR="00F30040" w:rsidRPr="00C95DC7">
        <w:rPr>
          <w:rFonts w:ascii="Times New Roman" w:hAnsi="Times New Roman" w:cs="Times New Roman"/>
          <w:b/>
          <w:sz w:val="24"/>
          <w:szCs w:val="24"/>
          <w:lang w:val="en-US"/>
        </w:rPr>
        <w:t xml:space="preserve"> § 423.128</w:t>
      </w:r>
    </w:p>
    <w:p w:rsidR="000E4A82" w:rsidRPr="00C95DC7" w:rsidRDefault="000E4A82" w:rsidP="00C95DC7">
      <w:pPr>
        <w:numPr>
          <w:ilvl w:val="1"/>
          <w:numId w:val="11"/>
        </w:numPr>
        <w:tabs>
          <w:tab w:val="left" w:pos="360"/>
          <w:tab w:val="left" w:pos="108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opposes change</w:t>
      </w:r>
      <w:r w:rsidR="00382531">
        <w:rPr>
          <w:rFonts w:ascii="Times New Roman" w:hAnsi="Times New Roman" w:cs="Times New Roman"/>
          <w:sz w:val="24"/>
          <w:szCs w:val="24"/>
          <w:lang w:val="en-US"/>
        </w:rPr>
        <w:t>s to the advanced notice proposal</w:t>
      </w:r>
      <w:r w:rsidRPr="00C95DC7">
        <w:rPr>
          <w:rFonts w:ascii="Times New Roman" w:hAnsi="Times New Roman" w:cs="Times New Roman"/>
          <w:sz w:val="24"/>
          <w:szCs w:val="24"/>
          <w:lang w:val="en-US"/>
        </w:rPr>
        <w:t xml:space="preserve"> as it is not in the best interest of consumers and could harm patients, particu</w:t>
      </w:r>
      <w:r w:rsidR="00850D9C" w:rsidRPr="00C95DC7">
        <w:rPr>
          <w:rFonts w:ascii="Times New Roman" w:hAnsi="Times New Roman" w:cs="Times New Roman"/>
          <w:sz w:val="24"/>
          <w:szCs w:val="24"/>
          <w:lang w:val="en-US"/>
        </w:rPr>
        <w:t>larly those with chronic diseases, who are especially sensitive to changes in their health care regimens</w:t>
      </w: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Treatment of Follow-On Biological Products as Generics for Non-LIS Catastrophic and LIS Cost Sharing</w:t>
      </w:r>
    </w:p>
    <w:p w:rsidR="00A929AE" w:rsidRPr="00C95DC7" w:rsidRDefault="00A929AE"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 xml:space="preserve">NNI </w:t>
      </w:r>
      <w:r w:rsidR="00941C8A">
        <w:rPr>
          <w:rFonts w:ascii="Times New Roman" w:hAnsi="Times New Roman" w:cs="Times New Roman"/>
          <w:sz w:val="24"/>
          <w:szCs w:val="24"/>
          <w:lang w:val="en-US"/>
        </w:rPr>
        <w:t>opposes</w:t>
      </w:r>
      <w:r w:rsidRPr="00C95DC7">
        <w:rPr>
          <w:rFonts w:ascii="Times New Roman" w:hAnsi="Times New Roman" w:cs="Times New Roman"/>
          <w:sz w:val="24"/>
          <w:szCs w:val="24"/>
          <w:lang w:val="en-US"/>
        </w:rPr>
        <w:t xml:space="preserve"> treating follow-on biological products or biosimilars as generics for non-LIS catastrophic and LIS cost sharing. These changes could lead to inappropriate considerations of bioequivalence between originator and follow-on products, and will not significantly protect patients from high cost</w:t>
      </w:r>
      <w:r w:rsidR="00941C8A">
        <w:rPr>
          <w:rFonts w:ascii="Times New Roman" w:hAnsi="Times New Roman" w:cs="Times New Roman"/>
          <w:sz w:val="24"/>
          <w:szCs w:val="24"/>
          <w:lang w:val="en-US"/>
        </w:rPr>
        <w:t xml:space="preserve"> </w:t>
      </w:r>
      <w:r w:rsidRPr="00C95DC7">
        <w:rPr>
          <w:rFonts w:ascii="Times New Roman" w:hAnsi="Times New Roman" w:cs="Times New Roman"/>
          <w:sz w:val="24"/>
          <w:szCs w:val="24"/>
          <w:lang w:val="en-US"/>
        </w:rPr>
        <w:t xml:space="preserve">sharing and </w:t>
      </w:r>
      <w:r w:rsidR="003E1D5B" w:rsidRPr="00C95DC7">
        <w:rPr>
          <w:rFonts w:ascii="Times New Roman" w:hAnsi="Times New Roman" w:cs="Times New Roman"/>
          <w:sz w:val="24"/>
          <w:szCs w:val="24"/>
          <w:lang w:val="en-US"/>
        </w:rPr>
        <w:t>out</w:t>
      </w:r>
      <w:r w:rsidR="003E1D5B">
        <w:rPr>
          <w:rFonts w:ascii="Times New Roman" w:hAnsi="Times New Roman" w:cs="Times New Roman"/>
          <w:sz w:val="24"/>
          <w:szCs w:val="24"/>
          <w:lang w:val="en-US"/>
        </w:rPr>
        <w:t>-</w:t>
      </w:r>
      <w:r w:rsidR="003E1D5B" w:rsidRPr="00C95DC7">
        <w:rPr>
          <w:rFonts w:ascii="Times New Roman" w:hAnsi="Times New Roman" w:cs="Times New Roman"/>
          <w:sz w:val="24"/>
          <w:szCs w:val="24"/>
          <w:lang w:val="en-US"/>
        </w:rPr>
        <w:t>of</w:t>
      </w:r>
      <w:r w:rsidR="003E1D5B">
        <w:rPr>
          <w:rFonts w:ascii="Times New Roman" w:hAnsi="Times New Roman" w:cs="Times New Roman"/>
          <w:sz w:val="24"/>
          <w:szCs w:val="24"/>
          <w:lang w:val="en-US"/>
        </w:rPr>
        <w:t>-</w:t>
      </w:r>
      <w:r w:rsidRPr="00C95DC7">
        <w:rPr>
          <w:rFonts w:ascii="Times New Roman" w:hAnsi="Times New Roman" w:cs="Times New Roman"/>
          <w:sz w:val="24"/>
          <w:szCs w:val="24"/>
          <w:lang w:val="en-US"/>
        </w:rPr>
        <w:t>pocket expenses</w:t>
      </w: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Eliminating the Requirement to Provide PDP Enhanced Alternative (EA) to EA plan Offerings with Meaningful Differences</w:t>
      </w:r>
      <w:r w:rsidR="00EC3449" w:rsidRPr="00C95DC7">
        <w:rPr>
          <w:rFonts w:ascii="Times New Roman" w:hAnsi="Times New Roman" w:cs="Times New Roman"/>
          <w:b/>
          <w:sz w:val="24"/>
          <w:szCs w:val="24"/>
          <w:lang w:val="en-US"/>
        </w:rPr>
        <w:t xml:space="preserve"> §423.265</w:t>
      </w:r>
    </w:p>
    <w:p w:rsidR="00240D1E" w:rsidRPr="00C95DC7" w:rsidRDefault="00FA03A9" w:rsidP="00C95DC7">
      <w:pPr>
        <w:numPr>
          <w:ilvl w:val="1"/>
          <w:numId w:val="11"/>
        </w:numPr>
        <w:tabs>
          <w:tab w:val="left" w:pos="360"/>
        </w:tabs>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NNI supports the removal of meaningful differences, </w:t>
      </w:r>
      <w:r w:rsidR="00941C8A">
        <w:rPr>
          <w:rFonts w:ascii="Times New Roman" w:hAnsi="Times New Roman" w:cs="Times New Roman"/>
          <w:sz w:val="24"/>
          <w:szCs w:val="24"/>
          <w:lang w:val="en-US"/>
        </w:rPr>
        <w:t xml:space="preserve">while </w:t>
      </w:r>
      <w:r w:rsidRPr="00C95DC7">
        <w:rPr>
          <w:rFonts w:ascii="Times New Roman" w:hAnsi="Times New Roman" w:cs="Times New Roman"/>
          <w:sz w:val="24"/>
          <w:szCs w:val="24"/>
          <w:lang w:val="en-US"/>
        </w:rPr>
        <w:t xml:space="preserve">ensuring that changes to plan offerings are closely monitored and beneficiaries are equipped with the tools to effectively navigate plan offerings </w:t>
      </w:r>
    </w:p>
    <w:p w:rsidR="00FA03A9" w:rsidRPr="00C95DC7" w:rsidRDefault="00FA03A9" w:rsidP="00C95DC7">
      <w:pPr>
        <w:numPr>
          <w:ilvl w:val="1"/>
          <w:numId w:val="11"/>
        </w:numPr>
        <w:tabs>
          <w:tab w:val="left" w:pos="360"/>
        </w:tabs>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NNI </w:t>
      </w:r>
      <w:r w:rsidR="003E1D5B" w:rsidRPr="00C95DC7">
        <w:rPr>
          <w:rFonts w:ascii="Times New Roman" w:hAnsi="Times New Roman" w:cs="Times New Roman"/>
          <w:sz w:val="24"/>
          <w:szCs w:val="24"/>
          <w:lang w:val="en-US"/>
        </w:rPr>
        <w:t>oppose</w:t>
      </w:r>
      <w:r w:rsidR="003E1D5B">
        <w:rPr>
          <w:rFonts w:ascii="Times New Roman" w:hAnsi="Times New Roman" w:cs="Times New Roman"/>
          <w:sz w:val="24"/>
          <w:szCs w:val="24"/>
          <w:lang w:val="en-US"/>
        </w:rPr>
        <w:t>s</w:t>
      </w:r>
      <w:r w:rsidR="003E1D5B" w:rsidRPr="00C95DC7">
        <w:rPr>
          <w:rFonts w:ascii="Times New Roman" w:hAnsi="Times New Roman" w:cs="Times New Roman"/>
          <w:sz w:val="24"/>
          <w:szCs w:val="24"/>
          <w:lang w:val="en-US"/>
        </w:rPr>
        <w:t xml:space="preserve"> </w:t>
      </w:r>
      <w:r w:rsidRPr="00C95DC7">
        <w:rPr>
          <w:rFonts w:ascii="Times New Roman" w:hAnsi="Times New Roman" w:cs="Times New Roman"/>
          <w:sz w:val="24"/>
          <w:szCs w:val="24"/>
          <w:lang w:val="en-US"/>
        </w:rPr>
        <w:t>the continued utilization of the out-of-pock</w:t>
      </w:r>
      <w:r w:rsidR="006E2BA6">
        <w:rPr>
          <w:rFonts w:ascii="Times New Roman" w:hAnsi="Times New Roman" w:cs="Times New Roman"/>
          <w:sz w:val="24"/>
          <w:szCs w:val="24"/>
          <w:lang w:val="en-US"/>
        </w:rPr>
        <w:t>et</w:t>
      </w:r>
      <w:r w:rsidRPr="00C95DC7">
        <w:rPr>
          <w:rFonts w:ascii="Times New Roman" w:hAnsi="Times New Roman" w:cs="Times New Roman"/>
          <w:sz w:val="24"/>
          <w:szCs w:val="24"/>
          <w:lang w:val="en-US"/>
        </w:rPr>
        <w:t xml:space="preserve"> cost calculator (OOPC) tool </w:t>
      </w:r>
      <w:r w:rsidR="00941C8A">
        <w:rPr>
          <w:rFonts w:ascii="Times New Roman" w:hAnsi="Times New Roman" w:cs="Times New Roman"/>
          <w:sz w:val="24"/>
          <w:szCs w:val="24"/>
          <w:lang w:val="en-US"/>
        </w:rPr>
        <w:t>due to unintended consequences of the use of the tool</w:t>
      </w:r>
    </w:p>
    <w:p w:rsidR="00BB780D" w:rsidRPr="00C95DC7" w:rsidRDefault="00BB780D" w:rsidP="00C95DC7">
      <w:pPr>
        <w:numPr>
          <w:ilvl w:val="0"/>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Request for Information Regarding the Application of Manufacturer Rebates and Pharmacy Price Concessions to Drug Prices at the Point of Sale</w:t>
      </w:r>
      <w:r w:rsidR="00C95DC7" w:rsidRPr="00C95DC7">
        <w:rPr>
          <w:rFonts w:ascii="Times New Roman" w:hAnsi="Times New Roman" w:cs="Times New Roman"/>
          <w:b/>
          <w:sz w:val="24"/>
          <w:szCs w:val="24"/>
          <w:lang w:val="en-US"/>
        </w:rPr>
        <w:t xml:space="preserve"> (POS)</w:t>
      </w:r>
    </w:p>
    <w:p w:rsidR="0077760D" w:rsidRPr="00C95DC7" w:rsidRDefault="0077760D"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supports a POS rebating strategy but recommends changes to the proposed</w:t>
      </w:r>
      <w:r w:rsidR="00C95DC7" w:rsidRPr="00C95DC7">
        <w:rPr>
          <w:rFonts w:ascii="Times New Roman" w:hAnsi="Times New Roman" w:cs="Times New Roman"/>
          <w:sz w:val="24"/>
          <w:szCs w:val="24"/>
          <w:lang w:val="en-US"/>
        </w:rPr>
        <w:t xml:space="preserve"> methodology</w:t>
      </w:r>
      <w:r w:rsidR="005D0ED5">
        <w:rPr>
          <w:rFonts w:ascii="Times New Roman" w:hAnsi="Times New Roman" w:cs="Times New Roman"/>
          <w:sz w:val="24"/>
          <w:szCs w:val="24"/>
          <w:lang w:val="en-US"/>
        </w:rPr>
        <w:t xml:space="preserve"> to decrease beneficiaries OOP costs</w:t>
      </w:r>
    </w:p>
    <w:p w:rsidR="00C95DC7" w:rsidRPr="00826288" w:rsidRDefault="00C95DC7" w:rsidP="00C95DC7">
      <w:pPr>
        <w:numPr>
          <w:ilvl w:val="1"/>
          <w:numId w:val="11"/>
        </w:numPr>
        <w:tabs>
          <w:tab w:val="left" w:pos="360"/>
        </w:tabs>
        <w:jc w:val="both"/>
        <w:rPr>
          <w:rFonts w:ascii="Times New Roman" w:hAnsi="Times New Roman" w:cs="Times New Roman"/>
          <w:b/>
          <w:sz w:val="24"/>
          <w:szCs w:val="24"/>
          <w:lang w:val="en-US"/>
        </w:rPr>
      </w:pPr>
      <w:r w:rsidRPr="00C95DC7">
        <w:rPr>
          <w:rFonts w:ascii="Times New Roman" w:hAnsi="Times New Roman" w:cs="Times New Roman"/>
          <w:sz w:val="24"/>
          <w:szCs w:val="24"/>
          <w:lang w:val="en-US"/>
        </w:rPr>
        <w:t>NNI would like to see CMS develop methodology to limit OOP spending overall in Medicare Part D</w:t>
      </w:r>
      <w:r w:rsidR="002E3C4A">
        <w:rPr>
          <w:rFonts w:ascii="Times New Roman" w:hAnsi="Times New Roman" w:cs="Times New Roman"/>
          <w:sz w:val="24"/>
          <w:szCs w:val="24"/>
          <w:lang w:val="en-US"/>
        </w:rPr>
        <w:t xml:space="preserve"> and to address benefit design</w:t>
      </w:r>
      <w:r w:rsidR="00941C8A">
        <w:rPr>
          <w:rFonts w:ascii="Times New Roman" w:hAnsi="Times New Roman" w:cs="Times New Roman"/>
          <w:sz w:val="24"/>
          <w:szCs w:val="24"/>
          <w:lang w:val="en-US"/>
        </w:rPr>
        <w:t xml:space="preserve"> changes</w:t>
      </w:r>
      <w:r w:rsidR="002E3C4A">
        <w:rPr>
          <w:rFonts w:ascii="Times New Roman" w:hAnsi="Times New Roman" w:cs="Times New Roman"/>
          <w:sz w:val="24"/>
          <w:szCs w:val="24"/>
          <w:lang w:val="en-US"/>
        </w:rPr>
        <w:t xml:space="preserve"> that increase beneficiary OOP exposure</w:t>
      </w:r>
    </w:p>
    <w:p w:rsidR="00941C8A" w:rsidRPr="00C95DC7" w:rsidRDefault="00941C8A" w:rsidP="00826288">
      <w:pPr>
        <w:tabs>
          <w:tab w:val="left" w:pos="360"/>
        </w:tabs>
        <w:ind w:left="1080"/>
        <w:jc w:val="both"/>
        <w:rPr>
          <w:rFonts w:ascii="Times New Roman" w:hAnsi="Times New Roman" w:cs="Times New Roman"/>
          <w:b/>
          <w:sz w:val="24"/>
          <w:szCs w:val="24"/>
          <w:lang w:val="en-US"/>
        </w:rPr>
      </w:pPr>
    </w:p>
    <w:p w:rsidR="00BB780D" w:rsidRPr="00C95DC7" w:rsidRDefault="00BB780D" w:rsidP="002E3C4A">
      <w:pPr>
        <w:jc w:val="center"/>
        <w:rPr>
          <w:rFonts w:ascii="Times New Roman" w:hAnsi="Times New Roman" w:cs="Times New Roman"/>
          <w:sz w:val="24"/>
          <w:szCs w:val="24"/>
          <w:lang w:val="en-US"/>
        </w:rPr>
      </w:pPr>
      <w:r w:rsidRPr="00C95DC7">
        <w:rPr>
          <w:rFonts w:ascii="Times New Roman" w:hAnsi="Times New Roman" w:cs="Times New Roman"/>
          <w:sz w:val="24"/>
          <w:szCs w:val="24"/>
          <w:lang w:val="en-US"/>
        </w:rPr>
        <w:t>***</w:t>
      </w:r>
    </w:p>
    <w:p w:rsidR="000E58E9" w:rsidRPr="00C95DC7" w:rsidRDefault="000E58E9" w:rsidP="00C95DC7">
      <w:pPr>
        <w:jc w:val="both"/>
        <w:rPr>
          <w:rFonts w:ascii="Times New Roman" w:hAnsi="Times New Roman" w:cs="Times New Roman"/>
          <w:sz w:val="24"/>
          <w:szCs w:val="24"/>
          <w:lang w:val="en-US"/>
        </w:rPr>
      </w:pPr>
    </w:p>
    <w:p w:rsidR="0096475D" w:rsidRDefault="0096475D">
      <w:pPr>
        <w:jc w:val="both"/>
        <w:rPr>
          <w:rFonts w:ascii="Times New Roman" w:hAnsi="Times New Roman" w:cs="Times New Roman"/>
          <w:b/>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lastRenderedPageBreak/>
        <w:t>Flexibility in the Medicare Advantage (MA) Uniformity Requirements</w:t>
      </w:r>
    </w:p>
    <w:p w:rsidR="00E77B2C" w:rsidRDefault="00E77B2C">
      <w:pPr>
        <w:jc w:val="both"/>
        <w:rPr>
          <w:rFonts w:ascii="Times New Roman" w:hAnsi="Times New Roman" w:cs="Times New Roman"/>
          <w:b/>
          <w:sz w:val="24"/>
          <w:szCs w:val="24"/>
          <w:lang w:val="en-US"/>
        </w:rPr>
      </w:pPr>
    </w:p>
    <w:p w:rsidR="00E77B2C" w:rsidRPr="00826288" w:rsidRDefault="00E77B2C" w:rsidP="00826288">
      <w:pPr>
        <w:spacing w:after="240"/>
        <w:jc w:val="both"/>
        <w:rPr>
          <w:rFonts w:ascii="Times New Roman" w:hAnsi="Times New Roman" w:cs="Times New Roman"/>
          <w:sz w:val="24"/>
          <w:szCs w:val="24"/>
        </w:rPr>
      </w:pPr>
      <w:r w:rsidRPr="00826288">
        <w:rPr>
          <w:rFonts w:ascii="Times New Roman" w:hAnsi="Times New Roman" w:cs="Times New Roman"/>
          <w:b/>
          <w:sz w:val="24"/>
          <w:szCs w:val="24"/>
        </w:rPr>
        <w:t>Description:</w:t>
      </w:r>
      <w:r w:rsidRPr="00826288">
        <w:rPr>
          <w:rFonts w:ascii="Times New Roman" w:hAnsi="Times New Roman" w:cs="Times New Roman"/>
          <w:sz w:val="24"/>
          <w:szCs w:val="24"/>
        </w:rPr>
        <w:t xml:space="preserve"> CMS is proposing to modify its interpretation of uniformity requirements that apply to Medicare Advantage (MA) plans. Currently MA plans must offer all enrollees access to the same benefits at the same level of cost sharing. Under the newly proposed requirements, MA plans would be permitted</w:t>
      </w:r>
      <w:r w:rsidR="0007593E">
        <w:rPr>
          <w:rFonts w:ascii="Times New Roman" w:hAnsi="Times New Roman" w:cs="Times New Roman"/>
          <w:sz w:val="24"/>
          <w:szCs w:val="24"/>
        </w:rPr>
        <w:t xml:space="preserve"> new flexibility to reduce cost </w:t>
      </w:r>
      <w:r w:rsidRPr="00826288">
        <w:rPr>
          <w:rFonts w:ascii="Times New Roman" w:hAnsi="Times New Roman" w:cs="Times New Roman"/>
          <w:sz w:val="24"/>
          <w:szCs w:val="24"/>
        </w:rPr>
        <w:t>sharing for certain covered benefits, offer specific tailored supplemental benefits, and offer lower deductibles for enrollees that meet specific medical criteria, provided that similarly situated enrollees are treated the same.</w:t>
      </w:r>
      <w:r w:rsidRPr="00826288">
        <w:rPr>
          <w:rStyle w:val="FootnoteReference"/>
          <w:rFonts w:ascii="Times New Roman" w:hAnsi="Times New Roman" w:cs="Times New Roman"/>
          <w:sz w:val="24"/>
          <w:szCs w:val="24"/>
        </w:rPr>
        <w:footnoteReference w:id="1"/>
      </w:r>
      <w:r w:rsidRPr="00826288">
        <w:rPr>
          <w:rFonts w:ascii="Times New Roman" w:hAnsi="Times New Roman" w:cs="Times New Roman"/>
          <w:sz w:val="24"/>
          <w:szCs w:val="24"/>
        </w:rPr>
        <w:t xml:space="preserve">  </w:t>
      </w:r>
    </w:p>
    <w:p w:rsidR="00AB1A8E" w:rsidRPr="00C95DC7" w:rsidRDefault="00E77B2C" w:rsidP="00826288">
      <w:pPr>
        <w:spacing w:after="240"/>
        <w:jc w:val="both"/>
        <w:rPr>
          <w:rFonts w:ascii="Times New Roman" w:hAnsi="Times New Roman" w:cs="Times New Roman"/>
          <w:sz w:val="24"/>
          <w:szCs w:val="24"/>
          <w:lang w:val="en-US"/>
        </w:rPr>
      </w:pPr>
      <w:r w:rsidRPr="00826288">
        <w:rPr>
          <w:rFonts w:ascii="Times New Roman" w:hAnsi="Times New Roman" w:cs="Times New Roman"/>
          <w:b/>
          <w:sz w:val="24"/>
          <w:szCs w:val="24"/>
        </w:rPr>
        <w:t xml:space="preserve">Comments: </w:t>
      </w:r>
    </w:p>
    <w:p w:rsidR="00957BEF" w:rsidRPr="00C95DC7" w:rsidRDefault="00CF23F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there is a variety of evidence </w:t>
      </w:r>
      <w:r w:rsidR="00941C8A">
        <w:rPr>
          <w:rFonts w:ascii="Times New Roman" w:hAnsi="Times New Roman" w:cs="Times New Roman"/>
          <w:sz w:val="24"/>
          <w:szCs w:val="24"/>
          <w:lang w:val="en-US"/>
        </w:rPr>
        <w:t>showing</w:t>
      </w:r>
      <w:r>
        <w:rPr>
          <w:rFonts w:ascii="Times New Roman" w:hAnsi="Times New Roman" w:cs="Times New Roman"/>
          <w:sz w:val="24"/>
          <w:szCs w:val="24"/>
          <w:lang w:val="en-US"/>
        </w:rPr>
        <w:t xml:space="preserve"> the benefits of value-based insurance design (VBID), CMS traditionally has limited MA plans’ ability to vary their benefits because of a narrow </w:t>
      </w:r>
      <w:r w:rsidR="00382531">
        <w:rPr>
          <w:rFonts w:ascii="Times New Roman" w:hAnsi="Times New Roman" w:cs="Times New Roman"/>
          <w:sz w:val="24"/>
          <w:szCs w:val="24"/>
          <w:lang w:val="en-US"/>
        </w:rPr>
        <w:t xml:space="preserve">interpretation </w:t>
      </w:r>
      <w:r>
        <w:rPr>
          <w:rFonts w:ascii="Times New Roman" w:hAnsi="Times New Roman" w:cs="Times New Roman"/>
          <w:sz w:val="24"/>
          <w:szCs w:val="24"/>
          <w:lang w:val="en-US"/>
        </w:rPr>
        <w:t xml:space="preserve">of </w:t>
      </w:r>
      <w:r w:rsidR="00382531">
        <w:rPr>
          <w:rFonts w:ascii="Times New Roman" w:hAnsi="Times New Roman" w:cs="Times New Roman"/>
          <w:sz w:val="24"/>
          <w:szCs w:val="24"/>
          <w:lang w:val="en-US"/>
        </w:rPr>
        <w:t xml:space="preserve">benefit uniformity. NNI is very much supportive of VBID, and as such, </w:t>
      </w:r>
      <w:r w:rsidR="00EC72AB" w:rsidRPr="00C95DC7">
        <w:rPr>
          <w:rFonts w:ascii="Times New Roman" w:hAnsi="Times New Roman" w:cs="Times New Roman"/>
          <w:sz w:val="24"/>
          <w:szCs w:val="24"/>
          <w:lang w:val="en-US"/>
        </w:rPr>
        <w:t xml:space="preserve">generally supports the changes </w:t>
      </w:r>
      <w:r w:rsidR="00382531">
        <w:rPr>
          <w:rFonts w:ascii="Times New Roman" w:hAnsi="Times New Roman" w:cs="Times New Roman"/>
          <w:sz w:val="24"/>
          <w:szCs w:val="24"/>
          <w:lang w:val="en-US"/>
        </w:rPr>
        <w:t>included in the Proposed Rule</w:t>
      </w:r>
      <w:r w:rsidR="00382531" w:rsidRPr="00C95DC7">
        <w:rPr>
          <w:rFonts w:ascii="Times New Roman" w:hAnsi="Times New Roman" w:cs="Times New Roman"/>
          <w:sz w:val="24"/>
          <w:szCs w:val="24"/>
          <w:lang w:val="en-US"/>
        </w:rPr>
        <w:t xml:space="preserve"> </w:t>
      </w:r>
      <w:r w:rsidR="00EC72AB" w:rsidRPr="00C95DC7">
        <w:rPr>
          <w:rFonts w:ascii="Times New Roman" w:hAnsi="Times New Roman" w:cs="Times New Roman"/>
          <w:sz w:val="24"/>
          <w:szCs w:val="24"/>
          <w:lang w:val="en-US"/>
        </w:rPr>
        <w:t xml:space="preserve">to increase the flexibility of uniformity requirements for MA plans, assuming the allowed flexibility is </w:t>
      </w:r>
      <w:r w:rsidR="003A6668">
        <w:rPr>
          <w:rFonts w:ascii="Times New Roman" w:hAnsi="Times New Roman" w:cs="Times New Roman"/>
          <w:sz w:val="24"/>
          <w:szCs w:val="24"/>
          <w:lang w:val="en-US"/>
        </w:rPr>
        <w:t>intended to provide</w:t>
      </w:r>
      <w:r w:rsidR="00EC72AB" w:rsidRPr="00C95DC7">
        <w:rPr>
          <w:rFonts w:ascii="Times New Roman" w:hAnsi="Times New Roman" w:cs="Times New Roman"/>
          <w:sz w:val="24"/>
          <w:szCs w:val="24"/>
          <w:lang w:val="en-US"/>
        </w:rPr>
        <w:t xml:space="preserve"> patients with greater access to high quality health care. </w:t>
      </w:r>
      <w:r w:rsidR="009268B7" w:rsidRPr="00C95DC7">
        <w:rPr>
          <w:rFonts w:ascii="Times New Roman" w:hAnsi="Times New Roman" w:cs="Times New Roman"/>
          <w:sz w:val="24"/>
          <w:szCs w:val="24"/>
          <w:lang w:val="en-US"/>
        </w:rPr>
        <w:t xml:space="preserve">We believe allowing </w:t>
      </w:r>
      <w:r w:rsidR="003A6668">
        <w:rPr>
          <w:rFonts w:ascii="Times New Roman" w:hAnsi="Times New Roman" w:cs="Times New Roman"/>
          <w:sz w:val="24"/>
          <w:szCs w:val="24"/>
          <w:lang w:val="en-US"/>
        </w:rPr>
        <w:t>greater flexibility</w:t>
      </w:r>
      <w:r w:rsidR="003A6668" w:rsidRPr="00C95DC7">
        <w:rPr>
          <w:rFonts w:ascii="Times New Roman" w:hAnsi="Times New Roman" w:cs="Times New Roman"/>
          <w:sz w:val="24"/>
          <w:szCs w:val="24"/>
          <w:lang w:val="en-US"/>
        </w:rPr>
        <w:t xml:space="preserve"> </w:t>
      </w:r>
      <w:r w:rsidR="003A6668">
        <w:rPr>
          <w:rFonts w:ascii="Times New Roman" w:hAnsi="Times New Roman" w:cs="Times New Roman"/>
          <w:sz w:val="24"/>
          <w:szCs w:val="24"/>
          <w:lang w:val="en-US"/>
        </w:rPr>
        <w:t xml:space="preserve">in designing MA benefits to align with </w:t>
      </w:r>
      <w:r w:rsidR="00382531">
        <w:rPr>
          <w:rFonts w:ascii="Times New Roman" w:hAnsi="Times New Roman" w:cs="Times New Roman"/>
          <w:sz w:val="24"/>
          <w:szCs w:val="24"/>
          <w:lang w:val="en-US"/>
        </w:rPr>
        <w:t xml:space="preserve">VBID </w:t>
      </w:r>
      <w:r w:rsidR="003A6668">
        <w:rPr>
          <w:rFonts w:ascii="Times New Roman" w:hAnsi="Times New Roman" w:cs="Times New Roman"/>
          <w:sz w:val="24"/>
          <w:szCs w:val="24"/>
          <w:lang w:val="en-US"/>
        </w:rPr>
        <w:t xml:space="preserve">principles </w:t>
      </w:r>
      <w:r w:rsidR="009268B7" w:rsidRPr="00C95DC7">
        <w:rPr>
          <w:rFonts w:ascii="Times New Roman" w:hAnsi="Times New Roman" w:cs="Times New Roman"/>
          <w:sz w:val="24"/>
          <w:szCs w:val="24"/>
          <w:lang w:val="en-US"/>
        </w:rPr>
        <w:t xml:space="preserve">will advance the interests of consumers and plans alike. </w:t>
      </w:r>
      <w:r w:rsidR="003A6668">
        <w:rPr>
          <w:rFonts w:ascii="Times New Roman" w:hAnsi="Times New Roman" w:cs="Times New Roman"/>
          <w:sz w:val="24"/>
          <w:szCs w:val="24"/>
          <w:lang w:val="en-US"/>
        </w:rPr>
        <w:t>Furthermore</w:t>
      </w:r>
      <w:r w:rsidR="009268B7" w:rsidRPr="00C95DC7">
        <w:rPr>
          <w:rFonts w:ascii="Times New Roman" w:hAnsi="Times New Roman" w:cs="Times New Roman"/>
          <w:sz w:val="24"/>
          <w:szCs w:val="24"/>
          <w:lang w:val="en-US"/>
        </w:rPr>
        <w:t xml:space="preserve">, NNI urges CMS to consider adopting similar reforms </w:t>
      </w:r>
      <w:r w:rsidR="003A6668">
        <w:rPr>
          <w:rFonts w:ascii="Times New Roman" w:hAnsi="Times New Roman" w:cs="Times New Roman"/>
          <w:sz w:val="24"/>
          <w:szCs w:val="24"/>
          <w:lang w:val="en-US"/>
        </w:rPr>
        <w:t>to</w:t>
      </w:r>
      <w:r w:rsidR="003A6668" w:rsidRPr="00C95DC7">
        <w:rPr>
          <w:rFonts w:ascii="Times New Roman" w:hAnsi="Times New Roman" w:cs="Times New Roman"/>
          <w:sz w:val="24"/>
          <w:szCs w:val="24"/>
          <w:lang w:val="en-US"/>
        </w:rPr>
        <w:t xml:space="preserve"> </w:t>
      </w:r>
      <w:r w:rsidR="009268B7" w:rsidRPr="00C95DC7">
        <w:rPr>
          <w:rFonts w:ascii="Times New Roman" w:hAnsi="Times New Roman" w:cs="Times New Roman"/>
          <w:sz w:val="24"/>
          <w:szCs w:val="24"/>
          <w:lang w:val="en-US"/>
        </w:rPr>
        <w:t xml:space="preserve">uniformity requirements </w:t>
      </w:r>
      <w:r w:rsidR="00922010" w:rsidRPr="00C95DC7">
        <w:rPr>
          <w:rFonts w:ascii="Times New Roman" w:hAnsi="Times New Roman" w:cs="Times New Roman"/>
          <w:sz w:val="24"/>
          <w:szCs w:val="24"/>
          <w:lang w:val="en-US"/>
        </w:rPr>
        <w:t xml:space="preserve">for plans in Part D as well, to ensure parity in benefits and coverage throughout Medicare. </w:t>
      </w:r>
    </w:p>
    <w:p w:rsidR="00CA0010" w:rsidRPr="00C95DC7" w:rsidRDefault="00CA0010">
      <w:pPr>
        <w:jc w:val="both"/>
        <w:rPr>
          <w:rFonts w:ascii="Times New Roman" w:hAnsi="Times New Roman" w:cs="Times New Roman"/>
          <w:sz w:val="24"/>
          <w:szCs w:val="24"/>
          <w:lang w:val="en-US"/>
        </w:rPr>
      </w:pPr>
    </w:p>
    <w:p w:rsidR="003A6668" w:rsidRDefault="003A6668">
      <w:pPr>
        <w:jc w:val="both"/>
        <w:rPr>
          <w:rFonts w:ascii="Times New Roman" w:hAnsi="Times New Roman" w:cs="Times New Roman"/>
          <w:sz w:val="24"/>
          <w:szCs w:val="24"/>
          <w:lang w:val="en-US"/>
        </w:rPr>
      </w:pPr>
      <w:r>
        <w:rPr>
          <w:rFonts w:ascii="Times New Roman" w:hAnsi="Times New Roman" w:cs="Times New Roman"/>
          <w:sz w:val="24"/>
          <w:szCs w:val="24"/>
          <w:lang w:val="en-US"/>
        </w:rPr>
        <w:t>However, w</w:t>
      </w:r>
      <w:r w:rsidRPr="00C95DC7">
        <w:rPr>
          <w:rFonts w:ascii="Times New Roman" w:hAnsi="Times New Roman" w:cs="Times New Roman"/>
          <w:sz w:val="24"/>
          <w:szCs w:val="24"/>
          <w:lang w:val="en-US"/>
        </w:rPr>
        <w:t xml:space="preserve">e </w:t>
      </w:r>
      <w:r w:rsidR="00A700B8" w:rsidRPr="00C95DC7">
        <w:rPr>
          <w:rFonts w:ascii="Times New Roman" w:hAnsi="Times New Roman" w:cs="Times New Roman"/>
          <w:sz w:val="24"/>
          <w:szCs w:val="24"/>
          <w:lang w:val="en-US"/>
        </w:rPr>
        <w:t xml:space="preserve">believe it is imperative </w:t>
      </w:r>
      <w:r>
        <w:rPr>
          <w:rFonts w:ascii="Times New Roman" w:hAnsi="Times New Roman" w:cs="Times New Roman"/>
          <w:sz w:val="24"/>
          <w:szCs w:val="24"/>
          <w:lang w:val="en-US"/>
        </w:rPr>
        <w:t>that CMS carefully define patient protections to guard against VBID being used in a discriminatory way</w:t>
      </w:r>
      <w:r w:rsidR="0007593E">
        <w:rPr>
          <w:rFonts w:ascii="Times New Roman" w:hAnsi="Times New Roman" w:cs="Times New Roman"/>
          <w:sz w:val="24"/>
          <w:szCs w:val="24"/>
          <w:lang w:val="en-US"/>
        </w:rPr>
        <w:t>.  We also believe it is essential</w:t>
      </w:r>
      <w:r>
        <w:rPr>
          <w:rFonts w:ascii="Times New Roman" w:hAnsi="Times New Roman" w:cs="Times New Roman"/>
          <w:sz w:val="24"/>
          <w:szCs w:val="24"/>
          <w:lang w:val="en-US"/>
        </w:rPr>
        <w:t xml:space="preserve"> </w:t>
      </w:r>
      <w:r w:rsidR="00A700B8" w:rsidRPr="00C95DC7">
        <w:rPr>
          <w:rFonts w:ascii="Times New Roman" w:hAnsi="Times New Roman" w:cs="Times New Roman"/>
          <w:sz w:val="24"/>
          <w:szCs w:val="24"/>
          <w:lang w:val="en-US"/>
        </w:rPr>
        <w:t>to carefully monitor and assess benefit design</w:t>
      </w:r>
      <w:r w:rsidR="00941C8A">
        <w:rPr>
          <w:rFonts w:ascii="Times New Roman" w:hAnsi="Times New Roman" w:cs="Times New Roman"/>
          <w:sz w:val="24"/>
          <w:szCs w:val="24"/>
          <w:lang w:val="en-US"/>
        </w:rPr>
        <w:t xml:space="preserve"> changes</w:t>
      </w:r>
      <w:r w:rsidR="00A700B8" w:rsidRPr="00C95DC7">
        <w:rPr>
          <w:rFonts w:ascii="Times New Roman" w:hAnsi="Times New Roman" w:cs="Times New Roman"/>
          <w:sz w:val="24"/>
          <w:szCs w:val="24"/>
          <w:lang w:val="en-US"/>
        </w:rPr>
        <w:t xml:space="preserve"> following </w:t>
      </w:r>
      <w:r w:rsidR="00941C8A">
        <w:rPr>
          <w:rFonts w:ascii="Times New Roman" w:hAnsi="Times New Roman" w:cs="Times New Roman"/>
          <w:sz w:val="24"/>
          <w:szCs w:val="24"/>
          <w:lang w:val="en-US"/>
        </w:rPr>
        <w:t xml:space="preserve">implementation of </w:t>
      </w:r>
      <w:r w:rsidR="00A700B8" w:rsidRPr="00C95DC7">
        <w:rPr>
          <w:rFonts w:ascii="Times New Roman" w:hAnsi="Times New Roman" w:cs="Times New Roman"/>
          <w:sz w:val="24"/>
          <w:szCs w:val="24"/>
          <w:lang w:val="en-US"/>
        </w:rPr>
        <w:t>the proposed flexibility reforms</w:t>
      </w:r>
      <w:r w:rsidR="0007593E">
        <w:rPr>
          <w:rFonts w:ascii="Times New Roman" w:hAnsi="Times New Roman" w:cs="Times New Roman"/>
          <w:sz w:val="24"/>
          <w:szCs w:val="24"/>
          <w:lang w:val="en-US"/>
        </w:rPr>
        <w:t>,</w:t>
      </w:r>
      <w:r w:rsidR="00A700B8" w:rsidRPr="00C95DC7">
        <w:rPr>
          <w:rFonts w:ascii="Times New Roman" w:hAnsi="Times New Roman" w:cs="Times New Roman"/>
          <w:sz w:val="24"/>
          <w:szCs w:val="24"/>
          <w:lang w:val="en-US"/>
        </w:rPr>
        <w:t xml:space="preserve"> so that plans do not adopt discriminatory practices that would adversely impact patients with higher costs, especially individuals</w:t>
      </w:r>
      <w:r w:rsidR="008742CC" w:rsidRPr="00C95DC7">
        <w:rPr>
          <w:rFonts w:ascii="Times New Roman" w:hAnsi="Times New Roman" w:cs="Times New Roman"/>
          <w:sz w:val="24"/>
          <w:szCs w:val="24"/>
          <w:lang w:val="en-US"/>
        </w:rPr>
        <w:t xml:space="preserve"> living with chronic conditions.</w:t>
      </w:r>
      <w:r>
        <w:rPr>
          <w:rFonts w:ascii="Times New Roman" w:hAnsi="Times New Roman" w:cs="Times New Roman"/>
          <w:sz w:val="24"/>
          <w:szCs w:val="24"/>
          <w:lang w:val="en-US"/>
        </w:rPr>
        <w:t xml:space="preserve"> In addition to the protections outlined in the Proposed Rule, NNI suggests that CMS adopt the following protections:</w:t>
      </w:r>
    </w:p>
    <w:p w:rsidR="00382531" w:rsidRDefault="00382531">
      <w:pPr>
        <w:jc w:val="both"/>
        <w:rPr>
          <w:rFonts w:ascii="Times New Roman" w:hAnsi="Times New Roman" w:cs="Times New Roman"/>
          <w:sz w:val="24"/>
          <w:szCs w:val="24"/>
          <w:lang w:val="en-US"/>
        </w:rPr>
      </w:pPr>
    </w:p>
    <w:p w:rsidR="003A6668" w:rsidRPr="00826288" w:rsidRDefault="003A6668" w:rsidP="00826288">
      <w:pPr>
        <w:pStyle w:val="ListParagraph"/>
        <w:numPr>
          <w:ilvl w:val="0"/>
          <w:numId w:val="15"/>
        </w:numPr>
        <w:spacing w:after="240" w:line="240" w:lineRule="auto"/>
        <w:jc w:val="both"/>
        <w:rPr>
          <w:rFonts w:ascii="Times New Roman" w:eastAsia="Times New Roman" w:hAnsi="Times New Roman"/>
          <w:sz w:val="24"/>
          <w:szCs w:val="24"/>
          <w:lang w:eastAsia="da-DK"/>
        </w:rPr>
      </w:pPr>
      <w:r w:rsidRPr="00826288">
        <w:rPr>
          <w:rFonts w:ascii="Times New Roman" w:eastAsia="Times New Roman" w:hAnsi="Times New Roman"/>
          <w:sz w:val="24"/>
          <w:szCs w:val="24"/>
          <w:lang w:eastAsia="da-DK"/>
        </w:rPr>
        <w:t>VBID should not lead to cost</w:t>
      </w:r>
      <w:r>
        <w:rPr>
          <w:rFonts w:ascii="Times New Roman" w:eastAsia="Times New Roman" w:hAnsi="Times New Roman"/>
          <w:sz w:val="24"/>
          <w:szCs w:val="24"/>
          <w:lang w:eastAsia="da-DK"/>
        </w:rPr>
        <w:t>-</w:t>
      </w:r>
      <w:r w:rsidRPr="00826288">
        <w:rPr>
          <w:rFonts w:ascii="Times New Roman" w:eastAsia="Times New Roman" w:hAnsi="Times New Roman"/>
          <w:sz w:val="24"/>
          <w:szCs w:val="24"/>
          <w:lang w:eastAsia="da-DK"/>
        </w:rPr>
        <w:t>sharing increases for other covered items or services</w:t>
      </w:r>
      <w:r>
        <w:rPr>
          <w:rFonts w:ascii="Times New Roman" w:eastAsia="Times New Roman" w:hAnsi="Times New Roman"/>
          <w:sz w:val="24"/>
          <w:szCs w:val="24"/>
          <w:lang w:eastAsia="da-DK"/>
        </w:rPr>
        <w:t>,</w:t>
      </w:r>
      <w:r w:rsidRPr="00826288">
        <w:rPr>
          <w:rFonts w:ascii="Times New Roman" w:eastAsia="Times New Roman" w:hAnsi="Times New Roman"/>
          <w:sz w:val="24"/>
          <w:szCs w:val="24"/>
          <w:lang w:eastAsia="da-DK"/>
        </w:rPr>
        <w:t xml:space="preserve"> or reductions in the number of medicines on a health plan’s formulary</w:t>
      </w:r>
    </w:p>
    <w:p w:rsidR="003A6668" w:rsidRPr="00826288" w:rsidRDefault="003A6668" w:rsidP="00826288">
      <w:pPr>
        <w:pStyle w:val="ListParagraph"/>
        <w:numPr>
          <w:ilvl w:val="0"/>
          <w:numId w:val="15"/>
        </w:numPr>
        <w:spacing w:after="240" w:line="240" w:lineRule="auto"/>
        <w:jc w:val="both"/>
        <w:rPr>
          <w:rFonts w:ascii="Times New Roman" w:eastAsia="Times New Roman" w:hAnsi="Times New Roman"/>
          <w:sz w:val="24"/>
          <w:szCs w:val="24"/>
          <w:lang w:eastAsia="da-DK"/>
        </w:rPr>
      </w:pPr>
      <w:r w:rsidRPr="00826288">
        <w:rPr>
          <w:rFonts w:ascii="Times New Roman" w:eastAsia="Times New Roman" w:hAnsi="Times New Roman"/>
          <w:sz w:val="24"/>
          <w:szCs w:val="24"/>
          <w:lang w:eastAsia="da-DK"/>
        </w:rPr>
        <w:t>VBID cost</w:t>
      </w:r>
      <w:r>
        <w:rPr>
          <w:rFonts w:ascii="Times New Roman" w:eastAsia="Times New Roman" w:hAnsi="Times New Roman"/>
          <w:sz w:val="24"/>
          <w:szCs w:val="24"/>
          <w:lang w:eastAsia="da-DK"/>
        </w:rPr>
        <w:t xml:space="preserve"> </w:t>
      </w:r>
      <w:r w:rsidRPr="00826288">
        <w:rPr>
          <w:rFonts w:ascii="Times New Roman" w:eastAsia="Times New Roman" w:hAnsi="Times New Roman"/>
          <w:sz w:val="24"/>
          <w:szCs w:val="24"/>
          <w:lang w:eastAsia="da-DK"/>
        </w:rPr>
        <w:t>sharing must be based on an appropriate assessment of value, not price</w:t>
      </w:r>
    </w:p>
    <w:p w:rsidR="003A6668" w:rsidRPr="00826288" w:rsidRDefault="003A6668" w:rsidP="00826288">
      <w:pPr>
        <w:pStyle w:val="ListParagraph"/>
        <w:numPr>
          <w:ilvl w:val="0"/>
          <w:numId w:val="15"/>
        </w:numPr>
        <w:spacing w:after="240" w:line="240" w:lineRule="auto"/>
        <w:jc w:val="both"/>
        <w:rPr>
          <w:rFonts w:ascii="Times New Roman" w:eastAsia="Times New Roman" w:hAnsi="Times New Roman"/>
          <w:sz w:val="24"/>
          <w:szCs w:val="24"/>
          <w:lang w:eastAsia="da-DK"/>
        </w:rPr>
      </w:pPr>
      <w:r w:rsidRPr="00826288">
        <w:rPr>
          <w:rFonts w:ascii="Times New Roman" w:eastAsia="Times New Roman" w:hAnsi="Times New Roman"/>
          <w:sz w:val="24"/>
          <w:szCs w:val="24"/>
          <w:lang w:eastAsia="da-DK"/>
        </w:rPr>
        <w:t>Value assessments should be based on the full body of available evidence, based on a range of study designs</w:t>
      </w:r>
    </w:p>
    <w:p w:rsidR="003A6668" w:rsidRPr="00826288" w:rsidRDefault="003A6668" w:rsidP="00826288">
      <w:pPr>
        <w:pStyle w:val="ListParagraph"/>
        <w:numPr>
          <w:ilvl w:val="0"/>
          <w:numId w:val="15"/>
        </w:numPr>
        <w:spacing w:after="240" w:line="240" w:lineRule="auto"/>
        <w:jc w:val="both"/>
        <w:rPr>
          <w:rFonts w:ascii="Times New Roman" w:eastAsia="Times New Roman" w:hAnsi="Times New Roman"/>
          <w:sz w:val="24"/>
          <w:szCs w:val="24"/>
          <w:lang w:eastAsia="da-DK"/>
        </w:rPr>
      </w:pPr>
      <w:r w:rsidRPr="00826288">
        <w:rPr>
          <w:rFonts w:ascii="Times New Roman" w:eastAsia="Times New Roman" w:hAnsi="Times New Roman"/>
          <w:sz w:val="24"/>
          <w:szCs w:val="24"/>
          <w:lang w:eastAsia="da-DK"/>
        </w:rPr>
        <w:t>Value must incorporate relevant clinical quality and patient-centered measures and account for changes in evidence, medical practice, and innovations</w:t>
      </w:r>
    </w:p>
    <w:p w:rsidR="00624C88" w:rsidRPr="00C95DC7" w:rsidRDefault="003825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w:t>
      </w:r>
      <w:r w:rsidR="00132A75" w:rsidRPr="00C95DC7">
        <w:rPr>
          <w:rFonts w:ascii="Times New Roman" w:hAnsi="Times New Roman" w:cs="Times New Roman"/>
          <w:sz w:val="24"/>
          <w:szCs w:val="24"/>
          <w:lang w:val="en-US"/>
        </w:rPr>
        <w:t xml:space="preserve">CMS notes that the proposed benefit and cost-sharing flexibility applies only to Part C benefits and not </w:t>
      </w:r>
      <w:r w:rsidR="00D10868" w:rsidRPr="00C95DC7">
        <w:rPr>
          <w:rFonts w:ascii="Times New Roman" w:hAnsi="Times New Roman" w:cs="Times New Roman"/>
          <w:sz w:val="24"/>
          <w:szCs w:val="24"/>
          <w:lang w:val="en-US"/>
        </w:rPr>
        <w:t>to Part D benefits. However, NNI</w:t>
      </w:r>
      <w:r w:rsidR="00132A75" w:rsidRPr="00C95DC7">
        <w:rPr>
          <w:rFonts w:ascii="Times New Roman" w:hAnsi="Times New Roman" w:cs="Times New Roman"/>
          <w:sz w:val="24"/>
          <w:szCs w:val="24"/>
          <w:lang w:val="en-US"/>
        </w:rPr>
        <w:t xml:space="preserve"> believes that in order to maintain continuity across</w:t>
      </w:r>
      <w:r w:rsidR="00D10868" w:rsidRPr="00C95DC7">
        <w:rPr>
          <w:rFonts w:ascii="Times New Roman" w:hAnsi="Times New Roman" w:cs="Times New Roman"/>
          <w:sz w:val="24"/>
          <w:szCs w:val="24"/>
          <w:lang w:val="en-US"/>
        </w:rPr>
        <w:t xml:space="preserve"> the Medicare program, uniformity reforms that allow for </w:t>
      </w:r>
      <w:r w:rsidR="003A6668">
        <w:rPr>
          <w:rFonts w:ascii="Times New Roman" w:hAnsi="Times New Roman" w:cs="Times New Roman"/>
          <w:sz w:val="24"/>
          <w:szCs w:val="24"/>
          <w:lang w:val="en-US"/>
        </w:rPr>
        <w:t>meaningful value-based insurance</w:t>
      </w:r>
      <w:r w:rsidR="00D10868" w:rsidRPr="00C95DC7">
        <w:rPr>
          <w:rFonts w:ascii="Times New Roman" w:hAnsi="Times New Roman" w:cs="Times New Roman"/>
          <w:sz w:val="24"/>
          <w:szCs w:val="24"/>
          <w:lang w:val="en-US"/>
        </w:rPr>
        <w:t xml:space="preserve"> design</w:t>
      </w:r>
      <w:r w:rsidR="00132A75" w:rsidRPr="00C95DC7">
        <w:rPr>
          <w:rFonts w:ascii="Times New Roman" w:hAnsi="Times New Roman" w:cs="Times New Roman"/>
          <w:sz w:val="24"/>
          <w:szCs w:val="24"/>
          <w:lang w:val="en-US"/>
        </w:rPr>
        <w:t xml:space="preserve"> should be avai</w:t>
      </w:r>
      <w:r w:rsidR="003F1B35" w:rsidRPr="00C95DC7">
        <w:rPr>
          <w:rFonts w:ascii="Times New Roman" w:hAnsi="Times New Roman" w:cs="Times New Roman"/>
          <w:sz w:val="24"/>
          <w:szCs w:val="24"/>
          <w:lang w:val="en-US"/>
        </w:rPr>
        <w:t xml:space="preserve">lable </w:t>
      </w:r>
      <w:r w:rsidR="00941C8A">
        <w:rPr>
          <w:rFonts w:ascii="Times New Roman" w:hAnsi="Times New Roman" w:cs="Times New Roman"/>
          <w:sz w:val="24"/>
          <w:szCs w:val="24"/>
          <w:lang w:val="en-US"/>
        </w:rPr>
        <w:t>to</w:t>
      </w:r>
      <w:r w:rsidR="00941C8A" w:rsidRPr="00C95DC7">
        <w:rPr>
          <w:rFonts w:ascii="Times New Roman" w:hAnsi="Times New Roman" w:cs="Times New Roman"/>
          <w:sz w:val="24"/>
          <w:szCs w:val="24"/>
          <w:lang w:val="en-US"/>
        </w:rPr>
        <w:t xml:space="preserve"> </w:t>
      </w:r>
      <w:r w:rsidR="003F1B35" w:rsidRPr="00C95DC7">
        <w:rPr>
          <w:rFonts w:ascii="Times New Roman" w:hAnsi="Times New Roman" w:cs="Times New Roman"/>
          <w:sz w:val="24"/>
          <w:szCs w:val="24"/>
          <w:lang w:val="en-US"/>
        </w:rPr>
        <w:t xml:space="preserve">Part D </w:t>
      </w:r>
      <w:r w:rsidR="00941C8A">
        <w:rPr>
          <w:rFonts w:ascii="Times New Roman" w:hAnsi="Times New Roman" w:cs="Times New Roman"/>
          <w:sz w:val="24"/>
          <w:szCs w:val="24"/>
          <w:lang w:val="en-US"/>
        </w:rPr>
        <w:t xml:space="preserve">plans </w:t>
      </w:r>
      <w:r w:rsidR="003F1B35" w:rsidRPr="00C95DC7">
        <w:rPr>
          <w:rFonts w:ascii="Times New Roman" w:hAnsi="Times New Roman" w:cs="Times New Roman"/>
          <w:sz w:val="24"/>
          <w:szCs w:val="24"/>
          <w:lang w:val="en-US"/>
        </w:rPr>
        <w:t>as well.</w:t>
      </w:r>
      <w:r w:rsidR="003E791F" w:rsidRPr="00C95DC7">
        <w:rPr>
          <w:rFonts w:ascii="Times New Roman" w:hAnsi="Times New Roman" w:cs="Times New Roman"/>
          <w:sz w:val="24"/>
          <w:szCs w:val="24"/>
          <w:lang w:val="en-US"/>
        </w:rPr>
        <w:t xml:space="preserve"> </w:t>
      </w:r>
      <w:r w:rsidR="00957BEF" w:rsidRPr="00C95DC7">
        <w:rPr>
          <w:rFonts w:ascii="Times New Roman" w:hAnsi="Times New Roman" w:cs="Times New Roman"/>
          <w:sz w:val="24"/>
          <w:szCs w:val="24"/>
          <w:lang w:val="en-US"/>
        </w:rPr>
        <w:t>NNI looks forward to providing further comments on change</w:t>
      </w:r>
      <w:r w:rsidR="003E791F" w:rsidRPr="00C95DC7">
        <w:rPr>
          <w:rFonts w:ascii="Times New Roman" w:hAnsi="Times New Roman" w:cs="Times New Roman"/>
          <w:sz w:val="24"/>
          <w:szCs w:val="24"/>
          <w:lang w:val="en-US"/>
        </w:rPr>
        <w:t xml:space="preserve">s to uniformity requirements when </w:t>
      </w:r>
      <w:r w:rsidR="00957BEF" w:rsidRPr="00C95DC7">
        <w:rPr>
          <w:rFonts w:ascii="Times New Roman" w:hAnsi="Times New Roman" w:cs="Times New Roman"/>
          <w:sz w:val="24"/>
          <w:szCs w:val="24"/>
          <w:lang w:val="en-US"/>
        </w:rPr>
        <w:t xml:space="preserve">the operational details of this policy are outlined in the </w:t>
      </w:r>
      <w:r w:rsidR="00941C8A" w:rsidRPr="00C95DC7">
        <w:rPr>
          <w:rFonts w:ascii="Times New Roman" w:hAnsi="Times New Roman" w:cs="Times New Roman"/>
          <w:sz w:val="24"/>
          <w:szCs w:val="24"/>
          <w:lang w:val="en-US"/>
        </w:rPr>
        <w:t>201</w:t>
      </w:r>
      <w:r w:rsidR="00941C8A">
        <w:rPr>
          <w:rFonts w:ascii="Times New Roman" w:hAnsi="Times New Roman" w:cs="Times New Roman"/>
          <w:sz w:val="24"/>
          <w:szCs w:val="24"/>
          <w:lang w:val="en-US"/>
        </w:rPr>
        <w:t>9</w:t>
      </w:r>
      <w:r w:rsidR="00941C8A" w:rsidRPr="00C95DC7">
        <w:rPr>
          <w:rFonts w:ascii="Times New Roman" w:hAnsi="Times New Roman" w:cs="Times New Roman"/>
          <w:sz w:val="24"/>
          <w:szCs w:val="24"/>
          <w:lang w:val="en-US"/>
        </w:rPr>
        <w:t xml:space="preserve"> </w:t>
      </w:r>
      <w:r w:rsidR="00957BEF" w:rsidRPr="00C95DC7">
        <w:rPr>
          <w:rFonts w:ascii="Times New Roman" w:hAnsi="Times New Roman" w:cs="Times New Roman"/>
          <w:sz w:val="24"/>
          <w:szCs w:val="24"/>
          <w:lang w:val="en-US"/>
        </w:rPr>
        <w:t xml:space="preserve">Call Letter. </w:t>
      </w:r>
    </w:p>
    <w:p w:rsidR="004D091D" w:rsidRPr="00C95DC7" w:rsidRDefault="004D091D">
      <w:pPr>
        <w:jc w:val="both"/>
        <w:rPr>
          <w:rFonts w:ascii="Times New Roman" w:hAnsi="Times New Roman" w:cs="Times New Roman"/>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lastRenderedPageBreak/>
        <w:t>Maximum Out-of-Pocket (MOOP) limit and Cost-Sharing Limits for Medicare Parts A and B Services</w:t>
      </w:r>
    </w:p>
    <w:p w:rsidR="00E77B2C" w:rsidRDefault="00E77B2C">
      <w:pPr>
        <w:jc w:val="both"/>
        <w:rPr>
          <w:rFonts w:ascii="Times New Roman" w:hAnsi="Times New Roman" w:cs="Times New Roman"/>
          <w:b/>
          <w:sz w:val="24"/>
          <w:szCs w:val="24"/>
          <w:lang w:val="en-US"/>
        </w:rPr>
      </w:pPr>
    </w:p>
    <w:p w:rsidR="00E77B2C" w:rsidRPr="00826288" w:rsidRDefault="00E77B2C" w:rsidP="00826288">
      <w:pPr>
        <w:spacing w:after="240"/>
        <w:jc w:val="both"/>
        <w:rPr>
          <w:rFonts w:ascii="Times New Roman" w:hAnsi="Times New Roman" w:cs="Times New Roman"/>
          <w:sz w:val="24"/>
          <w:szCs w:val="24"/>
        </w:rPr>
      </w:pPr>
      <w:r w:rsidRPr="00826288">
        <w:rPr>
          <w:rFonts w:ascii="Times New Roman" w:hAnsi="Times New Roman" w:cs="Times New Roman"/>
          <w:b/>
          <w:sz w:val="24"/>
          <w:szCs w:val="24"/>
        </w:rPr>
        <w:t>Description:</w:t>
      </w:r>
      <w:r w:rsidRPr="00826288">
        <w:rPr>
          <w:rFonts w:ascii="Times New Roman" w:hAnsi="Times New Roman" w:cs="Times New Roman"/>
          <w:sz w:val="24"/>
          <w:szCs w:val="24"/>
        </w:rPr>
        <w:t xml:space="preserve"> Current law requires MA plans to apply a maximum out-of-pocket (MOO</w:t>
      </w:r>
      <w:r w:rsidR="0007593E">
        <w:rPr>
          <w:rFonts w:ascii="Times New Roman" w:hAnsi="Times New Roman" w:cs="Times New Roman"/>
          <w:sz w:val="24"/>
          <w:szCs w:val="24"/>
        </w:rPr>
        <w:t xml:space="preserve">P) limit on annual patient cost </w:t>
      </w:r>
      <w:r w:rsidRPr="00826288">
        <w:rPr>
          <w:rFonts w:ascii="Times New Roman" w:hAnsi="Times New Roman" w:cs="Times New Roman"/>
          <w:sz w:val="24"/>
          <w:szCs w:val="24"/>
        </w:rPr>
        <w:t>sharing for Part A and B covered services. CMS sets this mandatory MOOP (currently $6700) at approximately the 95</w:t>
      </w:r>
      <w:r w:rsidRPr="00826288">
        <w:rPr>
          <w:rFonts w:ascii="Times New Roman" w:hAnsi="Times New Roman" w:cs="Times New Roman"/>
          <w:sz w:val="24"/>
          <w:szCs w:val="24"/>
          <w:vertAlign w:val="superscript"/>
        </w:rPr>
        <w:t>th</w:t>
      </w:r>
      <w:r w:rsidRPr="00826288">
        <w:rPr>
          <w:rFonts w:ascii="Times New Roman" w:hAnsi="Times New Roman" w:cs="Times New Roman"/>
          <w:sz w:val="24"/>
          <w:szCs w:val="24"/>
        </w:rPr>
        <w:t xml:space="preserve"> percentile of projected out-of-pocket spending for Part A and B services (i.e., only about 5 percent of Medicare fee-for-service beneficiaries are expected to incur annual Part A and B cost-sharing charges exceeding $6700).</w:t>
      </w:r>
      <w:r w:rsidRPr="00826288">
        <w:rPr>
          <w:rStyle w:val="FootnoteReference"/>
          <w:rFonts w:ascii="Times New Roman" w:hAnsi="Times New Roman" w:cs="Times New Roman"/>
          <w:sz w:val="24"/>
          <w:szCs w:val="24"/>
        </w:rPr>
        <w:footnoteReference w:id="2"/>
      </w:r>
      <w:r w:rsidRPr="00826288">
        <w:rPr>
          <w:rFonts w:ascii="Times New Roman" w:hAnsi="Times New Roman" w:cs="Times New Roman"/>
          <w:sz w:val="24"/>
          <w:szCs w:val="24"/>
        </w:rPr>
        <w:t xml:space="preserve">  CMS proposes to amend the MA regulations t</w:t>
      </w:r>
      <w:r w:rsidR="0007593E">
        <w:rPr>
          <w:rFonts w:ascii="Times New Roman" w:hAnsi="Times New Roman" w:cs="Times New Roman"/>
          <w:sz w:val="24"/>
          <w:szCs w:val="24"/>
        </w:rPr>
        <w:t xml:space="preserve">o specify that it may vary the </w:t>
      </w:r>
      <w:r w:rsidRPr="00826288">
        <w:rPr>
          <w:rFonts w:ascii="Times New Roman" w:hAnsi="Times New Roman" w:cs="Times New Roman"/>
          <w:sz w:val="24"/>
          <w:szCs w:val="24"/>
        </w:rPr>
        <w:t>MOOP from year to year as necessary to “strike a balance between limiting maximum beneficiary out-of-pocket costs and potential changes in premiums, benefits, and cost</w:t>
      </w:r>
      <w:r w:rsidR="0007593E">
        <w:rPr>
          <w:rFonts w:ascii="Times New Roman" w:hAnsi="Times New Roman" w:cs="Times New Roman"/>
          <w:sz w:val="24"/>
          <w:szCs w:val="24"/>
        </w:rPr>
        <w:t xml:space="preserve"> </w:t>
      </w:r>
      <w:r w:rsidRPr="00826288">
        <w:rPr>
          <w:rFonts w:ascii="Times New Roman" w:hAnsi="Times New Roman" w:cs="Times New Roman"/>
          <w:sz w:val="24"/>
          <w:szCs w:val="24"/>
        </w:rPr>
        <w:t>sharing with the goal of ensuring beneficiary access to affordable and sustainable benefit packages.”</w:t>
      </w:r>
      <w:r w:rsidRPr="00826288">
        <w:rPr>
          <w:rStyle w:val="FootnoteReference"/>
          <w:rFonts w:ascii="Times New Roman" w:hAnsi="Times New Roman" w:cs="Times New Roman"/>
          <w:sz w:val="24"/>
          <w:szCs w:val="24"/>
        </w:rPr>
        <w:footnoteReference w:id="3"/>
      </w:r>
    </w:p>
    <w:p w:rsidR="00E77B2C" w:rsidRPr="00C95DC7" w:rsidRDefault="00E77B2C">
      <w:pPr>
        <w:jc w:val="both"/>
        <w:rPr>
          <w:rFonts w:ascii="Times New Roman" w:hAnsi="Times New Roman" w:cs="Times New Roman"/>
          <w:b/>
          <w:sz w:val="24"/>
          <w:szCs w:val="24"/>
          <w:lang w:val="en-US"/>
        </w:rPr>
      </w:pPr>
      <w:r>
        <w:rPr>
          <w:rFonts w:ascii="Times New Roman" w:hAnsi="Times New Roman" w:cs="Times New Roman"/>
          <w:b/>
          <w:sz w:val="24"/>
          <w:szCs w:val="24"/>
          <w:lang w:val="en-US"/>
        </w:rPr>
        <w:t>Comments:</w:t>
      </w:r>
    </w:p>
    <w:p w:rsidR="0085072B" w:rsidRPr="00C95DC7" w:rsidRDefault="0085072B">
      <w:pPr>
        <w:jc w:val="both"/>
        <w:rPr>
          <w:rFonts w:ascii="Times New Roman" w:hAnsi="Times New Roman" w:cs="Times New Roman"/>
          <w:sz w:val="24"/>
          <w:szCs w:val="24"/>
          <w:lang w:val="en-US"/>
        </w:rPr>
      </w:pPr>
    </w:p>
    <w:p w:rsidR="005307AD" w:rsidRDefault="0085072B">
      <w:pPr>
        <w:jc w:val="both"/>
        <w:rPr>
          <w:rFonts w:ascii="Times New Roman" w:hAnsi="Times New Roman" w:cs="Times New Roman"/>
          <w:sz w:val="24"/>
          <w:szCs w:val="24"/>
        </w:rPr>
      </w:pPr>
      <w:r w:rsidRPr="00C95DC7">
        <w:rPr>
          <w:rFonts w:ascii="Times New Roman" w:hAnsi="Times New Roman" w:cs="Times New Roman"/>
          <w:sz w:val="24"/>
          <w:szCs w:val="24"/>
          <w:lang w:val="en-US"/>
        </w:rPr>
        <w:t xml:space="preserve">NNI continues to support limits on enrollee out-of-pocket cost sharing (deductibles, coinsurance, and copayments) for services rendered under </w:t>
      </w:r>
      <w:r w:rsidR="005307AD">
        <w:rPr>
          <w:rFonts w:ascii="Times New Roman" w:hAnsi="Times New Roman" w:cs="Times New Roman"/>
          <w:sz w:val="24"/>
          <w:szCs w:val="24"/>
          <w:lang w:val="en-US"/>
        </w:rPr>
        <w:t>P</w:t>
      </w:r>
      <w:r w:rsidR="005307AD" w:rsidRPr="00C95DC7">
        <w:rPr>
          <w:rFonts w:ascii="Times New Roman" w:hAnsi="Times New Roman" w:cs="Times New Roman"/>
          <w:sz w:val="24"/>
          <w:szCs w:val="24"/>
          <w:lang w:val="en-US"/>
        </w:rPr>
        <w:t xml:space="preserve">arts </w:t>
      </w:r>
      <w:r w:rsidRPr="00C95DC7">
        <w:rPr>
          <w:rFonts w:ascii="Times New Roman" w:hAnsi="Times New Roman" w:cs="Times New Roman"/>
          <w:sz w:val="24"/>
          <w:szCs w:val="24"/>
          <w:lang w:val="en-US"/>
        </w:rPr>
        <w:t xml:space="preserve">A and B </w:t>
      </w:r>
      <w:r w:rsidR="005307AD">
        <w:rPr>
          <w:rFonts w:ascii="Times New Roman" w:hAnsi="Times New Roman" w:cs="Times New Roman"/>
          <w:sz w:val="24"/>
          <w:szCs w:val="24"/>
          <w:lang w:val="en-US"/>
        </w:rPr>
        <w:t>in</w:t>
      </w:r>
      <w:r w:rsidR="005307AD" w:rsidRPr="00C95DC7">
        <w:rPr>
          <w:rFonts w:ascii="Times New Roman" w:hAnsi="Times New Roman" w:cs="Times New Roman"/>
          <w:sz w:val="24"/>
          <w:szCs w:val="24"/>
          <w:lang w:val="en-US"/>
        </w:rPr>
        <w:t xml:space="preserve"> </w:t>
      </w:r>
      <w:r w:rsidRPr="00C95DC7">
        <w:rPr>
          <w:rFonts w:ascii="Times New Roman" w:hAnsi="Times New Roman" w:cs="Times New Roman"/>
          <w:sz w:val="24"/>
          <w:szCs w:val="24"/>
          <w:lang w:val="en-US"/>
        </w:rPr>
        <w:t>Medicare</w:t>
      </w:r>
      <w:r w:rsidR="005307AD">
        <w:rPr>
          <w:rFonts w:ascii="Times New Roman" w:hAnsi="Times New Roman" w:cs="Times New Roman"/>
          <w:sz w:val="24"/>
          <w:szCs w:val="24"/>
          <w:lang w:val="en-US"/>
        </w:rPr>
        <w:t xml:space="preserve"> Advantage</w:t>
      </w:r>
      <w:r w:rsidRPr="00C95DC7">
        <w:rPr>
          <w:rFonts w:ascii="Times New Roman" w:hAnsi="Times New Roman" w:cs="Times New Roman"/>
          <w:sz w:val="24"/>
          <w:szCs w:val="24"/>
          <w:lang w:val="en-US"/>
        </w:rPr>
        <w:t>. These limits were intended to help ensure that individuals who use higher-than-average levels of health care services, such as people living with chronic diseases, are n</w:t>
      </w:r>
      <w:r w:rsidR="005338F9" w:rsidRPr="00C95DC7">
        <w:rPr>
          <w:rFonts w:ascii="Times New Roman" w:hAnsi="Times New Roman" w:cs="Times New Roman"/>
          <w:sz w:val="24"/>
          <w:szCs w:val="24"/>
          <w:lang w:val="en-US"/>
        </w:rPr>
        <w:t>ot discouraged from enro</w:t>
      </w:r>
      <w:r w:rsidR="005266F4" w:rsidRPr="00C95DC7">
        <w:rPr>
          <w:rFonts w:ascii="Times New Roman" w:hAnsi="Times New Roman" w:cs="Times New Roman"/>
          <w:sz w:val="24"/>
          <w:szCs w:val="24"/>
          <w:lang w:val="en-US"/>
        </w:rPr>
        <w:t>l</w:t>
      </w:r>
      <w:r w:rsidR="005338F9" w:rsidRPr="00C95DC7">
        <w:rPr>
          <w:rFonts w:ascii="Times New Roman" w:hAnsi="Times New Roman" w:cs="Times New Roman"/>
          <w:sz w:val="24"/>
          <w:szCs w:val="24"/>
          <w:lang w:val="en-US"/>
        </w:rPr>
        <w:t xml:space="preserve">lment. </w:t>
      </w:r>
      <w:r w:rsidR="005307AD">
        <w:rPr>
          <w:rFonts w:ascii="Times New Roman" w:hAnsi="Times New Roman" w:cs="Times New Roman"/>
          <w:sz w:val="24"/>
          <w:szCs w:val="24"/>
        </w:rPr>
        <w:t>Incorporating</w:t>
      </w:r>
      <w:r w:rsidR="005307AD" w:rsidRPr="00C95DC7">
        <w:rPr>
          <w:rFonts w:ascii="Times New Roman" w:hAnsi="Times New Roman" w:cs="Times New Roman"/>
          <w:sz w:val="24"/>
          <w:szCs w:val="24"/>
        </w:rPr>
        <w:t xml:space="preserve"> </w:t>
      </w:r>
      <w:r w:rsidR="005266F4" w:rsidRPr="00C95DC7">
        <w:rPr>
          <w:rFonts w:ascii="Times New Roman" w:hAnsi="Times New Roman" w:cs="Times New Roman"/>
          <w:sz w:val="24"/>
          <w:szCs w:val="24"/>
        </w:rPr>
        <w:t>appropriate cost-sharing standards and thresholds is imperative to ensure that beneficiaries are not unduly burdened by their out-of-pocket costs, which can hinder appropriate use o</w:t>
      </w:r>
      <w:r w:rsidR="00D2396A" w:rsidRPr="00C95DC7">
        <w:rPr>
          <w:rFonts w:ascii="Times New Roman" w:hAnsi="Times New Roman" w:cs="Times New Roman"/>
          <w:sz w:val="24"/>
          <w:szCs w:val="24"/>
        </w:rPr>
        <w:t>f the healthcare system and</w:t>
      </w:r>
      <w:r w:rsidR="005266F4" w:rsidRPr="00C95DC7">
        <w:rPr>
          <w:rFonts w:ascii="Times New Roman" w:hAnsi="Times New Roman" w:cs="Times New Roman"/>
          <w:sz w:val="24"/>
          <w:szCs w:val="24"/>
        </w:rPr>
        <w:t xml:space="preserve"> deter patients from accessing the care they need. </w:t>
      </w:r>
    </w:p>
    <w:p w:rsidR="005307AD" w:rsidRDefault="005307AD">
      <w:pPr>
        <w:jc w:val="both"/>
        <w:rPr>
          <w:rFonts w:ascii="Times New Roman" w:hAnsi="Times New Roman" w:cs="Times New Roman"/>
          <w:sz w:val="24"/>
          <w:szCs w:val="24"/>
        </w:rPr>
      </w:pPr>
    </w:p>
    <w:p w:rsidR="00FB298E" w:rsidRPr="00C95DC7" w:rsidRDefault="005266F4">
      <w:pPr>
        <w:jc w:val="both"/>
        <w:rPr>
          <w:rFonts w:ascii="Times New Roman" w:hAnsi="Times New Roman" w:cs="Times New Roman"/>
          <w:sz w:val="24"/>
          <w:szCs w:val="24"/>
          <w:lang w:val="en-US"/>
        </w:rPr>
      </w:pPr>
      <w:r w:rsidRPr="00C95DC7">
        <w:rPr>
          <w:rFonts w:ascii="Times New Roman" w:hAnsi="Times New Roman" w:cs="Times New Roman"/>
          <w:sz w:val="24"/>
          <w:szCs w:val="24"/>
        </w:rPr>
        <w:t xml:space="preserve">While increasing flexibility for plans who voluntarily offer lower MOOP limits can allow for improved plan design, it will be important to ensure that </w:t>
      </w:r>
      <w:r w:rsidR="005307AD">
        <w:rPr>
          <w:rFonts w:ascii="Times New Roman" w:hAnsi="Times New Roman" w:cs="Times New Roman"/>
          <w:sz w:val="24"/>
          <w:szCs w:val="24"/>
        </w:rPr>
        <w:t>vulnerable</w:t>
      </w:r>
      <w:r w:rsidR="005307AD" w:rsidRPr="00C95DC7">
        <w:rPr>
          <w:rFonts w:ascii="Times New Roman" w:hAnsi="Times New Roman" w:cs="Times New Roman"/>
          <w:sz w:val="24"/>
          <w:szCs w:val="24"/>
        </w:rPr>
        <w:t xml:space="preserve"> </w:t>
      </w:r>
      <w:r w:rsidRPr="00C95DC7">
        <w:rPr>
          <w:rFonts w:ascii="Times New Roman" w:hAnsi="Times New Roman" w:cs="Times New Roman"/>
          <w:sz w:val="24"/>
          <w:szCs w:val="24"/>
        </w:rPr>
        <w:t xml:space="preserve">patient populations are not </w:t>
      </w:r>
      <w:r w:rsidR="005307AD">
        <w:rPr>
          <w:rFonts w:ascii="Times New Roman" w:hAnsi="Times New Roman" w:cs="Times New Roman"/>
          <w:sz w:val="24"/>
          <w:szCs w:val="24"/>
        </w:rPr>
        <w:t>disadvantaged as a result</w:t>
      </w:r>
      <w:r w:rsidRPr="00C95DC7">
        <w:rPr>
          <w:rFonts w:ascii="Times New Roman" w:hAnsi="Times New Roman" w:cs="Times New Roman"/>
          <w:sz w:val="24"/>
          <w:szCs w:val="24"/>
        </w:rPr>
        <w:t xml:space="preserve">. </w:t>
      </w:r>
      <w:r w:rsidR="005307AD">
        <w:rPr>
          <w:rFonts w:ascii="Times New Roman" w:hAnsi="Times New Roman" w:cs="Times New Roman"/>
          <w:sz w:val="24"/>
          <w:szCs w:val="24"/>
          <w:lang w:val="en-US"/>
        </w:rPr>
        <w:t xml:space="preserve">Specifically, </w:t>
      </w:r>
      <w:r w:rsidR="000455F8" w:rsidRPr="00C95DC7">
        <w:rPr>
          <w:rFonts w:ascii="Times New Roman" w:hAnsi="Times New Roman" w:cs="Times New Roman"/>
          <w:sz w:val="24"/>
          <w:szCs w:val="24"/>
          <w:lang w:val="en-US"/>
        </w:rPr>
        <w:t xml:space="preserve">NNI is concerned with CMS’ statement that it is considering increasing the MOOP limit, </w:t>
      </w:r>
      <w:r w:rsidR="00D2396A" w:rsidRPr="00C95DC7">
        <w:rPr>
          <w:rFonts w:ascii="Times New Roman" w:hAnsi="Times New Roman" w:cs="Times New Roman"/>
          <w:sz w:val="24"/>
          <w:szCs w:val="24"/>
          <w:lang w:val="en-US"/>
        </w:rPr>
        <w:t>o</w:t>
      </w:r>
      <w:r w:rsidR="00626487" w:rsidRPr="00C95DC7">
        <w:rPr>
          <w:rFonts w:ascii="Times New Roman" w:hAnsi="Times New Roman" w:cs="Times New Roman"/>
          <w:sz w:val="24"/>
          <w:szCs w:val="24"/>
          <w:lang w:val="en-US"/>
        </w:rPr>
        <w:t xml:space="preserve">r allowing multiple MOOP levels. </w:t>
      </w:r>
      <w:r w:rsidR="005307AD">
        <w:rPr>
          <w:rFonts w:ascii="Times New Roman" w:hAnsi="Times New Roman" w:cs="Times New Roman"/>
          <w:sz w:val="24"/>
          <w:szCs w:val="24"/>
          <w:lang w:val="en-US"/>
        </w:rPr>
        <w:t>While potentially lowering costs for a broader population, t</w:t>
      </w:r>
      <w:r w:rsidR="005307AD" w:rsidRPr="00C95DC7">
        <w:rPr>
          <w:rFonts w:ascii="Times New Roman" w:hAnsi="Times New Roman" w:cs="Times New Roman"/>
          <w:sz w:val="24"/>
          <w:szCs w:val="24"/>
          <w:lang w:val="en-US"/>
        </w:rPr>
        <w:t xml:space="preserve">hese </w:t>
      </w:r>
      <w:r w:rsidR="00626487" w:rsidRPr="00C95DC7">
        <w:rPr>
          <w:rFonts w:ascii="Times New Roman" w:hAnsi="Times New Roman" w:cs="Times New Roman"/>
          <w:sz w:val="24"/>
          <w:szCs w:val="24"/>
          <w:lang w:val="en-US"/>
        </w:rPr>
        <w:t>changes</w:t>
      </w:r>
      <w:r w:rsidR="000455F8" w:rsidRPr="00C95DC7">
        <w:rPr>
          <w:rFonts w:ascii="Times New Roman" w:hAnsi="Times New Roman" w:cs="Times New Roman"/>
          <w:sz w:val="24"/>
          <w:szCs w:val="24"/>
          <w:lang w:val="en-US"/>
        </w:rPr>
        <w:t xml:space="preserve"> could result in higher OOP expenses for certain beneficiaries with inherently greater health care expens</w:t>
      </w:r>
      <w:r w:rsidR="00563017" w:rsidRPr="00C95DC7">
        <w:rPr>
          <w:rFonts w:ascii="Times New Roman" w:hAnsi="Times New Roman" w:cs="Times New Roman"/>
          <w:sz w:val="24"/>
          <w:szCs w:val="24"/>
          <w:lang w:val="en-US"/>
        </w:rPr>
        <w:t>e</w:t>
      </w:r>
      <w:r w:rsidR="000455F8" w:rsidRPr="00C95DC7">
        <w:rPr>
          <w:rFonts w:ascii="Times New Roman" w:hAnsi="Times New Roman" w:cs="Times New Roman"/>
          <w:sz w:val="24"/>
          <w:szCs w:val="24"/>
          <w:lang w:val="en-US"/>
        </w:rPr>
        <w:t>s, such</w:t>
      </w:r>
      <w:r w:rsidR="00C03A29" w:rsidRPr="00C95DC7">
        <w:rPr>
          <w:rFonts w:ascii="Times New Roman" w:hAnsi="Times New Roman" w:cs="Times New Roman"/>
          <w:sz w:val="24"/>
          <w:szCs w:val="24"/>
          <w:lang w:val="en-US"/>
        </w:rPr>
        <w:t xml:space="preserve"> as people living with diabetes.</w:t>
      </w:r>
      <w:r w:rsidR="000455F8" w:rsidRPr="00C95DC7">
        <w:rPr>
          <w:rFonts w:ascii="Times New Roman" w:hAnsi="Times New Roman" w:cs="Times New Roman"/>
          <w:sz w:val="24"/>
          <w:szCs w:val="24"/>
          <w:lang w:val="en-US"/>
        </w:rPr>
        <w:t xml:space="preserve"> </w:t>
      </w:r>
      <w:r w:rsidR="00626487" w:rsidRPr="00C95DC7">
        <w:rPr>
          <w:rFonts w:ascii="Times New Roman" w:hAnsi="Times New Roman" w:cs="Times New Roman"/>
          <w:sz w:val="24"/>
          <w:szCs w:val="24"/>
          <w:lang w:val="en-US"/>
        </w:rPr>
        <w:t>T</w:t>
      </w:r>
      <w:r w:rsidR="005338F9" w:rsidRPr="00C95DC7">
        <w:rPr>
          <w:rFonts w:ascii="Times New Roman" w:hAnsi="Times New Roman" w:cs="Times New Roman"/>
          <w:sz w:val="24"/>
          <w:szCs w:val="24"/>
          <w:lang w:val="en-US"/>
        </w:rPr>
        <w:t>he overall percentage of eligible beneficiaries with access to a</w:t>
      </w:r>
      <w:r w:rsidR="005307AD">
        <w:rPr>
          <w:rFonts w:ascii="Times New Roman" w:hAnsi="Times New Roman" w:cs="Times New Roman"/>
          <w:sz w:val="24"/>
          <w:szCs w:val="24"/>
          <w:lang w:val="en-US"/>
        </w:rPr>
        <w:t>n</w:t>
      </w:r>
      <w:r w:rsidR="005338F9" w:rsidRPr="00C95DC7">
        <w:rPr>
          <w:rFonts w:ascii="Times New Roman" w:hAnsi="Times New Roman" w:cs="Times New Roman"/>
          <w:sz w:val="24"/>
          <w:szCs w:val="24"/>
          <w:lang w:val="en-US"/>
        </w:rPr>
        <w:t xml:space="preserve"> MA plan (excluding employer and dual eligible special needs plans) offering a voluntary MOOP limit has decreased from 97.7% in 201</w:t>
      </w:r>
      <w:r w:rsidR="005307AD">
        <w:rPr>
          <w:rFonts w:ascii="Times New Roman" w:hAnsi="Times New Roman" w:cs="Times New Roman"/>
          <w:sz w:val="24"/>
          <w:szCs w:val="24"/>
          <w:lang w:val="en-US"/>
        </w:rPr>
        <w:t>1</w:t>
      </w:r>
      <w:r w:rsidR="005338F9" w:rsidRPr="00C95DC7">
        <w:rPr>
          <w:rFonts w:ascii="Times New Roman" w:hAnsi="Times New Roman" w:cs="Times New Roman"/>
          <w:sz w:val="24"/>
          <w:szCs w:val="24"/>
          <w:lang w:val="en-US"/>
        </w:rPr>
        <w:t xml:space="preserve"> to 68.1% in 2017.</w:t>
      </w:r>
      <w:r w:rsidR="0055315D" w:rsidRPr="00C95DC7">
        <w:rPr>
          <w:rStyle w:val="FootnoteReference"/>
          <w:rFonts w:ascii="Times New Roman" w:hAnsi="Times New Roman" w:cs="Times New Roman"/>
          <w:sz w:val="24"/>
          <w:szCs w:val="24"/>
          <w:lang w:val="en-US"/>
        </w:rPr>
        <w:footnoteReference w:id="4"/>
      </w:r>
      <w:r w:rsidR="005338F9" w:rsidRPr="00C95DC7">
        <w:rPr>
          <w:rFonts w:ascii="Times New Roman" w:hAnsi="Times New Roman" w:cs="Times New Roman"/>
          <w:sz w:val="24"/>
          <w:szCs w:val="24"/>
          <w:lang w:val="en-US"/>
        </w:rPr>
        <w:t xml:space="preserve"> The percentage of total enrol</w:t>
      </w:r>
      <w:r w:rsidRPr="00C95DC7">
        <w:rPr>
          <w:rFonts w:ascii="Times New Roman" w:hAnsi="Times New Roman" w:cs="Times New Roman"/>
          <w:sz w:val="24"/>
          <w:szCs w:val="24"/>
          <w:lang w:val="en-US"/>
        </w:rPr>
        <w:t>l</w:t>
      </w:r>
      <w:r w:rsidR="005338F9" w:rsidRPr="00C95DC7">
        <w:rPr>
          <w:rFonts w:ascii="Times New Roman" w:hAnsi="Times New Roman" w:cs="Times New Roman"/>
          <w:sz w:val="24"/>
          <w:szCs w:val="24"/>
          <w:lang w:val="en-US"/>
        </w:rPr>
        <w:t>ees in a voluntary MOOP plan decreased from 51% to 21% over the same period</w:t>
      </w:r>
      <w:r w:rsidR="0055315D" w:rsidRPr="00C95DC7">
        <w:rPr>
          <w:rFonts w:ascii="Times New Roman" w:hAnsi="Times New Roman" w:cs="Times New Roman"/>
          <w:sz w:val="24"/>
          <w:szCs w:val="24"/>
          <w:lang w:val="en-US"/>
        </w:rPr>
        <w:t xml:space="preserve"> of time</w:t>
      </w:r>
      <w:r w:rsidR="002B2FC7" w:rsidRPr="00C95DC7">
        <w:rPr>
          <w:rFonts w:ascii="Times New Roman" w:hAnsi="Times New Roman" w:cs="Times New Roman"/>
          <w:sz w:val="24"/>
          <w:szCs w:val="24"/>
          <w:lang w:val="en-US"/>
        </w:rPr>
        <w:t>, and will diminish even further</w:t>
      </w:r>
      <w:r w:rsidR="00D40C98" w:rsidRPr="00C95DC7">
        <w:rPr>
          <w:rFonts w:ascii="Times New Roman" w:hAnsi="Times New Roman" w:cs="Times New Roman"/>
          <w:sz w:val="24"/>
          <w:szCs w:val="24"/>
          <w:lang w:val="en-US"/>
        </w:rPr>
        <w:t>,</w:t>
      </w:r>
      <w:r w:rsidR="002B2FC7" w:rsidRPr="00C95DC7">
        <w:rPr>
          <w:rFonts w:ascii="Times New Roman" w:hAnsi="Times New Roman" w:cs="Times New Roman"/>
          <w:sz w:val="24"/>
          <w:szCs w:val="24"/>
          <w:lang w:val="en-US"/>
        </w:rPr>
        <w:t xml:space="preserve"> to 18%</w:t>
      </w:r>
      <w:r w:rsidR="00D40C98" w:rsidRPr="00C95DC7">
        <w:rPr>
          <w:rFonts w:ascii="Times New Roman" w:hAnsi="Times New Roman" w:cs="Times New Roman"/>
          <w:sz w:val="24"/>
          <w:szCs w:val="24"/>
          <w:lang w:val="en-US"/>
        </w:rPr>
        <w:t>,</w:t>
      </w:r>
      <w:r w:rsidR="002B2FC7" w:rsidRPr="00C95DC7">
        <w:rPr>
          <w:rFonts w:ascii="Times New Roman" w:hAnsi="Times New Roman" w:cs="Times New Roman"/>
          <w:sz w:val="24"/>
          <w:szCs w:val="24"/>
          <w:lang w:val="en-US"/>
        </w:rPr>
        <w:t xml:space="preserve"> moving into 2018</w:t>
      </w:r>
      <w:r w:rsidR="005307AD" w:rsidRPr="00C95DC7">
        <w:rPr>
          <w:rStyle w:val="FootnoteReference"/>
          <w:rFonts w:ascii="Times New Roman" w:hAnsi="Times New Roman" w:cs="Times New Roman"/>
          <w:sz w:val="24"/>
          <w:szCs w:val="24"/>
          <w:lang w:val="en-US"/>
        </w:rPr>
        <w:footnoteReference w:id="5"/>
      </w:r>
      <w:r w:rsidR="005307AD" w:rsidRPr="00C95DC7">
        <w:rPr>
          <w:rFonts w:ascii="Times New Roman" w:hAnsi="Times New Roman" w:cs="Times New Roman"/>
          <w:sz w:val="24"/>
          <w:szCs w:val="24"/>
          <w:vertAlign w:val="superscript"/>
          <w:lang w:val="en-US"/>
        </w:rPr>
        <w:t xml:space="preserve">, </w:t>
      </w:r>
      <w:r w:rsidR="005307AD" w:rsidRPr="00C95DC7">
        <w:rPr>
          <w:rStyle w:val="FootnoteReference"/>
          <w:rFonts w:ascii="Times New Roman" w:hAnsi="Times New Roman" w:cs="Times New Roman"/>
          <w:sz w:val="24"/>
          <w:szCs w:val="24"/>
          <w:lang w:val="en-US"/>
        </w:rPr>
        <w:footnoteReference w:id="6"/>
      </w:r>
      <w:r w:rsidR="005307AD">
        <w:rPr>
          <w:rFonts w:ascii="Times New Roman" w:hAnsi="Times New Roman" w:cs="Times New Roman"/>
          <w:sz w:val="24"/>
          <w:szCs w:val="24"/>
          <w:lang w:val="en-US"/>
        </w:rPr>
        <w:t>. This suggest</w:t>
      </w:r>
      <w:r w:rsidR="004E1557">
        <w:rPr>
          <w:rFonts w:ascii="Times New Roman" w:hAnsi="Times New Roman" w:cs="Times New Roman"/>
          <w:sz w:val="24"/>
          <w:szCs w:val="24"/>
          <w:lang w:val="en-US"/>
        </w:rPr>
        <w:t>s</w:t>
      </w:r>
      <w:r w:rsidR="005307AD">
        <w:rPr>
          <w:rFonts w:ascii="Times New Roman" w:hAnsi="Times New Roman" w:cs="Times New Roman"/>
          <w:sz w:val="24"/>
          <w:szCs w:val="24"/>
          <w:lang w:val="en-US"/>
        </w:rPr>
        <w:t xml:space="preserve"> that a significant percentage of plans will default to the highest MOOP if increased.</w:t>
      </w:r>
    </w:p>
    <w:p w:rsidR="001B1C57" w:rsidRPr="00C95DC7" w:rsidRDefault="001B1C57">
      <w:pPr>
        <w:jc w:val="both"/>
        <w:rPr>
          <w:rFonts w:ascii="Times New Roman" w:hAnsi="Times New Roman" w:cs="Times New Roman"/>
          <w:sz w:val="24"/>
          <w:szCs w:val="24"/>
          <w:lang w:val="en-US"/>
        </w:rPr>
      </w:pPr>
    </w:p>
    <w:p w:rsidR="00D6491B" w:rsidRPr="00C95DC7" w:rsidRDefault="001B1C57">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CMS’ adoption of MOOP limits in Parts A and B of Medicare in 2011 reflected a commitment to ensuring patient access to </w:t>
      </w:r>
      <w:r w:rsidR="00263913" w:rsidRPr="00C95DC7">
        <w:rPr>
          <w:rFonts w:ascii="Times New Roman" w:hAnsi="Times New Roman" w:cs="Times New Roman"/>
          <w:sz w:val="24"/>
          <w:szCs w:val="24"/>
          <w:lang w:val="en-US"/>
        </w:rPr>
        <w:t xml:space="preserve">health care at a reasonable cost. NNI encourages CMS to consider </w:t>
      </w:r>
      <w:r w:rsidR="002B2E3B" w:rsidRPr="00C95DC7">
        <w:rPr>
          <w:rFonts w:ascii="Times New Roman" w:hAnsi="Times New Roman" w:cs="Times New Roman"/>
          <w:sz w:val="24"/>
          <w:szCs w:val="24"/>
          <w:lang w:val="en-US"/>
        </w:rPr>
        <w:t xml:space="preserve">a </w:t>
      </w:r>
      <w:r w:rsidR="002B2E3B" w:rsidRPr="00C95DC7">
        <w:rPr>
          <w:rFonts w:ascii="Times New Roman" w:hAnsi="Times New Roman" w:cs="Times New Roman"/>
          <w:sz w:val="24"/>
          <w:szCs w:val="24"/>
          <w:lang w:val="en-US"/>
        </w:rPr>
        <w:lastRenderedPageBreak/>
        <w:t xml:space="preserve">commensurate </w:t>
      </w:r>
      <w:r w:rsidR="000F4BD4" w:rsidRPr="00C95DC7">
        <w:rPr>
          <w:rFonts w:ascii="Times New Roman" w:hAnsi="Times New Roman" w:cs="Times New Roman"/>
          <w:sz w:val="24"/>
          <w:szCs w:val="24"/>
          <w:lang w:val="en-US"/>
        </w:rPr>
        <w:t xml:space="preserve">MOOP limit </w:t>
      </w:r>
      <w:r w:rsidR="00E27870" w:rsidRPr="00C95DC7">
        <w:rPr>
          <w:rFonts w:ascii="Times New Roman" w:hAnsi="Times New Roman" w:cs="Times New Roman"/>
          <w:sz w:val="24"/>
          <w:szCs w:val="24"/>
          <w:lang w:val="en-US"/>
        </w:rPr>
        <w:t xml:space="preserve">in </w:t>
      </w:r>
      <w:r w:rsidR="000F4BD4" w:rsidRPr="00C95DC7">
        <w:rPr>
          <w:rFonts w:ascii="Times New Roman" w:hAnsi="Times New Roman" w:cs="Times New Roman"/>
          <w:sz w:val="24"/>
          <w:szCs w:val="24"/>
          <w:lang w:val="en-US"/>
        </w:rPr>
        <w:t>Medicare Part D</w:t>
      </w:r>
      <w:r w:rsidR="002B2E3B" w:rsidRPr="00C95DC7">
        <w:rPr>
          <w:rFonts w:ascii="Times New Roman" w:hAnsi="Times New Roman" w:cs="Times New Roman"/>
          <w:sz w:val="24"/>
          <w:szCs w:val="24"/>
          <w:lang w:val="en-US"/>
        </w:rPr>
        <w:t xml:space="preserve">. We believe the lack of similar standards for Part D benefits leaves open the risk for plans to discourage enrollment for certain beneficiaries who incur inherently higher </w:t>
      </w:r>
      <w:r w:rsidR="005307AD">
        <w:rPr>
          <w:rFonts w:ascii="Times New Roman" w:hAnsi="Times New Roman" w:cs="Times New Roman"/>
          <w:sz w:val="24"/>
          <w:szCs w:val="24"/>
          <w:lang w:val="en-US"/>
        </w:rPr>
        <w:t xml:space="preserve">Part D </w:t>
      </w:r>
      <w:r w:rsidR="002B2E3B" w:rsidRPr="00C95DC7">
        <w:rPr>
          <w:rFonts w:ascii="Times New Roman" w:hAnsi="Times New Roman" w:cs="Times New Roman"/>
          <w:sz w:val="24"/>
          <w:szCs w:val="24"/>
          <w:lang w:val="en-US"/>
        </w:rPr>
        <w:t>costs, such as people living with diabet</w:t>
      </w:r>
      <w:r w:rsidR="005F701A" w:rsidRPr="00C95DC7">
        <w:rPr>
          <w:rFonts w:ascii="Times New Roman" w:hAnsi="Times New Roman" w:cs="Times New Roman"/>
          <w:sz w:val="24"/>
          <w:szCs w:val="24"/>
          <w:lang w:val="en-US"/>
        </w:rPr>
        <w:t xml:space="preserve">es and other chronic diseases. </w:t>
      </w:r>
      <w:r w:rsidR="002B2E3B" w:rsidRPr="00C95DC7">
        <w:rPr>
          <w:rFonts w:ascii="Times New Roman" w:hAnsi="Times New Roman" w:cs="Times New Roman"/>
          <w:sz w:val="24"/>
          <w:szCs w:val="24"/>
          <w:lang w:val="en-US"/>
        </w:rPr>
        <w:t xml:space="preserve"> </w:t>
      </w:r>
      <w:r w:rsidR="00E27870" w:rsidRPr="00C95DC7">
        <w:rPr>
          <w:rFonts w:ascii="Times New Roman" w:hAnsi="Times New Roman" w:cs="Times New Roman"/>
          <w:sz w:val="24"/>
          <w:szCs w:val="24"/>
          <w:lang w:val="en-US"/>
        </w:rPr>
        <w:t>Extending the MOOP limit to Part D could improve adherence to Part D prescribed drug regimens and diminish cost-related abandonment of essential medicines.</w:t>
      </w:r>
      <w:r w:rsidR="00E27870" w:rsidRPr="00C95DC7">
        <w:rPr>
          <w:rStyle w:val="FootnoteReference"/>
          <w:rFonts w:ascii="Times New Roman" w:hAnsi="Times New Roman" w:cs="Times New Roman"/>
          <w:sz w:val="24"/>
          <w:szCs w:val="24"/>
          <w:lang w:val="en-US"/>
        </w:rPr>
        <w:footnoteReference w:id="7"/>
      </w:r>
      <w:r w:rsidR="005C3BCD" w:rsidRPr="00C95DC7">
        <w:rPr>
          <w:rFonts w:ascii="Times New Roman" w:hAnsi="Times New Roman" w:cs="Times New Roman"/>
          <w:sz w:val="24"/>
          <w:szCs w:val="24"/>
          <w:lang w:val="en-US"/>
        </w:rPr>
        <w:t xml:space="preserve"> Because Part D does not include a MOOP limit, patients, especially those with co-morbid conditions, or that require specialty medicines, can be exposed to extremely high OOP costs. </w:t>
      </w:r>
      <w:r w:rsidR="005938BD" w:rsidRPr="00C95DC7">
        <w:rPr>
          <w:rFonts w:ascii="Times New Roman" w:hAnsi="Times New Roman" w:cs="Times New Roman"/>
          <w:sz w:val="24"/>
          <w:szCs w:val="24"/>
          <w:lang w:val="en-US"/>
        </w:rPr>
        <w:t>The Part D benefit is structured such that the final level of cost-sharing, the “catastrophic threshold”</w:t>
      </w:r>
      <w:r w:rsidR="005307AD">
        <w:rPr>
          <w:rFonts w:ascii="Times New Roman" w:hAnsi="Times New Roman" w:cs="Times New Roman"/>
          <w:sz w:val="24"/>
          <w:szCs w:val="24"/>
          <w:lang w:val="en-US"/>
        </w:rPr>
        <w:t>,</w:t>
      </w:r>
      <w:r w:rsidR="005938BD" w:rsidRPr="00C95DC7">
        <w:rPr>
          <w:rFonts w:ascii="Times New Roman" w:hAnsi="Times New Roman" w:cs="Times New Roman"/>
          <w:sz w:val="24"/>
          <w:szCs w:val="24"/>
          <w:lang w:val="en-US"/>
        </w:rPr>
        <w:t xml:space="preserve"> is indefinite. Beneficiaries who reach the catastrophic threshold must pay the greater of a nominal copayment or 5% co-insurance. </w:t>
      </w:r>
      <w:r w:rsidR="00FD0D0F" w:rsidRPr="00C95DC7">
        <w:rPr>
          <w:rFonts w:ascii="Times New Roman" w:hAnsi="Times New Roman" w:cs="Times New Roman"/>
          <w:sz w:val="24"/>
          <w:szCs w:val="24"/>
          <w:lang w:val="en-US"/>
        </w:rPr>
        <w:t>For high-priced medications, this relatively small coinsurance rate can translate into significant out-of-pocket costs.</w:t>
      </w:r>
      <w:r w:rsidR="00FD0D0F" w:rsidRPr="00C95DC7">
        <w:rPr>
          <w:rStyle w:val="FootnoteReference"/>
          <w:rFonts w:ascii="Times New Roman" w:hAnsi="Times New Roman" w:cs="Times New Roman"/>
          <w:sz w:val="24"/>
          <w:szCs w:val="24"/>
          <w:lang w:val="en-US"/>
        </w:rPr>
        <w:footnoteReference w:id="8"/>
      </w:r>
      <w:r w:rsidR="00FD0D0F" w:rsidRPr="00C95DC7">
        <w:rPr>
          <w:rFonts w:ascii="Times New Roman" w:hAnsi="Times New Roman" w:cs="Times New Roman"/>
          <w:sz w:val="24"/>
          <w:szCs w:val="24"/>
          <w:lang w:val="en-US"/>
        </w:rPr>
        <w:t xml:space="preserve"> Between 2007 and 2015, the number of non-low-income subsidy (LIS) beneficiaries whose spending exceeded the catastrophic threshold more than doubled.</w:t>
      </w:r>
      <w:r w:rsidR="00FD0D0F" w:rsidRPr="00C95DC7">
        <w:rPr>
          <w:rStyle w:val="FootnoteReference"/>
          <w:rFonts w:ascii="Times New Roman" w:hAnsi="Times New Roman" w:cs="Times New Roman"/>
          <w:sz w:val="24"/>
          <w:szCs w:val="24"/>
          <w:lang w:val="en-US"/>
        </w:rPr>
        <w:footnoteReference w:id="9"/>
      </w:r>
      <w:r w:rsidR="00FD0D0F" w:rsidRPr="00C95DC7">
        <w:rPr>
          <w:rFonts w:ascii="Times New Roman" w:hAnsi="Times New Roman" w:cs="Times New Roman"/>
          <w:sz w:val="24"/>
          <w:szCs w:val="24"/>
          <w:lang w:val="en-US"/>
        </w:rPr>
        <w:t xml:space="preserve"> </w:t>
      </w:r>
      <w:r w:rsidR="00D6491B" w:rsidRPr="00C95DC7">
        <w:rPr>
          <w:rFonts w:ascii="Times New Roman" w:hAnsi="Times New Roman" w:cs="Times New Roman"/>
          <w:sz w:val="24"/>
          <w:szCs w:val="24"/>
          <w:lang w:val="en-US"/>
        </w:rPr>
        <w:t xml:space="preserve">The increasing incidence of beneficiaries reaching the catastrophic threshold warrants serious attention and action on the part of CMS to ensure that beneficiaries are able to obtain essential medicines to maintain their health. We urge CMS to adopt MOOP limits in Medicare Part D, and extend this highly effective patient protection to the whole of Medicare. </w:t>
      </w:r>
    </w:p>
    <w:p w:rsidR="00BB780D" w:rsidRPr="00C95DC7" w:rsidRDefault="00BB780D">
      <w:pPr>
        <w:jc w:val="both"/>
        <w:rPr>
          <w:rFonts w:ascii="Times New Roman" w:hAnsi="Times New Roman" w:cs="Times New Roman"/>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Medicare Advantage and Part D Prescription Drug Program Quality Rating System</w:t>
      </w:r>
    </w:p>
    <w:p w:rsidR="00E77B2C" w:rsidRDefault="00E77B2C">
      <w:pPr>
        <w:jc w:val="both"/>
        <w:rPr>
          <w:rFonts w:ascii="Times New Roman" w:hAnsi="Times New Roman" w:cs="Times New Roman"/>
          <w:b/>
          <w:sz w:val="24"/>
          <w:szCs w:val="24"/>
          <w:lang w:val="en-US"/>
        </w:rPr>
      </w:pPr>
    </w:p>
    <w:p w:rsidR="00E77B2C" w:rsidRPr="00826288" w:rsidRDefault="00E77B2C" w:rsidP="00826288">
      <w:pPr>
        <w:spacing w:after="240"/>
        <w:jc w:val="both"/>
        <w:rPr>
          <w:rFonts w:ascii="Times New Roman" w:hAnsi="Times New Roman" w:cs="Times New Roman"/>
          <w:sz w:val="24"/>
          <w:szCs w:val="24"/>
        </w:rPr>
      </w:pPr>
      <w:r w:rsidRPr="00826288">
        <w:rPr>
          <w:rFonts w:ascii="Times New Roman" w:hAnsi="Times New Roman" w:cs="Times New Roman"/>
          <w:b/>
          <w:sz w:val="24"/>
          <w:szCs w:val="24"/>
        </w:rPr>
        <w:t xml:space="preserve">Description: </w:t>
      </w:r>
      <w:r w:rsidRPr="00826288">
        <w:rPr>
          <w:rFonts w:ascii="Times New Roman" w:hAnsi="Times New Roman" w:cs="Times New Roman"/>
          <w:sz w:val="24"/>
          <w:szCs w:val="24"/>
        </w:rPr>
        <w:t>CMS is proposing to codify many aspects of the existing Star Ratings System for the MA and Part D programs in an effort to provide greater stability and transparency to the program.  These proposed changes include establishing clearer rules governing the adding, updating, and removal of measures.  CMS believes this is the appropriate time to codify the Star Ratings methodology, due to the maturity of the quality rating program and lower likelihood for extensive changes on an annual basis.</w:t>
      </w:r>
    </w:p>
    <w:p w:rsidR="00403CFA" w:rsidRPr="00C95DC7" w:rsidRDefault="00E77B2C" w:rsidP="00826288">
      <w:pPr>
        <w:spacing w:after="240"/>
        <w:jc w:val="both"/>
        <w:rPr>
          <w:rFonts w:ascii="Times New Roman" w:hAnsi="Times New Roman" w:cs="Times New Roman"/>
          <w:b/>
          <w:sz w:val="24"/>
          <w:szCs w:val="24"/>
          <w:lang w:val="en-US"/>
        </w:rPr>
      </w:pPr>
      <w:r w:rsidRPr="00826288">
        <w:rPr>
          <w:rFonts w:ascii="Times New Roman" w:hAnsi="Times New Roman" w:cs="Times New Roman"/>
          <w:b/>
          <w:sz w:val="24"/>
          <w:szCs w:val="24"/>
        </w:rPr>
        <w:t>Comments:</w:t>
      </w:r>
    </w:p>
    <w:p w:rsidR="00FA7F8A" w:rsidRPr="00C95DC7" w:rsidRDefault="00452A2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NNI applauds CMS for its work to date to make the MA and Part D quality rating system a best-in-class program. Moreover, we appreciate CMS’ efforts to continuously enhance the program, and we support CMS’ proposal to codify certain well-established aspects of the quality rating system through rulemaking.  However, </w:t>
      </w:r>
      <w:r w:rsidR="00BF2059" w:rsidRPr="00C95DC7">
        <w:rPr>
          <w:rFonts w:ascii="Times New Roman" w:hAnsi="Times New Roman" w:cs="Times New Roman"/>
          <w:sz w:val="24"/>
          <w:szCs w:val="24"/>
          <w:lang w:val="en-US"/>
        </w:rPr>
        <w:t xml:space="preserve">NNI is concerned with CMS’ proposal </w:t>
      </w:r>
      <w:r w:rsidR="00DA552A">
        <w:rPr>
          <w:rFonts w:ascii="Times New Roman" w:hAnsi="Times New Roman" w:cs="Times New Roman"/>
          <w:sz w:val="24"/>
          <w:szCs w:val="24"/>
          <w:lang w:val="en-US"/>
        </w:rPr>
        <w:t>to add measures through formal rulemaking</w:t>
      </w:r>
      <w:r w:rsidR="00774EFA" w:rsidRPr="00C95DC7">
        <w:rPr>
          <w:rFonts w:ascii="Times New Roman" w:hAnsi="Times New Roman" w:cs="Times New Roman"/>
          <w:sz w:val="24"/>
          <w:szCs w:val="24"/>
          <w:lang w:val="en-US"/>
        </w:rPr>
        <w:t xml:space="preserve">. NNI </w:t>
      </w:r>
      <w:r w:rsidR="00BB780D" w:rsidRPr="00C95DC7">
        <w:rPr>
          <w:rFonts w:ascii="Times New Roman" w:hAnsi="Times New Roman" w:cs="Times New Roman"/>
          <w:sz w:val="24"/>
          <w:szCs w:val="24"/>
          <w:lang w:val="en-US"/>
        </w:rPr>
        <w:t xml:space="preserve">is concerned that the </w:t>
      </w:r>
      <w:r w:rsidR="00774EFA" w:rsidRPr="00C95DC7">
        <w:rPr>
          <w:rFonts w:ascii="Times New Roman" w:hAnsi="Times New Roman" w:cs="Times New Roman"/>
          <w:sz w:val="24"/>
          <w:szCs w:val="24"/>
          <w:lang w:val="en-US"/>
        </w:rPr>
        <w:t xml:space="preserve">proposed </w:t>
      </w:r>
      <w:r w:rsidR="00BB780D" w:rsidRPr="00C95DC7">
        <w:rPr>
          <w:rFonts w:ascii="Times New Roman" w:hAnsi="Times New Roman" w:cs="Times New Roman"/>
          <w:sz w:val="24"/>
          <w:szCs w:val="24"/>
          <w:lang w:val="en-US"/>
        </w:rPr>
        <w:t>effor</w:t>
      </w:r>
      <w:r w:rsidR="00774EFA" w:rsidRPr="00C95DC7">
        <w:rPr>
          <w:rFonts w:ascii="Times New Roman" w:hAnsi="Times New Roman" w:cs="Times New Roman"/>
          <w:sz w:val="24"/>
          <w:szCs w:val="24"/>
          <w:lang w:val="en-US"/>
        </w:rPr>
        <w:t>ts will prove</w:t>
      </w:r>
      <w:r w:rsidR="00BB780D" w:rsidRPr="00C95DC7">
        <w:rPr>
          <w:rFonts w:ascii="Times New Roman" w:hAnsi="Times New Roman" w:cs="Times New Roman"/>
          <w:sz w:val="24"/>
          <w:szCs w:val="24"/>
          <w:lang w:val="en-US"/>
        </w:rPr>
        <w:t xml:space="preserve"> burdensome and duplicative, and </w:t>
      </w:r>
      <w:r w:rsidR="00774EFA" w:rsidRPr="00C95DC7">
        <w:rPr>
          <w:rFonts w:ascii="Times New Roman" w:hAnsi="Times New Roman" w:cs="Times New Roman"/>
          <w:sz w:val="24"/>
          <w:szCs w:val="24"/>
          <w:lang w:val="en-US"/>
        </w:rPr>
        <w:t>have the</w:t>
      </w:r>
      <w:r w:rsidR="00BB780D" w:rsidRPr="00C95DC7">
        <w:rPr>
          <w:rFonts w:ascii="Times New Roman" w:hAnsi="Times New Roman" w:cs="Times New Roman"/>
          <w:sz w:val="24"/>
          <w:szCs w:val="24"/>
          <w:lang w:val="en-US"/>
        </w:rPr>
        <w:t xml:space="preserve"> pote</w:t>
      </w:r>
      <w:r w:rsidR="00774EFA" w:rsidRPr="00C95DC7">
        <w:rPr>
          <w:rFonts w:ascii="Times New Roman" w:hAnsi="Times New Roman" w:cs="Times New Roman"/>
          <w:sz w:val="24"/>
          <w:szCs w:val="24"/>
          <w:lang w:val="en-US"/>
        </w:rPr>
        <w:t>ntial to add several years to a process that is already protracted in function</w:t>
      </w:r>
      <w:r w:rsidR="00BB780D" w:rsidRPr="00C95DC7">
        <w:rPr>
          <w:rFonts w:ascii="Times New Roman" w:hAnsi="Times New Roman" w:cs="Times New Roman"/>
          <w:sz w:val="24"/>
          <w:szCs w:val="24"/>
          <w:lang w:val="en-US"/>
        </w:rPr>
        <w:t>.</w:t>
      </w:r>
      <w:r w:rsidR="00774EFA" w:rsidRPr="00C95DC7">
        <w:rPr>
          <w:rFonts w:ascii="Times New Roman" w:hAnsi="Times New Roman" w:cs="Times New Roman"/>
          <w:sz w:val="24"/>
          <w:szCs w:val="24"/>
          <w:lang w:val="en-US"/>
        </w:rPr>
        <w:t xml:space="preserve"> </w:t>
      </w:r>
      <w:r w:rsidR="00DA552A">
        <w:rPr>
          <w:rFonts w:ascii="Times New Roman" w:hAnsi="Times New Roman" w:cs="Times New Roman"/>
          <w:sz w:val="24"/>
          <w:szCs w:val="24"/>
          <w:lang w:val="en-US"/>
        </w:rPr>
        <w:t>More specifically</w:t>
      </w:r>
      <w:r>
        <w:rPr>
          <w:rFonts w:ascii="Times New Roman" w:hAnsi="Times New Roman" w:cs="Times New Roman"/>
          <w:sz w:val="24"/>
          <w:szCs w:val="24"/>
          <w:lang w:val="en-US"/>
        </w:rPr>
        <w:t>, w</w:t>
      </w:r>
      <w:r w:rsidR="00774EFA" w:rsidRPr="00C95DC7">
        <w:rPr>
          <w:rFonts w:ascii="Times New Roman" w:hAnsi="Times New Roman" w:cs="Times New Roman"/>
          <w:sz w:val="24"/>
          <w:szCs w:val="24"/>
          <w:lang w:val="en-US"/>
        </w:rPr>
        <w:t xml:space="preserve">e are concerned that requiring measure additions and substantive changes to go through a formal rulemaking process will increase the interval of time between the development of a novel measure and when that measure is finally adopted into the Star Ratings. </w:t>
      </w:r>
      <w:r w:rsidR="00BB780D" w:rsidRPr="00C95DC7">
        <w:rPr>
          <w:rFonts w:ascii="Times New Roman" w:hAnsi="Times New Roman" w:cs="Times New Roman"/>
          <w:sz w:val="24"/>
          <w:szCs w:val="24"/>
          <w:lang w:val="en-US"/>
        </w:rPr>
        <w:t xml:space="preserve"> </w:t>
      </w:r>
    </w:p>
    <w:p w:rsidR="00FA7F8A" w:rsidRPr="00C95DC7" w:rsidRDefault="00FA7F8A">
      <w:pPr>
        <w:jc w:val="both"/>
        <w:rPr>
          <w:rFonts w:ascii="Times New Roman" w:hAnsi="Times New Roman" w:cs="Times New Roman"/>
          <w:sz w:val="24"/>
          <w:szCs w:val="24"/>
          <w:lang w:val="en-US"/>
        </w:rPr>
      </w:pPr>
    </w:p>
    <w:p w:rsidR="005C5F5E" w:rsidRPr="00C95DC7" w:rsidRDefault="00452A2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we recognize the desire to ensure ample opportunity for comment, and to ensure plan sponsors have </w:t>
      </w:r>
      <w:r w:rsidR="00DA552A">
        <w:rPr>
          <w:rFonts w:ascii="Times New Roman" w:hAnsi="Times New Roman" w:cs="Times New Roman"/>
          <w:sz w:val="24"/>
          <w:szCs w:val="24"/>
          <w:lang w:val="en-US"/>
        </w:rPr>
        <w:t>enough</w:t>
      </w:r>
      <w:r>
        <w:rPr>
          <w:rFonts w:ascii="Times New Roman" w:hAnsi="Times New Roman" w:cs="Times New Roman"/>
          <w:sz w:val="24"/>
          <w:szCs w:val="24"/>
          <w:lang w:val="en-US"/>
        </w:rPr>
        <w:t xml:space="preserve"> lead time to incorporate new measures, we note that t</w:t>
      </w:r>
      <w:r w:rsidR="00BB780D" w:rsidRPr="00C95DC7">
        <w:rPr>
          <w:rFonts w:ascii="Times New Roman" w:hAnsi="Times New Roman" w:cs="Times New Roman"/>
          <w:sz w:val="24"/>
          <w:szCs w:val="24"/>
          <w:lang w:val="en-US"/>
        </w:rPr>
        <w:t xml:space="preserve">here </w:t>
      </w:r>
      <w:r>
        <w:rPr>
          <w:rFonts w:ascii="Times New Roman" w:hAnsi="Times New Roman" w:cs="Times New Roman"/>
          <w:sz w:val="24"/>
          <w:szCs w:val="24"/>
          <w:lang w:val="en-US"/>
        </w:rPr>
        <w:t>are</w:t>
      </w:r>
      <w:r w:rsidRPr="00C95DC7">
        <w:rPr>
          <w:rFonts w:ascii="Times New Roman" w:hAnsi="Times New Roman" w:cs="Times New Roman"/>
          <w:sz w:val="24"/>
          <w:szCs w:val="24"/>
          <w:lang w:val="en-US"/>
        </w:rPr>
        <w:t xml:space="preserve"> </w:t>
      </w:r>
      <w:r w:rsidR="00BB780D" w:rsidRPr="00C95DC7">
        <w:rPr>
          <w:rFonts w:ascii="Times New Roman" w:hAnsi="Times New Roman" w:cs="Times New Roman"/>
          <w:sz w:val="24"/>
          <w:szCs w:val="24"/>
          <w:lang w:val="en-US"/>
        </w:rPr>
        <w:t>currently opportunit</w:t>
      </w:r>
      <w:r>
        <w:rPr>
          <w:rFonts w:ascii="Times New Roman" w:hAnsi="Times New Roman" w:cs="Times New Roman"/>
          <w:sz w:val="24"/>
          <w:szCs w:val="24"/>
          <w:lang w:val="en-US"/>
        </w:rPr>
        <w:t>ies</w:t>
      </w:r>
      <w:r w:rsidR="00BB780D" w:rsidRPr="00C95DC7">
        <w:rPr>
          <w:rFonts w:ascii="Times New Roman" w:hAnsi="Times New Roman" w:cs="Times New Roman"/>
          <w:sz w:val="24"/>
          <w:szCs w:val="24"/>
          <w:lang w:val="en-US"/>
        </w:rPr>
        <w:t xml:space="preserve"> for public comment during </w:t>
      </w:r>
      <w:r>
        <w:rPr>
          <w:rFonts w:ascii="Times New Roman" w:hAnsi="Times New Roman" w:cs="Times New Roman"/>
          <w:sz w:val="24"/>
          <w:szCs w:val="24"/>
          <w:lang w:val="en-US"/>
        </w:rPr>
        <w:t xml:space="preserve">both </w:t>
      </w:r>
      <w:r w:rsidR="00BB780D" w:rsidRPr="00C95DC7">
        <w:rPr>
          <w:rFonts w:ascii="Times New Roman" w:hAnsi="Times New Roman" w:cs="Times New Roman"/>
          <w:sz w:val="24"/>
          <w:szCs w:val="24"/>
          <w:lang w:val="en-US"/>
        </w:rPr>
        <w:t>t</w:t>
      </w:r>
      <w:r w:rsidR="00931F8E" w:rsidRPr="00C95DC7">
        <w:rPr>
          <w:rFonts w:ascii="Times New Roman" w:hAnsi="Times New Roman" w:cs="Times New Roman"/>
          <w:sz w:val="24"/>
          <w:szCs w:val="24"/>
          <w:lang w:val="en-US"/>
        </w:rPr>
        <w:t xml:space="preserve">he measure development process as part of </w:t>
      </w:r>
      <w:r w:rsidR="00BB780D" w:rsidRPr="00C95DC7">
        <w:rPr>
          <w:rFonts w:ascii="Times New Roman" w:hAnsi="Times New Roman" w:cs="Times New Roman"/>
          <w:sz w:val="24"/>
          <w:szCs w:val="24"/>
          <w:lang w:val="en-US"/>
        </w:rPr>
        <w:t>the annual</w:t>
      </w:r>
      <w:r w:rsidR="00931F8E" w:rsidRPr="00C95DC7">
        <w:rPr>
          <w:rFonts w:ascii="Times New Roman" w:hAnsi="Times New Roman" w:cs="Times New Roman"/>
          <w:sz w:val="24"/>
          <w:szCs w:val="24"/>
          <w:lang w:val="en-US"/>
        </w:rPr>
        <w:t xml:space="preserve"> preview period for proposed measures in the Fall and proposed measure additions via the </w:t>
      </w:r>
      <w:r w:rsidR="00931F8E" w:rsidRPr="00C95DC7">
        <w:rPr>
          <w:rFonts w:ascii="Times New Roman" w:hAnsi="Times New Roman" w:cs="Times New Roman"/>
          <w:sz w:val="24"/>
          <w:szCs w:val="24"/>
          <w:lang w:val="en-US"/>
        </w:rPr>
        <w:lastRenderedPageBreak/>
        <w:t>annual Call Letter</w:t>
      </w:r>
      <w:r w:rsidR="00BB780D" w:rsidRPr="00C95DC7">
        <w:rPr>
          <w:rFonts w:ascii="Times New Roman" w:hAnsi="Times New Roman" w:cs="Times New Roman"/>
          <w:sz w:val="24"/>
          <w:szCs w:val="24"/>
          <w:lang w:val="en-US"/>
        </w:rPr>
        <w:t xml:space="preserve">. </w:t>
      </w:r>
      <w:r>
        <w:rPr>
          <w:rFonts w:ascii="Times New Roman" w:hAnsi="Times New Roman" w:cs="Times New Roman"/>
          <w:sz w:val="24"/>
          <w:szCs w:val="24"/>
          <w:lang w:val="en-US"/>
        </w:rPr>
        <w:t>We also note the need for CMS to ensure flexibility when adding or removing measures</w:t>
      </w:r>
      <w:r w:rsidR="007168CC">
        <w:rPr>
          <w:rFonts w:ascii="Times New Roman" w:hAnsi="Times New Roman" w:cs="Times New Roman"/>
          <w:sz w:val="24"/>
          <w:szCs w:val="24"/>
          <w:lang w:val="en-US"/>
        </w:rPr>
        <w:t>--</w:t>
      </w:r>
      <w:r>
        <w:rPr>
          <w:rFonts w:ascii="Times New Roman" w:hAnsi="Times New Roman" w:cs="Times New Roman"/>
          <w:sz w:val="24"/>
          <w:szCs w:val="24"/>
          <w:lang w:val="en-US"/>
        </w:rPr>
        <w:t>more flexibility than the formal rulemaking cycle allows</w:t>
      </w:r>
      <w:r w:rsidR="007168CC">
        <w:rPr>
          <w:rFonts w:ascii="Times New Roman" w:hAnsi="Times New Roman" w:cs="Times New Roman"/>
          <w:sz w:val="24"/>
          <w:szCs w:val="24"/>
          <w:lang w:val="en-US"/>
        </w:rPr>
        <w:t>--</w:t>
      </w:r>
      <w:r>
        <w:rPr>
          <w:rFonts w:ascii="Times New Roman" w:hAnsi="Times New Roman" w:cs="Times New Roman"/>
          <w:sz w:val="24"/>
          <w:szCs w:val="24"/>
          <w:lang w:val="en-US"/>
        </w:rPr>
        <w:t xml:space="preserve">as quality measure </w:t>
      </w:r>
      <w:r w:rsidRPr="00826288">
        <w:rPr>
          <w:rFonts w:ascii="Times New Roman" w:hAnsi="Times New Roman" w:cs="Times New Roman"/>
          <w:sz w:val="24"/>
          <w:szCs w:val="24"/>
          <w:lang w:val="en-US"/>
        </w:rPr>
        <w:t xml:space="preserve">development and maintenance is a dynamic process that evolves with the science and discovery of new therapeutics, as well as improved technology and data collection capabilities to support these measures with a greater focus on patient outcomes—and in itself can take several years. As such, </w:t>
      </w:r>
      <w:r>
        <w:rPr>
          <w:rFonts w:ascii="Times New Roman" w:hAnsi="Times New Roman" w:cs="Times New Roman"/>
          <w:sz w:val="24"/>
          <w:szCs w:val="24"/>
          <w:lang w:val="en-US"/>
        </w:rPr>
        <w:t>w</w:t>
      </w:r>
      <w:r w:rsidR="00931F8E" w:rsidRPr="00C95DC7">
        <w:rPr>
          <w:rFonts w:ascii="Times New Roman" w:hAnsi="Times New Roman" w:cs="Times New Roman"/>
          <w:sz w:val="24"/>
          <w:szCs w:val="24"/>
          <w:lang w:val="en-US"/>
        </w:rPr>
        <w:t xml:space="preserve">e believe the current practices to solicit public comments </w:t>
      </w:r>
      <w:r w:rsidR="00DA552A">
        <w:rPr>
          <w:rFonts w:ascii="Times New Roman" w:hAnsi="Times New Roman" w:cs="Times New Roman"/>
          <w:sz w:val="24"/>
          <w:szCs w:val="24"/>
          <w:lang w:val="en-US"/>
        </w:rPr>
        <w:t xml:space="preserve">through sub-regulatory guidance </w:t>
      </w:r>
      <w:r w:rsidR="00931F8E" w:rsidRPr="00C95DC7">
        <w:rPr>
          <w:rFonts w:ascii="Times New Roman" w:hAnsi="Times New Roman" w:cs="Times New Roman"/>
          <w:sz w:val="24"/>
          <w:szCs w:val="24"/>
          <w:lang w:val="en-US"/>
        </w:rPr>
        <w:t>appropriately balance</w:t>
      </w:r>
      <w:r w:rsidR="00DA552A">
        <w:rPr>
          <w:rFonts w:ascii="Times New Roman" w:hAnsi="Times New Roman" w:cs="Times New Roman"/>
          <w:sz w:val="24"/>
          <w:szCs w:val="24"/>
          <w:lang w:val="en-US"/>
        </w:rPr>
        <w:t>s</w:t>
      </w:r>
      <w:r w:rsidR="00931F8E" w:rsidRPr="00C95DC7">
        <w:rPr>
          <w:rFonts w:ascii="Times New Roman" w:hAnsi="Times New Roman" w:cs="Times New Roman"/>
          <w:sz w:val="24"/>
          <w:szCs w:val="24"/>
          <w:lang w:val="en-US"/>
        </w:rPr>
        <w:t xml:space="preserve"> the need for plan predictability while keeping measures relevant from a quality improvement standpoint.</w:t>
      </w:r>
    </w:p>
    <w:p w:rsidR="005C5F5E" w:rsidRPr="00C95DC7" w:rsidRDefault="005C5F5E">
      <w:pPr>
        <w:jc w:val="both"/>
        <w:rPr>
          <w:rFonts w:ascii="Times New Roman" w:hAnsi="Times New Roman" w:cs="Times New Roman"/>
          <w:sz w:val="24"/>
          <w:szCs w:val="24"/>
          <w:lang w:val="en-US"/>
        </w:rPr>
      </w:pPr>
    </w:p>
    <w:p w:rsidR="00BB780D" w:rsidRPr="00C95DC7" w:rsidRDefault="005A1121">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If CMS does</w:t>
      </w:r>
      <w:r w:rsidR="00BB780D" w:rsidRPr="00C95DC7">
        <w:rPr>
          <w:rFonts w:ascii="Times New Roman" w:hAnsi="Times New Roman" w:cs="Times New Roman"/>
          <w:sz w:val="24"/>
          <w:szCs w:val="24"/>
          <w:lang w:val="en-US"/>
        </w:rPr>
        <w:t xml:space="preserve"> move forw</w:t>
      </w:r>
      <w:r w:rsidR="00F807A6" w:rsidRPr="00C95DC7">
        <w:rPr>
          <w:rFonts w:ascii="Times New Roman" w:hAnsi="Times New Roman" w:cs="Times New Roman"/>
          <w:sz w:val="24"/>
          <w:szCs w:val="24"/>
          <w:lang w:val="en-US"/>
        </w:rPr>
        <w:t xml:space="preserve">ard with this codification, we believe there should be, at a minimum, exceptions permitted </w:t>
      </w:r>
      <w:r w:rsidR="00452A27">
        <w:rPr>
          <w:rFonts w:ascii="Times New Roman" w:hAnsi="Times New Roman" w:cs="Times New Roman"/>
          <w:sz w:val="24"/>
          <w:szCs w:val="24"/>
          <w:lang w:val="en-US"/>
        </w:rPr>
        <w:t>to add or remove</w:t>
      </w:r>
      <w:r w:rsidR="00452A27" w:rsidRPr="00C95DC7">
        <w:rPr>
          <w:rFonts w:ascii="Times New Roman" w:hAnsi="Times New Roman" w:cs="Times New Roman"/>
          <w:sz w:val="24"/>
          <w:szCs w:val="24"/>
          <w:lang w:val="en-US"/>
        </w:rPr>
        <w:t xml:space="preserve"> </w:t>
      </w:r>
      <w:r w:rsidR="00BB780D" w:rsidRPr="00C95DC7">
        <w:rPr>
          <w:rFonts w:ascii="Times New Roman" w:hAnsi="Times New Roman" w:cs="Times New Roman"/>
          <w:sz w:val="24"/>
          <w:szCs w:val="24"/>
          <w:lang w:val="en-US"/>
        </w:rPr>
        <w:t xml:space="preserve">measures that address public health issues and patient safety—such as those identified by the HHS ADE Action Plan (e.g., </w:t>
      </w:r>
      <w:r w:rsidRPr="00C95DC7">
        <w:rPr>
          <w:rFonts w:ascii="Times New Roman" w:hAnsi="Times New Roman" w:cs="Times New Roman"/>
          <w:sz w:val="24"/>
          <w:szCs w:val="24"/>
          <w:lang w:val="en-US"/>
        </w:rPr>
        <w:t>major bleeds due to a</w:t>
      </w:r>
      <w:r w:rsidR="00BB780D" w:rsidRPr="00C95DC7">
        <w:rPr>
          <w:rFonts w:ascii="Times New Roman" w:hAnsi="Times New Roman" w:cs="Times New Roman"/>
          <w:sz w:val="24"/>
          <w:szCs w:val="24"/>
          <w:lang w:val="en-US"/>
        </w:rPr>
        <w:t>nticoagulatio</w:t>
      </w:r>
      <w:r w:rsidRPr="00C95DC7">
        <w:rPr>
          <w:rFonts w:ascii="Times New Roman" w:hAnsi="Times New Roman" w:cs="Times New Roman"/>
          <w:sz w:val="24"/>
          <w:szCs w:val="24"/>
          <w:lang w:val="en-US"/>
        </w:rPr>
        <w:t>n use, and h</w:t>
      </w:r>
      <w:r w:rsidR="00BB780D" w:rsidRPr="00C95DC7">
        <w:rPr>
          <w:rFonts w:ascii="Times New Roman" w:hAnsi="Times New Roman" w:cs="Times New Roman"/>
          <w:sz w:val="24"/>
          <w:szCs w:val="24"/>
          <w:lang w:val="en-US"/>
        </w:rPr>
        <w:t>ypoglycemia)</w:t>
      </w:r>
      <w:r w:rsidR="005C5F5E" w:rsidRPr="00C95DC7">
        <w:rPr>
          <w:rFonts w:ascii="Times New Roman" w:hAnsi="Times New Roman" w:cs="Times New Roman"/>
          <w:sz w:val="24"/>
          <w:szCs w:val="24"/>
          <w:lang w:val="en-US"/>
        </w:rPr>
        <w:t xml:space="preserve">—that are particularly relevant and important to vulnerable populations. These exceptions would prove </w:t>
      </w:r>
      <w:r w:rsidR="00BB780D" w:rsidRPr="00C95DC7">
        <w:rPr>
          <w:rFonts w:ascii="Times New Roman" w:hAnsi="Times New Roman" w:cs="Times New Roman"/>
          <w:sz w:val="24"/>
          <w:szCs w:val="24"/>
          <w:lang w:val="en-US"/>
        </w:rPr>
        <w:t>essential to ensu</w:t>
      </w:r>
      <w:r w:rsidRPr="00C95DC7">
        <w:rPr>
          <w:rFonts w:ascii="Times New Roman" w:hAnsi="Times New Roman" w:cs="Times New Roman"/>
          <w:sz w:val="24"/>
          <w:szCs w:val="24"/>
          <w:lang w:val="en-US"/>
        </w:rPr>
        <w:t>re that the important issues impacting</w:t>
      </w:r>
      <w:r w:rsidR="00BB780D" w:rsidRPr="00C95DC7">
        <w:rPr>
          <w:rFonts w:ascii="Times New Roman" w:hAnsi="Times New Roman" w:cs="Times New Roman"/>
          <w:sz w:val="24"/>
          <w:szCs w:val="24"/>
          <w:lang w:val="en-US"/>
        </w:rPr>
        <w:t xml:space="preserve"> p</w:t>
      </w:r>
      <w:r w:rsidR="005C5F5E" w:rsidRPr="00C95DC7">
        <w:rPr>
          <w:rFonts w:ascii="Times New Roman" w:hAnsi="Times New Roman" w:cs="Times New Roman"/>
          <w:sz w:val="24"/>
          <w:szCs w:val="24"/>
          <w:lang w:val="en-US"/>
        </w:rPr>
        <w:t>eople with</w:t>
      </w:r>
      <w:r w:rsidRPr="00C95DC7">
        <w:rPr>
          <w:rFonts w:ascii="Times New Roman" w:hAnsi="Times New Roman" w:cs="Times New Roman"/>
          <w:sz w:val="24"/>
          <w:szCs w:val="24"/>
          <w:lang w:val="en-US"/>
        </w:rPr>
        <w:t xml:space="preserve"> chronic diseases can be addressed in an expedited manner</w:t>
      </w:r>
      <w:r w:rsidR="00BB780D" w:rsidRPr="00C95DC7">
        <w:rPr>
          <w:rFonts w:ascii="Times New Roman" w:hAnsi="Times New Roman" w:cs="Times New Roman"/>
          <w:sz w:val="24"/>
          <w:szCs w:val="24"/>
          <w:lang w:val="en-US"/>
        </w:rPr>
        <w:t xml:space="preserve">, </w:t>
      </w:r>
      <w:r w:rsidR="00DA552A">
        <w:rPr>
          <w:rFonts w:ascii="Times New Roman" w:hAnsi="Times New Roman" w:cs="Times New Roman"/>
          <w:sz w:val="24"/>
          <w:szCs w:val="24"/>
          <w:lang w:val="en-US"/>
        </w:rPr>
        <w:t>not</w:t>
      </w:r>
      <w:r w:rsidR="00DA552A" w:rsidRPr="00C95DC7">
        <w:rPr>
          <w:rFonts w:ascii="Times New Roman" w:hAnsi="Times New Roman" w:cs="Times New Roman"/>
          <w:sz w:val="24"/>
          <w:szCs w:val="24"/>
          <w:lang w:val="en-US"/>
        </w:rPr>
        <w:t xml:space="preserve"> </w:t>
      </w:r>
      <w:r w:rsidRPr="00C95DC7">
        <w:rPr>
          <w:rFonts w:ascii="Times New Roman" w:hAnsi="Times New Roman" w:cs="Times New Roman"/>
          <w:sz w:val="24"/>
          <w:szCs w:val="24"/>
          <w:lang w:val="en-US"/>
        </w:rPr>
        <w:t xml:space="preserve">delayed by a </w:t>
      </w:r>
      <w:r w:rsidR="00DA552A">
        <w:rPr>
          <w:rFonts w:ascii="Times New Roman" w:hAnsi="Times New Roman" w:cs="Times New Roman"/>
          <w:sz w:val="24"/>
          <w:szCs w:val="24"/>
          <w:lang w:val="en-US"/>
        </w:rPr>
        <w:t>lengthy</w:t>
      </w:r>
      <w:r w:rsidR="00DA552A" w:rsidRPr="00C95DC7">
        <w:rPr>
          <w:rFonts w:ascii="Times New Roman" w:hAnsi="Times New Roman" w:cs="Times New Roman"/>
          <w:sz w:val="24"/>
          <w:szCs w:val="24"/>
          <w:lang w:val="en-US"/>
        </w:rPr>
        <w:t xml:space="preserve"> </w:t>
      </w:r>
      <w:r w:rsidR="00BB780D" w:rsidRPr="00C95DC7">
        <w:rPr>
          <w:rFonts w:ascii="Times New Roman" w:hAnsi="Times New Roman" w:cs="Times New Roman"/>
          <w:sz w:val="24"/>
          <w:szCs w:val="24"/>
          <w:lang w:val="en-US"/>
        </w:rPr>
        <w:t xml:space="preserve">regulatory process. </w:t>
      </w:r>
    </w:p>
    <w:p w:rsidR="00BB780D" w:rsidRPr="00C95DC7" w:rsidRDefault="00BB780D">
      <w:pPr>
        <w:jc w:val="both"/>
        <w:rPr>
          <w:rFonts w:ascii="Times New Roman" w:hAnsi="Times New Roman" w:cs="Times New Roman"/>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Expedited Substitution of Certain Generics and Other Midyear Formulary Changes</w:t>
      </w:r>
    </w:p>
    <w:p w:rsidR="00E77B2C" w:rsidRDefault="00E77B2C">
      <w:pPr>
        <w:jc w:val="both"/>
        <w:rPr>
          <w:rFonts w:ascii="Times New Roman" w:hAnsi="Times New Roman" w:cs="Times New Roman"/>
          <w:b/>
          <w:sz w:val="24"/>
          <w:szCs w:val="24"/>
          <w:lang w:val="en-US"/>
        </w:rPr>
      </w:pPr>
    </w:p>
    <w:p w:rsidR="00E77B2C" w:rsidRPr="00826288" w:rsidRDefault="00E77B2C" w:rsidP="00826288">
      <w:pPr>
        <w:spacing w:after="240"/>
        <w:jc w:val="both"/>
        <w:rPr>
          <w:rFonts w:ascii="Times New Roman" w:hAnsi="Times New Roman" w:cs="Times New Roman"/>
          <w:sz w:val="24"/>
          <w:szCs w:val="24"/>
        </w:rPr>
      </w:pPr>
      <w:r w:rsidRPr="00826288">
        <w:rPr>
          <w:rFonts w:ascii="Times New Roman" w:hAnsi="Times New Roman" w:cs="Times New Roman"/>
          <w:b/>
          <w:sz w:val="24"/>
          <w:szCs w:val="24"/>
        </w:rPr>
        <w:t xml:space="preserve">Description: </w:t>
      </w:r>
      <w:r w:rsidRPr="00826288">
        <w:rPr>
          <w:rFonts w:ascii="Times New Roman" w:hAnsi="Times New Roman" w:cs="Times New Roman"/>
          <w:sz w:val="24"/>
          <w:szCs w:val="24"/>
        </w:rPr>
        <w:t>CMS is proposing to allow plans to immediately—at any time of the year and without 60-day notification—remove a brand medicine from the f</w:t>
      </w:r>
      <w:r w:rsidR="00AB334C">
        <w:rPr>
          <w:rFonts w:ascii="Times New Roman" w:hAnsi="Times New Roman" w:cs="Times New Roman"/>
          <w:sz w:val="24"/>
          <w:szCs w:val="24"/>
        </w:rPr>
        <w:t xml:space="preserve">ormulary or increase brand cost </w:t>
      </w:r>
      <w:r w:rsidRPr="00826288">
        <w:rPr>
          <w:rFonts w:ascii="Times New Roman" w:hAnsi="Times New Roman" w:cs="Times New Roman"/>
          <w:sz w:val="24"/>
          <w:szCs w:val="24"/>
        </w:rPr>
        <w:t>sharing when adding a newly available, therapeutically equivalent generic. Though CMS would require plans to provide general notification that such changes are possible, it would no longer require direct advance notice to affected beneficiaries when making a change. CMS is also proposing to decrease the amount of direct notice for other mid-year changes from 60 to 30 days and to limit the 60-day refill upon notice to one month.</w:t>
      </w:r>
    </w:p>
    <w:p w:rsidR="00E77B2C" w:rsidRPr="00826288" w:rsidRDefault="00E77B2C" w:rsidP="00826288">
      <w:pPr>
        <w:spacing w:after="240"/>
        <w:jc w:val="both"/>
        <w:rPr>
          <w:rFonts w:ascii="Times New Roman" w:hAnsi="Times New Roman" w:cs="Times New Roman"/>
          <w:b/>
          <w:sz w:val="24"/>
          <w:szCs w:val="24"/>
        </w:rPr>
      </w:pPr>
      <w:r w:rsidRPr="00826288">
        <w:rPr>
          <w:rFonts w:ascii="Times New Roman" w:hAnsi="Times New Roman" w:cs="Times New Roman"/>
          <w:b/>
          <w:sz w:val="24"/>
          <w:szCs w:val="24"/>
        </w:rPr>
        <w:t>Comments:</w:t>
      </w:r>
    </w:p>
    <w:p w:rsidR="00A128A7" w:rsidRPr="00C95DC7" w:rsidRDefault="00BB780D">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Under current policy, Part D sponsors have </w:t>
      </w:r>
      <w:r w:rsidR="00403CFA" w:rsidRPr="00C95DC7">
        <w:rPr>
          <w:rFonts w:ascii="Times New Roman" w:hAnsi="Times New Roman" w:cs="Times New Roman"/>
          <w:sz w:val="24"/>
          <w:szCs w:val="24"/>
          <w:lang w:val="en-US"/>
        </w:rPr>
        <w:t>generous latitude</w:t>
      </w:r>
      <w:r w:rsidRPr="00C95DC7">
        <w:rPr>
          <w:rFonts w:ascii="Times New Roman" w:hAnsi="Times New Roman" w:cs="Times New Roman"/>
          <w:sz w:val="24"/>
          <w:szCs w:val="24"/>
          <w:lang w:val="en-US"/>
        </w:rPr>
        <w:t xml:space="preserve"> to make substitutions to their formularies – when therapeutically equivalent generics or </w:t>
      </w:r>
      <w:r w:rsidR="00403CFA" w:rsidRPr="00C95DC7">
        <w:rPr>
          <w:rFonts w:ascii="Times New Roman" w:hAnsi="Times New Roman" w:cs="Times New Roman"/>
          <w:sz w:val="24"/>
          <w:szCs w:val="24"/>
          <w:lang w:val="en-US"/>
        </w:rPr>
        <w:t xml:space="preserve">bioequivalent </w:t>
      </w:r>
      <w:r w:rsidR="00312AA6" w:rsidRPr="00C95DC7">
        <w:rPr>
          <w:rFonts w:ascii="Times New Roman" w:hAnsi="Times New Roman" w:cs="Times New Roman"/>
          <w:sz w:val="24"/>
          <w:szCs w:val="24"/>
          <w:lang w:val="en-US"/>
        </w:rPr>
        <w:t>products to originator biologics become available</w:t>
      </w:r>
      <w:r w:rsidR="00DA552A">
        <w:rPr>
          <w:rFonts w:ascii="Times New Roman" w:hAnsi="Times New Roman" w:cs="Times New Roman"/>
          <w:sz w:val="24"/>
          <w:szCs w:val="24"/>
          <w:lang w:val="en-US"/>
        </w:rPr>
        <w:t>—after appropriate notification has been given to the impacted beneficiary</w:t>
      </w:r>
      <w:r w:rsidR="00312AA6" w:rsidRPr="00C95DC7">
        <w:rPr>
          <w:rFonts w:ascii="Times New Roman" w:hAnsi="Times New Roman" w:cs="Times New Roman"/>
          <w:sz w:val="24"/>
          <w:szCs w:val="24"/>
          <w:lang w:val="en-US"/>
        </w:rPr>
        <w:t xml:space="preserve">. NNI </w:t>
      </w:r>
      <w:r w:rsidR="00DA552A">
        <w:rPr>
          <w:rFonts w:ascii="Times New Roman" w:hAnsi="Times New Roman" w:cs="Times New Roman"/>
          <w:sz w:val="24"/>
          <w:szCs w:val="24"/>
          <w:lang w:val="en-US"/>
        </w:rPr>
        <w:t>strongly believes the appropriate</w:t>
      </w:r>
      <w:r w:rsidR="00452A27">
        <w:rPr>
          <w:rFonts w:ascii="Times New Roman" w:hAnsi="Times New Roman" w:cs="Times New Roman"/>
          <w:sz w:val="24"/>
          <w:szCs w:val="24"/>
          <w:lang w:val="en-US"/>
        </w:rPr>
        <w:t xml:space="preserve"> use of generics</w:t>
      </w:r>
      <w:r w:rsidR="00DA552A">
        <w:rPr>
          <w:rFonts w:ascii="Times New Roman" w:hAnsi="Times New Roman" w:cs="Times New Roman"/>
          <w:sz w:val="24"/>
          <w:szCs w:val="24"/>
          <w:lang w:val="en-US"/>
        </w:rPr>
        <w:t xml:space="preserve"> is good for patients and the Part D program, but we also believe</w:t>
      </w:r>
      <w:r w:rsidR="00312AA6" w:rsidRPr="00C95DC7">
        <w:rPr>
          <w:rFonts w:ascii="Times New Roman" w:hAnsi="Times New Roman" w:cs="Times New Roman"/>
          <w:sz w:val="24"/>
          <w:szCs w:val="24"/>
          <w:lang w:val="en-US"/>
        </w:rPr>
        <w:t xml:space="preserve"> t</w:t>
      </w:r>
      <w:r w:rsidRPr="00C95DC7">
        <w:rPr>
          <w:rFonts w:ascii="Times New Roman" w:hAnsi="Times New Roman" w:cs="Times New Roman"/>
          <w:sz w:val="24"/>
          <w:szCs w:val="24"/>
          <w:lang w:val="en-US"/>
        </w:rPr>
        <w:t>he current structure of substitutions balances CMS’ goal of reducing costs</w:t>
      </w:r>
      <w:r w:rsidR="00312AA6" w:rsidRPr="00C95DC7">
        <w:rPr>
          <w:rFonts w:ascii="Times New Roman" w:hAnsi="Times New Roman" w:cs="Times New Roman"/>
          <w:sz w:val="24"/>
          <w:szCs w:val="24"/>
          <w:lang w:val="en-US"/>
        </w:rPr>
        <w:t xml:space="preserve">, while also protecting consumer </w:t>
      </w:r>
      <w:r w:rsidRPr="00C95DC7">
        <w:rPr>
          <w:rFonts w:ascii="Times New Roman" w:hAnsi="Times New Roman" w:cs="Times New Roman"/>
          <w:sz w:val="24"/>
          <w:szCs w:val="24"/>
          <w:lang w:val="en-US"/>
        </w:rPr>
        <w:t xml:space="preserve">choice and access to medicines. </w:t>
      </w:r>
      <w:r w:rsidR="00DA552A">
        <w:rPr>
          <w:rFonts w:ascii="Times New Roman" w:hAnsi="Times New Roman" w:cs="Times New Roman"/>
          <w:sz w:val="24"/>
          <w:szCs w:val="24"/>
          <w:lang w:val="en-US"/>
        </w:rPr>
        <w:t xml:space="preserve">Therefore, </w:t>
      </w:r>
      <w:r w:rsidR="00312AA6" w:rsidRPr="00C95DC7">
        <w:rPr>
          <w:rFonts w:ascii="Times New Roman" w:hAnsi="Times New Roman" w:cs="Times New Roman"/>
          <w:sz w:val="24"/>
          <w:szCs w:val="24"/>
          <w:lang w:val="en-US"/>
        </w:rPr>
        <w:t>NNI does not support the changes proposed for midyear</w:t>
      </w:r>
      <w:r w:rsidRPr="00C95DC7">
        <w:rPr>
          <w:rFonts w:ascii="Times New Roman" w:hAnsi="Times New Roman" w:cs="Times New Roman"/>
          <w:sz w:val="24"/>
          <w:szCs w:val="24"/>
          <w:lang w:val="en-US"/>
        </w:rPr>
        <w:t xml:space="preserve"> substitutions</w:t>
      </w:r>
      <w:r w:rsidR="00452A27">
        <w:rPr>
          <w:rFonts w:ascii="Times New Roman" w:hAnsi="Times New Roman" w:cs="Times New Roman"/>
          <w:sz w:val="24"/>
          <w:szCs w:val="24"/>
          <w:lang w:val="en-US"/>
        </w:rPr>
        <w:t xml:space="preserve">, </w:t>
      </w:r>
      <w:r w:rsidR="00DA552A">
        <w:rPr>
          <w:rFonts w:ascii="Times New Roman" w:hAnsi="Times New Roman" w:cs="Times New Roman"/>
          <w:sz w:val="24"/>
          <w:szCs w:val="24"/>
          <w:lang w:val="en-US"/>
        </w:rPr>
        <w:t xml:space="preserve">specifically as it relates to the elimination of the 60 days advanced notice, </w:t>
      </w:r>
      <w:r w:rsidR="00452A27">
        <w:rPr>
          <w:rFonts w:ascii="Times New Roman" w:hAnsi="Times New Roman" w:cs="Times New Roman"/>
          <w:sz w:val="24"/>
          <w:szCs w:val="24"/>
          <w:lang w:val="en-US"/>
        </w:rPr>
        <w:t>as they would not</w:t>
      </w:r>
      <w:r w:rsidR="00312AA6" w:rsidRPr="00C95DC7">
        <w:rPr>
          <w:rFonts w:ascii="Times New Roman" w:hAnsi="Times New Roman" w:cs="Times New Roman"/>
          <w:sz w:val="24"/>
          <w:szCs w:val="24"/>
          <w:lang w:val="en-US"/>
        </w:rPr>
        <w:t xml:space="preserve"> improve patient choice or</w:t>
      </w:r>
      <w:r w:rsidRPr="00C95DC7">
        <w:rPr>
          <w:rFonts w:ascii="Times New Roman" w:hAnsi="Times New Roman" w:cs="Times New Roman"/>
          <w:sz w:val="24"/>
          <w:szCs w:val="24"/>
          <w:lang w:val="en-US"/>
        </w:rPr>
        <w:t xml:space="preserve"> access </w:t>
      </w:r>
      <w:r w:rsidR="00312AA6" w:rsidRPr="00C95DC7">
        <w:rPr>
          <w:rFonts w:ascii="Times New Roman" w:hAnsi="Times New Roman" w:cs="Times New Roman"/>
          <w:sz w:val="24"/>
          <w:szCs w:val="24"/>
          <w:lang w:val="en-US"/>
        </w:rPr>
        <w:t xml:space="preserve">to high quality products </w:t>
      </w:r>
      <w:r w:rsidRPr="00C95DC7">
        <w:rPr>
          <w:rFonts w:ascii="Times New Roman" w:hAnsi="Times New Roman" w:cs="Times New Roman"/>
          <w:sz w:val="24"/>
          <w:szCs w:val="24"/>
          <w:lang w:val="en-US"/>
        </w:rPr>
        <w:t xml:space="preserve">without potentially compromising continuity of treatment. </w:t>
      </w:r>
    </w:p>
    <w:p w:rsidR="00D573C1" w:rsidRPr="00C95DC7" w:rsidRDefault="00D573C1">
      <w:pPr>
        <w:jc w:val="both"/>
        <w:rPr>
          <w:rFonts w:ascii="Times New Roman" w:hAnsi="Times New Roman" w:cs="Times New Roman"/>
          <w:sz w:val="24"/>
          <w:szCs w:val="24"/>
          <w:lang w:val="en-US"/>
        </w:rPr>
      </w:pPr>
    </w:p>
    <w:p w:rsidR="001B6A54" w:rsidRPr="00C95DC7" w:rsidRDefault="00757064">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Advanced notice allows beneficiaries to consult with their health care providers concerning changes to their prescription drug regimen prior to moving forward with changes, whether it concerns requesting an exception, </w:t>
      </w:r>
      <w:r w:rsidR="00DA552A">
        <w:rPr>
          <w:rFonts w:ascii="Times New Roman" w:hAnsi="Times New Roman" w:cs="Times New Roman"/>
          <w:sz w:val="24"/>
          <w:szCs w:val="24"/>
          <w:lang w:val="en-US"/>
        </w:rPr>
        <w:t>changing</w:t>
      </w:r>
      <w:r w:rsidRPr="00C95DC7">
        <w:rPr>
          <w:rFonts w:ascii="Times New Roman" w:hAnsi="Times New Roman" w:cs="Times New Roman"/>
          <w:sz w:val="24"/>
          <w:szCs w:val="24"/>
          <w:lang w:val="en-US"/>
        </w:rPr>
        <w:t xml:space="preserve"> to a different medication, or </w:t>
      </w:r>
      <w:r w:rsidR="00DA552A">
        <w:rPr>
          <w:rFonts w:ascii="Times New Roman" w:hAnsi="Times New Roman" w:cs="Times New Roman"/>
          <w:sz w:val="24"/>
          <w:szCs w:val="24"/>
          <w:lang w:val="en-US"/>
        </w:rPr>
        <w:t>accepting</w:t>
      </w:r>
      <w:r w:rsidRPr="00C95DC7">
        <w:rPr>
          <w:rFonts w:ascii="Times New Roman" w:hAnsi="Times New Roman" w:cs="Times New Roman"/>
          <w:sz w:val="24"/>
          <w:szCs w:val="24"/>
          <w:lang w:val="en-US"/>
        </w:rPr>
        <w:t xml:space="preserve"> changes in their formulary. Under the proposed change, beneficiaries who </w:t>
      </w:r>
      <w:r w:rsidR="00EE482B" w:rsidRPr="00C95DC7">
        <w:rPr>
          <w:rFonts w:ascii="Times New Roman" w:hAnsi="Times New Roman" w:cs="Times New Roman"/>
          <w:sz w:val="24"/>
          <w:szCs w:val="24"/>
          <w:lang w:val="en-US"/>
        </w:rPr>
        <w:t>receive no notice of a planned change could be alarmed upon filling a pres</w:t>
      </w:r>
      <w:r w:rsidR="001B6A54" w:rsidRPr="00C95DC7">
        <w:rPr>
          <w:rFonts w:ascii="Times New Roman" w:hAnsi="Times New Roman" w:cs="Times New Roman"/>
          <w:sz w:val="24"/>
          <w:szCs w:val="24"/>
          <w:lang w:val="en-US"/>
        </w:rPr>
        <w:t>cription if the name, color, or</w:t>
      </w:r>
      <w:r w:rsidR="00EE482B" w:rsidRPr="00C95DC7">
        <w:rPr>
          <w:rFonts w:ascii="Times New Roman" w:hAnsi="Times New Roman" w:cs="Times New Roman"/>
          <w:sz w:val="24"/>
          <w:szCs w:val="24"/>
          <w:lang w:val="en-US"/>
        </w:rPr>
        <w:t xml:space="preserve"> shape of their drug is different. Furthermore, changes to drastically increase the cost</w:t>
      </w:r>
      <w:r w:rsidR="00DA552A">
        <w:rPr>
          <w:rFonts w:ascii="Times New Roman" w:hAnsi="Times New Roman" w:cs="Times New Roman"/>
          <w:sz w:val="24"/>
          <w:szCs w:val="24"/>
          <w:lang w:val="en-US"/>
        </w:rPr>
        <w:t xml:space="preserve"> </w:t>
      </w:r>
      <w:r w:rsidR="00EE482B" w:rsidRPr="00C95DC7">
        <w:rPr>
          <w:rFonts w:ascii="Times New Roman" w:hAnsi="Times New Roman" w:cs="Times New Roman"/>
          <w:sz w:val="24"/>
          <w:szCs w:val="24"/>
          <w:lang w:val="en-US"/>
        </w:rPr>
        <w:t>sharing of a branded product following the availability of a generic substitute, without advance notice, could precipitate higher rates of aban</w:t>
      </w:r>
      <w:r w:rsidR="00E96CD2" w:rsidRPr="00C95DC7">
        <w:rPr>
          <w:rFonts w:ascii="Times New Roman" w:hAnsi="Times New Roman" w:cs="Times New Roman"/>
          <w:sz w:val="24"/>
          <w:szCs w:val="24"/>
          <w:lang w:val="en-US"/>
        </w:rPr>
        <w:t xml:space="preserve">donment and/or non-adherence. Patients living with chronic diseases, who already </w:t>
      </w:r>
      <w:r w:rsidR="00E96CD2" w:rsidRPr="00C95DC7">
        <w:rPr>
          <w:rFonts w:ascii="Times New Roman" w:hAnsi="Times New Roman" w:cs="Times New Roman"/>
          <w:sz w:val="24"/>
          <w:szCs w:val="24"/>
          <w:lang w:val="en-US"/>
        </w:rPr>
        <w:lastRenderedPageBreak/>
        <w:t xml:space="preserve">experience higher health care costs </w:t>
      </w:r>
      <w:r w:rsidR="00EE0D7C">
        <w:rPr>
          <w:rFonts w:ascii="Times New Roman" w:hAnsi="Times New Roman" w:cs="Times New Roman"/>
          <w:sz w:val="24"/>
          <w:szCs w:val="24"/>
          <w:lang w:val="en-US"/>
        </w:rPr>
        <w:t>relative to</w:t>
      </w:r>
      <w:r w:rsidR="00E96CD2" w:rsidRPr="00C95DC7">
        <w:rPr>
          <w:rFonts w:ascii="Times New Roman" w:hAnsi="Times New Roman" w:cs="Times New Roman"/>
          <w:sz w:val="24"/>
          <w:szCs w:val="24"/>
          <w:lang w:val="en-US"/>
        </w:rPr>
        <w:t xml:space="preserve"> the general population, are especially sensitive to increases in cost</w:t>
      </w:r>
      <w:r w:rsidR="00452A27">
        <w:rPr>
          <w:rFonts w:ascii="Times New Roman" w:hAnsi="Times New Roman" w:cs="Times New Roman"/>
          <w:sz w:val="24"/>
          <w:szCs w:val="24"/>
          <w:lang w:val="en-US"/>
        </w:rPr>
        <w:t xml:space="preserve"> </w:t>
      </w:r>
      <w:r w:rsidR="00E96CD2" w:rsidRPr="00C95DC7">
        <w:rPr>
          <w:rFonts w:ascii="Times New Roman" w:hAnsi="Times New Roman" w:cs="Times New Roman"/>
          <w:sz w:val="24"/>
          <w:szCs w:val="24"/>
          <w:lang w:val="en-US"/>
        </w:rPr>
        <w:t>sharing and could be disproportionately affected by this policy change.</w:t>
      </w:r>
    </w:p>
    <w:p w:rsidR="001B6A54" w:rsidRPr="00C95DC7" w:rsidRDefault="001B6A54">
      <w:pPr>
        <w:jc w:val="both"/>
        <w:rPr>
          <w:rFonts w:ascii="Times New Roman" w:hAnsi="Times New Roman" w:cs="Times New Roman"/>
          <w:sz w:val="24"/>
          <w:szCs w:val="24"/>
          <w:lang w:val="en-US"/>
        </w:rPr>
      </w:pPr>
    </w:p>
    <w:p w:rsidR="007168CC" w:rsidRDefault="001B6A54">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Although the Medicare Payment Advisory Commission (MedPAC) proposed a </w:t>
      </w:r>
      <w:r w:rsidR="00DA552A">
        <w:rPr>
          <w:rFonts w:ascii="Times New Roman" w:hAnsi="Times New Roman" w:cs="Times New Roman"/>
          <w:sz w:val="24"/>
          <w:szCs w:val="24"/>
          <w:lang w:val="en-US"/>
        </w:rPr>
        <w:t xml:space="preserve">similar </w:t>
      </w:r>
      <w:r w:rsidRPr="00C95DC7">
        <w:rPr>
          <w:rFonts w:ascii="Times New Roman" w:hAnsi="Times New Roman" w:cs="Times New Roman"/>
          <w:sz w:val="24"/>
          <w:szCs w:val="24"/>
          <w:lang w:val="en-US"/>
        </w:rPr>
        <w:t>policy change that would allow plans to remove brand drugs upon addition of therapeutically equivalent generics, the proposal did not extend to the elimination of advance notice for beneficiaries affected by these types of changes.</w:t>
      </w:r>
      <w:r w:rsidR="00F936BF" w:rsidRPr="00C95DC7">
        <w:rPr>
          <w:rFonts w:ascii="Times New Roman" w:hAnsi="Times New Roman" w:cs="Times New Roman"/>
          <w:sz w:val="24"/>
          <w:szCs w:val="24"/>
          <w:lang w:val="en-US"/>
        </w:rPr>
        <w:t xml:space="preserve"> </w:t>
      </w:r>
    </w:p>
    <w:p w:rsidR="007168CC" w:rsidRDefault="007168CC">
      <w:pPr>
        <w:jc w:val="both"/>
        <w:rPr>
          <w:rFonts w:ascii="Times New Roman" w:hAnsi="Times New Roman" w:cs="Times New Roman"/>
          <w:sz w:val="24"/>
          <w:szCs w:val="24"/>
          <w:lang w:val="en-US"/>
        </w:rPr>
      </w:pPr>
    </w:p>
    <w:p w:rsidR="00BB780D" w:rsidRPr="00C95DC7" w:rsidRDefault="00D573C1">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We would also like to ensure that</w:t>
      </w:r>
      <w:r w:rsidR="00BB780D" w:rsidRPr="00C95DC7">
        <w:rPr>
          <w:rFonts w:ascii="Times New Roman" w:hAnsi="Times New Roman" w:cs="Times New Roman"/>
          <w:sz w:val="24"/>
          <w:szCs w:val="24"/>
          <w:lang w:val="en-US"/>
        </w:rPr>
        <w:t xml:space="preserve"> CMS </w:t>
      </w:r>
      <w:r w:rsidRPr="00C95DC7">
        <w:rPr>
          <w:rFonts w:ascii="Times New Roman" w:hAnsi="Times New Roman" w:cs="Times New Roman"/>
          <w:sz w:val="24"/>
          <w:szCs w:val="24"/>
          <w:lang w:val="en-US"/>
        </w:rPr>
        <w:t>includes language in this change to prohibit</w:t>
      </w:r>
      <w:r w:rsidR="00BB780D" w:rsidRPr="00C95DC7">
        <w:rPr>
          <w:rFonts w:ascii="Times New Roman" w:hAnsi="Times New Roman" w:cs="Times New Roman"/>
          <w:sz w:val="24"/>
          <w:szCs w:val="24"/>
          <w:lang w:val="en-US"/>
        </w:rPr>
        <w:t xml:space="preserve"> formulary substitutions </w:t>
      </w:r>
      <w:r w:rsidRPr="00C95DC7">
        <w:rPr>
          <w:rFonts w:ascii="Times New Roman" w:hAnsi="Times New Roman" w:cs="Times New Roman"/>
          <w:sz w:val="24"/>
          <w:szCs w:val="24"/>
          <w:lang w:val="en-US"/>
        </w:rPr>
        <w:t>of</w:t>
      </w:r>
      <w:r w:rsidR="00BB780D" w:rsidRPr="00C95DC7">
        <w:rPr>
          <w:rFonts w:ascii="Times New Roman" w:hAnsi="Times New Roman" w:cs="Times New Roman"/>
          <w:sz w:val="24"/>
          <w:szCs w:val="24"/>
          <w:lang w:val="en-US"/>
        </w:rPr>
        <w:t xml:space="preserve"> biological products</w:t>
      </w:r>
      <w:r w:rsidRPr="00C95DC7">
        <w:rPr>
          <w:rFonts w:ascii="Times New Roman" w:hAnsi="Times New Roman" w:cs="Times New Roman"/>
          <w:sz w:val="24"/>
          <w:szCs w:val="24"/>
          <w:lang w:val="en-US"/>
        </w:rPr>
        <w:t xml:space="preserve"> for either biosimilars or follow-on biologics</w:t>
      </w:r>
      <w:r w:rsidR="00BB780D" w:rsidRPr="00C95DC7">
        <w:rPr>
          <w:rFonts w:ascii="Times New Roman" w:hAnsi="Times New Roman" w:cs="Times New Roman"/>
          <w:sz w:val="24"/>
          <w:szCs w:val="24"/>
          <w:lang w:val="en-US"/>
        </w:rPr>
        <w:t xml:space="preserve"> that are </w:t>
      </w:r>
      <w:r w:rsidRPr="00C95DC7">
        <w:rPr>
          <w:rFonts w:ascii="Times New Roman" w:hAnsi="Times New Roman" w:cs="Times New Roman"/>
          <w:sz w:val="24"/>
          <w:szCs w:val="24"/>
          <w:lang w:val="en-US"/>
        </w:rPr>
        <w:t xml:space="preserve">not </w:t>
      </w:r>
      <w:r w:rsidR="00BB780D" w:rsidRPr="00C95DC7">
        <w:rPr>
          <w:rFonts w:ascii="Times New Roman" w:hAnsi="Times New Roman" w:cs="Times New Roman"/>
          <w:sz w:val="24"/>
          <w:szCs w:val="24"/>
          <w:lang w:val="en-US"/>
        </w:rPr>
        <w:t>considered to be “therapeutically equivalent”</w:t>
      </w:r>
      <w:r w:rsidR="00765418" w:rsidRPr="00C95DC7">
        <w:rPr>
          <w:rFonts w:ascii="Times New Roman" w:hAnsi="Times New Roman" w:cs="Times New Roman"/>
          <w:sz w:val="24"/>
          <w:szCs w:val="24"/>
          <w:lang w:val="en-US"/>
        </w:rPr>
        <w:t>. This position would be consistent with CMS’</w:t>
      </w:r>
      <w:r w:rsidR="00BB780D" w:rsidRPr="00C95DC7">
        <w:rPr>
          <w:rFonts w:ascii="Times New Roman" w:hAnsi="Times New Roman" w:cs="Times New Roman"/>
          <w:sz w:val="24"/>
          <w:szCs w:val="24"/>
          <w:lang w:val="en-US"/>
        </w:rPr>
        <w:t xml:space="preserve"> position outl</w:t>
      </w:r>
      <w:r w:rsidR="00765418" w:rsidRPr="00C95DC7">
        <w:rPr>
          <w:rFonts w:ascii="Times New Roman" w:hAnsi="Times New Roman" w:cs="Times New Roman"/>
          <w:sz w:val="24"/>
          <w:szCs w:val="24"/>
          <w:lang w:val="en-US"/>
        </w:rPr>
        <w:t xml:space="preserve">ined in reference to the treatment of </w:t>
      </w:r>
      <w:r w:rsidR="00452A27">
        <w:rPr>
          <w:rFonts w:ascii="Times New Roman" w:hAnsi="Times New Roman" w:cs="Times New Roman"/>
          <w:sz w:val="24"/>
          <w:szCs w:val="24"/>
          <w:lang w:val="en-US"/>
        </w:rPr>
        <w:t>f</w:t>
      </w:r>
      <w:r w:rsidR="00452A27" w:rsidRPr="00C95DC7">
        <w:rPr>
          <w:rFonts w:ascii="Times New Roman" w:hAnsi="Times New Roman" w:cs="Times New Roman"/>
          <w:sz w:val="24"/>
          <w:szCs w:val="24"/>
          <w:lang w:val="en-US"/>
        </w:rPr>
        <w:t>ollow</w:t>
      </w:r>
      <w:r w:rsidR="00765418" w:rsidRPr="00C95DC7">
        <w:rPr>
          <w:rFonts w:ascii="Times New Roman" w:hAnsi="Times New Roman" w:cs="Times New Roman"/>
          <w:sz w:val="24"/>
          <w:szCs w:val="24"/>
          <w:lang w:val="en-US"/>
        </w:rPr>
        <w:t xml:space="preserve">-on biological products as generics for non-LIS catastrophic and LIS cost sharing in the Proposed Rule. </w:t>
      </w:r>
    </w:p>
    <w:p w:rsidR="00BB780D" w:rsidRPr="00C95DC7" w:rsidRDefault="00BB780D">
      <w:pPr>
        <w:jc w:val="both"/>
        <w:rPr>
          <w:rFonts w:ascii="Times New Roman" w:hAnsi="Times New Roman" w:cs="Times New Roman"/>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Treatment of Follow-On Biological Products as Generics for Non-LIS Catastrophic and LIS Cost Sharing</w:t>
      </w:r>
    </w:p>
    <w:p w:rsidR="00E77B2C" w:rsidRDefault="00E77B2C">
      <w:pPr>
        <w:jc w:val="both"/>
        <w:rPr>
          <w:rFonts w:ascii="Times New Roman" w:hAnsi="Times New Roman" w:cs="Times New Roman"/>
          <w:b/>
          <w:sz w:val="24"/>
          <w:szCs w:val="24"/>
          <w:lang w:val="en-US"/>
        </w:rPr>
      </w:pPr>
    </w:p>
    <w:p w:rsidR="00E77B2C" w:rsidRPr="00826288" w:rsidRDefault="00E77B2C" w:rsidP="00826288">
      <w:pPr>
        <w:spacing w:after="240"/>
        <w:jc w:val="both"/>
        <w:rPr>
          <w:rFonts w:ascii="Times New Roman" w:hAnsi="Times New Roman" w:cs="Times New Roman"/>
          <w:sz w:val="24"/>
          <w:szCs w:val="24"/>
        </w:rPr>
      </w:pPr>
      <w:r w:rsidRPr="00826288">
        <w:rPr>
          <w:rFonts w:ascii="Times New Roman" w:hAnsi="Times New Roman" w:cs="Times New Roman"/>
          <w:b/>
          <w:sz w:val="24"/>
          <w:szCs w:val="24"/>
        </w:rPr>
        <w:t xml:space="preserve">Description: </w:t>
      </w:r>
      <w:r w:rsidRPr="00826288">
        <w:rPr>
          <w:rFonts w:ascii="Times New Roman" w:hAnsi="Times New Roman" w:cs="Times New Roman"/>
          <w:sz w:val="24"/>
          <w:szCs w:val="24"/>
        </w:rPr>
        <w:t>Generics and multiple source drugs have lower maximum copays for LIS enrollees, and for non-LIS enrollees in catastrophic coverage.  In 2015 guidance on Part D biosimilar issues, CMS concluded that biosimilars were not “generics” under the Part D regulatory definition in 42 C.F.R. § 423.4 (because it is limited to drugs approved under section 505(j) of the Food, Drug, and Cosmetic Act) or “multiple source drugs” (because the relevant Part D provisions reference a Medicaid rebate statute provision defining “multiple source” drugs as those having therapeutic equivalents listed in FDA’s Orange Book).</w:t>
      </w:r>
      <w:r w:rsidRPr="00826288">
        <w:rPr>
          <w:rStyle w:val="FootnoteReference"/>
          <w:rFonts w:ascii="Times New Roman" w:hAnsi="Times New Roman" w:cs="Times New Roman"/>
          <w:sz w:val="24"/>
          <w:szCs w:val="24"/>
        </w:rPr>
        <w:footnoteReference w:id="10"/>
      </w:r>
      <w:r w:rsidRPr="00826288">
        <w:rPr>
          <w:rFonts w:ascii="Times New Roman" w:hAnsi="Times New Roman" w:cs="Times New Roman"/>
          <w:sz w:val="24"/>
          <w:szCs w:val="24"/>
        </w:rPr>
        <w:t xml:space="preserve">  Therefore biosimilars currently are treated as brand drugs for purposes of the maximum LIS and catastrophic coverage copays. The proposed rule would revise the definition of a “generic” in 42 C.F.R. § 423.4 such that biosimilars would be classified as generics solely for purposes of the maximum LIS and catastrophic coverage copays.</w:t>
      </w:r>
    </w:p>
    <w:p w:rsidR="00E77B2C" w:rsidRPr="00826288" w:rsidRDefault="00E77B2C" w:rsidP="00826288">
      <w:pPr>
        <w:spacing w:after="240"/>
        <w:jc w:val="both"/>
        <w:rPr>
          <w:rFonts w:ascii="Times New Roman" w:hAnsi="Times New Roman" w:cs="Times New Roman"/>
          <w:b/>
          <w:sz w:val="24"/>
          <w:szCs w:val="24"/>
        </w:rPr>
      </w:pPr>
      <w:r w:rsidRPr="00826288">
        <w:rPr>
          <w:rFonts w:ascii="Times New Roman" w:hAnsi="Times New Roman" w:cs="Times New Roman"/>
          <w:b/>
          <w:sz w:val="24"/>
          <w:szCs w:val="24"/>
        </w:rPr>
        <w:t>Comments:</w:t>
      </w:r>
    </w:p>
    <w:p w:rsidR="00BB780D" w:rsidRDefault="00E555A9">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NNI appreciates</w:t>
      </w:r>
      <w:r w:rsidR="00BB780D" w:rsidRPr="00C95DC7">
        <w:rPr>
          <w:rFonts w:ascii="Times New Roman" w:hAnsi="Times New Roman" w:cs="Times New Roman"/>
          <w:sz w:val="24"/>
          <w:szCs w:val="24"/>
          <w:lang w:val="en-US"/>
        </w:rPr>
        <w:t xml:space="preserve"> CMS’ effort to further reduce </w:t>
      </w:r>
      <w:r w:rsidRPr="00C95DC7">
        <w:rPr>
          <w:rFonts w:ascii="Times New Roman" w:hAnsi="Times New Roman" w:cs="Times New Roman"/>
          <w:sz w:val="24"/>
          <w:szCs w:val="24"/>
          <w:lang w:val="en-US"/>
        </w:rPr>
        <w:t xml:space="preserve">health care </w:t>
      </w:r>
      <w:r w:rsidR="00BB780D" w:rsidRPr="00C95DC7">
        <w:rPr>
          <w:rFonts w:ascii="Times New Roman" w:hAnsi="Times New Roman" w:cs="Times New Roman"/>
          <w:sz w:val="24"/>
          <w:szCs w:val="24"/>
          <w:lang w:val="en-US"/>
        </w:rPr>
        <w:t>costs for some of Medicare’s most vulnerable beneficiaries</w:t>
      </w:r>
      <w:r w:rsidRPr="00C95DC7">
        <w:rPr>
          <w:rFonts w:ascii="Times New Roman" w:hAnsi="Times New Roman" w:cs="Times New Roman"/>
          <w:sz w:val="24"/>
          <w:szCs w:val="24"/>
          <w:lang w:val="en-US"/>
        </w:rPr>
        <w:t xml:space="preserve">. However, </w:t>
      </w:r>
      <w:r w:rsidR="00BB780D" w:rsidRPr="00C95DC7">
        <w:rPr>
          <w:rFonts w:ascii="Times New Roman" w:hAnsi="Times New Roman" w:cs="Times New Roman"/>
          <w:sz w:val="24"/>
          <w:szCs w:val="24"/>
          <w:lang w:val="en-US"/>
        </w:rPr>
        <w:t xml:space="preserve">we have significant concerns </w:t>
      </w:r>
      <w:r w:rsidR="00941C8A">
        <w:rPr>
          <w:rFonts w:ascii="Times New Roman" w:hAnsi="Times New Roman" w:cs="Times New Roman"/>
          <w:sz w:val="24"/>
          <w:szCs w:val="24"/>
          <w:lang w:val="en-US"/>
        </w:rPr>
        <w:t xml:space="preserve">with CMS’ suggestion to classify follow-ons as generics, even in very specific situations, </w:t>
      </w:r>
      <w:r w:rsidR="00BB780D" w:rsidRPr="00C95DC7">
        <w:rPr>
          <w:rFonts w:ascii="Times New Roman" w:hAnsi="Times New Roman" w:cs="Times New Roman"/>
          <w:sz w:val="24"/>
          <w:szCs w:val="24"/>
          <w:lang w:val="en-US"/>
        </w:rPr>
        <w:t>based on the precedent it may set around treatment of follow-on biologics across the</w:t>
      </w:r>
      <w:r w:rsidRPr="00C95DC7">
        <w:rPr>
          <w:rFonts w:ascii="Times New Roman" w:hAnsi="Times New Roman" w:cs="Times New Roman"/>
          <w:sz w:val="24"/>
          <w:szCs w:val="24"/>
          <w:lang w:val="en-US"/>
        </w:rPr>
        <w:t xml:space="preserve"> entirety of the Part D program, and ramifications it may have beyond Part D. </w:t>
      </w:r>
    </w:p>
    <w:p w:rsidR="005D0ED5" w:rsidRPr="00C95DC7" w:rsidRDefault="005D0ED5">
      <w:pPr>
        <w:jc w:val="both"/>
        <w:rPr>
          <w:rFonts w:ascii="Times New Roman" w:hAnsi="Times New Roman" w:cs="Times New Roman"/>
          <w:sz w:val="24"/>
          <w:szCs w:val="24"/>
          <w:lang w:val="en-US"/>
        </w:rPr>
      </w:pPr>
    </w:p>
    <w:p w:rsidR="00BB780D" w:rsidRPr="00C95DC7" w:rsidRDefault="005B6113">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 xml:space="preserve">We appreciate that CMS denotes the fact that biosimilars are not interchangeable and that CMS does not intend for biosimilars to be treated as generics in all situations. However, we would like to note that </w:t>
      </w:r>
      <w:r w:rsidR="00BB780D" w:rsidRPr="00C95DC7">
        <w:rPr>
          <w:rFonts w:ascii="Times New Roman" w:hAnsi="Times New Roman" w:cs="Times New Roman"/>
          <w:sz w:val="24"/>
          <w:szCs w:val="24"/>
          <w:lang w:val="en-US"/>
        </w:rPr>
        <w:t>CMS considers biosimilars more like brand name drugs for purposes of midyear formulary changes, and if the</w:t>
      </w:r>
      <w:r w:rsidR="001E10D6" w:rsidRPr="00C95DC7">
        <w:rPr>
          <w:rFonts w:ascii="Times New Roman" w:hAnsi="Times New Roman" w:cs="Times New Roman"/>
          <w:sz w:val="24"/>
          <w:szCs w:val="24"/>
          <w:lang w:val="en-US"/>
        </w:rPr>
        <w:t>y are treated as generics for the proposed</w:t>
      </w:r>
      <w:r w:rsidR="00BB780D" w:rsidRPr="00C95DC7">
        <w:rPr>
          <w:rFonts w:ascii="Times New Roman" w:hAnsi="Times New Roman" w:cs="Times New Roman"/>
          <w:sz w:val="24"/>
          <w:szCs w:val="24"/>
          <w:lang w:val="en-US"/>
        </w:rPr>
        <w:t xml:space="preserve"> purposes it </w:t>
      </w:r>
      <w:r w:rsidR="00452A27">
        <w:rPr>
          <w:rFonts w:ascii="Times New Roman" w:hAnsi="Times New Roman" w:cs="Times New Roman"/>
          <w:sz w:val="24"/>
          <w:szCs w:val="24"/>
          <w:lang w:val="en-US"/>
        </w:rPr>
        <w:t>may</w:t>
      </w:r>
      <w:r w:rsidR="00452A27" w:rsidRPr="00C95DC7">
        <w:rPr>
          <w:rFonts w:ascii="Times New Roman" w:hAnsi="Times New Roman" w:cs="Times New Roman"/>
          <w:sz w:val="24"/>
          <w:szCs w:val="24"/>
          <w:lang w:val="en-US"/>
        </w:rPr>
        <w:t xml:space="preserve"> </w:t>
      </w:r>
      <w:r w:rsidR="00BB780D" w:rsidRPr="00C95DC7">
        <w:rPr>
          <w:rFonts w:ascii="Times New Roman" w:hAnsi="Times New Roman" w:cs="Times New Roman"/>
          <w:sz w:val="24"/>
          <w:szCs w:val="24"/>
          <w:lang w:val="en-US"/>
        </w:rPr>
        <w:t xml:space="preserve">incorrectly signal product interchangeability. </w:t>
      </w:r>
      <w:r w:rsidR="007D71EF" w:rsidRPr="00C95DC7">
        <w:rPr>
          <w:rFonts w:ascii="Times New Roman" w:hAnsi="Times New Roman" w:cs="Times New Roman"/>
          <w:sz w:val="24"/>
          <w:szCs w:val="24"/>
          <w:lang w:val="en-US"/>
        </w:rPr>
        <w:t xml:space="preserve">NNI would also like to express our concern that the approach of treating biosimilars more like generic products with branded equivalents could spillover into other parts of Medicare, notably part B, where specialty biologic medicines are </w:t>
      </w:r>
      <w:r w:rsidR="007D71EF" w:rsidRPr="00C95DC7">
        <w:rPr>
          <w:rFonts w:ascii="Times New Roman" w:hAnsi="Times New Roman" w:cs="Times New Roman"/>
          <w:sz w:val="24"/>
          <w:szCs w:val="24"/>
          <w:lang w:val="en-US"/>
        </w:rPr>
        <w:lastRenderedPageBreak/>
        <w:t xml:space="preserve">frequently </w:t>
      </w:r>
      <w:r w:rsidR="00C83A28" w:rsidRPr="00C95DC7">
        <w:rPr>
          <w:rFonts w:ascii="Times New Roman" w:hAnsi="Times New Roman" w:cs="Times New Roman"/>
          <w:sz w:val="24"/>
          <w:szCs w:val="24"/>
          <w:lang w:val="en-US"/>
        </w:rPr>
        <w:t>dispensed.</w:t>
      </w:r>
      <w:r w:rsidR="007D71EF" w:rsidRPr="00C95DC7">
        <w:rPr>
          <w:rFonts w:ascii="Times New Roman" w:hAnsi="Times New Roman" w:cs="Times New Roman"/>
          <w:sz w:val="24"/>
          <w:szCs w:val="24"/>
          <w:lang w:val="en-US"/>
        </w:rPr>
        <w:t xml:space="preserve">  </w:t>
      </w:r>
      <w:r w:rsidR="00BB780D" w:rsidRPr="00C95DC7">
        <w:rPr>
          <w:rFonts w:ascii="Times New Roman" w:hAnsi="Times New Roman" w:cs="Times New Roman"/>
          <w:sz w:val="24"/>
          <w:szCs w:val="24"/>
          <w:lang w:val="en-US"/>
        </w:rPr>
        <w:t>We urge CMS to continue to recognize that biosimilars—unlike generics—should not be treated as interchangeable unless approved a</w:t>
      </w:r>
      <w:r w:rsidR="007D71EF" w:rsidRPr="00C95DC7">
        <w:rPr>
          <w:rFonts w:ascii="Times New Roman" w:hAnsi="Times New Roman" w:cs="Times New Roman"/>
          <w:sz w:val="24"/>
          <w:szCs w:val="24"/>
          <w:lang w:val="en-US"/>
        </w:rPr>
        <w:t xml:space="preserve">nd designated as so by the FDA. </w:t>
      </w:r>
    </w:p>
    <w:p w:rsidR="00BB780D" w:rsidRPr="00C95DC7" w:rsidRDefault="00BB780D">
      <w:pPr>
        <w:jc w:val="both"/>
        <w:rPr>
          <w:rFonts w:ascii="Times New Roman" w:hAnsi="Times New Roman" w:cs="Times New Roman"/>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Eliminating the Requirement to Provide PDP Enhanced Alternative (EA) to EA plan Offerings with Meaningful Differences</w:t>
      </w:r>
    </w:p>
    <w:p w:rsidR="00EE0D7C" w:rsidRDefault="00EE0D7C">
      <w:pPr>
        <w:jc w:val="both"/>
        <w:rPr>
          <w:rFonts w:ascii="Times New Roman" w:hAnsi="Times New Roman" w:cs="Times New Roman"/>
          <w:b/>
          <w:sz w:val="24"/>
          <w:szCs w:val="24"/>
          <w:lang w:val="en-US"/>
        </w:rPr>
      </w:pPr>
    </w:p>
    <w:p w:rsidR="00EE0D7C" w:rsidRPr="00826288" w:rsidRDefault="00EE0D7C" w:rsidP="00826288">
      <w:pPr>
        <w:spacing w:after="240"/>
        <w:jc w:val="both"/>
        <w:rPr>
          <w:rFonts w:ascii="Times New Roman" w:hAnsi="Times New Roman" w:cs="Times New Roman"/>
          <w:sz w:val="24"/>
          <w:szCs w:val="24"/>
        </w:rPr>
      </w:pPr>
      <w:r w:rsidRPr="00826288">
        <w:rPr>
          <w:rFonts w:ascii="Times New Roman" w:hAnsi="Times New Roman" w:cs="Times New Roman"/>
          <w:b/>
          <w:sz w:val="24"/>
          <w:szCs w:val="24"/>
        </w:rPr>
        <w:t>Description:</w:t>
      </w:r>
      <w:r w:rsidRPr="00826288">
        <w:rPr>
          <w:rFonts w:ascii="Times New Roman" w:hAnsi="Times New Roman" w:cs="Times New Roman"/>
          <w:sz w:val="24"/>
          <w:szCs w:val="24"/>
        </w:rPr>
        <w:t xml:space="preserve"> CMS is proposing to eliminate the meaningful difference requirement between enhanced alternative (EA) Prescription Drug Plans (PDPs). CMS also intends to revisit the use of the out-of-pocket cost (OOPC) model as method for determining meaningful difference between basic and enhanced PDPs.</w:t>
      </w:r>
    </w:p>
    <w:p w:rsidR="00DA4732" w:rsidRPr="00C95DC7" w:rsidRDefault="00EE0D7C" w:rsidP="00826288">
      <w:pPr>
        <w:spacing w:after="240"/>
        <w:jc w:val="both"/>
        <w:rPr>
          <w:rFonts w:ascii="Times New Roman" w:hAnsi="Times New Roman" w:cs="Times New Roman"/>
          <w:sz w:val="24"/>
          <w:szCs w:val="24"/>
          <w:lang w:val="en-US"/>
        </w:rPr>
      </w:pPr>
      <w:r w:rsidRPr="00826288">
        <w:rPr>
          <w:rFonts w:ascii="Times New Roman" w:hAnsi="Times New Roman" w:cs="Times New Roman"/>
          <w:b/>
          <w:sz w:val="24"/>
          <w:szCs w:val="24"/>
        </w:rPr>
        <w:t>Comments:</w:t>
      </w:r>
      <w:r w:rsidRPr="00826288">
        <w:rPr>
          <w:rFonts w:ascii="Times New Roman" w:hAnsi="Times New Roman" w:cs="Times New Roman"/>
          <w:sz w:val="24"/>
          <w:szCs w:val="24"/>
        </w:rPr>
        <w:t xml:space="preserve"> </w:t>
      </w:r>
    </w:p>
    <w:p w:rsidR="003F3046" w:rsidRPr="00C95DC7" w:rsidRDefault="00D97954">
      <w:pPr>
        <w:jc w:val="both"/>
        <w:rPr>
          <w:rFonts w:ascii="Times New Roman" w:hAnsi="Times New Roman" w:cs="Times New Roman"/>
          <w:sz w:val="24"/>
          <w:szCs w:val="24"/>
          <w:lang w:val="en-US"/>
        </w:rPr>
      </w:pPr>
      <w:r w:rsidRPr="00C95DC7">
        <w:rPr>
          <w:rFonts w:ascii="Times New Roman" w:hAnsi="Times New Roman" w:cs="Times New Roman"/>
          <w:sz w:val="24"/>
          <w:szCs w:val="24"/>
          <w:lang w:val="en-US"/>
        </w:rPr>
        <w:t>NNI</w:t>
      </w:r>
      <w:r w:rsidR="00BB780D" w:rsidRPr="00C95DC7">
        <w:rPr>
          <w:rFonts w:ascii="Times New Roman" w:hAnsi="Times New Roman" w:cs="Times New Roman"/>
          <w:sz w:val="24"/>
          <w:szCs w:val="24"/>
          <w:lang w:val="en-US"/>
        </w:rPr>
        <w:t xml:space="preserve"> supports CMS’ effort to increase the availability of suitable </w:t>
      </w:r>
      <w:r w:rsidR="00AB334C">
        <w:rPr>
          <w:rFonts w:ascii="Times New Roman" w:hAnsi="Times New Roman" w:cs="Times New Roman"/>
          <w:sz w:val="24"/>
          <w:szCs w:val="24"/>
          <w:lang w:val="en-US"/>
        </w:rPr>
        <w:t>PDP</w:t>
      </w:r>
      <w:r w:rsidR="00D050F2" w:rsidRPr="00C95DC7">
        <w:rPr>
          <w:rFonts w:ascii="Times New Roman" w:hAnsi="Times New Roman" w:cs="Times New Roman"/>
          <w:sz w:val="24"/>
          <w:szCs w:val="24"/>
          <w:lang w:val="en-US"/>
        </w:rPr>
        <w:t xml:space="preserve"> </w:t>
      </w:r>
      <w:r w:rsidR="00BB780D" w:rsidRPr="00C95DC7">
        <w:rPr>
          <w:rFonts w:ascii="Times New Roman" w:hAnsi="Times New Roman" w:cs="Times New Roman"/>
          <w:sz w:val="24"/>
          <w:szCs w:val="24"/>
          <w:lang w:val="en-US"/>
        </w:rPr>
        <w:t>offerings to</w:t>
      </w:r>
      <w:r w:rsidRPr="00C95DC7">
        <w:rPr>
          <w:rFonts w:ascii="Times New Roman" w:hAnsi="Times New Roman" w:cs="Times New Roman"/>
          <w:sz w:val="24"/>
          <w:szCs w:val="24"/>
          <w:lang w:val="en-US"/>
        </w:rPr>
        <w:t xml:space="preserve"> beneficiaries</w:t>
      </w:r>
      <w:r w:rsidR="00D050F2" w:rsidRPr="00C95DC7">
        <w:rPr>
          <w:rFonts w:ascii="Times New Roman" w:hAnsi="Times New Roman" w:cs="Times New Roman"/>
          <w:sz w:val="24"/>
          <w:szCs w:val="24"/>
          <w:lang w:val="en-US"/>
        </w:rPr>
        <w:t xml:space="preserve"> and to decrease plan premiums</w:t>
      </w:r>
      <w:r w:rsidR="0010073A">
        <w:rPr>
          <w:rFonts w:ascii="Times New Roman" w:hAnsi="Times New Roman" w:cs="Times New Roman"/>
          <w:sz w:val="24"/>
          <w:szCs w:val="24"/>
          <w:lang w:val="en-US"/>
        </w:rPr>
        <w:t xml:space="preserve">, and as such is supportive of CMS’ proposal to eliminate the meaningful differences requirement between two EA </w:t>
      </w:r>
      <w:r w:rsidR="00941C8A">
        <w:rPr>
          <w:rFonts w:ascii="Times New Roman" w:hAnsi="Times New Roman" w:cs="Times New Roman"/>
          <w:sz w:val="24"/>
          <w:szCs w:val="24"/>
          <w:lang w:val="en-US"/>
        </w:rPr>
        <w:t xml:space="preserve">plans.  While the intent of the meaningful differences policy was laudable, </w:t>
      </w:r>
      <w:r w:rsidRPr="00C95DC7">
        <w:rPr>
          <w:rFonts w:ascii="Times New Roman" w:hAnsi="Times New Roman" w:cs="Times New Roman"/>
          <w:sz w:val="24"/>
          <w:szCs w:val="24"/>
          <w:lang w:val="en-US"/>
        </w:rPr>
        <w:t>NNI</w:t>
      </w:r>
      <w:r w:rsidR="00BB780D" w:rsidRPr="00C95DC7">
        <w:rPr>
          <w:rFonts w:ascii="Times New Roman" w:hAnsi="Times New Roman" w:cs="Times New Roman"/>
          <w:sz w:val="24"/>
          <w:szCs w:val="24"/>
          <w:lang w:val="en-US"/>
        </w:rPr>
        <w:t xml:space="preserve"> believes that eliminating the meaningful difference requirements would ensure a</w:t>
      </w:r>
      <w:r w:rsidR="0010073A">
        <w:rPr>
          <w:rFonts w:ascii="Times New Roman" w:hAnsi="Times New Roman" w:cs="Times New Roman"/>
          <w:sz w:val="24"/>
          <w:szCs w:val="24"/>
          <w:lang w:val="en-US"/>
        </w:rPr>
        <w:t xml:space="preserve"> more</w:t>
      </w:r>
      <w:r w:rsidR="00BB780D" w:rsidRPr="00C95DC7">
        <w:rPr>
          <w:rFonts w:ascii="Times New Roman" w:hAnsi="Times New Roman" w:cs="Times New Roman"/>
          <w:sz w:val="24"/>
          <w:szCs w:val="24"/>
          <w:lang w:val="en-US"/>
        </w:rPr>
        <w:t xml:space="preserve"> robust offering of plans to meet patients</w:t>
      </w:r>
      <w:r w:rsidR="00941C8A">
        <w:rPr>
          <w:rFonts w:ascii="Times New Roman" w:hAnsi="Times New Roman" w:cs="Times New Roman"/>
          <w:sz w:val="24"/>
          <w:szCs w:val="24"/>
          <w:lang w:val="en-US"/>
        </w:rPr>
        <w:t>’</w:t>
      </w:r>
      <w:r w:rsidR="00BB780D" w:rsidRPr="00C95DC7">
        <w:rPr>
          <w:rFonts w:ascii="Times New Roman" w:hAnsi="Times New Roman" w:cs="Times New Roman"/>
          <w:sz w:val="24"/>
          <w:szCs w:val="24"/>
          <w:lang w:val="en-US"/>
        </w:rPr>
        <w:t xml:space="preserve"> specific health needs. We</w:t>
      </w:r>
      <w:r w:rsidR="00941C8A">
        <w:rPr>
          <w:rFonts w:ascii="Times New Roman" w:hAnsi="Times New Roman" w:cs="Times New Roman"/>
          <w:sz w:val="24"/>
          <w:szCs w:val="24"/>
          <w:lang w:val="en-US"/>
        </w:rPr>
        <w:t xml:space="preserve"> also would support the elimination of the meaningful differences policy between enhanced alternative and basic, as we</w:t>
      </w:r>
      <w:r w:rsidR="00BB780D" w:rsidRPr="00C95DC7">
        <w:rPr>
          <w:rFonts w:ascii="Times New Roman" w:hAnsi="Times New Roman" w:cs="Times New Roman"/>
          <w:sz w:val="24"/>
          <w:szCs w:val="24"/>
          <w:lang w:val="en-US"/>
        </w:rPr>
        <w:t xml:space="preserve"> </w:t>
      </w:r>
      <w:r w:rsidR="0008173B" w:rsidRPr="00C95DC7">
        <w:rPr>
          <w:rFonts w:ascii="Times New Roman" w:hAnsi="Times New Roman" w:cs="Times New Roman"/>
          <w:sz w:val="24"/>
          <w:szCs w:val="24"/>
          <w:lang w:val="en-US"/>
        </w:rPr>
        <w:t>believe</w:t>
      </w:r>
      <w:r w:rsidR="00BB780D" w:rsidRPr="00C95DC7">
        <w:rPr>
          <w:rFonts w:ascii="Times New Roman" w:hAnsi="Times New Roman" w:cs="Times New Roman"/>
          <w:sz w:val="24"/>
          <w:szCs w:val="24"/>
          <w:lang w:val="en-US"/>
        </w:rPr>
        <w:t xml:space="preserve"> that</w:t>
      </w:r>
      <w:r w:rsidR="00AC4A4A" w:rsidRPr="00C95DC7">
        <w:rPr>
          <w:rFonts w:ascii="Times New Roman" w:hAnsi="Times New Roman" w:cs="Times New Roman"/>
          <w:sz w:val="24"/>
          <w:szCs w:val="24"/>
          <w:lang w:val="en-US"/>
        </w:rPr>
        <w:t xml:space="preserve"> employing the </w:t>
      </w:r>
      <w:r w:rsidR="00BB1C84" w:rsidRPr="00C95DC7">
        <w:rPr>
          <w:rFonts w:ascii="Times New Roman" w:hAnsi="Times New Roman" w:cs="Times New Roman"/>
          <w:sz w:val="24"/>
          <w:szCs w:val="24"/>
          <w:lang w:val="en-US"/>
        </w:rPr>
        <w:t>current Out-of-Pocket Cost (OOPC) tool to</w:t>
      </w:r>
      <w:r w:rsidR="00BB780D" w:rsidRPr="00C95DC7">
        <w:rPr>
          <w:rFonts w:ascii="Times New Roman" w:hAnsi="Times New Roman" w:cs="Times New Roman"/>
          <w:sz w:val="24"/>
          <w:szCs w:val="24"/>
          <w:lang w:val="en-US"/>
        </w:rPr>
        <w:t xml:space="preserve"> </w:t>
      </w:r>
      <w:r w:rsidR="0010073A">
        <w:rPr>
          <w:rFonts w:ascii="Times New Roman" w:hAnsi="Times New Roman" w:cs="Times New Roman"/>
          <w:sz w:val="24"/>
          <w:szCs w:val="24"/>
          <w:lang w:val="en-US"/>
        </w:rPr>
        <w:t xml:space="preserve">assess </w:t>
      </w:r>
      <w:r w:rsidR="00BB780D" w:rsidRPr="00C95DC7">
        <w:rPr>
          <w:rFonts w:ascii="Times New Roman" w:hAnsi="Times New Roman" w:cs="Times New Roman"/>
          <w:sz w:val="24"/>
          <w:szCs w:val="24"/>
          <w:lang w:val="en-US"/>
        </w:rPr>
        <w:t>meaningful difference</w:t>
      </w:r>
      <w:r w:rsidR="0008173B" w:rsidRPr="00C95DC7">
        <w:rPr>
          <w:rFonts w:ascii="Times New Roman" w:hAnsi="Times New Roman" w:cs="Times New Roman"/>
          <w:sz w:val="24"/>
          <w:szCs w:val="24"/>
          <w:lang w:val="en-US"/>
        </w:rPr>
        <w:t>s</w:t>
      </w:r>
      <w:r w:rsidR="00BB780D" w:rsidRPr="00C95DC7">
        <w:rPr>
          <w:rFonts w:ascii="Times New Roman" w:hAnsi="Times New Roman" w:cs="Times New Roman"/>
          <w:sz w:val="24"/>
          <w:szCs w:val="24"/>
          <w:lang w:val="en-US"/>
        </w:rPr>
        <w:t xml:space="preserve"> </w:t>
      </w:r>
      <w:r w:rsidR="00E2582F" w:rsidRPr="00C95DC7">
        <w:rPr>
          <w:rFonts w:ascii="Times New Roman" w:hAnsi="Times New Roman" w:cs="Times New Roman"/>
          <w:sz w:val="24"/>
          <w:szCs w:val="24"/>
          <w:lang w:val="en-US"/>
        </w:rPr>
        <w:t>is not</w:t>
      </w:r>
      <w:r w:rsidR="00BB780D" w:rsidRPr="00C95DC7">
        <w:rPr>
          <w:rFonts w:ascii="Times New Roman" w:hAnsi="Times New Roman" w:cs="Times New Roman"/>
          <w:sz w:val="24"/>
          <w:szCs w:val="24"/>
          <w:lang w:val="en-US"/>
        </w:rPr>
        <w:t xml:space="preserve"> the </w:t>
      </w:r>
      <w:r w:rsidR="0008173B" w:rsidRPr="00C95DC7">
        <w:rPr>
          <w:rFonts w:ascii="Times New Roman" w:hAnsi="Times New Roman" w:cs="Times New Roman"/>
          <w:sz w:val="24"/>
          <w:szCs w:val="24"/>
          <w:lang w:val="en-US"/>
        </w:rPr>
        <w:t>best means by which to accurately reflect</w:t>
      </w:r>
      <w:r w:rsidR="00BB780D" w:rsidRPr="00C95DC7">
        <w:rPr>
          <w:rFonts w:ascii="Times New Roman" w:hAnsi="Times New Roman" w:cs="Times New Roman"/>
          <w:sz w:val="24"/>
          <w:szCs w:val="24"/>
          <w:lang w:val="en-US"/>
        </w:rPr>
        <w:t xml:space="preserve"> the value of </w:t>
      </w:r>
      <w:r w:rsidR="00BB1C84" w:rsidRPr="00C95DC7">
        <w:rPr>
          <w:rFonts w:ascii="Times New Roman" w:hAnsi="Times New Roman" w:cs="Times New Roman"/>
          <w:sz w:val="24"/>
          <w:szCs w:val="24"/>
          <w:lang w:val="en-US"/>
        </w:rPr>
        <w:t xml:space="preserve">a Part D plan for a </w:t>
      </w:r>
      <w:r w:rsidR="00E2582F" w:rsidRPr="00C95DC7">
        <w:rPr>
          <w:rFonts w:ascii="Times New Roman" w:hAnsi="Times New Roman" w:cs="Times New Roman"/>
          <w:sz w:val="24"/>
          <w:szCs w:val="24"/>
          <w:lang w:val="en-US"/>
        </w:rPr>
        <w:t xml:space="preserve">beneficiary. </w:t>
      </w:r>
      <w:r w:rsidR="00980051" w:rsidRPr="00C95DC7">
        <w:rPr>
          <w:rFonts w:ascii="Times New Roman" w:hAnsi="Times New Roman" w:cs="Times New Roman"/>
          <w:sz w:val="24"/>
          <w:szCs w:val="24"/>
          <w:lang w:val="en-US"/>
        </w:rPr>
        <w:t xml:space="preserve">The </w:t>
      </w:r>
      <w:r w:rsidR="00E2582F" w:rsidRPr="00C95DC7">
        <w:rPr>
          <w:rFonts w:ascii="Times New Roman" w:hAnsi="Times New Roman" w:cs="Times New Roman"/>
          <w:sz w:val="24"/>
          <w:szCs w:val="24"/>
          <w:lang w:val="en-US"/>
        </w:rPr>
        <w:t>OOPC tool relies on data that are</w:t>
      </w:r>
      <w:r w:rsidR="00980051" w:rsidRPr="00C95DC7">
        <w:rPr>
          <w:rFonts w:ascii="Times New Roman" w:hAnsi="Times New Roman" w:cs="Times New Roman"/>
          <w:sz w:val="24"/>
          <w:szCs w:val="24"/>
          <w:lang w:val="en-US"/>
        </w:rPr>
        <w:t xml:space="preserve"> several years out of date, which is especially problematic when there are products that may have been released after the time frame on which the OOPC relies. </w:t>
      </w:r>
      <w:r w:rsidR="0010073A">
        <w:rPr>
          <w:rFonts w:ascii="Times New Roman" w:hAnsi="Times New Roman" w:cs="Times New Roman"/>
          <w:sz w:val="24"/>
          <w:szCs w:val="24"/>
          <w:lang w:val="en-US"/>
        </w:rPr>
        <w:t>Furthermore, the tool makes assumptions not likely in the real world; for example</w:t>
      </w:r>
      <w:r w:rsidR="00F636AE" w:rsidRPr="00C95DC7">
        <w:rPr>
          <w:rFonts w:ascii="Times New Roman" w:hAnsi="Times New Roman" w:cs="Times New Roman"/>
          <w:sz w:val="24"/>
          <w:szCs w:val="24"/>
          <w:lang w:val="en-US"/>
        </w:rPr>
        <w:t xml:space="preserve">, if a plan does not have a particular product listed on formulary, the OOPC assumes that patients will simply pay for all of the cost OOP, which is not an accurate prediction of real-world occurrences. </w:t>
      </w:r>
    </w:p>
    <w:p w:rsidR="003623F3" w:rsidRPr="00C95DC7" w:rsidRDefault="003623F3">
      <w:pPr>
        <w:jc w:val="both"/>
        <w:rPr>
          <w:rFonts w:ascii="Times New Roman" w:hAnsi="Times New Roman" w:cs="Times New Roman"/>
          <w:sz w:val="24"/>
          <w:szCs w:val="24"/>
          <w:lang w:val="en-US"/>
        </w:rPr>
      </w:pPr>
    </w:p>
    <w:p w:rsidR="00BB780D" w:rsidRDefault="00C94A6D">
      <w:pPr>
        <w:jc w:val="both"/>
        <w:rPr>
          <w:rFonts w:ascii="Times New Roman" w:hAnsi="Times New Roman" w:cs="Times New Roman"/>
          <w:sz w:val="24"/>
          <w:szCs w:val="24"/>
          <w:lang w:val="en-US"/>
        </w:rPr>
      </w:pPr>
      <w:r w:rsidRPr="00C95DC7">
        <w:rPr>
          <w:rFonts w:ascii="Times New Roman" w:hAnsi="Times New Roman" w:cs="Times New Roman"/>
          <w:sz w:val="24"/>
          <w:szCs w:val="24"/>
        </w:rPr>
        <w:t xml:space="preserve">NNI would like to ensure that </w:t>
      </w:r>
      <w:r w:rsidR="00E2582F" w:rsidRPr="00C95DC7">
        <w:rPr>
          <w:rFonts w:ascii="Times New Roman" w:hAnsi="Times New Roman" w:cs="Times New Roman"/>
          <w:sz w:val="24"/>
          <w:szCs w:val="24"/>
        </w:rPr>
        <w:t>if plans respond to the removal of mean</w:t>
      </w:r>
      <w:r w:rsidR="00982A4A" w:rsidRPr="00C95DC7">
        <w:rPr>
          <w:rFonts w:ascii="Times New Roman" w:hAnsi="Times New Roman" w:cs="Times New Roman"/>
          <w:sz w:val="24"/>
          <w:szCs w:val="24"/>
        </w:rPr>
        <w:t>i</w:t>
      </w:r>
      <w:r w:rsidRPr="00C95DC7">
        <w:rPr>
          <w:rFonts w:ascii="Times New Roman" w:hAnsi="Times New Roman" w:cs="Times New Roman"/>
          <w:sz w:val="24"/>
          <w:szCs w:val="24"/>
        </w:rPr>
        <w:t>ngful differences by significantly increasing their offerings, beneficiaries are able to easily filter through available plans to select the option that best fits their needs</w:t>
      </w:r>
      <w:r w:rsidR="0010073A">
        <w:rPr>
          <w:rFonts w:ascii="Times New Roman" w:hAnsi="Times New Roman" w:cs="Times New Roman"/>
          <w:sz w:val="24"/>
          <w:szCs w:val="24"/>
        </w:rPr>
        <w:t>,</w:t>
      </w:r>
      <w:r w:rsidRPr="00C95DC7">
        <w:rPr>
          <w:rFonts w:ascii="Times New Roman" w:hAnsi="Times New Roman" w:cs="Times New Roman"/>
          <w:sz w:val="24"/>
          <w:szCs w:val="24"/>
        </w:rPr>
        <w:t xml:space="preserve"> using a set of intuitive, clear filters</w:t>
      </w:r>
      <w:r w:rsidR="0010073A">
        <w:rPr>
          <w:rFonts w:ascii="Times New Roman" w:hAnsi="Times New Roman" w:cs="Times New Roman"/>
          <w:sz w:val="24"/>
          <w:szCs w:val="24"/>
        </w:rPr>
        <w:t>—for example,</w:t>
      </w:r>
      <w:r w:rsidRPr="00C95DC7">
        <w:rPr>
          <w:rFonts w:ascii="Times New Roman" w:hAnsi="Times New Roman" w:cs="Times New Roman"/>
          <w:sz w:val="24"/>
          <w:szCs w:val="24"/>
        </w:rPr>
        <w:t xml:space="preserve"> a filter outlining the differing levels of cost</w:t>
      </w:r>
      <w:r w:rsidR="0010073A">
        <w:rPr>
          <w:rFonts w:ascii="Times New Roman" w:hAnsi="Times New Roman" w:cs="Times New Roman"/>
          <w:sz w:val="24"/>
          <w:szCs w:val="24"/>
        </w:rPr>
        <w:t xml:space="preserve"> </w:t>
      </w:r>
      <w:r w:rsidRPr="00C95DC7">
        <w:rPr>
          <w:rFonts w:ascii="Times New Roman" w:hAnsi="Times New Roman" w:cs="Times New Roman"/>
          <w:sz w:val="24"/>
          <w:szCs w:val="24"/>
        </w:rPr>
        <w:t xml:space="preserve">sharing </w:t>
      </w:r>
      <w:r w:rsidRPr="00C95DC7">
        <w:rPr>
          <w:rFonts w:ascii="Times New Roman" w:hAnsi="Times New Roman" w:cs="Times New Roman"/>
          <w:sz w:val="24"/>
          <w:szCs w:val="24"/>
          <w:lang w:val="en-US"/>
        </w:rPr>
        <w:t>(deductibles, coinsurance, and copayments)</w:t>
      </w:r>
      <w:r w:rsidR="00813D7B" w:rsidRPr="00C95DC7">
        <w:rPr>
          <w:rFonts w:ascii="Times New Roman" w:hAnsi="Times New Roman" w:cs="Times New Roman"/>
          <w:sz w:val="24"/>
          <w:szCs w:val="24"/>
          <w:lang w:val="en-US"/>
        </w:rPr>
        <w:t>. This functionality would be in keeping with CMS’ desire to provide greater flexibility</w:t>
      </w:r>
      <w:r w:rsidR="0010073A">
        <w:rPr>
          <w:rFonts w:ascii="Times New Roman" w:hAnsi="Times New Roman" w:cs="Times New Roman"/>
          <w:sz w:val="24"/>
          <w:szCs w:val="24"/>
          <w:lang w:val="en-US"/>
        </w:rPr>
        <w:t xml:space="preserve"> without overwhelming the beneficiary with too much choice.  If CMS determines that plans respond by increasing choice to too great of an extent, we encourage CMS to consider an alternative to the OOPC calculator when determining that a plan is indeed meaningfully different</w:t>
      </w:r>
      <w:r w:rsidR="00941C8A">
        <w:rPr>
          <w:rFonts w:ascii="Times New Roman" w:hAnsi="Times New Roman" w:cs="Times New Roman"/>
          <w:sz w:val="24"/>
          <w:szCs w:val="24"/>
          <w:lang w:val="en-US"/>
        </w:rPr>
        <w:t xml:space="preserve"> f</w:t>
      </w:r>
      <w:r w:rsidR="007168CC">
        <w:rPr>
          <w:rFonts w:ascii="Times New Roman" w:hAnsi="Times New Roman" w:cs="Times New Roman"/>
          <w:sz w:val="24"/>
          <w:szCs w:val="24"/>
          <w:lang w:val="en-US"/>
        </w:rPr>
        <w:t>rom another offered</w:t>
      </w:r>
      <w:r w:rsidR="00941C8A">
        <w:rPr>
          <w:rFonts w:ascii="Times New Roman" w:hAnsi="Times New Roman" w:cs="Times New Roman"/>
          <w:sz w:val="24"/>
          <w:szCs w:val="24"/>
          <w:lang w:val="en-US"/>
        </w:rPr>
        <w:t xml:space="preserve"> by the same plan sponsor</w:t>
      </w:r>
      <w:r w:rsidR="00813D7B" w:rsidRPr="00C95DC7">
        <w:rPr>
          <w:rFonts w:ascii="Times New Roman" w:hAnsi="Times New Roman" w:cs="Times New Roman"/>
          <w:sz w:val="24"/>
          <w:szCs w:val="24"/>
          <w:lang w:val="en-US"/>
        </w:rPr>
        <w:t>.</w:t>
      </w:r>
      <w:r w:rsidR="00982A4A" w:rsidRPr="00C95DC7">
        <w:rPr>
          <w:rFonts w:ascii="Times New Roman" w:hAnsi="Times New Roman" w:cs="Times New Roman"/>
          <w:sz w:val="24"/>
          <w:szCs w:val="24"/>
          <w:lang w:val="en-US"/>
        </w:rPr>
        <w:t xml:space="preserve"> </w:t>
      </w:r>
    </w:p>
    <w:p w:rsidR="0010073A" w:rsidRPr="00C95DC7" w:rsidRDefault="0010073A">
      <w:pPr>
        <w:jc w:val="both"/>
        <w:rPr>
          <w:rFonts w:ascii="Times New Roman" w:hAnsi="Times New Roman" w:cs="Times New Roman"/>
          <w:sz w:val="24"/>
          <w:szCs w:val="24"/>
          <w:lang w:val="en-US"/>
        </w:rPr>
      </w:pPr>
    </w:p>
    <w:p w:rsidR="00BB780D" w:rsidRDefault="00BB780D">
      <w:pPr>
        <w:jc w:val="both"/>
        <w:rPr>
          <w:rFonts w:ascii="Times New Roman" w:hAnsi="Times New Roman" w:cs="Times New Roman"/>
          <w:b/>
          <w:sz w:val="24"/>
          <w:szCs w:val="24"/>
          <w:lang w:val="en-US"/>
        </w:rPr>
      </w:pPr>
      <w:r w:rsidRPr="00C95DC7">
        <w:rPr>
          <w:rFonts w:ascii="Times New Roman" w:hAnsi="Times New Roman" w:cs="Times New Roman"/>
          <w:b/>
          <w:sz w:val="24"/>
          <w:szCs w:val="24"/>
          <w:lang w:val="en-US"/>
        </w:rPr>
        <w:t>Request for Information Regarding the Application of Manufacturer Rebates and Pharmacy Price Concessions to Drug Prices at the Point of Sale</w:t>
      </w:r>
    </w:p>
    <w:p w:rsidR="00E77B2C" w:rsidRDefault="00E77B2C">
      <w:pPr>
        <w:jc w:val="both"/>
        <w:rPr>
          <w:rFonts w:ascii="Times New Roman" w:hAnsi="Times New Roman" w:cs="Times New Roman"/>
          <w:b/>
          <w:sz w:val="24"/>
          <w:szCs w:val="24"/>
          <w:lang w:val="en-US"/>
        </w:rPr>
      </w:pPr>
    </w:p>
    <w:p w:rsidR="00E77B2C" w:rsidRDefault="00E77B2C">
      <w:pPr>
        <w:jc w:val="both"/>
        <w:rPr>
          <w:rFonts w:ascii="Times New Roman" w:hAnsi="Times New Roman" w:cs="Times New Roman"/>
          <w:sz w:val="24"/>
          <w:szCs w:val="24"/>
          <w:lang w:val="en-US"/>
        </w:rPr>
      </w:pPr>
      <w:r w:rsidRPr="00E77B2C">
        <w:rPr>
          <w:rFonts w:ascii="Times New Roman" w:hAnsi="Times New Roman" w:cs="Times New Roman"/>
          <w:b/>
          <w:sz w:val="24"/>
          <w:szCs w:val="24"/>
          <w:lang w:val="en-US"/>
        </w:rPr>
        <w:t xml:space="preserve">Description:  </w:t>
      </w:r>
      <w:r w:rsidRPr="00826288">
        <w:rPr>
          <w:rFonts w:ascii="Times New Roman" w:hAnsi="Times New Roman" w:cs="Times New Roman"/>
          <w:sz w:val="24"/>
          <w:szCs w:val="24"/>
          <w:lang w:val="en-US"/>
        </w:rPr>
        <w:t xml:space="preserve">CMS is soliciting feedback on a potential future proposal to require Part D plan sponsors to pass through a minimum portion of manufacturer negotiated rebates and all pharmacy price concessions to beneficiaries at the point-of-sale. Currently, plan sponsors are allowed, but generally do not apply rebates and price concessions to lower the negotiated price of a drug at the </w:t>
      </w:r>
      <w:r w:rsidRPr="00826288">
        <w:rPr>
          <w:rFonts w:ascii="Times New Roman" w:hAnsi="Times New Roman" w:cs="Times New Roman"/>
          <w:sz w:val="24"/>
          <w:szCs w:val="24"/>
          <w:lang w:val="en-US"/>
        </w:rPr>
        <w:lastRenderedPageBreak/>
        <w:t xml:space="preserve">point-of-sale. Rebates and price concessions not applied in this manner are instead reported to CMS at the end of the coverage year as direct and indirect remuneration (DIR). </w:t>
      </w:r>
    </w:p>
    <w:p w:rsidR="00E77B2C" w:rsidRDefault="00E77B2C">
      <w:pPr>
        <w:jc w:val="both"/>
        <w:rPr>
          <w:rFonts w:ascii="Times New Roman" w:hAnsi="Times New Roman" w:cs="Times New Roman"/>
          <w:sz w:val="24"/>
          <w:szCs w:val="24"/>
          <w:lang w:val="en-US"/>
        </w:rPr>
      </w:pPr>
    </w:p>
    <w:p w:rsidR="00E77B2C" w:rsidRPr="00E77B2C" w:rsidRDefault="00E77B2C">
      <w:pPr>
        <w:jc w:val="both"/>
        <w:rPr>
          <w:rFonts w:ascii="Times New Roman" w:hAnsi="Times New Roman" w:cs="Times New Roman"/>
          <w:b/>
          <w:sz w:val="24"/>
          <w:szCs w:val="24"/>
          <w:lang w:val="en-US"/>
        </w:rPr>
      </w:pPr>
      <w:r>
        <w:rPr>
          <w:rFonts w:ascii="Times New Roman" w:hAnsi="Times New Roman" w:cs="Times New Roman"/>
          <w:b/>
          <w:sz w:val="24"/>
          <w:szCs w:val="24"/>
          <w:lang w:val="en-US"/>
        </w:rPr>
        <w:t>Comments:</w:t>
      </w:r>
    </w:p>
    <w:p w:rsidR="006E15A8" w:rsidRPr="00C95DC7" w:rsidRDefault="006E15A8">
      <w:pPr>
        <w:jc w:val="both"/>
        <w:rPr>
          <w:rFonts w:ascii="Times New Roman" w:hAnsi="Times New Roman" w:cs="Times New Roman"/>
          <w:sz w:val="24"/>
          <w:szCs w:val="24"/>
          <w:lang w:val="en-US"/>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 xml:space="preserve">NNI was pleased to see CMS’ Request for Information (RFI) to lower prescription drug costs for consumers at the point of sale (POS) in Medicare. The Medicare Part D program has succeeded in providing prescription drug coverage for more than 40 million seniors, at a far lower cost than anticipated, and with very high satisfaction rates among beneficiaries.  However, the program is not without its challenges, and </w:t>
      </w:r>
      <w:r w:rsidR="007168CC">
        <w:rPr>
          <w:rFonts w:ascii="Times New Roman" w:hAnsi="Times New Roman" w:cs="Times New Roman"/>
          <w:sz w:val="24"/>
          <w:szCs w:val="24"/>
        </w:rPr>
        <w:t xml:space="preserve">fundamental </w:t>
      </w:r>
      <w:r w:rsidRPr="00C95DC7">
        <w:rPr>
          <w:rFonts w:ascii="Times New Roman" w:hAnsi="Times New Roman" w:cs="Times New Roman"/>
          <w:sz w:val="24"/>
          <w:szCs w:val="24"/>
        </w:rPr>
        <w:t>changes to the program may be warranted.</w:t>
      </w:r>
    </w:p>
    <w:p w:rsidR="0034377A" w:rsidRPr="00C95DC7" w:rsidRDefault="0034377A">
      <w:pPr>
        <w:jc w:val="both"/>
        <w:rPr>
          <w:rFonts w:ascii="Times New Roman" w:hAnsi="Times New Roman" w:cs="Times New Roman"/>
          <w:sz w:val="24"/>
          <w:szCs w:val="24"/>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Across all insurance channels, manufacturers offer rebates to pharmacy benefit managers (PBMs) and health plans to secure formulary access for patients.  While negotiated rebates can result in substantial savings – reducing the list prices for some medicines by as much as 70% – in most cases Part D plans still require beneficiaries to pay cost sharing based on the full list price of their medicine (when in the deductible, coverage gap, catastrophic coverage, or paying coinsurance), even in situations where the plan receives a substantial rebate.</w:t>
      </w:r>
      <w:r w:rsidRPr="00C95DC7">
        <w:rPr>
          <w:rStyle w:val="FootnoteReference"/>
          <w:rFonts w:ascii="Times New Roman" w:hAnsi="Times New Roman" w:cs="Times New Roman"/>
          <w:sz w:val="24"/>
          <w:szCs w:val="24"/>
        </w:rPr>
        <w:footnoteReference w:id="11"/>
      </w:r>
      <w:r w:rsidRPr="00C95DC7">
        <w:rPr>
          <w:rFonts w:ascii="Times New Roman" w:hAnsi="Times New Roman" w:cs="Times New Roman"/>
          <w:sz w:val="24"/>
          <w:szCs w:val="24"/>
        </w:rPr>
        <w:t xml:space="preserve"> As noted in the RFI, these negotiated rebates have grown significantly over the last few years</w:t>
      </w:r>
      <w:r w:rsidRPr="00C95DC7">
        <w:rPr>
          <w:rStyle w:val="FootnoteReference"/>
          <w:rFonts w:ascii="Times New Roman" w:hAnsi="Times New Roman" w:cs="Times New Roman"/>
          <w:sz w:val="24"/>
          <w:szCs w:val="24"/>
        </w:rPr>
        <w:footnoteReference w:id="12"/>
      </w:r>
      <w:r w:rsidRPr="00C95DC7">
        <w:rPr>
          <w:rFonts w:ascii="Times New Roman" w:hAnsi="Times New Roman" w:cs="Times New Roman"/>
          <w:sz w:val="24"/>
          <w:szCs w:val="24"/>
        </w:rPr>
        <w:t>.  While these rebates have been used to lower costs in other parts of the benefit, such as keeping premiums low for all Part D beneficiaries, the individuals who are actually taking the rebated drugs effectively bear a higher percentage of the true cost of their medications each year.  For some, this may mean that their drugs are no longer affordable, leading to adherence or persistence issues—which ultimately may result in increased medical costs for the individual and the government. While we typically think of affordability being an issue for patients taking high-cost drugs, individuals living with chronic conditions like diabetes or obesity who depend on multiple medications may also have a problem affording their drugs.   Requiring Part D plans to share a portion of negotiated savings could result in lower out-of-pocket (OOP) costs at the pharmacy for millions of these Part D beneficiaries.</w:t>
      </w:r>
    </w:p>
    <w:p w:rsidR="0034377A" w:rsidRPr="00C95DC7" w:rsidRDefault="0034377A">
      <w:pPr>
        <w:jc w:val="both"/>
        <w:rPr>
          <w:rFonts w:ascii="Times New Roman" w:hAnsi="Times New Roman" w:cs="Times New Roman"/>
          <w:sz w:val="24"/>
          <w:szCs w:val="24"/>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 xml:space="preserve">While NNI supports a POS rebating strategy to lower beneficiary expenditures, we urge CMS to further develop the proposal outlined in the RFI, given the potentially unintended consequences and operational challenges that this proposal presents. </w:t>
      </w:r>
      <w:r w:rsidR="00AF3933">
        <w:rPr>
          <w:rFonts w:ascii="Times New Roman" w:hAnsi="Times New Roman" w:cs="Times New Roman"/>
          <w:sz w:val="24"/>
          <w:szCs w:val="24"/>
        </w:rPr>
        <w:t>For example, implementing a new program of this scale and with this complexity may cause PBMs to raise their administration fees, which will only add costs to the system. As you consider a potential POS policy, we also remind CMS that the rebates negotiated with Part D plans are separate from a manufacturer’s mandatory coverage gap discount—this “double dipping” means, in some cases, manufacturers are paying in excess of 100% rebate on coverage gap claims.  Therefore, w</w:t>
      </w:r>
      <w:r w:rsidR="00AF3933" w:rsidRPr="00C95DC7">
        <w:rPr>
          <w:rFonts w:ascii="Times New Roman" w:hAnsi="Times New Roman" w:cs="Times New Roman"/>
          <w:sz w:val="24"/>
          <w:szCs w:val="24"/>
        </w:rPr>
        <w:t>e encourage CMS to meet with manufacturers, payers, PBMs, and patient advocates to develop a POS rebating policy that would be most appropriate for the Part D program.</w:t>
      </w:r>
      <w:r w:rsidR="00AF3933">
        <w:rPr>
          <w:rFonts w:ascii="Times New Roman" w:hAnsi="Times New Roman" w:cs="Times New Roman"/>
          <w:sz w:val="24"/>
          <w:szCs w:val="24"/>
        </w:rPr>
        <w:t xml:space="preserve">  </w:t>
      </w:r>
    </w:p>
    <w:p w:rsidR="0034377A" w:rsidRPr="00C95DC7" w:rsidRDefault="0034377A">
      <w:pPr>
        <w:jc w:val="both"/>
        <w:rPr>
          <w:rFonts w:ascii="Times New Roman" w:hAnsi="Times New Roman" w:cs="Times New Roman"/>
          <w:sz w:val="24"/>
          <w:szCs w:val="24"/>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 xml:space="preserve">However, if CMS wishes to move forward with the proposal as written, NNI opposes the therapeutic class average methodology proposed by CMS in the RFI and we urge the agency to pursue an alternative methodology.  To sustain market incentives and avoid undermining the competitive structure of Medicare Part D, it is critically important that CMS design the rebate </w:t>
      </w:r>
      <w:r w:rsidRPr="00C95DC7">
        <w:rPr>
          <w:rFonts w:ascii="Times New Roman" w:hAnsi="Times New Roman" w:cs="Times New Roman"/>
          <w:sz w:val="24"/>
          <w:szCs w:val="24"/>
        </w:rPr>
        <w:lastRenderedPageBreak/>
        <w:t>pass-through policy in a way that both avoids the disclosure of commercially-sensitive drug-level rebate data and prevents the cross-subsidization of competing products in a therapeutic class. Policies that could result in the cross-subsidization of competing medicines – such as requiring plans to pass through an average rebate amount calculated at the therapeutic class level (as proposed in the RFI) – may discourage manufacturers from negotiating more competitive rebates with Part D plans and could reduce the total rebate dollars plans receive.</w:t>
      </w:r>
    </w:p>
    <w:p w:rsidR="0034377A" w:rsidRPr="00C95DC7" w:rsidRDefault="0034377A">
      <w:pPr>
        <w:jc w:val="both"/>
        <w:rPr>
          <w:rFonts w:ascii="Times New Roman" w:hAnsi="Times New Roman" w:cs="Times New Roman"/>
          <w:sz w:val="24"/>
          <w:szCs w:val="24"/>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Additionally, preliminary assessments of CMS’ proposed methodology in the RFI suggests that there could be unintended consequences in the form of tighter formulary management and increased premiums. While beneficiaries would see lower prices at the pharmacy, plan premiums would likely increase as a result of such a POS rebate policy. Estimates concerning the amount by which plans could be expected to raise their premium have not been reliably assessed and, as such, it is possible to imagine that plans may protect their interests by raising premiums by an amount that could be greater than the savings realized by consumers following the implementation of POS rebates. Assessments of the RFI have also suggested that plans may adopt strategies to more strictly manage formularies, and mandate more widespread use of generics.  While steering towards generic products is often appropriate, generics are not always available, and in such cases it is imperative that CMS ensures beneficiaries continue to have access to the breadth of therapeutic options necessary to meet their medical needs.</w:t>
      </w:r>
    </w:p>
    <w:p w:rsidR="0034377A" w:rsidRPr="00C95DC7" w:rsidRDefault="0034377A">
      <w:pPr>
        <w:jc w:val="both"/>
        <w:rPr>
          <w:rFonts w:ascii="Times New Roman" w:hAnsi="Times New Roman" w:cs="Times New Roman"/>
          <w:sz w:val="24"/>
          <w:szCs w:val="24"/>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NNI suggests that CMS view this POS proposal as one step in solving the overall OOP issue that certain Medicare beneficiaries face, but not the final one.</w:t>
      </w:r>
      <w:r w:rsidRPr="00C95DC7" w:rsidDel="002E073D">
        <w:rPr>
          <w:rFonts w:ascii="Times New Roman" w:hAnsi="Times New Roman" w:cs="Times New Roman"/>
          <w:sz w:val="24"/>
          <w:szCs w:val="24"/>
        </w:rPr>
        <w:t xml:space="preserve"> </w:t>
      </w:r>
      <w:r w:rsidRPr="00C95DC7">
        <w:rPr>
          <w:rFonts w:ascii="Times New Roman" w:hAnsi="Times New Roman" w:cs="Times New Roman"/>
          <w:color w:val="000000"/>
          <w:sz w:val="24"/>
          <w:szCs w:val="24"/>
          <w:shd w:val="clear" w:color="auto" w:fill="FFFFFF"/>
        </w:rPr>
        <w:t>Patients with chronic illnesses, such as diabetes, are at particularly high risk of facing high drug and other out-of-pocket costs given their need for chronic drug therapy, and frequent need for multiple drugs to treat comorbid conditions.</w:t>
      </w:r>
      <w:r w:rsidRPr="00C95DC7">
        <w:rPr>
          <w:rStyle w:val="FootnoteReference"/>
          <w:rFonts w:ascii="Times New Roman" w:hAnsi="Times New Roman" w:cs="Times New Roman"/>
          <w:color w:val="000000"/>
          <w:sz w:val="24"/>
          <w:szCs w:val="24"/>
          <w:shd w:val="clear" w:color="auto" w:fill="FFFFFF"/>
        </w:rPr>
        <w:footnoteReference w:id="13"/>
      </w:r>
      <w:r w:rsidRPr="00C95DC7">
        <w:rPr>
          <w:rFonts w:ascii="Times New Roman" w:hAnsi="Times New Roman" w:cs="Times New Roman"/>
          <w:color w:val="000000"/>
          <w:sz w:val="24"/>
          <w:szCs w:val="24"/>
          <w:shd w:val="clear" w:color="auto" w:fill="FFFFFF"/>
        </w:rPr>
        <w:t xml:space="preserve"> People with diabetes, in particular, often require daily medication to control their blood sugar levels, in addition to concurrent chronic treatment for other associated conditions.</w:t>
      </w:r>
      <w:r w:rsidRPr="00C95DC7">
        <w:rPr>
          <w:rStyle w:val="FootnoteReference"/>
          <w:rFonts w:ascii="Times New Roman" w:hAnsi="Times New Roman" w:cs="Times New Roman"/>
          <w:color w:val="000000"/>
          <w:sz w:val="24"/>
          <w:szCs w:val="24"/>
          <w:shd w:val="clear" w:color="auto" w:fill="FFFFFF"/>
        </w:rPr>
        <w:footnoteReference w:id="14"/>
      </w:r>
      <w:r w:rsidRPr="00C95DC7">
        <w:rPr>
          <w:rFonts w:ascii="Times New Roman" w:hAnsi="Times New Roman" w:cs="Times New Roman"/>
          <w:color w:val="000000"/>
          <w:sz w:val="24"/>
          <w:szCs w:val="24"/>
          <w:shd w:val="clear" w:color="auto" w:fill="FFFFFF"/>
        </w:rPr>
        <w:t xml:space="preserve"> People living with diabetes incur average medical expenditures of about $13,700 per year, of which about $7,900 is attributed to diabetes.</w:t>
      </w:r>
      <w:r w:rsidRPr="00C95DC7">
        <w:rPr>
          <w:rStyle w:val="FootnoteReference"/>
          <w:rFonts w:ascii="Times New Roman" w:hAnsi="Times New Roman" w:cs="Times New Roman"/>
          <w:color w:val="000000"/>
          <w:sz w:val="24"/>
          <w:szCs w:val="24"/>
          <w:shd w:val="clear" w:color="auto" w:fill="FFFFFF"/>
        </w:rPr>
        <w:footnoteReference w:id="15"/>
      </w:r>
      <w:r w:rsidRPr="00C95DC7">
        <w:rPr>
          <w:rFonts w:ascii="Times New Roman" w:hAnsi="Times New Roman" w:cs="Times New Roman"/>
          <w:color w:val="000000"/>
          <w:sz w:val="24"/>
          <w:szCs w:val="24"/>
          <w:shd w:val="clear" w:color="auto" w:fill="FFFFFF"/>
        </w:rPr>
        <w:t xml:space="preserve"> While the implementation of POS rebates may serve to decrease OOP costs for beneficiaries, patients living with diabetes will still be exposed to very high overall costs of care. </w:t>
      </w:r>
      <w:r w:rsidRPr="00C95DC7">
        <w:rPr>
          <w:rFonts w:ascii="Times New Roman" w:hAnsi="Times New Roman" w:cs="Times New Roman"/>
          <w:sz w:val="24"/>
          <w:szCs w:val="24"/>
        </w:rPr>
        <w:t xml:space="preserve">In 2011, 40.9% of older adults with diabetes reached either the Part D coverage gap, or found themselves above the catastrophic threshold. As CMS considers how to further refine and implement a shared savings policy, we believe serious attention should be paid to the fact that there is not a statutory </w:t>
      </w:r>
      <w:r w:rsidR="007168CC">
        <w:rPr>
          <w:rFonts w:ascii="Times New Roman" w:hAnsi="Times New Roman" w:cs="Times New Roman"/>
          <w:sz w:val="24"/>
          <w:szCs w:val="24"/>
        </w:rPr>
        <w:t>MOOP</w:t>
      </w:r>
      <w:r w:rsidRPr="00C95DC7">
        <w:rPr>
          <w:rFonts w:ascii="Times New Roman" w:hAnsi="Times New Roman" w:cs="Times New Roman"/>
          <w:sz w:val="24"/>
          <w:szCs w:val="24"/>
        </w:rPr>
        <w:t xml:space="preserve"> limit for consumers in Part D. Although beneficiary cost sharing decreases to 5% once a consumer reached the catastrophic coverage threshold, this low rate can still be prohibitively costly for individuals, often on fixed incomes, taking multiple medicines.  </w:t>
      </w:r>
    </w:p>
    <w:p w:rsidR="0034377A" w:rsidRPr="00C95DC7" w:rsidRDefault="0034377A">
      <w:pPr>
        <w:jc w:val="both"/>
        <w:rPr>
          <w:rFonts w:ascii="Times New Roman" w:hAnsi="Times New Roman" w:cs="Times New Roman"/>
          <w:sz w:val="24"/>
          <w:szCs w:val="24"/>
        </w:rPr>
      </w:pPr>
    </w:p>
    <w:p w:rsidR="0034377A" w:rsidRPr="00C95DC7" w:rsidRDefault="0034377A">
      <w:pPr>
        <w:jc w:val="both"/>
        <w:rPr>
          <w:rFonts w:ascii="Times New Roman" w:hAnsi="Times New Roman" w:cs="Times New Roman"/>
          <w:sz w:val="24"/>
          <w:szCs w:val="24"/>
        </w:rPr>
      </w:pPr>
      <w:r w:rsidRPr="00C95DC7">
        <w:rPr>
          <w:rFonts w:ascii="Times New Roman" w:hAnsi="Times New Roman" w:cs="Times New Roman"/>
          <w:sz w:val="24"/>
          <w:szCs w:val="24"/>
        </w:rPr>
        <w:t xml:space="preserve">Finally, while CMS’ shared savings proposal would shift the mechanics of the prescription drug supply chain so that patients benefit from rebates, it does not address rising patient costs attributable to insurance benefit design.  Rising use and rates of co-insurance and the proliferation of high deductible health plans (HDHPs) (in the commercial market) create significant financial barriers to accessing necessary and high-quality health care for consumers. The proportion of Americans enrolled in high deductible health plans (HDHPs) has significantly increased, from </w:t>
      </w:r>
      <w:bookmarkStart w:id="0" w:name="_GoBack"/>
      <w:r w:rsidRPr="00C95DC7">
        <w:rPr>
          <w:rFonts w:ascii="Times New Roman" w:hAnsi="Times New Roman" w:cs="Times New Roman"/>
          <w:sz w:val="24"/>
          <w:szCs w:val="24"/>
        </w:rPr>
        <w:lastRenderedPageBreak/>
        <w:t>26.3% in 2011 to over 39% in 2016.</w:t>
      </w:r>
      <w:r w:rsidRPr="00C95DC7">
        <w:rPr>
          <w:rStyle w:val="FootnoteReference"/>
          <w:rFonts w:ascii="Times New Roman" w:hAnsi="Times New Roman" w:cs="Times New Roman"/>
          <w:sz w:val="24"/>
          <w:szCs w:val="24"/>
        </w:rPr>
        <w:footnoteReference w:id="16"/>
      </w:r>
      <w:r w:rsidRPr="00C95DC7">
        <w:rPr>
          <w:rFonts w:ascii="Times New Roman" w:hAnsi="Times New Roman" w:cs="Times New Roman"/>
          <w:sz w:val="24"/>
          <w:szCs w:val="24"/>
        </w:rPr>
        <w:t xml:space="preserve"> Of consumers enrolled in HDHPs, over 15% reported difficulty paying medical bills, which demonstrates the financial hardship fomented by this type of health coverage.</w:t>
      </w:r>
      <w:r w:rsidRPr="00C95DC7">
        <w:rPr>
          <w:rStyle w:val="FootnoteReference"/>
          <w:rFonts w:ascii="Times New Roman" w:hAnsi="Times New Roman" w:cs="Times New Roman"/>
          <w:sz w:val="24"/>
          <w:szCs w:val="24"/>
        </w:rPr>
        <w:footnoteReference w:id="17"/>
      </w:r>
      <w:r w:rsidRPr="00C95DC7">
        <w:rPr>
          <w:rFonts w:ascii="Times New Roman" w:hAnsi="Times New Roman" w:cs="Times New Roman"/>
          <w:sz w:val="24"/>
          <w:szCs w:val="24"/>
        </w:rPr>
        <w:t xml:space="preserve"> As CMS further develops methods by which to share savings with consumers, and lower health care costs overall, special attention should be paid to addressing the rising costs associated with changing benefit designs, both in Medicare (coinsurance) and the Marketplace (HDHPs).  </w:t>
      </w:r>
    </w:p>
    <w:p w:rsidR="006E15A8" w:rsidRPr="00C95DC7" w:rsidRDefault="006E15A8">
      <w:pPr>
        <w:jc w:val="both"/>
        <w:rPr>
          <w:rFonts w:ascii="Times New Roman" w:hAnsi="Times New Roman" w:cs="Times New Roman"/>
          <w:sz w:val="24"/>
          <w:szCs w:val="24"/>
          <w:lang w:val="en-US"/>
        </w:rPr>
      </w:pPr>
    </w:p>
    <w:p w:rsidR="009F2A58" w:rsidRPr="00C95DC7" w:rsidRDefault="00C95DC7">
      <w:pPr>
        <w:jc w:val="center"/>
        <w:rPr>
          <w:rFonts w:ascii="Times New Roman" w:hAnsi="Times New Roman" w:cs="Times New Roman"/>
          <w:sz w:val="24"/>
          <w:szCs w:val="24"/>
          <w:lang w:val="en-US"/>
        </w:rPr>
      </w:pPr>
      <w:r w:rsidRPr="00C95DC7">
        <w:rPr>
          <w:rFonts w:ascii="Times New Roman" w:hAnsi="Times New Roman" w:cs="Times New Roman"/>
          <w:sz w:val="24"/>
          <w:szCs w:val="24"/>
          <w:lang w:val="en-US"/>
        </w:rPr>
        <w:t>***</w:t>
      </w:r>
    </w:p>
    <w:p w:rsidR="00C95DC7" w:rsidRPr="00C95DC7" w:rsidRDefault="00C95DC7">
      <w:pPr>
        <w:jc w:val="both"/>
        <w:rPr>
          <w:rFonts w:ascii="Times New Roman" w:hAnsi="Times New Roman" w:cs="Times New Roman"/>
          <w:sz w:val="24"/>
          <w:szCs w:val="24"/>
          <w:lang w:val="en-US"/>
        </w:rPr>
      </w:pPr>
    </w:p>
    <w:p w:rsidR="00C95DC7" w:rsidRPr="00C95DC7" w:rsidRDefault="00C95DC7">
      <w:pPr>
        <w:spacing w:line="23" w:lineRule="atLeast"/>
        <w:jc w:val="both"/>
        <w:rPr>
          <w:rFonts w:ascii="Times New Roman" w:hAnsi="Times New Roman" w:cs="Times New Roman"/>
          <w:sz w:val="24"/>
          <w:szCs w:val="24"/>
        </w:rPr>
      </w:pPr>
      <w:bookmarkStart w:id="1" w:name="Start"/>
      <w:bookmarkEnd w:id="1"/>
      <w:r w:rsidRPr="00C95DC7">
        <w:rPr>
          <w:rFonts w:ascii="Times New Roman" w:hAnsi="Times New Roman" w:cs="Times New Roman"/>
          <w:sz w:val="24"/>
          <w:szCs w:val="24"/>
        </w:rPr>
        <w:t>Novo Nordisk appreciates this opportunity to offer our suggestions on the proposed rule on the</w:t>
      </w:r>
      <w:r w:rsidR="00EE0D7C">
        <w:rPr>
          <w:rFonts w:ascii="Times New Roman" w:hAnsi="Times New Roman" w:cs="Times New Roman"/>
          <w:sz w:val="24"/>
          <w:szCs w:val="24"/>
        </w:rPr>
        <w:t xml:space="preserve"> </w:t>
      </w:r>
      <w:r w:rsidR="00EE0D7C" w:rsidRPr="00EE0D7C">
        <w:rPr>
          <w:rFonts w:ascii="Times New Roman" w:hAnsi="Times New Roman" w:cs="Times New Roman"/>
          <w:sz w:val="24"/>
          <w:szCs w:val="24"/>
        </w:rPr>
        <w:t>Contract Year 2019 Policy and Technical Changes to the Medicare Advantage, Medicare Cost Plan, Medicare Fee-for-Service, the Medicare Prescription Drug Benefit Programs an</w:t>
      </w:r>
      <w:r w:rsidR="00EE0D7C">
        <w:rPr>
          <w:rFonts w:ascii="Times New Roman" w:hAnsi="Times New Roman" w:cs="Times New Roman"/>
          <w:sz w:val="24"/>
          <w:szCs w:val="24"/>
        </w:rPr>
        <w:t>d the PACE Program</w:t>
      </w:r>
      <w:r w:rsidRPr="00C95DC7">
        <w:rPr>
          <w:rFonts w:ascii="Times New Roman" w:hAnsi="Times New Roman" w:cs="Times New Roman"/>
          <w:sz w:val="24"/>
          <w:szCs w:val="24"/>
        </w:rPr>
        <w:t xml:space="preserve">. If you have any questions or need any further information relating to our comments, please do not hesitate to contact </w:t>
      </w:r>
      <w:r w:rsidR="00AB334C">
        <w:rPr>
          <w:rFonts w:ascii="Times New Roman" w:hAnsi="Times New Roman" w:cs="Times New Roman"/>
          <w:sz w:val="24"/>
          <w:szCs w:val="24"/>
        </w:rPr>
        <w:t>me</w:t>
      </w:r>
      <w:r w:rsidR="00EE0D7C">
        <w:rPr>
          <w:rFonts w:ascii="Times New Roman" w:hAnsi="Times New Roman" w:cs="Times New Roman"/>
          <w:sz w:val="24"/>
          <w:szCs w:val="24"/>
        </w:rPr>
        <w:t xml:space="preserve"> at </w:t>
      </w:r>
      <w:r w:rsidR="00826288" w:rsidRPr="00826288">
        <w:rPr>
          <w:rFonts w:ascii="Times New Roman" w:hAnsi="Times New Roman" w:cs="Times New Roman"/>
          <w:sz w:val="24"/>
          <w:szCs w:val="24"/>
        </w:rPr>
        <w:t>salr@novonordisk.com</w:t>
      </w:r>
      <w:r w:rsidR="00826288">
        <w:rPr>
          <w:rFonts w:ascii="Times New Roman" w:hAnsi="Times New Roman" w:cs="Times New Roman"/>
          <w:sz w:val="24"/>
          <w:szCs w:val="24"/>
        </w:rPr>
        <w:t xml:space="preserve"> or (609)987-5800.</w:t>
      </w:r>
    </w:p>
    <w:p w:rsidR="00C95DC7" w:rsidRPr="00C95DC7" w:rsidRDefault="00C95DC7">
      <w:pPr>
        <w:spacing w:line="23" w:lineRule="atLeast"/>
        <w:jc w:val="both"/>
        <w:rPr>
          <w:rFonts w:ascii="Times New Roman" w:hAnsi="Times New Roman" w:cs="Times New Roman"/>
          <w:sz w:val="24"/>
          <w:szCs w:val="24"/>
        </w:rPr>
      </w:pPr>
    </w:p>
    <w:p w:rsidR="00C95DC7" w:rsidRPr="00C95DC7" w:rsidRDefault="00C95DC7">
      <w:pPr>
        <w:spacing w:line="23" w:lineRule="atLeast"/>
        <w:jc w:val="both"/>
        <w:rPr>
          <w:rFonts w:ascii="Times New Roman" w:hAnsi="Times New Roman" w:cs="Times New Roman"/>
          <w:sz w:val="24"/>
          <w:szCs w:val="24"/>
        </w:rPr>
      </w:pPr>
      <w:r w:rsidRPr="00C95DC7">
        <w:rPr>
          <w:rFonts w:ascii="Times New Roman" w:hAnsi="Times New Roman" w:cs="Times New Roman"/>
          <w:sz w:val="24"/>
          <w:szCs w:val="24"/>
        </w:rPr>
        <w:br/>
        <w:t xml:space="preserve">Sincerely, </w:t>
      </w:r>
    </w:p>
    <w:p w:rsidR="00C95DC7" w:rsidRPr="00C95DC7" w:rsidRDefault="00C95DC7" w:rsidP="00C95DC7">
      <w:pPr>
        <w:spacing w:line="23" w:lineRule="atLeast"/>
        <w:jc w:val="both"/>
        <w:rPr>
          <w:rFonts w:ascii="Times New Roman" w:hAnsi="Times New Roman" w:cs="Times New Roman"/>
          <w:sz w:val="24"/>
          <w:szCs w:val="24"/>
        </w:rPr>
      </w:pPr>
    </w:p>
    <w:p w:rsidR="00C95DC7" w:rsidRPr="00C95DC7" w:rsidRDefault="0096475D" w:rsidP="00C95DC7">
      <w:pPr>
        <w:spacing w:line="23" w:lineRule="atLeast"/>
        <w:jc w:val="both"/>
        <w:rPr>
          <w:rFonts w:ascii="Times New Roman" w:hAnsi="Times New Roman" w:cs="Times New Roman"/>
          <w:sz w:val="24"/>
          <w:szCs w:val="24"/>
        </w:rPr>
      </w:pPr>
      <w:r>
        <w:rPr>
          <w:noProof/>
          <w:lang w:val="en-US" w:eastAsia="en-US"/>
        </w:rPr>
        <w:drawing>
          <wp:inline distT="0" distB="0" distL="0" distR="0" wp14:anchorId="326A9217" wp14:editId="3D733993">
            <wp:extent cx="260032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828675"/>
                    </a:xfrm>
                    <a:prstGeom prst="rect">
                      <a:avLst/>
                    </a:prstGeom>
                  </pic:spPr>
                </pic:pic>
              </a:graphicData>
            </a:graphic>
          </wp:inline>
        </w:drawing>
      </w:r>
    </w:p>
    <w:p w:rsidR="00C95DC7" w:rsidRPr="00C95DC7" w:rsidRDefault="00C95DC7" w:rsidP="00C95DC7">
      <w:pPr>
        <w:spacing w:line="23" w:lineRule="atLeast"/>
        <w:jc w:val="both"/>
        <w:rPr>
          <w:rFonts w:ascii="Times New Roman" w:hAnsi="Times New Roman" w:cs="Times New Roman"/>
          <w:sz w:val="24"/>
          <w:szCs w:val="24"/>
        </w:rPr>
      </w:pPr>
    </w:p>
    <w:p w:rsidR="00C95DC7" w:rsidRPr="00C95DC7" w:rsidRDefault="00EE0D7C" w:rsidP="00C95DC7">
      <w:pPr>
        <w:spacing w:line="23" w:lineRule="atLeast"/>
        <w:jc w:val="both"/>
        <w:rPr>
          <w:rFonts w:ascii="Times New Roman" w:hAnsi="Times New Roman" w:cs="Times New Roman"/>
          <w:sz w:val="24"/>
          <w:szCs w:val="24"/>
        </w:rPr>
      </w:pPr>
      <w:r>
        <w:rPr>
          <w:rFonts w:ascii="Times New Roman" w:hAnsi="Times New Roman" w:cs="Times New Roman"/>
          <w:sz w:val="24"/>
          <w:szCs w:val="24"/>
        </w:rPr>
        <w:t>Steve Albers</w:t>
      </w:r>
    </w:p>
    <w:p w:rsidR="00C95DC7" w:rsidRPr="00C95DC7" w:rsidRDefault="00EE0D7C" w:rsidP="00C95DC7">
      <w:pPr>
        <w:spacing w:line="23" w:lineRule="atLeast"/>
        <w:jc w:val="both"/>
        <w:rPr>
          <w:rFonts w:ascii="Times New Roman" w:hAnsi="Times New Roman" w:cs="Times New Roman"/>
          <w:sz w:val="24"/>
          <w:szCs w:val="24"/>
        </w:rPr>
      </w:pPr>
      <w:r>
        <w:rPr>
          <w:rFonts w:ascii="Times New Roman" w:hAnsi="Times New Roman" w:cs="Times New Roman"/>
          <w:sz w:val="24"/>
          <w:szCs w:val="24"/>
        </w:rPr>
        <w:t xml:space="preserve">Corporate </w:t>
      </w:r>
      <w:r w:rsidR="00C95DC7" w:rsidRPr="00C95DC7">
        <w:rPr>
          <w:rFonts w:ascii="Times New Roman" w:hAnsi="Times New Roman" w:cs="Times New Roman"/>
          <w:sz w:val="24"/>
          <w:szCs w:val="24"/>
        </w:rPr>
        <w:t xml:space="preserve">Vice President, </w:t>
      </w:r>
      <w:r>
        <w:rPr>
          <w:rFonts w:ascii="Times New Roman" w:hAnsi="Times New Roman" w:cs="Times New Roman"/>
          <w:sz w:val="24"/>
          <w:szCs w:val="24"/>
        </w:rPr>
        <w:t xml:space="preserve">Market Access &amp; </w:t>
      </w:r>
      <w:r w:rsidR="00C95DC7" w:rsidRPr="00C95DC7">
        <w:rPr>
          <w:rFonts w:ascii="Times New Roman" w:hAnsi="Times New Roman" w:cs="Times New Roman"/>
          <w:sz w:val="24"/>
          <w:szCs w:val="24"/>
        </w:rPr>
        <w:t>Public Affairs</w:t>
      </w:r>
    </w:p>
    <w:p w:rsidR="00C95DC7" w:rsidRPr="00C95DC7" w:rsidRDefault="00C95DC7" w:rsidP="00C95DC7">
      <w:pPr>
        <w:spacing w:line="23" w:lineRule="atLeast"/>
        <w:jc w:val="both"/>
        <w:rPr>
          <w:rFonts w:ascii="Times New Roman" w:hAnsi="Times New Roman" w:cs="Times New Roman"/>
          <w:sz w:val="24"/>
          <w:szCs w:val="24"/>
        </w:rPr>
      </w:pPr>
      <w:r w:rsidRPr="00C95DC7">
        <w:rPr>
          <w:rFonts w:ascii="Times New Roman" w:hAnsi="Times New Roman" w:cs="Times New Roman"/>
          <w:sz w:val="24"/>
          <w:szCs w:val="24"/>
        </w:rPr>
        <w:t xml:space="preserve">Novo Nordisk Inc. </w:t>
      </w:r>
    </w:p>
    <w:bookmarkEnd w:id="0"/>
    <w:p w:rsidR="009F2A58" w:rsidRPr="00C95DC7" w:rsidRDefault="009F2A58" w:rsidP="00C95DC7">
      <w:pPr>
        <w:jc w:val="both"/>
        <w:rPr>
          <w:rFonts w:ascii="Times New Roman" w:hAnsi="Times New Roman" w:cs="Times New Roman"/>
          <w:sz w:val="24"/>
          <w:szCs w:val="24"/>
          <w:lang w:val="en-US"/>
        </w:rPr>
      </w:pPr>
    </w:p>
    <w:sectPr w:rsidR="009F2A58" w:rsidRPr="00C95DC7" w:rsidSect="0096475D">
      <w:headerReference w:type="default" r:id="rId9"/>
      <w:footerReference w:type="default" r:id="rId10"/>
      <w:headerReference w:type="first" r:id="rId11"/>
      <w:footerReference w:type="first" r:id="rId12"/>
      <w:endnotePr>
        <w:numFmt w:val="decimal"/>
      </w:endnotePr>
      <w:pgSz w:w="12240" w:h="15840" w:code="1"/>
      <w:pgMar w:top="1418" w:right="1418" w:bottom="1418" w:left="1418" w:header="567" w:footer="771" w:gutter="0"/>
      <w:pgNumType w:start="1"/>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44B" w:rsidRDefault="00B5644B">
      <w:pPr>
        <w:spacing w:line="20" w:lineRule="exact"/>
      </w:pPr>
    </w:p>
  </w:endnote>
  <w:endnote w:type="continuationSeparator" w:id="0">
    <w:p w:rsidR="00B5644B" w:rsidRDefault="00B5644B">
      <w:r>
        <w:t xml:space="preserve"> </w:t>
      </w:r>
    </w:p>
  </w:endnote>
  <w:endnote w:type="continuationNotice" w:id="1">
    <w:p w:rsidR="00B5644B" w:rsidRDefault="00B5644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EA" w:rsidRDefault="00B904EA" w:rsidP="00BB28D7">
    <w:pPr>
      <w:pStyle w:val="Footer"/>
    </w:pPr>
  </w:p>
  <w:p w:rsidR="00B904EA" w:rsidRDefault="00B904EA" w:rsidP="00B47E4F">
    <w:pPr>
      <w:pStyle w:val="Header"/>
      <w:tabs>
        <w:tab w:val="center" w:pos="4536"/>
        <w:tab w:val="right" w:pos="9072"/>
      </w:tabs>
      <w:jc w:val="right"/>
    </w:pPr>
    <w:r>
      <w:tab/>
    </w:r>
    <w:r>
      <w:tab/>
    </w:r>
  </w:p>
  <w:p w:rsidR="00B904EA" w:rsidRDefault="00B904EA" w:rsidP="00BB28D7">
    <w:pPr>
      <w:pStyle w:val="Head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EA" w:rsidRDefault="00B904EA" w:rsidP="00BB28D7">
    <w:pPr>
      <w:pStyle w:val="Footer"/>
    </w:pPr>
  </w:p>
  <w:p w:rsidR="00B904EA" w:rsidRDefault="00B904EA" w:rsidP="00BB28D7">
    <w:pPr>
      <w:pStyle w:val="Footer"/>
    </w:pPr>
  </w:p>
  <w:p w:rsidR="00B904EA" w:rsidRDefault="00B904EA" w:rsidP="00BB28D7">
    <w:pPr>
      <w:pStyle w:val="Footer"/>
    </w:pPr>
  </w:p>
  <w:p w:rsidR="00B904EA" w:rsidRDefault="00B904EA" w:rsidP="00BB2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44B" w:rsidRDefault="00B5644B">
      <w:r>
        <w:separator/>
      </w:r>
    </w:p>
  </w:footnote>
  <w:footnote w:type="continuationSeparator" w:id="0">
    <w:p w:rsidR="00B5644B" w:rsidRDefault="00B5644B">
      <w:r>
        <w:continuationSeparator/>
      </w:r>
    </w:p>
  </w:footnote>
  <w:footnote w:id="1">
    <w:p w:rsidR="00E77B2C" w:rsidRPr="00826288" w:rsidRDefault="00E77B2C" w:rsidP="00E77B2C">
      <w:pPr>
        <w:pStyle w:val="FootnoteText"/>
        <w:rPr>
          <w:rFonts w:ascii="Times New Roman" w:hAnsi="Times New Roman" w:cs="Times New Roman"/>
          <w:sz w:val="18"/>
          <w:szCs w:val="18"/>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82 Fed. Reg. 56360.</w:t>
      </w:r>
    </w:p>
  </w:footnote>
  <w:footnote w:id="2">
    <w:p w:rsidR="00E77B2C" w:rsidRPr="00826288" w:rsidRDefault="00E77B2C" w:rsidP="00E77B2C">
      <w:pPr>
        <w:pStyle w:val="FootnoteText"/>
        <w:rPr>
          <w:rFonts w:ascii="Times New Roman" w:hAnsi="Times New Roman" w:cs="Times New Roman"/>
          <w:sz w:val="18"/>
          <w:szCs w:val="18"/>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82 Fed. Reg. at 56361.  In addition to the mandatory MOOP, CMS sets a lower voluntary MOOP; Medicare Advantage plans may adhere to this lower MOOP in order to obtain greater flexibility on cost-sharing for individual Part A and B services.</w:t>
      </w:r>
    </w:p>
  </w:footnote>
  <w:footnote w:id="3">
    <w:p w:rsidR="00E77B2C" w:rsidRPr="00826288" w:rsidRDefault="00E77B2C" w:rsidP="00E77B2C">
      <w:pPr>
        <w:pStyle w:val="FootnoteText"/>
        <w:rPr>
          <w:rFonts w:ascii="Times New Roman" w:hAnsi="Times New Roman" w:cs="Times New Roman"/>
          <w:sz w:val="18"/>
          <w:szCs w:val="18"/>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82 Fed Reg. at 56495 (proposed 42 C.F.R. §§ 422.100(f)(4), 422.101(d)(2), (3)(ii)). </w:t>
      </w:r>
    </w:p>
  </w:footnote>
  <w:footnote w:id="4">
    <w:p w:rsidR="0055315D" w:rsidRPr="00826288" w:rsidRDefault="0055315D">
      <w:pPr>
        <w:pStyle w:val="FootnoteText"/>
        <w:rPr>
          <w:rFonts w:ascii="Times New Roman" w:hAnsi="Times New Roman" w:cs="Times New Roman"/>
          <w:sz w:val="18"/>
          <w:szCs w:val="18"/>
          <w:lang w:val="en-US"/>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Medicare Program; Contract Year 2019 Policy and Technical Changes to the Medicare Advantage, Medicare Cost Plan, Medicare Fee-for-Service, the Medicare Prescription Drug Benefit Programs and the PACE Program [CMS-4182-P]</w:t>
      </w:r>
    </w:p>
  </w:footnote>
  <w:footnote w:id="5">
    <w:p w:rsidR="005307AD" w:rsidRPr="00826288" w:rsidRDefault="005307AD" w:rsidP="005307AD">
      <w:pPr>
        <w:pStyle w:val="FootnoteText"/>
        <w:rPr>
          <w:rFonts w:ascii="Times New Roman" w:hAnsi="Times New Roman" w:cs="Times New Roman"/>
          <w:sz w:val="18"/>
          <w:szCs w:val="18"/>
          <w:lang w:val="en-US"/>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Medicare Program; Contract Year 2019 Policy and Technical Changes to the Medicare Advantage, Medicare Cost Plan, Medicare Fee-for-Service, the Medicare Prescription Drug Benefit Programs and the PACE Program [CMS-4182-P]</w:t>
      </w:r>
    </w:p>
  </w:footnote>
  <w:footnote w:id="6">
    <w:p w:rsidR="005307AD" w:rsidRPr="00826288" w:rsidRDefault="005307AD" w:rsidP="005307AD">
      <w:pPr>
        <w:pStyle w:val="FootnoteText"/>
        <w:rPr>
          <w:rFonts w:ascii="Times New Roman" w:hAnsi="Times New Roman" w:cs="Times New Roman"/>
          <w:sz w:val="18"/>
          <w:szCs w:val="18"/>
          <w:lang w:val="en-US"/>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Q1 Medicare: Education and Decision Support Tools for the Medicare Community. Available online at:  </w:t>
      </w:r>
      <w:hyperlink r:id="rId1" w:history="1">
        <w:r w:rsidRPr="00826288">
          <w:rPr>
            <w:rStyle w:val="Hyperlink"/>
            <w:rFonts w:ascii="Times New Roman" w:hAnsi="Times New Roman" w:cs="Times New Roman"/>
            <w:sz w:val="18"/>
            <w:szCs w:val="18"/>
          </w:rPr>
          <w:t>https://q1medicare.com/q1group/MedicareAdvantagePartDQA/FAQ.php?faq=What-is-MOOP-or-the-Medicare-Advantage-maximum-out-of-pocket-limit-&amp;faq_id=605&amp;category_id=149</w:t>
        </w:r>
      </w:hyperlink>
      <w:r w:rsidRPr="00826288">
        <w:rPr>
          <w:rFonts w:ascii="Times New Roman" w:hAnsi="Times New Roman" w:cs="Times New Roman"/>
          <w:sz w:val="18"/>
          <w:szCs w:val="18"/>
        </w:rPr>
        <w:t xml:space="preserve"> </w:t>
      </w:r>
    </w:p>
  </w:footnote>
  <w:footnote w:id="7">
    <w:p w:rsidR="00E27870" w:rsidRPr="00C95DC7" w:rsidRDefault="00E27870">
      <w:pPr>
        <w:pStyle w:val="FootnoteText"/>
        <w:rPr>
          <w:rFonts w:ascii="Times New Roman" w:hAnsi="Times New Roman" w:cs="Times New Roman"/>
          <w:sz w:val="16"/>
          <w:szCs w:val="16"/>
          <w:lang w:val="en-US"/>
        </w:rPr>
      </w:pPr>
      <w:r w:rsidRPr="00826288">
        <w:rPr>
          <w:rStyle w:val="FootnoteReference"/>
          <w:rFonts w:ascii="Times New Roman" w:hAnsi="Times New Roman" w:cs="Times New Roman"/>
          <w:sz w:val="18"/>
          <w:szCs w:val="18"/>
        </w:rPr>
        <w:footnoteRef/>
      </w:r>
      <w:r w:rsidRPr="00826288">
        <w:rPr>
          <w:rFonts w:ascii="Times New Roman" w:hAnsi="Times New Roman" w:cs="Times New Roman"/>
          <w:sz w:val="18"/>
          <w:szCs w:val="18"/>
        </w:rPr>
        <w:t xml:space="preserve"> </w:t>
      </w:r>
      <w:r w:rsidRPr="00826288">
        <w:rPr>
          <w:rFonts w:ascii="Times New Roman" w:hAnsi="Times New Roman" w:cs="Times New Roman"/>
          <w:sz w:val="18"/>
          <w:szCs w:val="18"/>
          <w:lang w:val="en-US"/>
        </w:rPr>
        <w:t xml:space="preserve">The Impact of Medicare Part D on Beneficiaries With Type 2 Diabetes: Drug Utilization and Out-of-Pocket Costs, 2008. Available online at: </w:t>
      </w:r>
      <w:hyperlink r:id="rId2" w:history="1">
        <w:r w:rsidRPr="00826288">
          <w:rPr>
            <w:rStyle w:val="Hyperlink"/>
            <w:rFonts w:ascii="Times New Roman" w:hAnsi="Times New Roman" w:cs="Times New Roman"/>
            <w:sz w:val="18"/>
            <w:szCs w:val="18"/>
            <w:lang w:val="en-US"/>
          </w:rPr>
          <w:t>http://avalere.com/research/docs/The_Impact_of_Medicare_Part_D_Diabetes_Takeda.pdf</w:t>
        </w:r>
      </w:hyperlink>
      <w:r w:rsidRPr="00C95DC7">
        <w:rPr>
          <w:rFonts w:ascii="Times New Roman" w:hAnsi="Times New Roman" w:cs="Times New Roman"/>
          <w:sz w:val="16"/>
          <w:szCs w:val="16"/>
          <w:lang w:val="en-US"/>
        </w:rPr>
        <w:t xml:space="preserve"> </w:t>
      </w:r>
    </w:p>
  </w:footnote>
  <w:footnote w:id="8">
    <w:p w:rsidR="00FD0D0F" w:rsidRPr="00C95DC7" w:rsidRDefault="00FD0D0F">
      <w:pPr>
        <w:pStyle w:val="FootnoteText"/>
        <w:rPr>
          <w:rFonts w:ascii="Times New Roman" w:hAnsi="Times New Roman" w:cs="Times New Roman"/>
          <w:sz w:val="16"/>
          <w:szCs w:val="16"/>
          <w:lang w:val="en-US"/>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w:t>
      </w:r>
      <w:r w:rsidRPr="00C95DC7">
        <w:rPr>
          <w:rFonts w:ascii="Times New Roman" w:hAnsi="Times New Roman" w:cs="Times New Roman"/>
          <w:sz w:val="16"/>
          <w:szCs w:val="16"/>
          <w:lang w:val="en-US"/>
        </w:rPr>
        <w:t xml:space="preserve">Kaiser Family Foundation Issue Brief, “No Limit: Medicare Part D Enrollees Exposed to High Out-of-Pocket Drug Costs Without a Hard Cap on Spending” </w:t>
      </w:r>
      <w:r w:rsidR="00C248C2" w:rsidRPr="00C95DC7">
        <w:rPr>
          <w:rFonts w:ascii="Times New Roman" w:hAnsi="Times New Roman" w:cs="Times New Roman"/>
          <w:sz w:val="16"/>
          <w:szCs w:val="16"/>
          <w:lang w:val="en-US"/>
        </w:rPr>
        <w:t>(Nov 2017)</w:t>
      </w:r>
    </w:p>
  </w:footnote>
  <w:footnote w:id="9">
    <w:p w:rsidR="00FD0D0F" w:rsidRPr="00C95DC7" w:rsidRDefault="00FD0D0F">
      <w:pPr>
        <w:pStyle w:val="FootnoteText"/>
        <w:rPr>
          <w:rFonts w:ascii="Times New Roman" w:hAnsi="Times New Roman" w:cs="Times New Roman"/>
          <w:sz w:val="16"/>
          <w:szCs w:val="16"/>
          <w:lang w:val="en-US"/>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w:t>
      </w:r>
      <w:r w:rsidRPr="00C95DC7">
        <w:rPr>
          <w:rFonts w:ascii="Times New Roman" w:hAnsi="Times New Roman" w:cs="Times New Roman"/>
          <w:sz w:val="16"/>
          <w:szCs w:val="16"/>
          <w:lang w:val="en-US"/>
        </w:rPr>
        <w:t xml:space="preserve">Kaiser Family Foundation Issue Brief, “No Limit: Medicare Part D Enrollees Exposed to High Out-of-Pocket Drug Costs Without a Hard Cap on Spending” </w:t>
      </w:r>
      <w:r w:rsidR="00C248C2" w:rsidRPr="00C95DC7">
        <w:rPr>
          <w:rFonts w:ascii="Times New Roman" w:hAnsi="Times New Roman" w:cs="Times New Roman"/>
          <w:sz w:val="16"/>
          <w:szCs w:val="16"/>
          <w:lang w:val="en-US"/>
        </w:rPr>
        <w:t>(Nov 2017)</w:t>
      </w:r>
    </w:p>
  </w:footnote>
  <w:footnote w:id="10">
    <w:p w:rsidR="00E77B2C" w:rsidRPr="00FB0B53" w:rsidRDefault="00E77B2C" w:rsidP="00E77B2C">
      <w:pPr>
        <w:pStyle w:val="FootnoteText"/>
        <w:rPr>
          <w:rFonts w:ascii="Arial Narrow" w:hAnsi="Arial Narrow"/>
        </w:rPr>
      </w:pPr>
      <w:r w:rsidRPr="00FB0B53">
        <w:rPr>
          <w:rStyle w:val="FootnoteReference"/>
          <w:rFonts w:ascii="Arial Narrow" w:hAnsi="Arial Narrow"/>
        </w:rPr>
        <w:footnoteRef/>
      </w:r>
      <w:r w:rsidRPr="00FB0B53">
        <w:rPr>
          <w:rFonts w:ascii="Arial Narrow" w:hAnsi="Arial Narrow"/>
        </w:rPr>
        <w:t xml:space="preserve"> March 30, 2015 Memo from Amy K. Larrick to Part D Sponsors, “Part D Requirements for Biosimilar Follow-On Biological Products.”</w:t>
      </w:r>
    </w:p>
  </w:footnote>
  <w:footnote w:id="11">
    <w:p w:rsidR="0034377A" w:rsidRPr="00C95DC7" w:rsidRDefault="0034377A" w:rsidP="0034377A">
      <w:pPr>
        <w:pStyle w:val="FootnoteText"/>
        <w:rPr>
          <w:rFonts w:ascii="Times New Roman" w:hAnsi="Times New Roman" w:cs="Times New Roman"/>
          <w:sz w:val="16"/>
          <w:szCs w:val="16"/>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Quintiles IMS Institute. Estimate of Medicare Part D Costs </w:t>
      </w:r>
      <w:r w:rsidR="00AF2BB6" w:rsidRPr="00C95DC7">
        <w:rPr>
          <w:rFonts w:ascii="Times New Roman" w:hAnsi="Times New Roman" w:cs="Times New Roman"/>
          <w:sz w:val="16"/>
          <w:szCs w:val="16"/>
        </w:rPr>
        <w:t>after</w:t>
      </w:r>
      <w:r w:rsidRPr="00C95DC7">
        <w:rPr>
          <w:rFonts w:ascii="Times New Roman" w:hAnsi="Times New Roman" w:cs="Times New Roman"/>
          <w:sz w:val="16"/>
          <w:szCs w:val="16"/>
        </w:rPr>
        <w:t xml:space="preserve"> Accounting for Manufacturer Rebates. October 2016. </w:t>
      </w:r>
    </w:p>
  </w:footnote>
  <w:footnote w:id="12">
    <w:p w:rsidR="0034377A" w:rsidRPr="00C95DC7" w:rsidRDefault="0034377A" w:rsidP="0034377A">
      <w:pPr>
        <w:pStyle w:val="FootnoteText"/>
        <w:rPr>
          <w:rFonts w:ascii="Times New Roman" w:hAnsi="Times New Roman" w:cs="Times New Roman"/>
          <w:sz w:val="16"/>
          <w:szCs w:val="16"/>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82 Fed. Reg. at 56419, November 28, 2017.</w:t>
      </w:r>
    </w:p>
  </w:footnote>
  <w:footnote w:id="13">
    <w:p w:rsidR="0034377A" w:rsidRPr="00C95DC7" w:rsidRDefault="0034377A" w:rsidP="0034377A">
      <w:pPr>
        <w:pStyle w:val="FootnoteText"/>
        <w:rPr>
          <w:rFonts w:ascii="Times New Roman" w:hAnsi="Times New Roman" w:cs="Times New Roman"/>
          <w:sz w:val="16"/>
          <w:szCs w:val="16"/>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w:t>
      </w:r>
      <w:r w:rsidRPr="00C95DC7">
        <w:rPr>
          <w:rFonts w:ascii="Times New Roman" w:hAnsi="Times New Roman" w:cs="Times New Roman"/>
          <w:color w:val="000000"/>
          <w:sz w:val="16"/>
          <w:szCs w:val="16"/>
          <w:shd w:val="clear" w:color="auto" w:fill="FFFFFF"/>
        </w:rPr>
        <w:t>American Diabetes Association Standards of medical care for patients with diabetes mellitus. </w:t>
      </w:r>
      <w:r w:rsidRPr="00C95DC7">
        <w:rPr>
          <w:rStyle w:val="ref-journal"/>
          <w:rFonts w:ascii="Times New Roman" w:hAnsi="Times New Roman" w:cs="Times New Roman"/>
          <w:color w:val="000000"/>
          <w:sz w:val="16"/>
          <w:szCs w:val="16"/>
          <w:shd w:val="clear" w:color="auto" w:fill="FFFFFF"/>
        </w:rPr>
        <w:t>Diabetes Care. </w:t>
      </w:r>
      <w:r w:rsidRPr="00C95DC7">
        <w:rPr>
          <w:rFonts w:ascii="Times New Roman" w:hAnsi="Times New Roman" w:cs="Times New Roman"/>
          <w:color w:val="000000"/>
          <w:sz w:val="16"/>
          <w:szCs w:val="16"/>
          <w:shd w:val="clear" w:color="auto" w:fill="FFFFFF"/>
        </w:rPr>
        <w:t>2017;</w:t>
      </w:r>
      <w:r w:rsidRPr="00C95DC7">
        <w:rPr>
          <w:rStyle w:val="ref-vol"/>
          <w:rFonts w:ascii="Times New Roman" w:hAnsi="Times New Roman" w:cs="Times New Roman"/>
          <w:color w:val="000000"/>
          <w:sz w:val="16"/>
          <w:szCs w:val="16"/>
          <w:shd w:val="clear" w:color="auto" w:fill="FFFFFF"/>
        </w:rPr>
        <w:t>22</w:t>
      </w:r>
    </w:p>
  </w:footnote>
  <w:footnote w:id="14">
    <w:p w:rsidR="0034377A" w:rsidRPr="00C95DC7" w:rsidRDefault="0034377A" w:rsidP="0034377A">
      <w:pPr>
        <w:pStyle w:val="FootnoteText"/>
        <w:rPr>
          <w:rFonts w:ascii="Times New Roman" w:hAnsi="Times New Roman" w:cs="Times New Roman"/>
          <w:sz w:val="16"/>
          <w:szCs w:val="16"/>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w:t>
      </w:r>
      <w:r w:rsidRPr="00C95DC7">
        <w:rPr>
          <w:rFonts w:ascii="Times New Roman" w:hAnsi="Times New Roman" w:cs="Times New Roman"/>
          <w:color w:val="000000"/>
          <w:sz w:val="16"/>
          <w:szCs w:val="16"/>
          <w:shd w:val="clear" w:color="auto" w:fill="FFFFFF"/>
        </w:rPr>
        <w:t>American Diabetes Association Standards of medical care for patients with diabetes mellitus. </w:t>
      </w:r>
      <w:r w:rsidRPr="00C95DC7">
        <w:rPr>
          <w:rStyle w:val="ref-journal"/>
          <w:rFonts w:ascii="Times New Roman" w:hAnsi="Times New Roman" w:cs="Times New Roman"/>
          <w:color w:val="000000"/>
          <w:sz w:val="16"/>
          <w:szCs w:val="16"/>
          <w:shd w:val="clear" w:color="auto" w:fill="FFFFFF"/>
        </w:rPr>
        <w:t>Diabetes Care. </w:t>
      </w:r>
      <w:r w:rsidRPr="00C95DC7">
        <w:rPr>
          <w:rFonts w:ascii="Times New Roman" w:hAnsi="Times New Roman" w:cs="Times New Roman"/>
          <w:color w:val="000000"/>
          <w:sz w:val="16"/>
          <w:szCs w:val="16"/>
          <w:shd w:val="clear" w:color="auto" w:fill="FFFFFF"/>
        </w:rPr>
        <w:t>1999;</w:t>
      </w:r>
      <w:r w:rsidRPr="00C95DC7">
        <w:rPr>
          <w:rStyle w:val="ref-vol"/>
          <w:rFonts w:ascii="Times New Roman" w:hAnsi="Times New Roman" w:cs="Times New Roman"/>
          <w:color w:val="000000"/>
          <w:sz w:val="16"/>
          <w:szCs w:val="16"/>
          <w:shd w:val="clear" w:color="auto" w:fill="FFFFFF"/>
        </w:rPr>
        <w:t>22</w:t>
      </w:r>
      <w:r w:rsidRPr="00C95DC7">
        <w:rPr>
          <w:rFonts w:ascii="Times New Roman" w:hAnsi="Times New Roman" w:cs="Times New Roman"/>
          <w:color w:val="000000"/>
          <w:sz w:val="16"/>
          <w:szCs w:val="16"/>
          <w:shd w:val="clear" w:color="auto" w:fill="FFFFFF"/>
        </w:rPr>
        <w:t>(Suppl 1):S32–41.</w:t>
      </w:r>
    </w:p>
  </w:footnote>
  <w:footnote w:id="15">
    <w:p w:rsidR="0034377A" w:rsidRPr="00C95DC7" w:rsidRDefault="0034377A" w:rsidP="0034377A">
      <w:pPr>
        <w:pStyle w:val="FootnoteText"/>
        <w:rPr>
          <w:rFonts w:ascii="Times New Roman" w:hAnsi="Times New Roman" w:cs="Times New Roman"/>
          <w:sz w:val="16"/>
          <w:szCs w:val="16"/>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American Diabetes Association. Cost of Diabetes. http://www.diabetes.org/advocacy/news-events/cost-of-diabetes.html </w:t>
      </w:r>
    </w:p>
  </w:footnote>
  <w:footnote w:id="16">
    <w:p w:rsidR="0034377A" w:rsidRPr="00C95DC7" w:rsidRDefault="0034377A" w:rsidP="0034377A">
      <w:pPr>
        <w:pStyle w:val="FootnoteText"/>
        <w:rPr>
          <w:rFonts w:ascii="Times New Roman" w:hAnsi="Times New Roman" w:cs="Times New Roman"/>
          <w:sz w:val="16"/>
          <w:szCs w:val="16"/>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Cohen RA, Zammitti EP. High-deductible health plans and financial barriers to health care: Early release of estimates from the National Health Interview Survey, 2016. National Center for Health Statistics. 2017. Available from: https://www.cdc.gov/nchs/nhis/releases.htm.</w:t>
      </w:r>
    </w:p>
  </w:footnote>
  <w:footnote w:id="17">
    <w:p w:rsidR="0034377A" w:rsidRPr="00FA178A" w:rsidRDefault="0034377A" w:rsidP="0034377A">
      <w:pPr>
        <w:pStyle w:val="FootnoteText"/>
        <w:rPr>
          <w:rFonts w:asciiTheme="minorHAnsi" w:hAnsiTheme="minorHAnsi"/>
        </w:rPr>
      </w:pPr>
      <w:r w:rsidRPr="00C95DC7">
        <w:rPr>
          <w:rStyle w:val="FootnoteReference"/>
          <w:rFonts w:ascii="Times New Roman" w:hAnsi="Times New Roman" w:cs="Times New Roman"/>
          <w:sz w:val="16"/>
          <w:szCs w:val="16"/>
        </w:rPr>
        <w:footnoteRef/>
      </w:r>
      <w:r w:rsidRPr="00C95DC7">
        <w:rPr>
          <w:rFonts w:ascii="Times New Roman" w:hAnsi="Times New Roman" w:cs="Times New Roman"/>
          <w:sz w:val="16"/>
          <w:szCs w:val="16"/>
        </w:rPr>
        <w:t xml:space="preserve"> Cohen RA, Zammitti EP. High-deductible health plans and financial barriers to health care: Early release of estimates from the National Health Interview Survey, 2016. National Center for Health Statistics. 2017. Available from: https://www.cdc.gov/nchs/nhis/releases.htm.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EA" w:rsidRDefault="00B904EA" w:rsidP="00BB28D7">
    <w:pPr>
      <w:pStyle w:val="Header"/>
    </w:pPr>
  </w:p>
  <w:p w:rsidR="00B904EA" w:rsidRDefault="00B904EA" w:rsidP="00BB28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8E3" w:rsidRDefault="001A5BEC" w:rsidP="00BB28D7">
    <w:pPr>
      <w:pStyle w:val="Header"/>
    </w:pPr>
    <w:r>
      <w:rPr>
        <w:noProof/>
        <w:lang w:val="en-US" w:eastAsia="en-US"/>
      </w:rPr>
      <mc:AlternateContent>
        <mc:Choice Requires="wps">
          <w:drawing>
            <wp:anchor distT="0" distB="0" distL="114300" distR="114300" simplePos="0" relativeHeight="251657728" behindDoc="0" locked="1" layoutInCell="1" allowOverlap="1" wp14:anchorId="74EFB888" wp14:editId="2B873F28">
              <wp:simplePos x="0" y="0"/>
              <wp:positionH relativeFrom="column">
                <wp:posOffset>5132705</wp:posOffset>
              </wp:positionH>
              <wp:positionV relativeFrom="page">
                <wp:posOffset>450850</wp:posOffset>
              </wp:positionV>
              <wp:extent cx="974725" cy="652780"/>
              <wp:effectExtent l="0" t="0" r="0" b="0"/>
              <wp:wrapSquare wrapText="left"/>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FF9" w:rsidRDefault="001A5BEC" w:rsidP="006D1FF9">
                          <w:pPr>
                            <w:ind w:left="-142"/>
                          </w:pPr>
                          <w:r>
                            <w:rPr>
                              <w:noProof/>
                              <w:lang w:val="en-US" w:eastAsia="en-US"/>
                            </w:rPr>
                            <w:drawing>
                              <wp:inline distT="0" distB="0" distL="0" distR="0" wp14:anchorId="2D4BB55B" wp14:editId="4C7936C7">
                                <wp:extent cx="790575" cy="561975"/>
                                <wp:effectExtent l="0" t="0" r="0" b="0"/>
                                <wp:docPr id="2" name="Picture 2" descr="NN_logo_2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N_logo_2c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04.15pt;margin-top:35.5pt;width:76.75pt;height:51.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" filled="f" stroked="f">
              <v:textbox style="mso-fit-shape-to-text:t">
                <w:txbxContent>
                  <w:p w:rsidR="006D1FF9" w:rsidRDefault="001A5BEC" w:rsidP="006D1FF9">
                    <w:pPr>
                      <w:ind w:left="-142"/>
                    </w:pPr>
                    <w:r>
                      <w:rPr>
                        <w:noProof/>
                        <w:lang w:val="en-US" w:eastAsia="en-US"/>
                      </w:rPr>
                      <w:drawing>
                        <wp:inline distT="0" distB="0" distL="0" distR="0" wp14:anchorId="2D4BB55B" wp14:editId="4C7936C7">
                          <wp:extent cx="790575" cy="561975"/>
                          <wp:effectExtent l="0" t="0" r="0" b="0"/>
                          <wp:docPr id="2" name="Picture 2" descr="NN_logo_2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N_logo_2c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txbxContent>
              </v:textbox>
              <w10:wrap type="square" side="left" anchory="page"/>
              <w10:anchorlock/>
            </v:shape>
          </w:pict>
        </mc:Fallback>
      </mc:AlternateContent>
    </w:r>
  </w:p>
  <w:p w:rsidR="005648E3" w:rsidRDefault="005648E3" w:rsidP="00BB28D7">
    <w:pPr>
      <w:pStyle w:val="Header"/>
    </w:pPr>
  </w:p>
  <w:p w:rsidR="005648E3" w:rsidRDefault="005648E3" w:rsidP="00BB28D7">
    <w:pPr>
      <w:pStyle w:val="Header"/>
    </w:pPr>
  </w:p>
  <w:p w:rsidR="005648E3" w:rsidRDefault="005648E3" w:rsidP="00BB28D7">
    <w:pPr>
      <w:pStyle w:val="Header"/>
    </w:pPr>
  </w:p>
  <w:p w:rsidR="005648E3" w:rsidRDefault="005648E3" w:rsidP="00BB28D7">
    <w:pPr>
      <w:pStyle w:val="Header"/>
    </w:pPr>
  </w:p>
  <w:p w:rsidR="005648E3" w:rsidRDefault="005648E3" w:rsidP="00BB28D7">
    <w:pPr>
      <w:pStyle w:val="Header"/>
    </w:pPr>
  </w:p>
  <w:p w:rsidR="005648E3" w:rsidRPr="005648E3" w:rsidRDefault="005648E3" w:rsidP="00BB28D7">
    <w:pPr>
      <w:pStyle w:val="Header"/>
    </w:pPr>
  </w:p>
  <w:p w:rsidR="005648E3" w:rsidRDefault="005648E3" w:rsidP="00BB28D7">
    <w:pPr>
      <w:pStyle w:val="Header"/>
    </w:pPr>
  </w:p>
  <w:p w:rsidR="00BB28D7" w:rsidRDefault="00BB28D7" w:rsidP="00BB2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5F030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A0EE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8404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04A3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3EEE7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C033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4C85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C82A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8848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C6CB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AA2C77"/>
    <w:multiLevelType w:val="hybridMultilevel"/>
    <w:tmpl w:val="05C6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D72A89"/>
    <w:multiLevelType w:val="hybridMultilevel"/>
    <w:tmpl w:val="97785B86"/>
    <w:lvl w:ilvl="0" w:tplc="0409000F">
      <w:start w:val="1"/>
      <w:numFmt w:val="decimal"/>
      <w:lvlText w:val="%1."/>
      <w:lvlJc w:val="left"/>
      <w:pPr>
        <w:ind w:left="360" w:hanging="360"/>
      </w:pPr>
    </w:lvl>
    <w:lvl w:ilvl="1" w:tplc="80E66C30">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3A0C61"/>
    <w:multiLevelType w:val="hybridMultilevel"/>
    <w:tmpl w:val="421C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71818"/>
    <w:multiLevelType w:val="hybridMultilevel"/>
    <w:tmpl w:val="83C6DA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3B0C15"/>
    <w:multiLevelType w:val="hybridMultilevel"/>
    <w:tmpl w:val="5504D6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hyphenationZone w:val="53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spaceForUL/>
    <w:balanceSingleByteDoubleByteWidth/>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0D"/>
    <w:rsid w:val="000428A4"/>
    <w:rsid w:val="000455F8"/>
    <w:rsid w:val="0005434D"/>
    <w:rsid w:val="0007593E"/>
    <w:rsid w:val="00077040"/>
    <w:rsid w:val="000774CF"/>
    <w:rsid w:val="0008173B"/>
    <w:rsid w:val="000C5810"/>
    <w:rsid w:val="000C64A2"/>
    <w:rsid w:val="000C6B0C"/>
    <w:rsid w:val="000D40FA"/>
    <w:rsid w:val="000E4A82"/>
    <w:rsid w:val="000E58E9"/>
    <w:rsid w:val="000F4BD4"/>
    <w:rsid w:val="0010073A"/>
    <w:rsid w:val="00132A75"/>
    <w:rsid w:val="00157E0E"/>
    <w:rsid w:val="00177B72"/>
    <w:rsid w:val="00194CE1"/>
    <w:rsid w:val="001A5BEC"/>
    <w:rsid w:val="001B1C57"/>
    <w:rsid w:val="001B6A54"/>
    <w:rsid w:val="001E10D6"/>
    <w:rsid w:val="00206DFB"/>
    <w:rsid w:val="00225B56"/>
    <w:rsid w:val="0023217E"/>
    <w:rsid w:val="00240D1E"/>
    <w:rsid w:val="00244C64"/>
    <w:rsid w:val="00250A3C"/>
    <w:rsid w:val="00252C70"/>
    <w:rsid w:val="002565CE"/>
    <w:rsid w:val="00263913"/>
    <w:rsid w:val="002A2077"/>
    <w:rsid w:val="002B2E3B"/>
    <w:rsid w:val="002B2FC7"/>
    <w:rsid w:val="002E3C4A"/>
    <w:rsid w:val="003034B3"/>
    <w:rsid w:val="00312AA6"/>
    <w:rsid w:val="0034377A"/>
    <w:rsid w:val="0034635A"/>
    <w:rsid w:val="00354F78"/>
    <w:rsid w:val="003556BE"/>
    <w:rsid w:val="003623F3"/>
    <w:rsid w:val="00371696"/>
    <w:rsid w:val="00382210"/>
    <w:rsid w:val="00382531"/>
    <w:rsid w:val="003A6668"/>
    <w:rsid w:val="003B06E0"/>
    <w:rsid w:val="003C7270"/>
    <w:rsid w:val="003D0088"/>
    <w:rsid w:val="003E0BEC"/>
    <w:rsid w:val="003E1D5B"/>
    <w:rsid w:val="003E791F"/>
    <w:rsid w:val="003F1B35"/>
    <w:rsid w:val="003F3046"/>
    <w:rsid w:val="00403CFA"/>
    <w:rsid w:val="0040761E"/>
    <w:rsid w:val="0043084F"/>
    <w:rsid w:val="00452A27"/>
    <w:rsid w:val="00457B64"/>
    <w:rsid w:val="00460C8A"/>
    <w:rsid w:val="004648F9"/>
    <w:rsid w:val="00475533"/>
    <w:rsid w:val="00490258"/>
    <w:rsid w:val="004909A7"/>
    <w:rsid w:val="004A1619"/>
    <w:rsid w:val="004D091D"/>
    <w:rsid w:val="004E1557"/>
    <w:rsid w:val="004E2DFB"/>
    <w:rsid w:val="00505F51"/>
    <w:rsid w:val="0051276C"/>
    <w:rsid w:val="00515BFB"/>
    <w:rsid w:val="005266F4"/>
    <w:rsid w:val="005307AD"/>
    <w:rsid w:val="005338F9"/>
    <w:rsid w:val="0055315D"/>
    <w:rsid w:val="00563017"/>
    <w:rsid w:val="005648E3"/>
    <w:rsid w:val="00567791"/>
    <w:rsid w:val="0057015C"/>
    <w:rsid w:val="005938BD"/>
    <w:rsid w:val="005A0200"/>
    <w:rsid w:val="005A1121"/>
    <w:rsid w:val="005B6113"/>
    <w:rsid w:val="005B7D48"/>
    <w:rsid w:val="005C3BCD"/>
    <w:rsid w:val="005C5F5E"/>
    <w:rsid w:val="005D0ED5"/>
    <w:rsid w:val="005D430F"/>
    <w:rsid w:val="005E3DDD"/>
    <w:rsid w:val="005F15FD"/>
    <w:rsid w:val="005F1AC9"/>
    <w:rsid w:val="005F701A"/>
    <w:rsid w:val="00600DFC"/>
    <w:rsid w:val="006026A6"/>
    <w:rsid w:val="00624C88"/>
    <w:rsid w:val="00626487"/>
    <w:rsid w:val="006359F0"/>
    <w:rsid w:val="00651DE2"/>
    <w:rsid w:val="00660218"/>
    <w:rsid w:val="00662D44"/>
    <w:rsid w:val="00675464"/>
    <w:rsid w:val="00680CEC"/>
    <w:rsid w:val="0069594D"/>
    <w:rsid w:val="006B5363"/>
    <w:rsid w:val="006D1FF9"/>
    <w:rsid w:val="006D6613"/>
    <w:rsid w:val="006E15A8"/>
    <w:rsid w:val="006E2BA6"/>
    <w:rsid w:val="0071654F"/>
    <w:rsid w:val="007168CC"/>
    <w:rsid w:val="007353B8"/>
    <w:rsid w:val="0075160F"/>
    <w:rsid w:val="00757064"/>
    <w:rsid w:val="00765418"/>
    <w:rsid w:val="00774EFA"/>
    <w:rsid w:val="0077760D"/>
    <w:rsid w:val="0078604F"/>
    <w:rsid w:val="007A07ED"/>
    <w:rsid w:val="007A2A01"/>
    <w:rsid w:val="007D47D0"/>
    <w:rsid w:val="007D49BC"/>
    <w:rsid w:val="007D71EF"/>
    <w:rsid w:val="007F5FBA"/>
    <w:rsid w:val="00803366"/>
    <w:rsid w:val="00813D7B"/>
    <w:rsid w:val="00817ECC"/>
    <w:rsid w:val="008204DB"/>
    <w:rsid w:val="008225C7"/>
    <w:rsid w:val="00826288"/>
    <w:rsid w:val="0085072B"/>
    <w:rsid w:val="00850D9C"/>
    <w:rsid w:val="0086651F"/>
    <w:rsid w:val="008742CC"/>
    <w:rsid w:val="008A4F5C"/>
    <w:rsid w:val="008B0C51"/>
    <w:rsid w:val="008D10FB"/>
    <w:rsid w:val="008E250B"/>
    <w:rsid w:val="00922010"/>
    <w:rsid w:val="009268B7"/>
    <w:rsid w:val="00931814"/>
    <w:rsid w:val="00931F8E"/>
    <w:rsid w:val="00941C8A"/>
    <w:rsid w:val="00957BEF"/>
    <w:rsid w:val="0096475D"/>
    <w:rsid w:val="00971BFF"/>
    <w:rsid w:val="00980051"/>
    <w:rsid w:val="00982A4A"/>
    <w:rsid w:val="009A5081"/>
    <w:rsid w:val="009B0D28"/>
    <w:rsid w:val="009E256A"/>
    <w:rsid w:val="009E5D6A"/>
    <w:rsid w:val="009F0CED"/>
    <w:rsid w:val="009F2A58"/>
    <w:rsid w:val="00A128A7"/>
    <w:rsid w:val="00A1687F"/>
    <w:rsid w:val="00A252A5"/>
    <w:rsid w:val="00A447D8"/>
    <w:rsid w:val="00A47F62"/>
    <w:rsid w:val="00A5154D"/>
    <w:rsid w:val="00A66CEA"/>
    <w:rsid w:val="00A700B8"/>
    <w:rsid w:val="00A7017E"/>
    <w:rsid w:val="00A852A9"/>
    <w:rsid w:val="00A90B9D"/>
    <w:rsid w:val="00A929AE"/>
    <w:rsid w:val="00A978E7"/>
    <w:rsid w:val="00AB1A8E"/>
    <w:rsid w:val="00AB334C"/>
    <w:rsid w:val="00AB419E"/>
    <w:rsid w:val="00AC4A4A"/>
    <w:rsid w:val="00AC7297"/>
    <w:rsid w:val="00AD74A2"/>
    <w:rsid w:val="00AF2BB6"/>
    <w:rsid w:val="00AF3933"/>
    <w:rsid w:val="00B02C77"/>
    <w:rsid w:val="00B030B9"/>
    <w:rsid w:val="00B47E4F"/>
    <w:rsid w:val="00B53E06"/>
    <w:rsid w:val="00B5644B"/>
    <w:rsid w:val="00B640BC"/>
    <w:rsid w:val="00B72B11"/>
    <w:rsid w:val="00B85292"/>
    <w:rsid w:val="00B904EA"/>
    <w:rsid w:val="00B94613"/>
    <w:rsid w:val="00B9543E"/>
    <w:rsid w:val="00BA4E97"/>
    <w:rsid w:val="00BB1C84"/>
    <w:rsid w:val="00BB28D7"/>
    <w:rsid w:val="00BB3521"/>
    <w:rsid w:val="00BB780D"/>
    <w:rsid w:val="00BC1E70"/>
    <w:rsid w:val="00BE6694"/>
    <w:rsid w:val="00BF2059"/>
    <w:rsid w:val="00BF6A2F"/>
    <w:rsid w:val="00C03A29"/>
    <w:rsid w:val="00C248C2"/>
    <w:rsid w:val="00C4351B"/>
    <w:rsid w:val="00C45D76"/>
    <w:rsid w:val="00C83A28"/>
    <w:rsid w:val="00C94A6D"/>
    <w:rsid w:val="00C95DC7"/>
    <w:rsid w:val="00C9633A"/>
    <w:rsid w:val="00C97C20"/>
    <w:rsid w:val="00CA0010"/>
    <w:rsid w:val="00CA55E5"/>
    <w:rsid w:val="00CC5AA6"/>
    <w:rsid w:val="00CF23F0"/>
    <w:rsid w:val="00D050F2"/>
    <w:rsid w:val="00D10868"/>
    <w:rsid w:val="00D2396A"/>
    <w:rsid w:val="00D24269"/>
    <w:rsid w:val="00D321AF"/>
    <w:rsid w:val="00D40C98"/>
    <w:rsid w:val="00D573C1"/>
    <w:rsid w:val="00D6491B"/>
    <w:rsid w:val="00D87240"/>
    <w:rsid w:val="00D97954"/>
    <w:rsid w:val="00DA4732"/>
    <w:rsid w:val="00DA552A"/>
    <w:rsid w:val="00DD275A"/>
    <w:rsid w:val="00DD404E"/>
    <w:rsid w:val="00DE1796"/>
    <w:rsid w:val="00DF471E"/>
    <w:rsid w:val="00E04052"/>
    <w:rsid w:val="00E2582F"/>
    <w:rsid w:val="00E27870"/>
    <w:rsid w:val="00E555A9"/>
    <w:rsid w:val="00E77B2C"/>
    <w:rsid w:val="00E96CD2"/>
    <w:rsid w:val="00EC3449"/>
    <w:rsid w:val="00EC72AB"/>
    <w:rsid w:val="00EE0D7C"/>
    <w:rsid w:val="00EE1E1C"/>
    <w:rsid w:val="00EE482B"/>
    <w:rsid w:val="00EE5638"/>
    <w:rsid w:val="00F17BD1"/>
    <w:rsid w:val="00F2684F"/>
    <w:rsid w:val="00F30040"/>
    <w:rsid w:val="00F42881"/>
    <w:rsid w:val="00F47D5E"/>
    <w:rsid w:val="00F636AE"/>
    <w:rsid w:val="00F73251"/>
    <w:rsid w:val="00F807A6"/>
    <w:rsid w:val="00F83107"/>
    <w:rsid w:val="00F936BF"/>
    <w:rsid w:val="00FA03A9"/>
    <w:rsid w:val="00FA7F8A"/>
    <w:rsid w:val="00FB298E"/>
    <w:rsid w:val="00FC01D3"/>
    <w:rsid w:val="00FC1DB3"/>
    <w:rsid w:val="00FD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0A34D2D-933D-4305-9C19-32FE2B9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48"/>
    <w:rPr>
      <w:rFonts w:ascii="Verdana" w:hAnsi="Verdana" w:cs="Arial"/>
      <w:lang w:val="en-GB" w:eastAsia="da-DK"/>
    </w:rPr>
  </w:style>
  <w:style w:type="paragraph" w:styleId="Heading1">
    <w:name w:val="heading 1"/>
    <w:basedOn w:val="Normal"/>
    <w:next w:val="Normal"/>
    <w:qFormat/>
    <w:rsid w:val="005B7D48"/>
    <w:pPr>
      <w:keepNext/>
      <w:spacing w:before="240" w:after="60"/>
      <w:outlineLvl w:val="0"/>
    </w:pPr>
    <w:rPr>
      <w:b/>
      <w:bCs/>
      <w:kern w:val="32"/>
      <w:sz w:val="24"/>
      <w:szCs w:val="32"/>
    </w:rPr>
  </w:style>
  <w:style w:type="paragraph" w:styleId="Heading2">
    <w:name w:val="heading 2"/>
    <w:basedOn w:val="Normal"/>
    <w:next w:val="Normal"/>
    <w:qFormat/>
    <w:rsid w:val="005B7D48"/>
    <w:pPr>
      <w:keepNext/>
      <w:spacing w:before="240" w:after="60"/>
      <w:outlineLvl w:val="1"/>
    </w:pPr>
    <w:rPr>
      <w:b/>
      <w:bCs/>
      <w:iCs/>
      <w:szCs w:val="28"/>
    </w:rPr>
  </w:style>
  <w:style w:type="paragraph" w:styleId="Heading3">
    <w:name w:val="heading 3"/>
    <w:basedOn w:val="Normal"/>
    <w:next w:val="Normal"/>
    <w:qFormat/>
    <w:rsid w:val="005B7D48"/>
    <w:pPr>
      <w:keepNext/>
      <w:spacing w:before="240" w:after="60"/>
      <w:outlineLvl w:val="2"/>
    </w:pPr>
    <w:rPr>
      <w:b/>
      <w:bCs/>
      <w:i/>
      <w:szCs w:val="26"/>
    </w:rPr>
  </w:style>
  <w:style w:type="paragraph" w:styleId="Heading4">
    <w:name w:val="heading 4"/>
    <w:basedOn w:val="Normal"/>
    <w:next w:val="Normal"/>
    <w:qFormat/>
    <w:rsid w:val="00662D44"/>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B7D48"/>
    <w:pPr>
      <w:tabs>
        <w:tab w:val="center" w:pos="4819"/>
        <w:tab w:val="right" w:pos="9638"/>
      </w:tabs>
    </w:pPr>
    <w:rPr>
      <w:sz w:val="16"/>
    </w:rPr>
  </w:style>
  <w:style w:type="paragraph" w:styleId="Header">
    <w:name w:val="header"/>
    <w:basedOn w:val="Normal"/>
    <w:rsid w:val="005B7D48"/>
    <w:pPr>
      <w:tabs>
        <w:tab w:val="center" w:pos="4819"/>
        <w:tab w:val="right" w:pos="9638"/>
      </w:tabs>
    </w:pPr>
    <w:rPr>
      <w:sz w:val="18"/>
    </w:rPr>
  </w:style>
  <w:style w:type="character" w:styleId="Hyperlink">
    <w:name w:val="Hyperlink"/>
    <w:basedOn w:val="DefaultParagraphFont"/>
    <w:semiHidden/>
    <w:rsid w:val="005B7D48"/>
    <w:rPr>
      <w:rFonts w:ascii="Verdana" w:hAnsi="Verdana"/>
      <w:color w:val="0000FF"/>
      <w:sz w:val="20"/>
      <w:u w:val="single"/>
    </w:rPr>
  </w:style>
  <w:style w:type="paragraph" w:styleId="NormalWeb">
    <w:name w:val="Normal (Web)"/>
    <w:basedOn w:val="Normal"/>
    <w:semiHidden/>
    <w:rsid w:val="005B7D48"/>
    <w:rPr>
      <w:rFonts w:cs="Times New Roman"/>
      <w:szCs w:val="24"/>
    </w:rPr>
  </w:style>
  <w:style w:type="table" w:styleId="LightGrid-Accent1">
    <w:name w:val="Light Grid Accent 1"/>
    <w:basedOn w:val="TableNormal"/>
    <w:uiPriority w:val="62"/>
    <w:rsid w:val="00624C88"/>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624C88"/>
    <w:pPr>
      <w:spacing w:after="200" w:line="276" w:lineRule="auto"/>
      <w:ind w:left="720"/>
      <w:contextualSpacing/>
    </w:pPr>
    <w:rPr>
      <w:rFonts w:ascii="Calibri" w:eastAsia="Calibri" w:hAnsi="Calibri" w:cs="Times New Roman"/>
      <w:sz w:val="22"/>
      <w:szCs w:val="22"/>
      <w:lang w:val="en-US" w:eastAsia="en-US"/>
    </w:rPr>
  </w:style>
  <w:style w:type="paragraph" w:styleId="BalloonText">
    <w:name w:val="Balloon Text"/>
    <w:basedOn w:val="Normal"/>
    <w:link w:val="BalloonTextChar"/>
    <w:rsid w:val="001A5BEC"/>
    <w:rPr>
      <w:rFonts w:ascii="Tahoma" w:hAnsi="Tahoma" w:cs="Tahoma"/>
      <w:sz w:val="16"/>
      <w:szCs w:val="16"/>
    </w:rPr>
  </w:style>
  <w:style w:type="character" w:customStyle="1" w:styleId="BalloonTextChar">
    <w:name w:val="Balloon Text Char"/>
    <w:basedOn w:val="DefaultParagraphFont"/>
    <w:link w:val="BalloonText"/>
    <w:rsid w:val="001A5BEC"/>
    <w:rPr>
      <w:rFonts w:ascii="Tahoma" w:hAnsi="Tahoma" w:cs="Tahoma"/>
      <w:sz w:val="16"/>
      <w:szCs w:val="16"/>
      <w:lang w:val="en-GB" w:eastAsia="da-DK"/>
    </w:rPr>
  </w:style>
  <w:style w:type="paragraph" w:styleId="FootnoteText">
    <w:name w:val="footnote text"/>
    <w:aliases w:val="ft,Car,fn,fn Char,Footnote Text Char3 Char,Footnote Text Char1 Char1 Char,Footnote Text Char2 Char Char Char,Footnote Text Char1 Char Char Char Char,Char Char1 Char Char Char Char,Char Char2 Char Char Char,Style 5,Footnote Text Char2"/>
    <w:basedOn w:val="Normal"/>
    <w:link w:val="FootnoteTextChar"/>
    <w:uiPriority w:val="99"/>
    <w:qFormat/>
    <w:rsid w:val="0055315D"/>
  </w:style>
  <w:style w:type="character" w:customStyle="1" w:styleId="FootnoteTextChar">
    <w:name w:val="Footnote Text Char"/>
    <w:aliases w:val="ft Char,Car Char,fn Char1,fn Char Char,Footnote Text Char3 Char Char,Footnote Text Char1 Char1 Char Char,Footnote Text Char2 Char Char Char Char,Footnote Text Char1 Char Char Char Char Char,Char Char1 Char Char Char Char Char"/>
    <w:basedOn w:val="DefaultParagraphFont"/>
    <w:link w:val="FootnoteText"/>
    <w:uiPriority w:val="99"/>
    <w:rsid w:val="0055315D"/>
    <w:rPr>
      <w:rFonts w:ascii="Verdana" w:hAnsi="Verdana" w:cs="Arial"/>
      <w:lang w:val="en-GB" w:eastAsia="da-DK"/>
    </w:rPr>
  </w:style>
  <w:style w:type="character" w:styleId="FootnoteReference">
    <w:name w:val="footnote reference"/>
    <w:aliases w:val="fr,Style 8,Style 4,Style 6"/>
    <w:basedOn w:val="DefaultParagraphFont"/>
    <w:uiPriority w:val="99"/>
    <w:qFormat/>
    <w:rsid w:val="0055315D"/>
    <w:rPr>
      <w:vertAlign w:val="superscript"/>
    </w:rPr>
  </w:style>
  <w:style w:type="character" w:styleId="CommentReference">
    <w:name w:val="annotation reference"/>
    <w:basedOn w:val="DefaultParagraphFont"/>
    <w:rsid w:val="00567791"/>
    <w:rPr>
      <w:sz w:val="16"/>
      <w:szCs w:val="16"/>
    </w:rPr>
  </w:style>
  <w:style w:type="paragraph" w:styleId="CommentText">
    <w:name w:val="annotation text"/>
    <w:basedOn w:val="Normal"/>
    <w:link w:val="CommentTextChar"/>
    <w:rsid w:val="00567791"/>
  </w:style>
  <w:style w:type="character" w:customStyle="1" w:styleId="CommentTextChar">
    <w:name w:val="Comment Text Char"/>
    <w:basedOn w:val="DefaultParagraphFont"/>
    <w:link w:val="CommentText"/>
    <w:rsid w:val="00567791"/>
    <w:rPr>
      <w:rFonts w:ascii="Verdana" w:hAnsi="Verdana" w:cs="Arial"/>
      <w:lang w:val="en-GB" w:eastAsia="da-DK"/>
    </w:rPr>
  </w:style>
  <w:style w:type="paragraph" w:styleId="CommentSubject">
    <w:name w:val="annotation subject"/>
    <w:basedOn w:val="CommentText"/>
    <w:next w:val="CommentText"/>
    <w:link w:val="CommentSubjectChar"/>
    <w:rsid w:val="00567791"/>
    <w:rPr>
      <w:b/>
      <w:bCs/>
    </w:rPr>
  </w:style>
  <w:style w:type="character" w:customStyle="1" w:styleId="CommentSubjectChar">
    <w:name w:val="Comment Subject Char"/>
    <w:basedOn w:val="CommentTextChar"/>
    <w:link w:val="CommentSubject"/>
    <w:rsid w:val="00567791"/>
    <w:rPr>
      <w:rFonts w:ascii="Verdana" w:hAnsi="Verdana" w:cs="Arial"/>
      <w:b/>
      <w:bCs/>
      <w:lang w:val="en-GB" w:eastAsia="da-DK"/>
    </w:rPr>
  </w:style>
  <w:style w:type="character" w:customStyle="1" w:styleId="ref-journal">
    <w:name w:val="ref-journal"/>
    <w:basedOn w:val="DefaultParagraphFont"/>
    <w:rsid w:val="0034377A"/>
  </w:style>
  <w:style w:type="character" w:customStyle="1" w:styleId="ref-vol">
    <w:name w:val="ref-vol"/>
    <w:basedOn w:val="DefaultParagraphFont"/>
    <w:rsid w:val="0034377A"/>
  </w:style>
  <w:style w:type="paragraph" w:styleId="Revision">
    <w:name w:val="Revision"/>
    <w:hidden/>
    <w:uiPriority w:val="99"/>
    <w:semiHidden/>
    <w:rsid w:val="00452A27"/>
    <w:rPr>
      <w:rFonts w:ascii="Verdana" w:hAnsi="Verdana" w:cs="Arial"/>
      <w:lang w:val="en-GB"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valere.com/research/docs/The_Impact_of_Medicare_Part_D_Diabetes_Takeda.pdf" TargetMode="External"/><Relationship Id="rId1" Type="http://schemas.openxmlformats.org/officeDocument/2006/relationships/hyperlink" Target="https://q1medicare.com/q1group/MedicareAdvantagePartDQA/FAQ.php?faq=What-is-MOOP-or-the-Medicare-Advantage-maximum-out-of-pocket-limit-&amp;faq_id=605&amp;category_id=149"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NN%20Standard\Blank_NNLogo_colou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ED927-9F79-486D-8F80-F9A1B1D6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Blank_NNLogo_colour.dot</Template>
  <TotalTime>1</TotalTime>
  <Pages>11</Pages>
  <Words>4911</Words>
  <Characters>27473</Characters>
  <Application>Microsoft Office Word</Application>
  <DocSecurity>0</DocSecurity>
  <Lines>449</Lines>
  <Paragraphs>87</Paragraphs>
  <ScaleCrop>false</ScaleCrop>
  <HeadingPairs>
    <vt:vector size="2" baseType="variant">
      <vt:variant>
        <vt:lpstr>Title</vt:lpstr>
      </vt:variant>
      <vt:variant>
        <vt:i4>1</vt:i4>
      </vt:variant>
    </vt:vector>
  </HeadingPairs>
  <TitlesOfParts>
    <vt:vector size="1" baseType="lpstr">
      <vt:lpstr>Blank with NN Logo Blue</vt:lpstr>
    </vt:vector>
  </TitlesOfParts>
  <Company>NNIT A/S</Company>
  <LinksUpToDate>false</LinksUpToDate>
  <CharactersWithSpaces>32348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with NN Logo Blue</dc:title>
  <dc:creator>LUTV (Laura Tolosa-Leiva)</dc:creator>
  <dc:description>Version 2. _x000d_
Last updated 03-mar-2004</dc:description>
  <cp:lastModifiedBy>Arthur Pignotti</cp:lastModifiedBy>
  <cp:revision>3</cp:revision>
  <cp:lastPrinted>2018-01-08T17:54:00Z</cp:lastPrinted>
  <dcterms:created xsi:type="dcterms:W3CDTF">2018-01-16T21:37:00Z</dcterms:created>
  <dcterms:modified xsi:type="dcterms:W3CDTF">2018-06-15T02:14:00Z</dcterms:modified>
  <cp:category>Word Template</cp:category>
</cp:coreProperties>
</file>