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19A" w:rsidRDefault="00E00773">
      <w:pPr>
        <w:pStyle w:val="BodyText"/>
        <w:ind w:left="116"/>
        <w:rPr>
          <w:sz w:val="20"/>
        </w:rPr>
      </w:pPr>
      <w:r>
        <w:rPr>
          <w:noProof/>
          <w:sz w:val="20"/>
        </w:rPr>
        <w:drawing>
          <wp:inline distT="0" distB="0" distL="0" distR="0">
            <wp:extent cx="1975104" cy="8183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975104" cy="818388"/>
                    </a:xfrm>
                    <a:prstGeom prst="rect">
                      <a:avLst/>
                    </a:prstGeom>
                  </pic:spPr>
                </pic:pic>
              </a:graphicData>
            </a:graphic>
          </wp:inline>
        </w:drawing>
      </w:r>
    </w:p>
    <w:p w:rsidR="003F619A" w:rsidRDefault="00E00773">
      <w:pPr>
        <w:spacing w:before="28" w:line="106" w:lineRule="exact"/>
        <w:ind w:left="344"/>
        <w:rPr>
          <w:sz w:val="13"/>
        </w:rPr>
      </w:pPr>
      <w:r>
        <w:rPr>
          <w:color w:val="2A56B3"/>
          <w:sz w:val="13"/>
        </w:rPr>
        <w:t xml:space="preserve">KANSAS </w:t>
      </w:r>
      <w:r>
        <w:rPr>
          <w:color w:val="1C4289"/>
          <w:sz w:val="13"/>
        </w:rPr>
        <w:t>I</w:t>
      </w:r>
      <w:r>
        <w:rPr>
          <w:color w:val="2A56B3"/>
          <w:sz w:val="13"/>
        </w:rPr>
        <w:t xml:space="preserve">NDEPEND E </w:t>
      </w:r>
      <w:r>
        <w:rPr>
          <w:color w:val="1C4289"/>
          <w:sz w:val="13"/>
        </w:rPr>
        <w:t>NT</w:t>
      </w:r>
    </w:p>
    <w:p w:rsidR="003F619A" w:rsidRDefault="00E00773">
      <w:pPr>
        <w:spacing w:line="566" w:lineRule="exact"/>
        <w:ind w:left="307"/>
        <w:rPr>
          <w:rFonts w:ascii="Arial"/>
          <w:b/>
          <w:sz w:val="53"/>
        </w:rPr>
      </w:pPr>
      <w:r>
        <w:rPr>
          <w:rFonts w:ascii="Arial"/>
          <w:b/>
          <w:color w:val="2A56B3"/>
          <w:w w:val="50"/>
          <w:sz w:val="53"/>
        </w:rPr>
        <w:t>PHARMACY</w:t>
      </w:r>
      <w:r>
        <w:rPr>
          <w:rFonts w:ascii="Arial"/>
          <w:b/>
          <w:color w:val="2A56B3"/>
          <w:spacing w:val="51"/>
          <w:w w:val="50"/>
          <w:sz w:val="53"/>
        </w:rPr>
        <w:t xml:space="preserve"> </w:t>
      </w:r>
      <w:r>
        <w:rPr>
          <w:rFonts w:ascii="Arial"/>
          <w:b/>
          <w:color w:val="2A56B3"/>
          <w:w w:val="50"/>
          <w:sz w:val="53"/>
        </w:rPr>
        <w:t>SERVICE</w:t>
      </w:r>
    </w:p>
    <w:p w:rsidR="003F619A" w:rsidRDefault="00E00773">
      <w:pPr>
        <w:pStyle w:val="BodyText"/>
        <w:spacing w:before="378"/>
        <w:ind w:left="932"/>
      </w:pPr>
      <w:r>
        <w:rPr>
          <w:color w:val="1A1A1A"/>
          <w:w w:val="105"/>
        </w:rPr>
        <w:t xml:space="preserve">December </w:t>
      </w:r>
      <w:r>
        <w:rPr>
          <w:color w:val="2F2F2F"/>
          <w:w w:val="105"/>
        </w:rPr>
        <w:t>28, 2017</w:t>
      </w:r>
    </w:p>
    <w:p w:rsidR="003F619A" w:rsidRDefault="00E00773">
      <w:pPr>
        <w:pStyle w:val="BodyText"/>
        <w:spacing w:before="195" w:line="273" w:lineRule="auto"/>
        <w:ind w:left="925" w:right="5151" w:firstLine="2"/>
      </w:pPr>
      <w:r>
        <w:rPr>
          <w:color w:val="2F2F2F"/>
          <w:w w:val="105"/>
        </w:rPr>
        <w:t xml:space="preserve">Centers for </w:t>
      </w:r>
      <w:r>
        <w:rPr>
          <w:color w:val="1A1A1A"/>
          <w:w w:val="105"/>
        </w:rPr>
        <w:t xml:space="preserve">Medicare and Medicaid </w:t>
      </w:r>
      <w:r>
        <w:rPr>
          <w:color w:val="2F2F2F"/>
          <w:w w:val="105"/>
        </w:rPr>
        <w:t xml:space="preserve">Services </w:t>
      </w:r>
      <w:r>
        <w:rPr>
          <w:color w:val="1A1A1A"/>
          <w:w w:val="105"/>
        </w:rPr>
        <w:t xml:space="preserve">Department of </w:t>
      </w:r>
      <w:r>
        <w:rPr>
          <w:color w:val="2F2F2F"/>
          <w:w w:val="105"/>
        </w:rPr>
        <w:t xml:space="preserve">Health and Human Services </w:t>
      </w:r>
      <w:r>
        <w:rPr>
          <w:color w:val="1A1A1A"/>
          <w:w w:val="105"/>
        </w:rPr>
        <w:t xml:space="preserve">Attention: </w:t>
      </w:r>
      <w:r>
        <w:rPr>
          <w:color w:val="2F2F2F"/>
          <w:w w:val="105"/>
        </w:rPr>
        <w:t>CMS-4182-P</w:t>
      </w:r>
    </w:p>
    <w:p w:rsidR="003F619A" w:rsidRDefault="00E00773">
      <w:pPr>
        <w:pStyle w:val="BodyText"/>
        <w:spacing w:before="1"/>
        <w:ind w:left="933"/>
      </w:pPr>
      <w:r>
        <w:rPr>
          <w:color w:val="1A1A1A"/>
          <w:w w:val="105"/>
        </w:rPr>
        <w:t>P.O. Box 8013</w:t>
      </w:r>
    </w:p>
    <w:p w:rsidR="003F619A" w:rsidRDefault="00E00773">
      <w:pPr>
        <w:pStyle w:val="BodyText"/>
        <w:spacing w:before="23"/>
        <w:ind w:left="932"/>
      </w:pPr>
      <w:r>
        <w:rPr>
          <w:color w:val="1A1A1A"/>
          <w:w w:val="105"/>
        </w:rPr>
        <w:t xml:space="preserve">Baltimore, MD  </w:t>
      </w:r>
      <w:r>
        <w:rPr>
          <w:color w:val="2F2F2F"/>
          <w:w w:val="105"/>
        </w:rPr>
        <w:t>21244-8013</w:t>
      </w:r>
    </w:p>
    <w:p w:rsidR="003F619A" w:rsidRDefault="003F619A">
      <w:pPr>
        <w:pStyle w:val="BodyText"/>
        <w:rPr>
          <w:sz w:val="24"/>
        </w:rPr>
      </w:pPr>
    </w:p>
    <w:p w:rsidR="003F619A" w:rsidRDefault="003F619A">
      <w:pPr>
        <w:pStyle w:val="BodyText"/>
        <w:spacing w:before="6"/>
        <w:rPr>
          <w:sz w:val="32"/>
        </w:rPr>
      </w:pPr>
    </w:p>
    <w:p w:rsidR="003F619A" w:rsidRDefault="00E00773">
      <w:pPr>
        <w:pStyle w:val="BodyText"/>
        <w:ind w:left="932"/>
      </w:pPr>
      <w:r>
        <w:rPr>
          <w:color w:val="1A1A1A"/>
          <w:w w:val="105"/>
        </w:rPr>
        <w:t xml:space="preserve">Re: </w:t>
      </w:r>
      <w:r>
        <w:rPr>
          <w:color w:val="2F2F2F"/>
          <w:w w:val="105"/>
        </w:rPr>
        <w:t xml:space="preserve">CMS-4182-P </w:t>
      </w:r>
      <w:r>
        <w:rPr>
          <w:color w:val="1A1A1A"/>
          <w:w w:val="105"/>
        </w:rPr>
        <w:t xml:space="preserve">Medicare Program: </w:t>
      </w:r>
      <w:r>
        <w:rPr>
          <w:color w:val="2F2F2F"/>
          <w:w w:val="105"/>
        </w:rPr>
        <w:t xml:space="preserve">Contract Year 2019 </w:t>
      </w:r>
      <w:r>
        <w:rPr>
          <w:color w:val="1A1A1A"/>
          <w:w w:val="105"/>
        </w:rPr>
        <w:t xml:space="preserve">Policy and </w:t>
      </w:r>
      <w:r>
        <w:rPr>
          <w:color w:val="2F2F2F"/>
          <w:w w:val="105"/>
        </w:rPr>
        <w:t>Technical Changes</w:t>
      </w:r>
    </w:p>
    <w:p w:rsidR="003F619A" w:rsidRDefault="00E00773">
      <w:pPr>
        <w:pStyle w:val="BodyText"/>
        <w:spacing w:before="30" w:line="273" w:lineRule="auto"/>
        <w:ind w:left="1350" w:firstLine="1"/>
      </w:pPr>
      <w:r>
        <w:rPr>
          <w:color w:val="2F2F2F"/>
          <w:w w:val="105"/>
        </w:rPr>
        <w:t xml:space="preserve">to the </w:t>
      </w:r>
      <w:r>
        <w:rPr>
          <w:color w:val="1A1A1A"/>
          <w:w w:val="105"/>
        </w:rPr>
        <w:t xml:space="preserve">Medicare </w:t>
      </w:r>
      <w:r>
        <w:rPr>
          <w:color w:val="2F2F2F"/>
          <w:w w:val="105"/>
        </w:rPr>
        <w:t xml:space="preserve">Advantage, Medicare Cost </w:t>
      </w:r>
      <w:r>
        <w:rPr>
          <w:color w:val="1A1A1A"/>
          <w:w w:val="105"/>
        </w:rPr>
        <w:t xml:space="preserve">Plan, Medicare </w:t>
      </w:r>
      <w:r>
        <w:rPr>
          <w:color w:val="2F2F2F"/>
          <w:w w:val="105"/>
        </w:rPr>
        <w:t xml:space="preserve">Fee-for-Service, </w:t>
      </w:r>
      <w:r>
        <w:rPr>
          <w:color w:val="1A1A1A"/>
          <w:w w:val="105"/>
        </w:rPr>
        <w:t>the Medicare Prescription Drug Benefit Programs and the Pace Programs</w:t>
      </w:r>
    </w:p>
    <w:p w:rsidR="003F619A" w:rsidRDefault="003F619A">
      <w:pPr>
        <w:pStyle w:val="BodyText"/>
        <w:rPr>
          <w:sz w:val="24"/>
        </w:rPr>
      </w:pPr>
    </w:p>
    <w:p w:rsidR="003F619A" w:rsidRDefault="003F619A">
      <w:pPr>
        <w:pStyle w:val="BodyText"/>
        <w:spacing w:before="11"/>
        <w:rPr>
          <w:sz w:val="29"/>
        </w:rPr>
      </w:pPr>
    </w:p>
    <w:p w:rsidR="003F619A" w:rsidRDefault="00E00773">
      <w:pPr>
        <w:pStyle w:val="BodyText"/>
        <w:ind w:left="929"/>
      </w:pPr>
      <w:r>
        <w:rPr>
          <w:color w:val="1A1A1A"/>
          <w:w w:val="105"/>
        </w:rPr>
        <w:t xml:space="preserve">To </w:t>
      </w:r>
      <w:r>
        <w:rPr>
          <w:color w:val="2F2F2F"/>
          <w:w w:val="105"/>
        </w:rPr>
        <w:t xml:space="preserve">whom </w:t>
      </w:r>
      <w:r>
        <w:rPr>
          <w:color w:val="1A1A1A"/>
          <w:w w:val="105"/>
        </w:rPr>
        <w:t>it may concern:</w:t>
      </w:r>
    </w:p>
    <w:p w:rsidR="003F619A" w:rsidRDefault="00E00773">
      <w:pPr>
        <w:pStyle w:val="BodyText"/>
        <w:spacing w:before="181" w:line="271" w:lineRule="auto"/>
        <w:ind w:left="927" w:right="106" w:firstLine="3"/>
      </w:pPr>
      <w:r>
        <w:rPr>
          <w:color w:val="1A1A1A"/>
          <w:w w:val="105"/>
        </w:rPr>
        <w:t xml:space="preserve">I </w:t>
      </w:r>
      <w:r>
        <w:rPr>
          <w:color w:val="2F2F2F"/>
          <w:w w:val="105"/>
        </w:rPr>
        <w:t xml:space="preserve">am writing to you today as </w:t>
      </w:r>
      <w:r>
        <w:rPr>
          <w:color w:val="1A1A1A"/>
          <w:w w:val="105"/>
        </w:rPr>
        <w:t xml:space="preserve">the </w:t>
      </w:r>
      <w:r>
        <w:rPr>
          <w:color w:val="2F2F2F"/>
          <w:w w:val="105"/>
        </w:rPr>
        <w:t>CEO of</w:t>
      </w:r>
      <w:r>
        <w:rPr>
          <w:color w:val="2F2F2F"/>
          <w:w w:val="105"/>
        </w:rPr>
        <w:t xml:space="preserve"> Kansas </w:t>
      </w:r>
      <w:r>
        <w:rPr>
          <w:color w:val="1A1A1A"/>
          <w:w w:val="105"/>
        </w:rPr>
        <w:t xml:space="preserve">Independent </w:t>
      </w:r>
      <w:r>
        <w:rPr>
          <w:color w:val="2F2F2F"/>
          <w:w w:val="105"/>
        </w:rPr>
        <w:t xml:space="preserve">Pharmacy Service Corporation (KPSC), which </w:t>
      </w:r>
      <w:r>
        <w:rPr>
          <w:color w:val="1A1A1A"/>
          <w:w w:val="105"/>
        </w:rPr>
        <w:t xml:space="preserve">has provided </w:t>
      </w:r>
      <w:r>
        <w:rPr>
          <w:color w:val="2F2F2F"/>
          <w:w w:val="105"/>
        </w:rPr>
        <w:t xml:space="preserve">a wide range of services for </w:t>
      </w:r>
      <w:r>
        <w:rPr>
          <w:color w:val="1A1A1A"/>
          <w:w w:val="105"/>
        </w:rPr>
        <w:t xml:space="preserve">independent pharmacies </w:t>
      </w:r>
      <w:r>
        <w:rPr>
          <w:color w:val="2F2F2F"/>
          <w:w w:val="105"/>
        </w:rPr>
        <w:t xml:space="preserve">throughout Kansas since </w:t>
      </w:r>
      <w:r>
        <w:rPr>
          <w:color w:val="1A1A1A"/>
          <w:w w:val="105"/>
        </w:rPr>
        <w:t xml:space="preserve">1985. </w:t>
      </w:r>
      <w:r>
        <w:rPr>
          <w:color w:val="2F2F2F"/>
          <w:w w:val="105"/>
        </w:rPr>
        <w:t>Each fall</w:t>
      </w:r>
      <w:r>
        <w:rPr>
          <w:color w:val="6E6E6E"/>
          <w:w w:val="105"/>
        </w:rPr>
        <w:t xml:space="preserve">, </w:t>
      </w:r>
      <w:r>
        <w:rPr>
          <w:color w:val="2F2F2F"/>
          <w:w w:val="105"/>
        </w:rPr>
        <w:t xml:space="preserve">KPSC asks </w:t>
      </w:r>
      <w:r>
        <w:rPr>
          <w:color w:val="1A1A1A"/>
          <w:w w:val="105"/>
        </w:rPr>
        <w:t>it</w:t>
      </w:r>
      <w:r>
        <w:rPr>
          <w:color w:val="4F4F4F"/>
          <w:w w:val="105"/>
        </w:rPr>
        <w:t xml:space="preserve">s </w:t>
      </w:r>
      <w:r>
        <w:rPr>
          <w:color w:val="2F2F2F"/>
          <w:w w:val="105"/>
        </w:rPr>
        <w:t xml:space="preserve">stockholder </w:t>
      </w:r>
      <w:r>
        <w:rPr>
          <w:color w:val="1A1A1A"/>
          <w:w w:val="105"/>
        </w:rPr>
        <w:t xml:space="preserve">pharmacies to </w:t>
      </w:r>
      <w:r>
        <w:rPr>
          <w:color w:val="2F2F2F"/>
          <w:w w:val="105"/>
        </w:rPr>
        <w:t xml:space="preserve">rate a variety of federal and state </w:t>
      </w:r>
      <w:r>
        <w:rPr>
          <w:color w:val="1A1A1A"/>
          <w:w w:val="105"/>
        </w:rPr>
        <w:t xml:space="preserve">level legislative </w:t>
      </w:r>
      <w:r>
        <w:rPr>
          <w:color w:val="2F2F2F"/>
          <w:w w:val="105"/>
        </w:rPr>
        <w:t xml:space="preserve">and </w:t>
      </w:r>
      <w:r>
        <w:rPr>
          <w:color w:val="1A1A1A"/>
          <w:w w:val="105"/>
        </w:rPr>
        <w:t xml:space="preserve">regulatory issues that impact their </w:t>
      </w:r>
      <w:r>
        <w:rPr>
          <w:color w:val="2F2F2F"/>
          <w:w w:val="105"/>
        </w:rPr>
        <w:t xml:space="preserve">practice. The allowance for </w:t>
      </w:r>
      <w:r>
        <w:rPr>
          <w:color w:val="1A1A1A"/>
          <w:w w:val="105"/>
        </w:rPr>
        <w:t xml:space="preserve">Medicare Part D plans to </w:t>
      </w:r>
      <w:r>
        <w:rPr>
          <w:color w:val="2F2F2F"/>
          <w:w w:val="105"/>
        </w:rPr>
        <w:t xml:space="preserve">charge retail </w:t>
      </w:r>
      <w:r>
        <w:rPr>
          <w:color w:val="1A1A1A"/>
          <w:w w:val="105"/>
        </w:rPr>
        <w:t xml:space="preserve">network pharmacies direct </w:t>
      </w:r>
      <w:r>
        <w:rPr>
          <w:color w:val="2F2F2F"/>
          <w:w w:val="105"/>
        </w:rPr>
        <w:t xml:space="preserve">or </w:t>
      </w:r>
      <w:r>
        <w:rPr>
          <w:color w:val="1A1A1A"/>
          <w:w w:val="105"/>
        </w:rPr>
        <w:t xml:space="preserve">indirect remuneration </w:t>
      </w:r>
      <w:r>
        <w:rPr>
          <w:color w:val="2F2F2F"/>
          <w:w w:val="105"/>
        </w:rPr>
        <w:t xml:space="preserve">(DIR) fees was rated as the </w:t>
      </w:r>
      <w:r>
        <w:rPr>
          <w:color w:val="1A1A1A"/>
          <w:w w:val="105"/>
        </w:rPr>
        <w:t xml:space="preserve">leading </w:t>
      </w:r>
      <w:r>
        <w:rPr>
          <w:color w:val="2F2F2F"/>
          <w:w w:val="105"/>
        </w:rPr>
        <w:t xml:space="preserve">concern (out of24 total </w:t>
      </w:r>
      <w:r>
        <w:rPr>
          <w:color w:val="1A1A1A"/>
          <w:w w:val="105"/>
        </w:rPr>
        <w:t xml:space="preserve">issues) </w:t>
      </w:r>
      <w:r>
        <w:rPr>
          <w:color w:val="2F2F2F"/>
          <w:w w:val="105"/>
        </w:rPr>
        <w:t>and actually</w:t>
      </w:r>
      <w:r>
        <w:rPr>
          <w:color w:val="2F2F2F"/>
          <w:w w:val="105"/>
        </w:rPr>
        <w:t xml:space="preserve"> </w:t>
      </w:r>
      <w:r>
        <w:rPr>
          <w:color w:val="1A1A1A"/>
          <w:w w:val="105"/>
        </w:rPr>
        <w:t xml:space="preserve">has </w:t>
      </w:r>
      <w:r>
        <w:rPr>
          <w:color w:val="2F2F2F"/>
          <w:w w:val="105"/>
        </w:rPr>
        <w:t xml:space="preserve">been </w:t>
      </w:r>
      <w:r>
        <w:rPr>
          <w:color w:val="1A1A1A"/>
          <w:w w:val="105"/>
        </w:rPr>
        <w:t xml:space="preserve">the highest </w:t>
      </w:r>
      <w:r>
        <w:rPr>
          <w:color w:val="2F2F2F"/>
          <w:w w:val="105"/>
        </w:rPr>
        <w:t xml:space="preserve">rated </w:t>
      </w:r>
      <w:r>
        <w:rPr>
          <w:color w:val="1A1A1A"/>
          <w:w w:val="105"/>
        </w:rPr>
        <w:t xml:space="preserve">issue </w:t>
      </w:r>
      <w:r>
        <w:rPr>
          <w:color w:val="2F2F2F"/>
          <w:w w:val="105"/>
        </w:rPr>
        <w:t xml:space="preserve">for </w:t>
      </w:r>
      <w:r>
        <w:rPr>
          <w:color w:val="1A1A1A"/>
          <w:w w:val="105"/>
        </w:rPr>
        <w:t xml:space="preserve">the </w:t>
      </w:r>
      <w:r>
        <w:rPr>
          <w:color w:val="2F2F2F"/>
          <w:w w:val="105"/>
        </w:rPr>
        <w:t>pa</w:t>
      </w:r>
      <w:r>
        <w:rPr>
          <w:color w:val="4F4F4F"/>
          <w:w w:val="105"/>
        </w:rPr>
        <w:t>s</w:t>
      </w:r>
      <w:r>
        <w:rPr>
          <w:color w:val="1A1A1A"/>
          <w:w w:val="105"/>
        </w:rPr>
        <w:t xml:space="preserve">t </w:t>
      </w:r>
      <w:r>
        <w:rPr>
          <w:color w:val="2F2F2F"/>
          <w:w w:val="105"/>
        </w:rPr>
        <w:t>three years.</w:t>
      </w:r>
    </w:p>
    <w:p w:rsidR="003F619A" w:rsidRDefault="00E00773">
      <w:pPr>
        <w:pStyle w:val="BodyText"/>
        <w:spacing w:before="155" w:line="271" w:lineRule="auto"/>
        <w:ind w:left="935" w:right="106" w:firstLine="5"/>
      </w:pPr>
      <w:r>
        <w:rPr>
          <w:color w:val="1A1A1A"/>
          <w:w w:val="105"/>
        </w:rPr>
        <w:t xml:space="preserve">We </w:t>
      </w:r>
      <w:r>
        <w:rPr>
          <w:color w:val="2F2F2F"/>
          <w:w w:val="105"/>
        </w:rPr>
        <w:t xml:space="preserve">strongly support the CMS </w:t>
      </w:r>
      <w:r>
        <w:rPr>
          <w:color w:val="1A1A1A"/>
          <w:w w:val="105"/>
        </w:rPr>
        <w:t xml:space="preserve">proposed Medicare </w:t>
      </w:r>
      <w:r>
        <w:rPr>
          <w:color w:val="2F2F2F"/>
          <w:w w:val="105"/>
        </w:rPr>
        <w:t xml:space="preserve">Part </w:t>
      </w:r>
      <w:r>
        <w:rPr>
          <w:color w:val="1A1A1A"/>
          <w:w w:val="105"/>
        </w:rPr>
        <w:t xml:space="preserve">D Rule </w:t>
      </w:r>
      <w:r>
        <w:rPr>
          <w:color w:val="2F2F2F"/>
          <w:w w:val="105"/>
        </w:rPr>
        <w:t xml:space="preserve">re: Contract Year 2019 as </w:t>
      </w:r>
      <w:r>
        <w:rPr>
          <w:color w:val="1A1A1A"/>
          <w:w w:val="105"/>
        </w:rPr>
        <w:t xml:space="preserve">it regards revising </w:t>
      </w:r>
      <w:r>
        <w:rPr>
          <w:color w:val="2F2F2F"/>
          <w:w w:val="105"/>
        </w:rPr>
        <w:t xml:space="preserve">the </w:t>
      </w:r>
      <w:r>
        <w:rPr>
          <w:color w:val="1A1A1A"/>
          <w:w w:val="105"/>
        </w:rPr>
        <w:t xml:space="preserve">definition of negotiated prices </w:t>
      </w:r>
      <w:r>
        <w:rPr>
          <w:color w:val="2F2F2F"/>
          <w:w w:val="105"/>
        </w:rPr>
        <w:t xml:space="preserve">to </w:t>
      </w:r>
      <w:r>
        <w:rPr>
          <w:color w:val="1A1A1A"/>
          <w:w w:val="105"/>
        </w:rPr>
        <w:t xml:space="preserve">make </w:t>
      </w:r>
      <w:r>
        <w:rPr>
          <w:color w:val="2F2F2F"/>
          <w:w w:val="105"/>
        </w:rPr>
        <w:t xml:space="preserve">all </w:t>
      </w:r>
      <w:r>
        <w:rPr>
          <w:color w:val="1A1A1A"/>
          <w:w w:val="105"/>
        </w:rPr>
        <w:t xml:space="preserve">price </w:t>
      </w:r>
      <w:r>
        <w:rPr>
          <w:color w:val="2F2F2F"/>
          <w:w w:val="105"/>
        </w:rPr>
        <w:t xml:space="preserve">concessions from pharmacies </w:t>
      </w:r>
      <w:r>
        <w:rPr>
          <w:color w:val="1A1A1A"/>
          <w:w w:val="105"/>
        </w:rPr>
        <w:t xml:space="preserve">(i.e., </w:t>
      </w:r>
      <w:r>
        <w:rPr>
          <w:color w:val="2F2F2F"/>
          <w:w w:val="105"/>
        </w:rPr>
        <w:t xml:space="preserve">DIR fees) </w:t>
      </w:r>
      <w:r>
        <w:rPr>
          <w:color w:val="1A1A1A"/>
          <w:w w:val="105"/>
        </w:rPr>
        <w:t xml:space="preserve">be reflected in prices made </w:t>
      </w:r>
      <w:r>
        <w:rPr>
          <w:color w:val="2F2F2F"/>
          <w:w w:val="105"/>
        </w:rPr>
        <w:t xml:space="preserve">available </w:t>
      </w:r>
      <w:r>
        <w:rPr>
          <w:color w:val="1A1A1A"/>
          <w:w w:val="105"/>
        </w:rPr>
        <w:t xml:space="preserve">to beneficiaries </w:t>
      </w:r>
      <w:r>
        <w:rPr>
          <w:color w:val="2F2F2F"/>
          <w:w w:val="105"/>
        </w:rPr>
        <w:t xml:space="preserve">at </w:t>
      </w:r>
      <w:r>
        <w:rPr>
          <w:color w:val="1A1A1A"/>
          <w:w w:val="105"/>
        </w:rPr>
        <w:t xml:space="preserve">the point </w:t>
      </w:r>
      <w:r>
        <w:rPr>
          <w:color w:val="2F2F2F"/>
          <w:w w:val="105"/>
        </w:rPr>
        <w:t>of sale and reported to CMS on a PDE record.</w:t>
      </w:r>
    </w:p>
    <w:p w:rsidR="003F619A" w:rsidRDefault="00E00773">
      <w:pPr>
        <w:pStyle w:val="BodyText"/>
        <w:spacing w:before="148" w:line="271" w:lineRule="auto"/>
        <w:ind w:left="935" w:right="112" w:firstLine="12"/>
      </w:pPr>
      <w:r>
        <w:rPr>
          <w:color w:val="2F2F2F"/>
          <w:w w:val="105"/>
        </w:rPr>
        <w:t xml:space="preserve">We agree with CMS that </w:t>
      </w:r>
      <w:r>
        <w:rPr>
          <w:color w:val="1A1A1A"/>
          <w:w w:val="105"/>
        </w:rPr>
        <w:t xml:space="preserve">this </w:t>
      </w:r>
      <w:r>
        <w:rPr>
          <w:color w:val="2F2F2F"/>
          <w:w w:val="105"/>
        </w:rPr>
        <w:t xml:space="preserve">change would result </w:t>
      </w:r>
      <w:r>
        <w:rPr>
          <w:color w:val="1A1A1A"/>
          <w:w w:val="105"/>
        </w:rPr>
        <w:t xml:space="preserve">in </w:t>
      </w:r>
      <w:r>
        <w:rPr>
          <w:color w:val="2F2F2F"/>
          <w:w w:val="105"/>
        </w:rPr>
        <w:t xml:space="preserve">significant cost sharing savings for plan </w:t>
      </w:r>
      <w:r>
        <w:rPr>
          <w:color w:val="1A1A1A"/>
          <w:w w:val="105"/>
        </w:rPr>
        <w:t xml:space="preserve">beneficiaries beginning in plan </w:t>
      </w:r>
      <w:r>
        <w:rPr>
          <w:color w:val="2F2F2F"/>
          <w:w w:val="105"/>
        </w:rPr>
        <w:t>year 201</w:t>
      </w:r>
      <w:r>
        <w:rPr>
          <w:color w:val="2F2F2F"/>
          <w:w w:val="105"/>
        </w:rPr>
        <w:t xml:space="preserve">9. </w:t>
      </w:r>
      <w:r>
        <w:rPr>
          <w:color w:val="1A1A1A"/>
          <w:w w:val="105"/>
        </w:rPr>
        <w:t xml:space="preserve">In doing </w:t>
      </w:r>
      <w:r>
        <w:rPr>
          <w:color w:val="2F2F2F"/>
          <w:w w:val="105"/>
        </w:rPr>
        <w:t xml:space="preserve">so, this change also will give </w:t>
      </w:r>
      <w:r>
        <w:rPr>
          <w:color w:val="1A1A1A"/>
          <w:w w:val="105"/>
        </w:rPr>
        <w:t xml:space="preserve">plan </w:t>
      </w:r>
      <w:r>
        <w:rPr>
          <w:color w:val="2F2F2F"/>
          <w:w w:val="105"/>
        </w:rPr>
        <w:t xml:space="preserve">pharmacies </w:t>
      </w:r>
      <w:r>
        <w:rPr>
          <w:color w:val="1A1A1A"/>
          <w:w w:val="105"/>
        </w:rPr>
        <w:t xml:space="preserve">more </w:t>
      </w:r>
      <w:r>
        <w:rPr>
          <w:color w:val="2F2F2F"/>
          <w:w w:val="105"/>
        </w:rPr>
        <w:t xml:space="preserve">certainty </w:t>
      </w:r>
      <w:r>
        <w:rPr>
          <w:color w:val="1A1A1A"/>
          <w:w w:val="105"/>
        </w:rPr>
        <w:t xml:space="preserve">in net pricing </w:t>
      </w:r>
      <w:r>
        <w:rPr>
          <w:color w:val="2F2F2F"/>
          <w:w w:val="105"/>
        </w:rPr>
        <w:t xml:space="preserve">at the </w:t>
      </w:r>
      <w:r>
        <w:rPr>
          <w:color w:val="1A1A1A"/>
          <w:w w:val="105"/>
        </w:rPr>
        <w:t xml:space="preserve">point </w:t>
      </w:r>
      <w:r>
        <w:rPr>
          <w:color w:val="2F2F2F"/>
          <w:w w:val="105"/>
        </w:rPr>
        <w:t xml:space="preserve">of sale. Currently, </w:t>
      </w:r>
      <w:r>
        <w:rPr>
          <w:color w:val="1A1A1A"/>
          <w:w w:val="105"/>
        </w:rPr>
        <w:t xml:space="preserve">DIR </w:t>
      </w:r>
      <w:r>
        <w:rPr>
          <w:color w:val="2F2F2F"/>
          <w:w w:val="105"/>
        </w:rPr>
        <w:t xml:space="preserve">fees are charged well after </w:t>
      </w:r>
      <w:r>
        <w:rPr>
          <w:color w:val="1A1A1A"/>
          <w:w w:val="105"/>
        </w:rPr>
        <w:t xml:space="preserve">each </w:t>
      </w:r>
      <w:r>
        <w:rPr>
          <w:color w:val="2F2F2F"/>
          <w:w w:val="105"/>
        </w:rPr>
        <w:t xml:space="preserve">point of sale transaction (with great variance across Part D </w:t>
      </w:r>
      <w:r>
        <w:rPr>
          <w:color w:val="1A1A1A"/>
          <w:w w:val="105"/>
        </w:rPr>
        <w:t xml:space="preserve">plans) </w:t>
      </w:r>
      <w:r>
        <w:rPr>
          <w:color w:val="2F2F2F"/>
          <w:w w:val="105"/>
        </w:rPr>
        <w:t xml:space="preserve">and are a </w:t>
      </w:r>
      <w:r>
        <w:rPr>
          <w:color w:val="1A1A1A"/>
          <w:w w:val="105"/>
        </w:rPr>
        <w:t xml:space="preserve">major hindrance in </w:t>
      </w:r>
      <w:r>
        <w:rPr>
          <w:color w:val="2F2F2F"/>
          <w:w w:val="105"/>
        </w:rPr>
        <w:t xml:space="preserve">assessing </w:t>
      </w:r>
      <w:r>
        <w:rPr>
          <w:color w:val="1A1A1A"/>
          <w:w w:val="105"/>
        </w:rPr>
        <w:t xml:space="preserve">actual per prescription revenue </w:t>
      </w:r>
      <w:r>
        <w:rPr>
          <w:color w:val="2F2F2F"/>
          <w:w w:val="105"/>
        </w:rPr>
        <w:t xml:space="preserve">and costs. </w:t>
      </w:r>
      <w:r>
        <w:rPr>
          <w:color w:val="1A1A1A"/>
          <w:w w:val="105"/>
        </w:rPr>
        <w:t xml:space="preserve">In </w:t>
      </w:r>
      <w:r>
        <w:rPr>
          <w:color w:val="2F2F2F"/>
          <w:w w:val="105"/>
        </w:rPr>
        <w:t xml:space="preserve">addition </w:t>
      </w:r>
      <w:r>
        <w:rPr>
          <w:color w:val="1A1A1A"/>
          <w:w w:val="105"/>
        </w:rPr>
        <w:t xml:space="preserve">to </w:t>
      </w:r>
      <w:r>
        <w:rPr>
          <w:color w:val="2F2F2F"/>
          <w:w w:val="105"/>
        </w:rPr>
        <w:t xml:space="preserve">savings for </w:t>
      </w:r>
      <w:r>
        <w:rPr>
          <w:color w:val="1A1A1A"/>
          <w:w w:val="105"/>
        </w:rPr>
        <w:t>beneficiaries</w:t>
      </w:r>
      <w:r>
        <w:rPr>
          <w:color w:val="4F4F4F"/>
          <w:w w:val="105"/>
        </w:rPr>
        <w:t>,</w:t>
      </w:r>
      <w:r>
        <w:rPr>
          <w:color w:val="4F4F4F"/>
          <w:spacing w:val="-1"/>
          <w:w w:val="105"/>
        </w:rPr>
        <w:t xml:space="preserve"> </w:t>
      </w:r>
      <w:r>
        <w:rPr>
          <w:color w:val="1A1A1A"/>
          <w:w w:val="105"/>
        </w:rPr>
        <w:t>this</w:t>
      </w:r>
      <w:r>
        <w:rPr>
          <w:color w:val="1A1A1A"/>
          <w:spacing w:val="-2"/>
          <w:w w:val="105"/>
        </w:rPr>
        <w:t xml:space="preserve"> </w:t>
      </w:r>
      <w:r>
        <w:rPr>
          <w:color w:val="2F2F2F"/>
          <w:w w:val="105"/>
        </w:rPr>
        <w:t>change</w:t>
      </w:r>
      <w:r>
        <w:rPr>
          <w:color w:val="2F2F2F"/>
          <w:spacing w:val="6"/>
          <w:w w:val="105"/>
        </w:rPr>
        <w:t xml:space="preserve"> </w:t>
      </w:r>
      <w:r>
        <w:rPr>
          <w:color w:val="2F2F2F"/>
          <w:w w:val="105"/>
        </w:rPr>
        <w:t>will</w:t>
      </w:r>
      <w:r>
        <w:rPr>
          <w:color w:val="2F2F2F"/>
          <w:spacing w:val="-11"/>
          <w:w w:val="105"/>
        </w:rPr>
        <w:t xml:space="preserve"> </w:t>
      </w:r>
      <w:r>
        <w:rPr>
          <w:color w:val="2F2F2F"/>
          <w:w w:val="105"/>
        </w:rPr>
        <w:t>save</w:t>
      </w:r>
      <w:r>
        <w:rPr>
          <w:color w:val="2F2F2F"/>
          <w:spacing w:val="-18"/>
          <w:w w:val="105"/>
        </w:rPr>
        <w:t xml:space="preserve"> </w:t>
      </w:r>
      <w:r>
        <w:rPr>
          <w:color w:val="2F2F2F"/>
          <w:w w:val="105"/>
        </w:rPr>
        <w:t>the</w:t>
      </w:r>
      <w:r>
        <w:rPr>
          <w:color w:val="2F2F2F"/>
          <w:spacing w:val="-16"/>
          <w:w w:val="105"/>
        </w:rPr>
        <w:t xml:space="preserve"> </w:t>
      </w:r>
      <w:r>
        <w:rPr>
          <w:color w:val="2F2F2F"/>
          <w:w w:val="105"/>
        </w:rPr>
        <w:t>federal</w:t>
      </w:r>
      <w:r>
        <w:rPr>
          <w:color w:val="2F2F2F"/>
          <w:spacing w:val="8"/>
          <w:w w:val="105"/>
        </w:rPr>
        <w:t xml:space="preserve"> </w:t>
      </w:r>
      <w:r>
        <w:rPr>
          <w:color w:val="2F2F2F"/>
          <w:w w:val="105"/>
        </w:rPr>
        <w:t>government</w:t>
      </w:r>
      <w:r>
        <w:rPr>
          <w:color w:val="2F2F2F"/>
          <w:spacing w:val="13"/>
          <w:w w:val="105"/>
        </w:rPr>
        <w:t xml:space="preserve"> </w:t>
      </w:r>
      <w:r>
        <w:rPr>
          <w:color w:val="1A1A1A"/>
          <w:w w:val="105"/>
        </w:rPr>
        <w:t>billions</w:t>
      </w:r>
      <w:r>
        <w:rPr>
          <w:color w:val="1A1A1A"/>
          <w:spacing w:val="-7"/>
          <w:w w:val="105"/>
        </w:rPr>
        <w:t xml:space="preserve"> </w:t>
      </w:r>
      <w:r>
        <w:rPr>
          <w:color w:val="2F2F2F"/>
          <w:w w:val="105"/>
        </w:rPr>
        <w:t>of</w:t>
      </w:r>
      <w:r>
        <w:rPr>
          <w:color w:val="2F2F2F"/>
          <w:spacing w:val="-8"/>
          <w:w w:val="105"/>
        </w:rPr>
        <w:t xml:space="preserve"> </w:t>
      </w:r>
      <w:r>
        <w:rPr>
          <w:color w:val="1A1A1A"/>
          <w:w w:val="105"/>
        </w:rPr>
        <w:t>dollars</w:t>
      </w:r>
      <w:r>
        <w:rPr>
          <w:color w:val="1A1A1A"/>
          <w:spacing w:val="-9"/>
          <w:w w:val="105"/>
        </w:rPr>
        <w:t xml:space="preserve"> </w:t>
      </w:r>
      <w:r>
        <w:rPr>
          <w:color w:val="1A1A1A"/>
          <w:w w:val="105"/>
        </w:rPr>
        <w:t>in</w:t>
      </w:r>
      <w:r>
        <w:rPr>
          <w:color w:val="1A1A1A"/>
          <w:spacing w:val="2"/>
          <w:w w:val="105"/>
        </w:rPr>
        <w:t xml:space="preserve"> </w:t>
      </w:r>
      <w:r>
        <w:rPr>
          <w:color w:val="1A1A1A"/>
          <w:w w:val="105"/>
        </w:rPr>
        <w:t>payments</w:t>
      </w:r>
      <w:r>
        <w:rPr>
          <w:color w:val="1A1A1A"/>
          <w:spacing w:val="-8"/>
          <w:w w:val="105"/>
        </w:rPr>
        <w:t xml:space="preserve"> </w:t>
      </w:r>
      <w:r>
        <w:rPr>
          <w:color w:val="1A1A1A"/>
          <w:w w:val="105"/>
        </w:rPr>
        <w:t>to</w:t>
      </w:r>
      <w:r>
        <w:rPr>
          <w:color w:val="1A1A1A"/>
          <w:spacing w:val="-11"/>
          <w:w w:val="105"/>
        </w:rPr>
        <w:t xml:space="preserve"> </w:t>
      </w:r>
      <w:r>
        <w:rPr>
          <w:color w:val="2F2F2F"/>
          <w:w w:val="105"/>
        </w:rPr>
        <w:t xml:space="preserve">plan sponsors, for reinsurance and for </w:t>
      </w:r>
      <w:r>
        <w:rPr>
          <w:color w:val="1A1A1A"/>
          <w:w w:val="105"/>
        </w:rPr>
        <w:t>low-income patient</w:t>
      </w:r>
      <w:r>
        <w:rPr>
          <w:color w:val="1A1A1A"/>
          <w:spacing w:val="-28"/>
          <w:w w:val="105"/>
        </w:rPr>
        <w:t xml:space="preserve"> </w:t>
      </w:r>
      <w:r>
        <w:rPr>
          <w:color w:val="2F2F2F"/>
          <w:w w:val="105"/>
        </w:rPr>
        <w:t>subsidies.</w:t>
      </w:r>
    </w:p>
    <w:p w:rsidR="003F619A" w:rsidRDefault="00E00773">
      <w:pPr>
        <w:pStyle w:val="BodyText"/>
        <w:spacing w:before="155" w:line="273" w:lineRule="auto"/>
        <w:ind w:left="928" w:right="106" w:firstLine="2"/>
      </w:pPr>
      <w:r>
        <w:rPr>
          <w:color w:val="1A1A1A"/>
          <w:w w:val="105"/>
        </w:rPr>
        <w:t xml:space="preserve">It is </w:t>
      </w:r>
      <w:r>
        <w:rPr>
          <w:color w:val="2F2F2F"/>
          <w:w w:val="105"/>
        </w:rPr>
        <w:t xml:space="preserve">our </w:t>
      </w:r>
      <w:r>
        <w:rPr>
          <w:color w:val="1A1A1A"/>
          <w:w w:val="105"/>
        </w:rPr>
        <w:t xml:space="preserve">understanding </w:t>
      </w:r>
      <w:r>
        <w:rPr>
          <w:color w:val="2F2F2F"/>
          <w:w w:val="105"/>
        </w:rPr>
        <w:t xml:space="preserve">that pay for performance for </w:t>
      </w:r>
      <w:r>
        <w:rPr>
          <w:color w:val="1A1A1A"/>
          <w:w w:val="105"/>
        </w:rPr>
        <w:t xml:space="preserve">plan </w:t>
      </w:r>
      <w:r>
        <w:rPr>
          <w:color w:val="2F2F2F"/>
          <w:w w:val="105"/>
        </w:rPr>
        <w:t xml:space="preserve">pharmacies would </w:t>
      </w:r>
      <w:r>
        <w:rPr>
          <w:color w:val="1A1A1A"/>
          <w:w w:val="105"/>
        </w:rPr>
        <w:t xml:space="preserve">not be included in this </w:t>
      </w:r>
      <w:r>
        <w:rPr>
          <w:color w:val="2F2F2F"/>
          <w:w w:val="105"/>
        </w:rPr>
        <w:t xml:space="preserve">change. In doing so, </w:t>
      </w:r>
      <w:r>
        <w:rPr>
          <w:color w:val="1A1A1A"/>
          <w:w w:val="105"/>
        </w:rPr>
        <w:t xml:space="preserve">it is </w:t>
      </w:r>
      <w:r>
        <w:rPr>
          <w:color w:val="2F2F2F"/>
          <w:w w:val="105"/>
        </w:rPr>
        <w:t>KPSC</w:t>
      </w:r>
      <w:r>
        <w:rPr>
          <w:color w:val="6E6E6E"/>
          <w:w w:val="105"/>
        </w:rPr>
        <w:t xml:space="preserve">' </w:t>
      </w:r>
      <w:r>
        <w:rPr>
          <w:color w:val="2F2F2F"/>
          <w:w w:val="105"/>
        </w:rPr>
        <w:t xml:space="preserve">s </w:t>
      </w:r>
      <w:r>
        <w:rPr>
          <w:color w:val="1A1A1A"/>
          <w:w w:val="105"/>
        </w:rPr>
        <w:t xml:space="preserve">hope that </w:t>
      </w:r>
      <w:r>
        <w:rPr>
          <w:color w:val="2F2F2F"/>
          <w:w w:val="105"/>
        </w:rPr>
        <w:t xml:space="preserve">such </w:t>
      </w:r>
      <w:r>
        <w:rPr>
          <w:color w:val="1A1A1A"/>
          <w:w w:val="105"/>
        </w:rPr>
        <w:t xml:space="preserve">pay </w:t>
      </w:r>
      <w:r>
        <w:rPr>
          <w:color w:val="2F2F2F"/>
          <w:w w:val="105"/>
        </w:rPr>
        <w:t xml:space="preserve">for </w:t>
      </w:r>
      <w:r>
        <w:rPr>
          <w:color w:val="1A1A1A"/>
          <w:w w:val="105"/>
        </w:rPr>
        <w:t xml:space="preserve">performance </w:t>
      </w:r>
      <w:r>
        <w:rPr>
          <w:color w:val="2F2F2F"/>
          <w:w w:val="105"/>
        </w:rPr>
        <w:t xml:space="preserve">will </w:t>
      </w:r>
      <w:r>
        <w:rPr>
          <w:color w:val="1A1A1A"/>
          <w:w w:val="105"/>
        </w:rPr>
        <w:t xml:space="preserve">involve </w:t>
      </w:r>
      <w:r>
        <w:rPr>
          <w:color w:val="2F2F2F"/>
          <w:w w:val="105"/>
        </w:rPr>
        <w:t xml:space="preserve">true </w:t>
      </w:r>
      <w:r>
        <w:rPr>
          <w:color w:val="1A1A1A"/>
          <w:w w:val="105"/>
        </w:rPr>
        <w:t xml:space="preserve">incentive payments </w:t>
      </w:r>
      <w:r>
        <w:rPr>
          <w:color w:val="2F2F2F"/>
          <w:w w:val="105"/>
        </w:rPr>
        <w:t xml:space="preserve">and </w:t>
      </w:r>
      <w:r>
        <w:rPr>
          <w:color w:val="1A1A1A"/>
          <w:w w:val="105"/>
        </w:rPr>
        <w:t xml:space="preserve">not be paid out </w:t>
      </w:r>
      <w:r>
        <w:rPr>
          <w:color w:val="2F2F2F"/>
          <w:w w:val="105"/>
        </w:rPr>
        <w:t xml:space="preserve">as smaller penalties/lower </w:t>
      </w:r>
      <w:r>
        <w:rPr>
          <w:color w:val="1A1A1A"/>
          <w:w w:val="105"/>
        </w:rPr>
        <w:t xml:space="preserve">DIRs </w:t>
      </w:r>
      <w:r>
        <w:rPr>
          <w:color w:val="2F2F2F"/>
          <w:w w:val="105"/>
        </w:rPr>
        <w:t xml:space="preserve">as </w:t>
      </w:r>
      <w:r>
        <w:rPr>
          <w:color w:val="1A1A1A"/>
          <w:w w:val="105"/>
        </w:rPr>
        <w:t>has h</w:t>
      </w:r>
      <w:r>
        <w:rPr>
          <w:color w:val="1A1A1A"/>
          <w:w w:val="105"/>
        </w:rPr>
        <w:t xml:space="preserve">appened too </w:t>
      </w:r>
      <w:r>
        <w:rPr>
          <w:color w:val="2F2F2F"/>
          <w:w w:val="105"/>
        </w:rPr>
        <w:t>often.</w:t>
      </w:r>
    </w:p>
    <w:p w:rsidR="003F619A" w:rsidRDefault="00E00773">
      <w:pPr>
        <w:spacing w:line="306" w:lineRule="exact"/>
        <w:ind w:left="3920" w:right="2970"/>
        <w:jc w:val="center"/>
        <w:rPr>
          <w:b/>
          <w:i/>
          <w:sz w:val="28"/>
        </w:rPr>
      </w:pPr>
      <w:r>
        <w:rPr>
          <w:b/>
          <w:i/>
          <w:color w:val="2A56B3"/>
          <w:w w:val="105"/>
          <w:sz w:val="28"/>
        </w:rPr>
        <w:t>Your Competitive Advantage</w:t>
      </w:r>
    </w:p>
    <w:p w:rsidR="003F619A" w:rsidRDefault="00E00773">
      <w:pPr>
        <w:tabs>
          <w:tab w:val="left" w:pos="7478"/>
        </w:tabs>
        <w:spacing w:before="117" w:line="256" w:lineRule="auto"/>
        <w:ind w:left="1178" w:right="172" w:firstLine="8"/>
        <w:jc w:val="center"/>
        <w:rPr>
          <w:rFonts w:ascii="Arial" w:hAnsi="Arial"/>
          <w:sz w:val="21"/>
        </w:rPr>
      </w:pPr>
      <w:r>
        <w:rPr>
          <w:rFonts w:ascii="Arial" w:hAnsi="Arial"/>
          <w:color w:val="4B6EB1"/>
          <w:sz w:val="21"/>
        </w:rPr>
        <w:t>35</w:t>
      </w:r>
      <w:r>
        <w:rPr>
          <w:rFonts w:ascii="Arial" w:hAnsi="Arial"/>
          <w:color w:val="1C4289"/>
          <w:sz w:val="21"/>
        </w:rPr>
        <w:t>1</w:t>
      </w:r>
      <w:r>
        <w:rPr>
          <w:rFonts w:ascii="Arial" w:hAnsi="Arial"/>
          <w:color w:val="4B6EB1"/>
          <w:sz w:val="21"/>
        </w:rPr>
        <w:t xml:space="preserve">2 </w:t>
      </w:r>
      <w:r>
        <w:rPr>
          <w:rFonts w:ascii="Arial" w:hAnsi="Arial"/>
          <w:color w:val="4B6EB1"/>
          <w:spacing w:val="-3"/>
          <w:sz w:val="21"/>
        </w:rPr>
        <w:t>S</w:t>
      </w:r>
      <w:r>
        <w:rPr>
          <w:rFonts w:ascii="Arial" w:hAnsi="Arial"/>
          <w:color w:val="2A56B3"/>
          <w:spacing w:val="-3"/>
          <w:sz w:val="21"/>
        </w:rPr>
        <w:t xml:space="preserve">W </w:t>
      </w:r>
      <w:r>
        <w:rPr>
          <w:rFonts w:ascii="Arial" w:hAnsi="Arial"/>
          <w:color w:val="4B6EB1"/>
          <w:sz w:val="21"/>
        </w:rPr>
        <w:t xml:space="preserve">Fair </w:t>
      </w:r>
      <w:r>
        <w:rPr>
          <w:rFonts w:ascii="Arial" w:hAnsi="Arial"/>
          <w:color w:val="3B5682"/>
          <w:sz w:val="21"/>
        </w:rPr>
        <w:t>l</w:t>
      </w:r>
      <w:r>
        <w:rPr>
          <w:rFonts w:ascii="Arial" w:hAnsi="Arial"/>
          <w:color w:val="4B6EB1"/>
          <w:sz w:val="21"/>
        </w:rPr>
        <w:t xml:space="preserve">a w </w:t>
      </w:r>
      <w:r>
        <w:rPr>
          <w:rFonts w:ascii="Arial" w:hAnsi="Arial"/>
          <w:color w:val="2A56B3"/>
          <w:sz w:val="21"/>
        </w:rPr>
        <w:t xml:space="preserve">n </w:t>
      </w:r>
      <w:r>
        <w:rPr>
          <w:rFonts w:ascii="Arial" w:hAnsi="Arial"/>
          <w:color w:val="4B6EB1"/>
          <w:sz w:val="21"/>
        </w:rPr>
        <w:t xml:space="preserve">Rd </w:t>
      </w:r>
      <w:r>
        <w:rPr>
          <w:rFonts w:ascii="Arial" w:hAnsi="Arial"/>
          <w:color w:val="6985BC"/>
          <w:sz w:val="21"/>
        </w:rPr>
        <w:t>.</w:t>
      </w:r>
      <w:r>
        <w:rPr>
          <w:rFonts w:ascii="Arial" w:hAnsi="Arial"/>
          <w:color w:val="4B6EB1"/>
          <w:sz w:val="21"/>
        </w:rPr>
        <w:t xml:space="preserve">, </w:t>
      </w:r>
      <w:r>
        <w:rPr>
          <w:rFonts w:ascii="Arial" w:hAnsi="Arial"/>
          <w:color w:val="4B6EB1"/>
          <w:spacing w:val="-8"/>
          <w:sz w:val="21"/>
        </w:rPr>
        <w:t>S</w:t>
      </w:r>
      <w:r>
        <w:rPr>
          <w:rFonts w:ascii="Arial" w:hAnsi="Arial"/>
          <w:color w:val="2A56B3"/>
          <w:spacing w:val="-8"/>
          <w:sz w:val="21"/>
        </w:rPr>
        <w:t xml:space="preserve">t </w:t>
      </w:r>
      <w:r>
        <w:rPr>
          <w:rFonts w:ascii="Arial" w:hAnsi="Arial"/>
          <w:color w:val="6985BC"/>
          <w:sz w:val="21"/>
        </w:rPr>
        <w:t xml:space="preserve">e </w:t>
      </w:r>
      <w:r>
        <w:rPr>
          <w:rFonts w:ascii="Arial" w:hAnsi="Arial"/>
          <w:color w:val="2A56B3"/>
          <w:sz w:val="21"/>
        </w:rPr>
        <w:t xml:space="preserve">. </w:t>
      </w:r>
      <w:r>
        <w:rPr>
          <w:rFonts w:ascii="Arial" w:hAnsi="Arial"/>
          <w:color w:val="4B6EB1"/>
          <w:sz w:val="21"/>
        </w:rPr>
        <w:t xml:space="preserve">300 </w:t>
      </w:r>
      <w:r>
        <w:rPr>
          <w:rFonts w:ascii="Arial" w:hAnsi="Arial"/>
          <w:color w:val="2A56B3"/>
          <w:sz w:val="21"/>
        </w:rPr>
        <w:t xml:space="preserve">• </w:t>
      </w:r>
      <w:r>
        <w:rPr>
          <w:rFonts w:ascii="Arial" w:hAnsi="Arial"/>
          <w:color w:val="4B6EB1"/>
          <w:sz w:val="21"/>
        </w:rPr>
        <w:t xml:space="preserve">Top </w:t>
      </w:r>
      <w:r>
        <w:rPr>
          <w:rFonts w:ascii="Arial" w:hAnsi="Arial"/>
          <w:color w:val="6985BC"/>
          <w:sz w:val="21"/>
        </w:rPr>
        <w:t xml:space="preserve">e </w:t>
      </w:r>
      <w:r>
        <w:rPr>
          <w:rFonts w:ascii="Arial" w:hAnsi="Arial"/>
          <w:color w:val="4B6EB1"/>
          <w:sz w:val="21"/>
        </w:rPr>
        <w:t xml:space="preserve">ka, Ka </w:t>
      </w:r>
      <w:r>
        <w:rPr>
          <w:rFonts w:ascii="Arial" w:hAnsi="Arial"/>
          <w:color w:val="1C4289"/>
          <w:spacing w:val="7"/>
          <w:sz w:val="21"/>
        </w:rPr>
        <w:t>n</w:t>
      </w:r>
      <w:r>
        <w:rPr>
          <w:rFonts w:ascii="Arial" w:hAnsi="Arial"/>
          <w:color w:val="4B6EB1"/>
          <w:spacing w:val="7"/>
          <w:sz w:val="21"/>
        </w:rPr>
        <w:t xml:space="preserve">sa </w:t>
      </w:r>
      <w:r>
        <w:rPr>
          <w:rFonts w:ascii="Arial" w:hAnsi="Arial"/>
          <w:color w:val="4B6EB1"/>
          <w:sz w:val="21"/>
        </w:rPr>
        <w:t>s 666</w:t>
      </w:r>
      <w:r>
        <w:rPr>
          <w:rFonts w:ascii="Arial" w:hAnsi="Arial"/>
          <w:color w:val="3B5682"/>
          <w:sz w:val="21"/>
        </w:rPr>
        <w:t>1</w:t>
      </w:r>
      <w:r>
        <w:rPr>
          <w:rFonts w:ascii="Arial" w:hAnsi="Arial"/>
          <w:color w:val="4B6EB1"/>
          <w:sz w:val="21"/>
        </w:rPr>
        <w:t xml:space="preserve">4 </w:t>
      </w:r>
      <w:r>
        <w:rPr>
          <w:rFonts w:ascii="Arial" w:hAnsi="Arial"/>
          <w:color w:val="2A56B3"/>
          <w:sz w:val="21"/>
        </w:rPr>
        <w:t xml:space="preserve">• </w:t>
      </w:r>
      <w:r>
        <w:rPr>
          <w:rFonts w:ascii="Arial" w:hAnsi="Arial"/>
          <w:color w:val="4B6EB1"/>
          <w:spacing w:val="-4"/>
          <w:sz w:val="21"/>
        </w:rPr>
        <w:t>785</w:t>
      </w:r>
      <w:r>
        <w:rPr>
          <w:rFonts w:ascii="Arial" w:hAnsi="Arial"/>
          <w:color w:val="2A56B3"/>
          <w:spacing w:val="-4"/>
          <w:sz w:val="21"/>
        </w:rPr>
        <w:t>-</w:t>
      </w:r>
      <w:r>
        <w:rPr>
          <w:rFonts w:ascii="Arial" w:hAnsi="Arial"/>
          <w:color w:val="4B6EB1"/>
          <w:spacing w:val="-4"/>
          <w:sz w:val="21"/>
        </w:rPr>
        <w:t>228-</w:t>
      </w:r>
      <w:r>
        <w:rPr>
          <w:rFonts w:ascii="Arial" w:hAnsi="Arial"/>
          <w:color w:val="3B5682"/>
          <w:spacing w:val="-4"/>
          <w:sz w:val="21"/>
        </w:rPr>
        <w:t>1</w:t>
      </w:r>
      <w:r>
        <w:rPr>
          <w:rFonts w:ascii="Arial" w:hAnsi="Arial"/>
          <w:color w:val="4B6EB1"/>
          <w:spacing w:val="-4"/>
          <w:sz w:val="21"/>
        </w:rPr>
        <w:t xml:space="preserve">695 </w:t>
      </w:r>
      <w:r>
        <w:rPr>
          <w:rFonts w:ascii="Arial" w:hAnsi="Arial"/>
          <w:color w:val="2A56B3"/>
          <w:sz w:val="21"/>
        </w:rPr>
        <w:t xml:space="preserve">• </w:t>
      </w:r>
      <w:r>
        <w:rPr>
          <w:rFonts w:ascii="Arial" w:hAnsi="Arial"/>
          <w:color w:val="4B6EB1"/>
          <w:spacing w:val="-5"/>
          <w:sz w:val="21"/>
        </w:rPr>
        <w:t>8</w:t>
      </w:r>
      <w:r>
        <w:rPr>
          <w:rFonts w:ascii="Arial" w:hAnsi="Arial"/>
          <w:color w:val="2A56B3"/>
          <w:spacing w:val="-5"/>
          <w:sz w:val="21"/>
        </w:rPr>
        <w:t>0</w:t>
      </w:r>
      <w:r>
        <w:rPr>
          <w:rFonts w:ascii="Arial" w:hAnsi="Arial"/>
          <w:color w:val="4B6EB1"/>
          <w:spacing w:val="-5"/>
          <w:sz w:val="21"/>
        </w:rPr>
        <w:t>0-279</w:t>
      </w:r>
      <w:r>
        <w:rPr>
          <w:rFonts w:ascii="Arial" w:hAnsi="Arial"/>
          <w:color w:val="6985BC"/>
          <w:spacing w:val="-5"/>
          <w:sz w:val="21"/>
        </w:rPr>
        <w:t>-</w:t>
      </w:r>
      <w:r>
        <w:rPr>
          <w:rFonts w:ascii="Arial" w:hAnsi="Arial"/>
          <w:color w:val="4B6EB1"/>
          <w:spacing w:val="-5"/>
          <w:sz w:val="21"/>
        </w:rPr>
        <w:t xml:space="preserve">3022 </w:t>
      </w:r>
      <w:r>
        <w:rPr>
          <w:rFonts w:ascii="Arial" w:hAnsi="Arial"/>
          <w:color w:val="4B6EB1"/>
          <w:sz w:val="21"/>
        </w:rPr>
        <w:t>Fax: 785</w:t>
      </w:r>
      <w:r>
        <w:rPr>
          <w:rFonts w:ascii="Arial" w:hAnsi="Arial"/>
          <w:color w:val="4B6EB1"/>
          <w:spacing w:val="-37"/>
          <w:sz w:val="21"/>
        </w:rPr>
        <w:t xml:space="preserve"> </w:t>
      </w:r>
      <w:r>
        <w:rPr>
          <w:rFonts w:ascii="Arial" w:hAnsi="Arial"/>
          <w:color w:val="6985BC"/>
          <w:spacing w:val="-3"/>
          <w:sz w:val="21"/>
        </w:rPr>
        <w:t>-</w:t>
      </w:r>
      <w:r>
        <w:rPr>
          <w:rFonts w:ascii="Arial" w:hAnsi="Arial"/>
          <w:color w:val="4B6EB1"/>
          <w:spacing w:val="-3"/>
          <w:sz w:val="21"/>
        </w:rPr>
        <w:t>228</w:t>
      </w:r>
      <w:r>
        <w:rPr>
          <w:rFonts w:ascii="Arial" w:hAnsi="Arial"/>
          <w:color w:val="2A56B3"/>
          <w:spacing w:val="-3"/>
          <w:sz w:val="21"/>
        </w:rPr>
        <w:t>-</w:t>
      </w:r>
      <w:r>
        <w:rPr>
          <w:rFonts w:ascii="Arial" w:hAnsi="Arial"/>
          <w:color w:val="4B6EB1"/>
          <w:spacing w:val="-3"/>
          <w:sz w:val="21"/>
        </w:rPr>
        <w:t>9</w:t>
      </w:r>
      <w:r>
        <w:rPr>
          <w:rFonts w:ascii="Arial" w:hAnsi="Arial"/>
          <w:color w:val="1C4289"/>
          <w:spacing w:val="-3"/>
          <w:sz w:val="21"/>
        </w:rPr>
        <w:t>1</w:t>
      </w:r>
      <w:r>
        <w:rPr>
          <w:rFonts w:ascii="Arial" w:hAnsi="Arial"/>
          <w:color w:val="2A56B3"/>
          <w:spacing w:val="-3"/>
          <w:sz w:val="21"/>
        </w:rPr>
        <w:t>4</w:t>
      </w:r>
      <w:r>
        <w:rPr>
          <w:rFonts w:ascii="Arial" w:hAnsi="Arial"/>
          <w:color w:val="2A56B3"/>
          <w:spacing w:val="-42"/>
          <w:sz w:val="21"/>
        </w:rPr>
        <w:t xml:space="preserve"> </w:t>
      </w:r>
      <w:r>
        <w:rPr>
          <w:rFonts w:ascii="Arial" w:hAnsi="Arial"/>
          <w:color w:val="4B6EB1"/>
          <w:sz w:val="21"/>
        </w:rPr>
        <w:t>7</w:t>
      </w:r>
      <w:r>
        <w:rPr>
          <w:rFonts w:ascii="Arial" w:hAnsi="Arial"/>
          <w:color w:val="4B6EB1"/>
          <w:sz w:val="21"/>
        </w:rPr>
        <w:tab/>
      </w:r>
      <w:r>
        <w:rPr>
          <w:rFonts w:ascii="Arial" w:hAnsi="Arial"/>
          <w:color w:val="4B6EB1"/>
          <w:spacing w:val="3"/>
          <w:sz w:val="21"/>
        </w:rPr>
        <w:t>W</w:t>
      </w:r>
      <w:r>
        <w:rPr>
          <w:rFonts w:ascii="Arial" w:hAnsi="Arial"/>
          <w:color w:val="6985BC"/>
          <w:spacing w:val="3"/>
          <w:sz w:val="21"/>
        </w:rPr>
        <w:t>e</w:t>
      </w:r>
      <w:r>
        <w:rPr>
          <w:rFonts w:ascii="Arial" w:hAnsi="Arial"/>
          <w:color w:val="4B6EB1"/>
          <w:spacing w:val="3"/>
          <w:sz w:val="21"/>
        </w:rPr>
        <w:t>bs</w:t>
      </w:r>
      <w:r>
        <w:rPr>
          <w:rFonts w:ascii="Arial" w:hAnsi="Arial"/>
          <w:color w:val="3B5682"/>
          <w:spacing w:val="3"/>
          <w:sz w:val="21"/>
        </w:rPr>
        <w:t>i</w:t>
      </w:r>
      <w:r>
        <w:rPr>
          <w:rFonts w:ascii="Arial" w:hAnsi="Arial"/>
          <w:color w:val="4B6EB1"/>
          <w:spacing w:val="3"/>
          <w:sz w:val="21"/>
        </w:rPr>
        <w:t>te</w:t>
      </w:r>
      <w:r>
        <w:rPr>
          <w:rFonts w:ascii="Arial" w:hAnsi="Arial"/>
          <w:color w:val="4B6EB1"/>
          <w:spacing w:val="-37"/>
          <w:sz w:val="21"/>
        </w:rPr>
        <w:t xml:space="preserve"> </w:t>
      </w:r>
      <w:r>
        <w:rPr>
          <w:rFonts w:ascii="Arial" w:hAnsi="Arial"/>
          <w:color w:val="6985BC"/>
          <w:sz w:val="21"/>
        </w:rPr>
        <w:t>:</w:t>
      </w:r>
      <w:r>
        <w:rPr>
          <w:rFonts w:ascii="Arial" w:hAnsi="Arial"/>
          <w:color w:val="6985BC"/>
          <w:spacing w:val="-32"/>
          <w:sz w:val="21"/>
        </w:rPr>
        <w:t xml:space="preserve"> </w:t>
      </w:r>
      <w:r>
        <w:rPr>
          <w:rFonts w:ascii="Arial" w:hAnsi="Arial"/>
          <w:color w:val="4B6EB1"/>
          <w:sz w:val="21"/>
        </w:rPr>
        <w:t>ksphar</w:t>
      </w:r>
      <w:r>
        <w:rPr>
          <w:rFonts w:ascii="Arial" w:hAnsi="Arial"/>
          <w:color w:val="4B6EB1"/>
          <w:spacing w:val="-30"/>
          <w:sz w:val="21"/>
        </w:rPr>
        <w:t xml:space="preserve"> </w:t>
      </w:r>
      <w:r>
        <w:rPr>
          <w:rFonts w:ascii="Arial" w:hAnsi="Arial"/>
          <w:color w:val="4B6EB1"/>
          <w:spacing w:val="6"/>
          <w:sz w:val="21"/>
        </w:rPr>
        <w:t>ms</w:t>
      </w:r>
      <w:r>
        <w:rPr>
          <w:rFonts w:ascii="Arial" w:hAnsi="Arial"/>
          <w:color w:val="6985BC"/>
          <w:spacing w:val="6"/>
          <w:sz w:val="21"/>
        </w:rPr>
        <w:t>e</w:t>
      </w:r>
      <w:r>
        <w:rPr>
          <w:rFonts w:ascii="Arial" w:hAnsi="Arial"/>
          <w:color w:val="6985BC"/>
          <w:spacing w:val="-46"/>
          <w:sz w:val="21"/>
        </w:rPr>
        <w:t xml:space="preserve"> </w:t>
      </w:r>
      <w:r>
        <w:rPr>
          <w:rFonts w:ascii="Arial" w:hAnsi="Arial"/>
          <w:color w:val="1C4289"/>
          <w:spacing w:val="5"/>
          <w:sz w:val="21"/>
        </w:rPr>
        <w:t>r</w:t>
      </w:r>
      <w:r>
        <w:rPr>
          <w:rFonts w:ascii="Arial" w:hAnsi="Arial"/>
          <w:color w:val="4B6EB1"/>
          <w:spacing w:val="5"/>
          <w:sz w:val="21"/>
        </w:rPr>
        <w:t>v</w:t>
      </w:r>
      <w:r>
        <w:rPr>
          <w:rFonts w:ascii="Arial" w:hAnsi="Arial"/>
          <w:color w:val="6985BC"/>
          <w:spacing w:val="5"/>
          <w:sz w:val="21"/>
        </w:rPr>
        <w:t>.</w:t>
      </w:r>
      <w:r>
        <w:rPr>
          <w:rFonts w:ascii="Arial" w:hAnsi="Arial"/>
          <w:color w:val="4B6EB1"/>
          <w:spacing w:val="5"/>
          <w:sz w:val="21"/>
        </w:rPr>
        <w:t>c</w:t>
      </w:r>
      <w:r>
        <w:rPr>
          <w:rFonts w:ascii="Arial" w:hAnsi="Arial"/>
          <w:color w:val="4B6EB1"/>
          <w:spacing w:val="-45"/>
          <w:sz w:val="21"/>
        </w:rPr>
        <w:t xml:space="preserve"> </w:t>
      </w:r>
      <w:r>
        <w:rPr>
          <w:rFonts w:ascii="Arial" w:hAnsi="Arial"/>
          <w:color w:val="4B6EB1"/>
          <w:sz w:val="21"/>
        </w:rPr>
        <w:t>om</w:t>
      </w:r>
    </w:p>
    <w:p w:rsidR="003F619A" w:rsidRDefault="003F619A">
      <w:pPr>
        <w:spacing w:line="256" w:lineRule="auto"/>
        <w:jc w:val="center"/>
        <w:rPr>
          <w:rFonts w:ascii="Arial" w:hAnsi="Arial"/>
          <w:sz w:val="21"/>
        </w:rPr>
        <w:sectPr w:rsidR="003F619A">
          <w:type w:val="continuous"/>
          <w:pgSz w:w="12230" w:h="15820"/>
          <w:pgMar w:top="480" w:right="1360" w:bottom="280" w:left="460" w:header="720" w:footer="720" w:gutter="0"/>
          <w:cols w:space="720"/>
        </w:sectPr>
      </w:pPr>
    </w:p>
    <w:p w:rsidR="003F619A" w:rsidRDefault="00E00773">
      <w:pPr>
        <w:pStyle w:val="BodyText"/>
        <w:spacing w:before="64" w:line="271" w:lineRule="auto"/>
        <w:ind w:left="136" w:right="228" w:hanging="5"/>
        <w:jc w:val="both"/>
      </w:pPr>
      <w:bookmarkStart w:id="0" w:name="_GoBack"/>
      <w:r>
        <w:rPr>
          <w:w w:val="105"/>
        </w:rPr>
        <w:lastRenderedPageBreak/>
        <w:t>The proposed rule includes ways that manufacturer rebates may be reflected at the point of</w:t>
      </w:r>
      <w:r>
        <w:rPr>
          <w:spacing w:val="-38"/>
          <w:w w:val="105"/>
        </w:rPr>
        <w:t xml:space="preserve"> </w:t>
      </w:r>
      <w:r>
        <w:rPr>
          <w:w w:val="105"/>
        </w:rPr>
        <w:t>sale, which also can benefit plan beneficiaries. We also support this as it provides further savings for those Part D plan</w:t>
      </w:r>
      <w:r>
        <w:rPr>
          <w:spacing w:val="-6"/>
          <w:w w:val="105"/>
        </w:rPr>
        <w:t xml:space="preserve"> </w:t>
      </w:r>
      <w:r>
        <w:rPr>
          <w:w w:val="105"/>
        </w:rPr>
        <w:t>members.</w:t>
      </w:r>
    </w:p>
    <w:p w:rsidR="003F619A" w:rsidRDefault="00E00773">
      <w:pPr>
        <w:pStyle w:val="BodyText"/>
        <w:spacing w:before="162" w:line="271" w:lineRule="auto"/>
        <w:ind w:left="130" w:right="104" w:firstLine="1"/>
      </w:pPr>
      <w:r>
        <w:rPr>
          <w:w w:val="105"/>
        </w:rPr>
        <w:t>There are other parts of this pro</w:t>
      </w:r>
      <w:r>
        <w:rPr>
          <w:w w:val="105"/>
        </w:rPr>
        <w:t>posed rule for which we wish to express support. There is a clarification of what constitutes "any willing pharmacy", noting that retail pharmacies may need to engage in other lines of business for their patients (e.g., compounding, specialty prescriptions</w:t>
      </w:r>
      <w:r>
        <w:rPr>
          <w:w w:val="105"/>
        </w:rPr>
        <w:t>) and that such pharmacies must still be offered standard terms and conditions to participate in a Part D pharmacy network. We have a number of stockholder pharmacies that offer varied services, in addition to traditional retail prescription drug dispensin</w:t>
      </w:r>
      <w:r>
        <w:rPr>
          <w:w w:val="105"/>
        </w:rPr>
        <w:t>g, as a necessity for patients in their service areas.</w:t>
      </w:r>
    </w:p>
    <w:p w:rsidR="003F619A" w:rsidRDefault="00E00773">
      <w:pPr>
        <w:pStyle w:val="BodyText"/>
        <w:spacing w:before="155" w:line="273" w:lineRule="auto"/>
        <w:ind w:left="130" w:right="59" w:firstLine="4"/>
      </w:pPr>
      <w:r>
        <w:rPr>
          <w:w w:val="105"/>
        </w:rPr>
        <w:t xml:space="preserve">Plans and their PBMs also have tried to have retail pharmacies, that must engage in limited home delivery for their retail patients, redefined as mail order pharmacies and have them be licensed in all </w:t>
      </w:r>
      <w:r>
        <w:rPr>
          <w:w w:val="105"/>
        </w:rPr>
        <w:t>states. CMS's proposed clarifications in defining mail order and retail pharmacies are appropriate and reflect the reality of how retail pharmacies must operate to meet patient needs and expectations.</w:t>
      </w:r>
    </w:p>
    <w:p w:rsidR="003F619A" w:rsidRDefault="00E00773">
      <w:pPr>
        <w:pStyle w:val="BodyText"/>
        <w:spacing w:before="153" w:line="268" w:lineRule="auto"/>
        <w:ind w:left="128" w:right="104" w:firstLine="3"/>
      </w:pPr>
      <w:r>
        <w:rPr>
          <w:w w:val="105"/>
        </w:rPr>
        <w:t>In the area of specialty pharmacy, certain retail pharmacies serving Part D plans must provide some of these medications to their patients based on patient need. CMS is correct in noting concern about having Part D plans require retail pharmacies to meet c</w:t>
      </w:r>
      <w:r>
        <w:rPr>
          <w:w w:val="105"/>
        </w:rPr>
        <w:t>redentialing criteria (including sometimes using criteria set by the plan/PBM themselves). Trying to box out these retail pharmacies only allows plans to transfer more business to their own specialty pharmacies.</w:t>
      </w:r>
    </w:p>
    <w:p w:rsidR="003F619A" w:rsidRDefault="00E00773">
      <w:pPr>
        <w:pStyle w:val="BodyText"/>
        <w:spacing w:before="165" w:line="271" w:lineRule="auto"/>
        <w:ind w:left="129" w:right="104" w:firstLine="2"/>
      </w:pPr>
      <w:r>
        <w:rPr>
          <w:w w:val="105"/>
        </w:rPr>
        <w:t>In review, KPSC strongly supports these chan</w:t>
      </w:r>
      <w:r>
        <w:rPr>
          <w:w w:val="105"/>
        </w:rPr>
        <w:t>ges in the above reference proposed rule and encourages CMS to maintain these changes in its final rule for plans in contract year 2019. The net patient savings of $10.4 billion over a ten year period speaks plainly and positively to the need to change whe</w:t>
      </w:r>
      <w:r>
        <w:rPr>
          <w:w w:val="105"/>
        </w:rPr>
        <w:t>n DIRs are figured.</w:t>
      </w:r>
    </w:p>
    <w:p w:rsidR="003F619A" w:rsidRDefault="00E00773">
      <w:pPr>
        <w:pStyle w:val="BodyText"/>
        <w:spacing w:before="162" w:line="268" w:lineRule="auto"/>
        <w:ind w:left="131" w:right="59" w:firstLine="1"/>
      </w:pPr>
      <w:r>
        <w:rPr>
          <w:w w:val="105"/>
          <w:sz w:val="22"/>
        </w:rPr>
        <w:t xml:space="preserve">If </w:t>
      </w:r>
      <w:r>
        <w:rPr>
          <w:w w:val="105"/>
        </w:rPr>
        <w:t>there any questions about this letter, please contact me at the email, phone or address indicated below.</w:t>
      </w:r>
    </w:p>
    <w:p w:rsidR="003F619A" w:rsidRDefault="003F619A">
      <w:pPr>
        <w:pStyle w:val="BodyText"/>
        <w:rPr>
          <w:sz w:val="20"/>
        </w:rPr>
      </w:pPr>
    </w:p>
    <w:p w:rsidR="003F619A" w:rsidRDefault="003F619A">
      <w:pPr>
        <w:pStyle w:val="BodyText"/>
        <w:rPr>
          <w:sz w:val="20"/>
        </w:rPr>
      </w:pPr>
    </w:p>
    <w:p w:rsidR="003F619A" w:rsidRDefault="00E00773">
      <w:pPr>
        <w:pStyle w:val="BodyText"/>
        <w:spacing w:before="2"/>
        <w:rPr>
          <w:sz w:val="12"/>
        </w:rPr>
      </w:pPr>
      <w:r>
        <w:rPr>
          <w:noProof/>
        </w:rPr>
        <w:drawing>
          <wp:anchor distT="0" distB="0" distL="0" distR="0" simplePos="0" relativeHeight="251658240" behindDoc="0" locked="0" layoutInCell="1" allowOverlap="1">
            <wp:simplePos x="0" y="0"/>
            <wp:positionH relativeFrom="page">
              <wp:posOffset>877824</wp:posOffset>
            </wp:positionH>
            <wp:positionV relativeFrom="paragraph">
              <wp:posOffset>113716</wp:posOffset>
            </wp:positionV>
            <wp:extent cx="1554480" cy="71323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554480" cy="713232"/>
                    </a:xfrm>
                    <a:prstGeom prst="rect">
                      <a:avLst/>
                    </a:prstGeom>
                  </pic:spPr>
                </pic:pic>
              </a:graphicData>
            </a:graphic>
          </wp:anchor>
        </w:drawing>
      </w:r>
    </w:p>
    <w:p w:rsidR="003F619A" w:rsidRDefault="00E00773">
      <w:pPr>
        <w:pStyle w:val="BodyText"/>
        <w:spacing w:before="210" w:line="268" w:lineRule="auto"/>
        <w:ind w:left="122" w:right="8129" w:firstLine="4"/>
      </w:pPr>
      <w:r>
        <w:rPr>
          <w:w w:val="105"/>
        </w:rPr>
        <w:t>Peter E. Stern CEO</w:t>
      </w:r>
    </w:p>
    <w:p w:rsidR="003F619A" w:rsidRDefault="00E00773">
      <w:pPr>
        <w:pStyle w:val="BodyText"/>
        <w:spacing w:before="158" w:line="273" w:lineRule="auto"/>
        <w:ind w:left="121" w:right="4038" w:hanging="2"/>
      </w:pPr>
      <w:r>
        <w:rPr>
          <w:w w:val="105"/>
        </w:rPr>
        <w:t>Kansas Independent Pharmacy Service Corporation 3512 S.W. Fairlawn Road, Suite 300</w:t>
      </w:r>
    </w:p>
    <w:p w:rsidR="003F619A" w:rsidRDefault="00E00773">
      <w:pPr>
        <w:pStyle w:val="BodyText"/>
        <w:spacing w:line="268" w:lineRule="auto"/>
        <w:ind w:left="118" w:right="6947" w:hanging="2"/>
      </w:pPr>
      <w:r>
        <w:rPr>
          <w:w w:val="105"/>
        </w:rPr>
        <w:t xml:space="preserve">Topeka, Ks. 66614 </w:t>
      </w:r>
      <w:hyperlink r:id="rId6">
        <w:r>
          <w:rPr>
            <w:w w:val="105"/>
            <w:u w:val="single"/>
          </w:rPr>
          <w:t>pstem@kspharmserv.com</w:t>
        </w:r>
      </w:hyperlink>
      <w:r>
        <w:rPr>
          <w:w w:val="105"/>
          <w:u w:val="single"/>
        </w:rPr>
        <w:t xml:space="preserve"> </w:t>
      </w:r>
      <w:r>
        <w:rPr>
          <w:w w:val="105"/>
        </w:rPr>
        <w:t>1-800-279-3022</w:t>
      </w:r>
      <w:bookmarkEnd w:id="0"/>
    </w:p>
    <w:sectPr w:rsidR="003F619A">
      <w:pgSz w:w="12230" w:h="15820"/>
      <w:pgMar w:top="138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F619A"/>
    <w:rsid w:val="003F619A"/>
    <w:rsid w:val="00E0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9DA50-5D24-42AA-A25C-C3477AAE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tem@kspharmserv.com"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3969</Characters>
  <Application>Microsoft Office Word</Application>
  <DocSecurity>0</DocSecurity>
  <Lines>79</Lines>
  <Paragraphs>24</Paragraphs>
  <ScaleCrop>false</ScaleCrop>
  <Company>CMS</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2018-06-14T21:56:00Z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Canon iR-ADV 6565  PDF</vt:lpwstr>
  </property>
  <property fmtid="{D5CDD505-2E9C-101B-9397-08002B2CF9AE}" pid="4" name="LastSaved">
    <vt:filetime>2018-06-15T00:00:00Z</vt:filetime>
  </property>
</Properties>
</file>