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Opdiv: HRSA</w:t>
      </w:r>
    </w:p>
    <w:p>
      <w:pPr/>
      <w:r>
        <w:t>Opportunity number: SYNTHETIC-1193</w:t>
      </w:r>
    </w:p>
    <w:p>
      <w:pPr>
        <w:pStyle w:val="Heading1"/>
      </w:pPr>
      <w:r>
        <w:t>Step 1: Review the opportunity</w:t>
      </w:r>
    </w:p>
    <w:p>
      <w:pPr>
        <w:pStyle w:val="Heading2"/>
      </w:pPr>
      <w:r>
        <w:t>Eligibility</w:t>
      </w:r>
    </w:p>
    <w:p>
      <w:pPr>
        <w:pStyle w:val="Heading3"/>
      </w:pPr>
      <w:r>
        <w:t>Types of eligible organizations</w:t>
      </w:r>
    </w:p>
    <w:p>
      <w:pPr/>
      <w:r>
        <w:t>The following domestic organizations are eligible to apply.</w:t>
      </w:r>
    </w:p>
    <w:p>
      <w:pPr/>
      <w:r>
        <w:t>State governments</w:t>
      </w:r>
    </w:p>
    <w:p>
      <w:pPr/>
      <w:r>
        <w:t>County governments</w:t>
      </w:r>
    </w:p>
    <w:p>
      <w:pPr/>
      <w:r>
        <w:t>Small businesses</w:t>
      </w:r>
    </w:p>
    <w:p>
      <w:pPr/>
      <w:r>
        <w:t>“Domestic” means the 50 states and territories.</w:t>
      </w:r>
    </w:p>
    <w:p>
      <w:pPr/>
      <w:r>
        <w:t>Additional information on eligibility</w:t>
      </w:r>
    </w:p>
    <w:p>
      <w:pPr/>
      <w:r>
        <w:t>Individuals are not eligible applicants under this NOFO.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%1."/>
      <w:pPr>
        <w:ind w:left="7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