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Opdiv: CDC</w:t>
      </w:r>
    </w:p>
    <w:p>
      <w:r>
        <w:t>Opportunity number: SYNTHETIC-EMPTY-TAIL</w:t>
      </w:r>
    </w:p>
    <w:p>
      <w:pPr>
        <w:pStyle w:val="Heading1"/>
      </w:pPr>
      <w:r>
        <w:t>Opportunity</w:t>
      </w:r>
    </w:p>
    <w:p>
      <w:pPr>
        <w:pStyle w:val="Heading2"/>
      </w:pPr>
      <w:r>
        <w:t>Summary</w:t>
      </w:r>
    </w:p>
    <w:p>
      <w:r>
        <w:t>Applicant content.</w:t>
      </w:r>
    </w:p>
    <w:p>
      <w:pPr>
        <w:pStyle w:val="Heading1"/>
      </w:pPr>
      <w:r>
        <w:t>Appendix</w:t>
      </w:r>
    </w:p>
    <w:p>
      <w:pPr>
        <w:pStyle w:val="Heading1"/>
      </w:pPr>
      <w:r>
        <w:t>Endnotes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