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Opportunity Name: Issue 764 matrix 04-h1-bold-paragraph-outside-key-facts</w:t>
      </w:r>
    </w:p>
    <w:p>
      <w:r>
        <w:t>Opportunity Number: TEST-764-04</w:t>
      </w:r>
    </w:p>
    <w:p>
      <w:r>
        <w:t>Opdiv: Administration for Children and Families</w:t>
      </w:r>
    </w:p>
    <w:p>
      <w:r>
        <w:t>Agency: Office of Controlled Fixture Testing</w:t>
      </w:r>
    </w:p>
    <w:p>
      <w:r>
        <w:t>Tagline: Controlled Key facts and Key dates fixture</w:t>
      </w:r>
    </w:p>
    <w:p>
      <w:pPr>
        <w:pStyle w:val="Heading1"/>
      </w:pPr>
      <w:r>
        <w:t>Step 1: Review the Opportunity</w:t>
      </w:r>
    </w:p>
    <w:p>
      <w:pPr>
        <w:pStyle w:val="Heading2"/>
      </w:pPr>
      <w:r>
        <w:t>Basic information</w:t>
      </w:r>
    </w:p>
    <w:p>
      <w:r>
        <w:t>Introductory content before the controlled case.</w:t>
      </w:r>
    </w:p>
    <w:p>
      <w:r>
        <w:rPr>
          <w:b/>
        </w:rPr>
        <w:t>Key Facts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000"/>
      </w:tblGrid>
      <w:tr>
        <w:tc>
          <w:tcPr>
            <w:tcW w:type="dxa" w:w="9000"/>
            <w:vAlign w:val="center"/>
          </w:tcPr>
          <w:p>
            <w:r>
              <w:t>Application deadline: July 31, 2026</w:t>
            </w:r>
          </w:p>
          <w:p>
            <w:r>
              <w:t>Expected award date: September 30, 2026</w:t>
            </w:r>
          </w:p>
        </w:tc>
      </w:tr>
    </w:tbl>
    <w:p>
      <w:pPr>
        <w:pStyle w:val="Heading3"/>
      </w:pPr>
      <w:r>
        <w:t>Summary</w:t>
      </w:r>
    </w:p>
    <w:p>
      <w:r>
        <w:t>Content after the controlled case.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