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Opdiv: HHS</w:t>
      </w:r>
    </w:p>
    <w:p>
      <w:pPr>
        <w:pStyle w:val="Heading1"/>
      </w:pPr>
      <w:r>
        <w:t>Step 1: Review the Opportunity</w:t>
      </w:r>
    </w:p>
    <w:p>
      <w:pPr>
        <w:pStyle w:val="Heading3"/>
      </w:pPr>
      <w:r>
        <w:t>Funding details</w:t>
      </w:r>
    </w:p>
    <w:p>
      <w:r>
        <w:rPr>
          <w:b/>
        </w:rPr>
        <w:t>Application Types:</w:t>
      </w:r>
    </w:p>
    <w:p>
      <w:r>
        <w:t>New</w:t>
      </w:r>
    </w:p>
    <w:p>
      <w:r>
        <w:rPr>
          <w:b/>
        </w:rPr>
        <w:t>Expected total available funding in FY 2026:</w:t>
      </w:r>
    </w:p>
    <w:p>
      <w:r>
        <w:t>$3,240,000</w:t>
      </w:r>
    </w:p>
    <w:p>
      <w:r>
        <w:rPr>
          <w:b/>
        </w:rPr>
        <w:t>Expected number and type of awards:</w:t>
      </w:r>
    </w:p>
    <w:p>
      <w:r>
        <w:t>1 CA (Cooperative Agreement)</w:t>
      </w:r>
    </w:p>
    <w:p>
      <w:r>
        <w:rPr>
          <w:b/>
        </w:rPr>
        <w:t>Funding range per award:</w:t>
      </w:r>
    </w:p>
    <w:p>
      <w:r>
        <w:t>$0 - $3,240,000</w:t>
      </w:r>
    </w:p>
    <w:p>
      <w:pPr>
        <w:pStyle w:val="Heading3"/>
      </w:pPr>
      <w:r>
        <w:t>Program description</w:t>
      </w:r>
    </w:p>
    <w:p>
      <w:r>
        <w:t>Example label:</w:t>
      </w:r>
    </w:p>
    <w:p>
      <w:r>
        <w:t>This pair must remain separate because it is outside Funding details.</w:t>
      </w:r>
    </w:p>
    <w:p>
      <w:pPr>
        <w:pStyle w:val="Heading1"/>
      </w:pPr>
      <w:r>
        <w:t>Step 2: Get Ready to Apply</w:t>
      </w:r>
    </w:p>
    <w:p>
      <w:r>
        <w:t>Regression fixture content ends here.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