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t>Ներածություն</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համակարգերի, տվյալների անվտանգության և կիրառական ծրագրերի </w:t>
      </w:r>
      <w:r w:rsidRPr="00871015">
        <w:rPr>
          <w:rFonts w:ascii="Sylfaen" w:hAnsi="Sylfaen"/>
          <w:lang w:val="hy-AM"/>
        </w:rPr>
        <w:lastRenderedPageBreak/>
        <w:t>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շերտերի նկատմամբ։ Հնարավոր չէ կատարել խորքային կոնֆիգուրացիաներ կամ </w:t>
      </w:r>
      <w:r w:rsidRPr="00871015">
        <w:rPr>
          <w:rFonts w:ascii="Sylfaen" w:hAnsi="Sylfaen"/>
          <w:lang w:val="hy-AM"/>
        </w:rPr>
        <w:lastRenderedPageBreak/>
        <w:t>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054CEF"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w:t>
      </w:r>
      <w:r w:rsidR="00A5563C">
        <w:rPr>
          <w:rFonts w:ascii="Sylfaen" w:hAnsi="Sylfaen"/>
          <w:lang w:val="hy-AM"/>
        </w:rPr>
        <w:t>-</w:t>
      </w:r>
      <w:r w:rsidR="00130BE9">
        <w:rPr>
          <w:rFonts w:ascii="Sylfaen" w:hAnsi="Sylfaen"/>
          <w:lang w:val="hy-AM"/>
        </w:rPr>
        <w:t>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165C31">
      <w:pPr>
        <w:pStyle w:val="NormalWeb"/>
        <w:spacing w:before="30" w:beforeAutospacing="0" w:after="30" w:afterAutospacing="0" w:line="36" w:lineRule="atLeast"/>
        <w:ind w:left="425"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333"/>
        <w:gridCol w:w="3010"/>
        <w:gridCol w:w="3285"/>
      </w:tblGrid>
      <w:tr w:rsidR="008E7850"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Վերափոխման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Տվյալների պահեստում</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8E7850" w:rsidRPr="009B37CD"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 xml:space="preserve">Cloud/Data Warehouse </w:t>
            </w:r>
            <w:r w:rsidR="00A5563C">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165C31">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 raw տվյալները</w:t>
            </w:r>
            <w:r>
              <w:rPr>
                <w:rFonts w:ascii="Sylfaen" w:hAnsi="Sylfaen"/>
                <w:lang w:val="hy-AM"/>
              </w:rPr>
              <w:t xml:space="preserve"> և</w:t>
            </w:r>
            <w:r w:rsidRPr="00541295">
              <w:rPr>
                <w:rFonts w:ascii="Sylfaen" w:hAnsi="Sylfaen"/>
                <w:lang w:val="hy-AM"/>
              </w:rPr>
              <w:t xml:space="preserve"> </w:t>
            </w:r>
            <w:r>
              <w:rPr>
                <w:rFonts w:ascii="Sylfaen" w:hAnsi="Sylfaen"/>
              </w:rPr>
              <w:t>վերափոխվ</w:t>
            </w:r>
            <w:r>
              <w:rPr>
                <w:rFonts w:ascii="Sylfaen" w:hAnsi="Sylfaen"/>
                <w:lang w:val="hy-AM"/>
              </w:rPr>
              <w:t>ած տվյալները</w:t>
            </w:r>
          </w:p>
        </w:tc>
      </w:tr>
      <w:tr w:rsidR="008E7850" w:rsidRPr="009B37CD"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Azure Synapse, Snowflake, BigQuery, Databricks</w:t>
            </w:r>
          </w:p>
        </w:tc>
      </w:tr>
      <w:tr w:rsidR="008E7850" w:rsidRPr="00541295" w:rsidTr="00AF4B92">
        <w:trPr>
          <w:trHeight w:val="555"/>
        </w:trPr>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Սկզբնական ճկունություն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Ավելի կոշտ գործընթացներ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Շատ ճկուն՝ մոդելավորման և SQL transform</w:t>
            </w:r>
            <w:r w:rsidR="00A5563C">
              <w:rPr>
                <w:rFonts w:ascii="Sylfaen" w:hAnsi="Sylfaen"/>
              </w:rPr>
              <w:t>-</w:t>
            </w:r>
            <w:r w:rsidRPr="00541295">
              <w:rPr>
                <w:rFonts w:ascii="Sylfaen" w:hAnsi="Sylfaen"/>
              </w:rPr>
              <w:t>ի համար</w:t>
            </w:r>
          </w:p>
        </w:tc>
      </w:tr>
    </w:tbl>
    <w:p w:rsidR="008E7850" w:rsidRDefault="008E7850" w:rsidP="00165C31">
      <w:pPr>
        <w:spacing w:before="30" w:after="30"/>
        <w:ind w:left="425"/>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Մեդալիոն</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 Այս մոտեցումը դարձնում </w:t>
      </w:r>
      <w:r w:rsidRPr="00871015">
        <w:rPr>
          <w:rFonts w:ascii="Sylfaen" w:eastAsia="Times New Roman" w:hAnsi="Sylfaen" w:cs="Times New Roman"/>
          <w:sz w:val="24"/>
          <w:szCs w:val="24"/>
          <w:lang w:val="hy-AM" w:eastAsia="ru-RU"/>
        </w:rPr>
        <w:lastRenderedPageBreak/>
        <w:t>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համակարգեր</w:t>
      </w: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054CEF"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կողմից և </w:t>
      </w:r>
      <w:r w:rsidRPr="00541295">
        <w:rPr>
          <w:rFonts w:ascii="Sylfaen" w:eastAsia="Times New Roman" w:hAnsi="Sylfaen" w:cs="Times New Roman"/>
          <w:bCs/>
          <w:sz w:val="24"/>
          <w:szCs w:val="24"/>
          <w:lang w:val="hy-AM" w:eastAsia="ru-RU"/>
        </w:rPr>
        <w:lastRenderedPageBreak/>
        <w:t>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A65E20"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 xml:space="preserve">ճարտարագիտության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Pr>
          <w:rFonts w:ascii="Sylfaen" w:hAnsi="Sylfaen"/>
          <w:lang w:val="hy-AM"/>
        </w:rPr>
        <w:t>-</w:t>
      </w:r>
      <w:r w:rsidRPr="00761669">
        <w:rPr>
          <w:rFonts w:ascii="Sylfaen" w:hAnsi="Sylfaen"/>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Pr>
          <w:rFonts w:ascii="Sylfaen" w:hAnsi="Sylfaen"/>
          <w:lang w:val="hy-AM"/>
        </w:rPr>
        <w:t>-</w:t>
      </w:r>
      <w:r w:rsidRPr="00761669">
        <w:rPr>
          <w:rFonts w:ascii="Sylfaen" w:hAnsi="Sylfaen"/>
          <w:lang w:val="hy-AM"/>
        </w:rPr>
        <w:t>ը հատկապես արդյունավետ է ֆինանսական հաշվետվությունների, բազմաչափ վերլուծությունների, KPI</w:t>
      </w:r>
      <w:r w:rsidR="00A5563C">
        <w:rPr>
          <w:rFonts w:ascii="Sylfaen" w:hAnsi="Sylfaen"/>
          <w:lang w:val="hy-AM"/>
        </w:rPr>
        <w:t>-</w:t>
      </w:r>
      <w:r w:rsidRPr="00761669">
        <w:rPr>
          <w:rFonts w:ascii="Sylfaen" w:hAnsi="Sylfaen"/>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Բացի dedicated ռեժիմից, Synapse</w:t>
      </w:r>
      <w:r w:rsidR="00A5563C">
        <w:rPr>
          <w:rFonts w:ascii="Sylfaen" w:hAnsi="Sylfaen"/>
          <w:lang w:val="hy-AM"/>
        </w:rPr>
        <w:t>-</w:t>
      </w:r>
      <w:r w:rsidRPr="00761669">
        <w:rPr>
          <w:rFonts w:ascii="Sylfaen" w:hAnsi="Sylfaen"/>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ը ներառում է նաև Spark pool, որը հնարավորություն է տալիս իրականացնել բաշխված տվյալների մշակում նույն միջավայրում։ Spark pool</w:t>
      </w:r>
      <w:r w:rsidR="00A5563C">
        <w:rPr>
          <w:rFonts w:ascii="Sylfaen" w:hAnsi="Sylfaen"/>
          <w:lang w:val="hy-AM"/>
        </w:rPr>
        <w:t>-</w:t>
      </w:r>
      <w:r w:rsidRPr="00761669">
        <w:rPr>
          <w:rFonts w:ascii="Sylfaen" w:hAnsi="Sylfaen"/>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Pr>
          <w:rFonts w:ascii="Sylfaen" w:hAnsi="Sylfaen"/>
          <w:lang w:val="hy-AM"/>
        </w:rPr>
        <w:t>-</w:t>
      </w:r>
      <w:r w:rsidRPr="00761669">
        <w:rPr>
          <w:rFonts w:ascii="Sylfaen" w:hAnsi="Sylfaen"/>
          <w:lang w:val="hy-AM"/>
        </w:rPr>
        <w:t>ը համադրում է ETL գործընթացները, մեծ տվյալների մշակումն ու ավանդական տվյալների պահեստավորումը մեկ միասնական հարթակում։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w:t>
      </w:r>
      <w:r w:rsidR="00A5563C">
        <w:rPr>
          <w:rFonts w:ascii="Sylfaen" w:hAnsi="Sylfaen"/>
          <w:lang w:val="hy-AM"/>
        </w:rPr>
        <w:t>-</w:t>
      </w:r>
      <w:r w:rsidRPr="00761669">
        <w:rPr>
          <w:rFonts w:ascii="Sylfaen" w:hAnsi="Sylfaen"/>
          <w:lang w:val="hy-AM"/>
        </w:rPr>
        <w:t xml:space="preserve">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w:t>
      </w:r>
      <w:r w:rsidRPr="00761669">
        <w:rPr>
          <w:rFonts w:ascii="Sylfaen" w:hAnsi="Sylfaen"/>
          <w:lang w:val="hy-AM"/>
        </w:rPr>
        <w:lastRenderedPageBreak/>
        <w:t>ժամանակում մուտք գործող տեղեկատվությունը՝ ստեղծելով ամբողջական վերլուծական պատկեր։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Ծառայությունը ինտեգրված է Azure</w:t>
      </w:r>
      <w:r w:rsidR="00A5563C">
        <w:rPr>
          <w:rFonts w:ascii="Sylfaen" w:hAnsi="Sylfaen"/>
          <w:lang w:val="hy-AM"/>
        </w:rPr>
        <w:t>-</w:t>
      </w:r>
      <w:r w:rsidRPr="00761669">
        <w:rPr>
          <w:rFonts w:ascii="Sylfaen" w:hAnsi="Sylfaen"/>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Default="00761669" w:rsidP="00761669">
      <w:pPr>
        <w:spacing w:before="30" w:after="30"/>
        <w:ind w:firstLine="426"/>
        <w:jc w:val="both"/>
        <w:rPr>
          <w:rFonts w:ascii="Sylfaen" w:hAnsi="Sylfaen"/>
          <w:lang w:val="hy-AM"/>
        </w:rPr>
      </w:pPr>
      <w:r w:rsidRPr="00761669">
        <w:rPr>
          <w:rFonts w:ascii="Sylfaen" w:hAnsi="Sylfaen"/>
          <w:lang w:val="hy-AM"/>
        </w:rPr>
        <w:t>Այսպիսով, Azure Synapse Analytics</w:t>
      </w:r>
      <w:r w:rsidR="00A5563C">
        <w:rPr>
          <w:rFonts w:ascii="Sylfaen" w:hAnsi="Sylfaen"/>
          <w:lang w:val="hy-AM"/>
        </w:rPr>
        <w:t>-</w:t>
      </w:r>
      <w:r w:rsidRPr="00761669">
        <w:rPr>
          <w:rFonts w:ascii="Sylfaen" w:hAnsi="Sylfaen"/>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3B7224" w:rsidRPr="003B7224">
        <w:rPr>
          <w:rFonts w:ascii="Sylfaen" w:hAnsi="Sylfaen"/>
          <w:b/>
          <w:sz w:val="32"/>
          <w:lang w:val="hy-AM"/>
        </w:rPr>
        <w:t>Տարբերությունները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 xml:space="preserve">ը առավելապես կենտրոնացած է կոդային, ճկուն և փորձարարական միջավայրի վրա, </w:t>
      </w:r>
      <w:r w:rsidRPr="00892921">
        <w:rPr>
          <w:rFonts w:ascii="Sylfaen" w:hAnsi="Sylfaen"/>
          <w:sz w:val="24"/>
          <w:lang w:val="hy-AM"/>
        </w:rPr>
        <w:lastRenderedPageBreak/>
        <w:t>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CB177C"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1:</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Գծագիր 2</w:t>
      </w:r>
      <w:r w:rsidRPr="0059743E">
        <w:rPr>
          <w:rFonts w:ascii="Sylfaen" w:hAnsi="Sylfaen"/>
          <w:sz w:val="24"/>
          <w:szCs w:val="24"/>
          <w:lang w:val="hy-AM"/>
        </w:rPr>
        <w:t>):</w:t>
      </w:r>
    </w:p>
    <w:p w:rsidR="003A25C2" w:rsidRDefault="003A25C2">
      <w:pPr>
        <w:rPr>
          <w:rFonts w:ascii="Sylfaen" w:hAnsi="Sylfaen"/>
          <w:sz w:val="24"/>
          <w:szCs w:val="24"/>
          <w:lang w:val="hy-AM"/>
        </w:rPr>
      </w:pPr>
      <w:r>
        <w:rPr>
          <w:rFonts w:ascii="Sylfaen" w:hAnsi="Sylfaen"/>
          <w:sz w:val="24"/>
          <w:szCs w:val="24"/>
          <w:lang w:val="hy-AM"/>
        </w:rPr>
        <w:br w:type="page"/>
      </w:r>
    </w:p>
    <w:p w:rsidR="009D78D9" w:rsidRPr="003A25C2" w:rsidRDefault="003A25C2" w:rsidP="009D78D9">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2:</w:t>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7076" cy="3880625"/>
                    </a:xfrm>
                    <a:prstGeom prst="rect">
                      <a:avLst/>
                    </a:prstGeom>
                  </pic:spPr>
                </pic:pic>
              </a:graphicData>
            </a:graphic>
          </wp:inline>
        </w:drawing>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Գծագիր 3:</w:t>
      </w:r>
    </w:p>
    <w:p w:rsidR="00A610A6" w:rsidRPr="008A547F" w:rsidRDefault="008A547F" w:rsidP="009D78D9">
      <w:pPr>
        <w:spacing w:before="30" w:after="30" w:line="360" w:lineRule="auto"/>
        <w:jc w:val="both"/>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4213" cy="3684002"/>
                    </a:xfrm>
                    <a:prstGeom prst="rect">
                      <a:avLst/>
                    </a:prstGeom>
                  </pic:spPr>
                </pic:pic>
              </a:graphicData>
            </a:graphic>
          </wp:inline>
        </w:drawing>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363802" w:rsidRDefault="00363802" w:rsidP="00A43AC8">
      <w:pPr>
        <w:spacing w:before="30" w:after="30" w:line="360" w:lineRule="auto"/>
        <w:jc w:val="both"/>
        <w:rPr>
          <w:rFonts w:ascii="Sylfaen" w:hAnsi="Sylfaen"/>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=σ</m:t>
          </m:r>
          <m:d>
            <m:dPr>
              <m:ctrlPr>
                <w:rPr>
                  <w:rFonts w:ascii="Cambria Math" w:hAnsi="Cambria Math"/>
                  <w:i/>
                  <w:sz w:val="28"/>
                  <w:szCs w:val="24"/>
                  <w:lang w:val="hy-AM"/>
                </w:rPr>
              </m:ctrlPr>
            </m:dPr>
            <m:e>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e>
          </m:d>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00A5563C">
        <w:rPr>
          <w:rFonts w:ascii="Sylfaen" w:hAnsi="Sylfaen"/>
          <w:sz w:val="24"/>
          <w:szCs w:val="24"/>
          <w:lang w:val="hy-AM"/>
        </w:rPr>
        <w:t>-</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00A5563C">
        <w:rPr>
          <w:rFonts w:ascii="Sylfaen" w:hAnsi="Sylfaen"/>
          <w:sz w:val="24"/>
          <w:szCs w:val="24"/>
          <w:lang w:val="hy-AM"/>
        </w:rPr>
        <w:t>-</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363802">
      <w:pPr>
        <w:spacing w:before="30" w:after="30" w:line="360" w:lineRule="auto"/>
        <w:jc w:val="center"/>
        <w:rPr>
          <w:rFonts w:ascii="Sylfaen" w:hAnsi="Sylfaen"/>
          <w:sz w:val="24"/>
          <w:szCs w:val="24"/>
          <w:lang w:val="hy-AM"/>
        </w:rPr>
      </w:pPr>
      <w:r w:rsidRPr="00A5563C">
        <w:rPr>
          <w:rFonts w:ascii="Sylfaen" w:hAnsi="Sylfaen"/>
          <w:b/>
          <w:sz w:val="24"/>
          <w:szCs w:val="24"/>
          <w:lang w:val="hy-AM"/>
        </w:rPr>
        <w:t>Հավանականության առավելագույնացում (Maximum Likelihood Estimation</w:t>
      </w:r>
      <w:r w:rsidRPr="00A43AC8">
        <w:rPr>
          <w:rFonts w:ascii="Sylfaen" w:hAnsi="Sylfaen"/>
          <w:sz w:val="24"/>
          <w:szCs w:val="24"/>
          <w:lang w:val="hy-AM"/>
        </w:rPr>
        <w:t>)</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w:t>
      </w:r>
      <w:r w:rsidR="00A5563C">
        <w:rPr>
          <w:rFonts w:ascii="Sylfaen" w:hAnsi="Sylfaen"/>
          <w:sz w:val="24"/>
          <w:szCs w:val="24"/>
          <w:lang w:val="hy-AM"/>
        </w:rPr>
        <w:t>-</w:t>
      </w:r>
      <w:r w:rsidRPr="00A43AC8">
        <w:rPr>
          <w:rFonts w:ascii="Sylfaen" w:hAnsi="Sylfaen"/>
          <w:sz w:val="24"/>
          <w:szCs w:val="24"/>
          <w:lang w:val="hy-AM"/>
        </w:rPr>
        <w:t>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w:t>
      </w:r>
      <w:r w:rsidR="00A5563C">
        <w:rPr>
          <w:rFonts w:ascii="Sylfaen" w:hAnsi="Sylfaen"/>
          <w:sz w:val="24"/>
          <w:szCs w:val="24"/>
          <w:lang w:val="hy-AM"/>
        </w:rPr>
        <w:t>-</w:t>
      </w:r>
      <w:r w:rsidRPr="00A43AC8">
        <w:rPr>
          <w:rFonts w:ascii="Sylfaen" w:hAnsi="Sylfaen"/>
          <w:sz w:val="24"/>
          <w:szCs w:val="24"/>
          <w:lang w:val="hy-AM"/>
        </w:rPr>
        <w:t>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w:t>
      </w:r>
      <w:r w:rsidR="00A5563C">
        <w:rPr>
          <w:rFonts w:ascii="Sylfaen" w:hAnsi="Sylfaen"/>
          <w:sz w:val="24"/>
          <w:szCs w:val="24"/>
          <w:lang w:val="hy-AM"/>
        </w:rPr>
        <w:t>-</w:t>
      </w:r>
      <w:r w:rsidRPr="00A43AC8">
        <w:rPr>
          <w:rFonts w:ascii="Sylfaen" w:hAnsi="Sylfaen"/>
          <w:sz w:val="24"/>
          <w:szCs w:val="24"/>
          <w:lang w:val="hy-AM"/>
        </w:rPr>
        <w:t>հավանականության առավելագույնացումը թույլ է տալիս գտնել β</w:t>
      </w:r>
      <w:r w:rsidR="00A5563C">
        <w:rPr>
          <w:rFonts w:ascii="Sylfaen" w:hAnsi="Sylfaen"/>
          <w:sz w:val="24"/>
          <w:szCs w:val="24"/>
          <w:lang w:val="hy-AM"/>
        </w:rPr>
        <w:t>-</w:t>
      </w:r>
      <w:r w:rsidRPr="00A43AC8">
        <w:rPr>
          <w:rFonts w:ascii="Sylfaen" w:hAnsi="Sylfaen"/>
          <w:sz w:val="24"/>
          <w:szCs w:val="24"/>
          <w:lang w:val="hy-AM"/>
        </w:rPr>
        <w:t>ի օպտիմալ արժեքները՝ օգտագործելով թվային մեթոդներ, օրինակ՝ գրադիենտային իջեցում կամ Նյուտոն–Ռաֆսոնի մեթոդ։</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համակցությունների մեկնաբանություն</w:t>
      </w:r>
    </w:p>
    <w:p w:rsidR="00A43AC8" w:rsidRPr="00A43AC8" w:rsidRDefault="00363802" w:rsidP="00363802">
      <w:pPr>
        <w:spacing w:before="30" w:after="30" w:line="360" w:lineRule="auto"/>
        <w:ind w:firstLine="426"/>
        <w:jc w:val="both"/>
        <w:rPr>
          <w:rFonts w:ascii="Sylfaen" w:hAnsi="Sylfaen"/>
          <w:sz w:val="24"/>
          <w:szCs w:val="24"/>
          <w:lang w:val="hy-AM"/>
        </w:rPr>
      </w:pPr>
      <w:r>
        <w:rPr>
          <w:rFonts w:ascii="Sylfaen" w:hAnsi="Sylfaen"/>
          <w:sz w:val="24"/>
          <w:szCs w:val="24"/>
          <w:lang w:val="hy-AM"/>
        </w:rPr>
        <w:t>Գծային</w:t>
      </w:r>
      <w:r w:rsidR="00A43AC8"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00A43AC8" w:rsidRPr="00A43AC8">
        <w:rPr>
          <w:rFonts w:ascii="Times New Roman" w:hAnsi="Times New Roman" w:cs="Times New Roman"/>
          <w:sz w:val="24"/>
          <w:szCs w:val="24"/>
          <w:lang w:val="hy-AM"/>
        </w:rPr>
        <w:t>ᵢ</w:t>
      </w:r>
      <w:r w:rsidR="00A5563C" w:rsidRPr="00B84D03">
        <w:rPr>
          <w:rFonts w:ascii="Sylfaen" w:hAnsi="Sylfaen"/>
          <w:sz w:val="24"/>
          <w:szCs w:val="24"/>
          <w:lang w:val="hy-AM"/>
        </w:rPr>
        <w:t>-</w:t>
      </w:r>
      <w:r w:rsidR="00A43AC8"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w:lastRenderedPageBreak/>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5563C" w:rsidRDefault="00A43AC8" w:rsidP="00363802">
      <w:pPr>
        <w:spacing w:before="30" w:after="30" w:line="360" w:lineRule="auto"/>
        <w:jc w:val="center"/>
        <w:rPr>
          <w:rFonts w:ascii="Sylfaen" w:hAnsi="Sylfaen"/>
          <w:b/>
          <w:sz w:val="24"/>
          <w:szCs w:val="24"/>
          <w:lang w:val="hy-AM"/>
        </w:rPr>
      </w:pPr>
      <w:r w:rsidRPr="00A5563C">
        <w:rPr>
          <w:rFonts w:ascii="Sylfaen" w:hAnsi="Sylfaen"/>
          <w:b/>
          <w:sz w:val="24"/>
          <w:szCs w:val="24"/>
          <w:lang w:val="hy-AM"/>
        </w:rPr>
        <w:t>Մոդելի որակի գնահատում</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Քանի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Խառնումների մատրիցա (Confusion Matrix) </w:t>
      </w:r>
      <w:r w:rsidR="00A5563C" w:rsidRPr="00A5563C">
        <w:rPr>
          <w:rFonts w:ascii="Sylfaen" w:hAnsi="Sylfaen"/>
          <w:sz w:val="24"/>
          <w:szCs w:val="24"/>
          <w:lang w:val="hy-AM"/>
        </w:rPr>
        <w:t>-</w:t>
      </w:r>
      <w:r w:rsidRPr="00A43AC8">
        <w:rPr>
          <w:rFonts w:ascii="Sylfaen" w:hAnsi="Sylfaen"/>
          <w:sz w:val="24"/>
          <w:szCs w:val="24"/>
          <w:lang w:val="hy-AM"/>
        </w:rPr>
        <w:t xml:space="preserve">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9B37CD"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ROC կոր և AUC </w:t>
      </w:r>
      <w:r w:rsidR="00A5563C" w:rsidRPr="00A5563C">
        <w:rPr>
          <w:rFonts w:ascii="Sylfaen" w:hAnsi="Sylfaen"/>
          <w:sz w:val="24"/>
          <w:szCs w:val="24"/>
          <w:lang w:val="hy-AM"/>
        </w:rPr>
        <w:t>-</w:t>
      </w:r>
      <w:r w:rsidRPr="00A43AC8">
        <w:rPr>
          <w:rFonts w:ascii="Sylfaen" w:hAnsi="Sylfaen"/>
          <w:sz w:val="24"/>
          <w:szCs w:val="24"/>
          <w:lang w:val="hy-AM"/>
        </w:rPr>
        <w:t xml:space="preserve"> մոդելի արդյունավետության գնահատում տարբեր շեմերի դեպքում։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Բազմադասային լոգիստիկ ռեգրեսիա</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Rest (OvR) </w:t>
      </w:r>
      <w:r w:rsidR="00A5563C" w:rsidRPr="00A5563C">
        <w:rPr>
          <w:rFonts w:ascii="Sylfaen" w:hAnsi="Sylfaen"/>
          <w:sz w:val="24"/>
          <w:szCs w:val="24"/>
          <w:lang w:val="hy-AM"/>
        </w:rPr>
        <w:t>-</w:t>
      </w:r>
      <w:r w:rsidRPr="00A43AC8">
        <w:rPr>
          <w:rFonts w:ascii="Sylfaen" w:hAnsi="Sylfaen"/>
          <w:sz w:val="24"/>
          <w:szCs w:val="24"/>
          <w:lang w:val="hy-AM"/>
        </w:rPr>
        <w:t xml:space="preserve">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One (OvO) </w:t>
      </w:r>
      <w:r w:rsidR="00A5563C" w:rsidRPr="00A5563C">
        <w:rPr>
          <w:rFonts w:ascii="Sylfaen" w:hAnsi="Sylfaen"/>
          <w:sz w:val="24"/>
          <w:szCs w:val="24"/>
          <w:lang w:val="hy-AM"/>
        </w:rPr>
        <w:t>-</w:t>
      </w:r>
      <w:r w:rsidRPr="00A43AC8">
        <w:rPr>
          <w:rFonts w:ascii="Sylfaen" w:hAnsi="Sylfaen"/>
          <w:sz w:val="24"/>
          <w:szCs w:val="24"/>
          <w:lang w:val="hy-AM"/>
        </w:rPr>
        <w:t xml:space="preserve">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5563C" w:rsidRDefault="00A43AC8" w:rsidP="00FB0C36">
      <w:pPr>
        <w:spacing w:before="30" w:after="30" w:line="360" w:lineRule="auto"/>
        <w:jc w:val="center"/>
        <w:rPr>
          <w:rFonts w:ascii="Sylfaen" w:hAnsi="Sylfaen"/>
          <w:b/>
          <w:sz w:val="24"/>
          <w:szCs w:val="24"/>
          <w:lang w:val="hy-AM"/>
        </w:rPr>
      </w:pPr>
      <w:r w:rsidRPr="00A5563C">
        <w:rPr>
          <w:rFonts w:ascii="Sylfaen" w:hAnsi="Sylfaen"/>
          <w:b/>
          <w:sz w:val="24"/>
          <w:szCs w:val="24"/>
          <w:lang w:val="hy-AM"/>
        </w:rPr>
        <w:t>Լոգիստիկ ռեգրեսիայի կիրառումը</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w:t>
      </w:r>
      <w:r w:rsidRPr="00A43AC8">
        <w:rPr>
          <w:rFonts w:ascii="Sylfaen" w:hAnsi="Sylfaen"/>
          <w:sz w:val="24"/>
          <w:szCs w:val="24"/>
          <w:lang w:val="hy-AM"/>
        </w:rPr>
        <w:lastRenderedPageBreak/>
        <w:t xml:space="preserve">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սահմանափակումները</w:t>
      </w:r>
    </w:p>
    <w:p w:rsidR="0072237D" w:rsidRPr="00A43AC8" w:rsidRDefault="00A43AC8" w:rsidP="00430327">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Չնայած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համակցությունների</w:t>
      </w:r>
      <w:r w:rsidRPr="00A43AC8">
        <w:rPr>
          <w:rStyle w:val="FootnoteReference"/>
          <w:rFonts w:ascii="Sylfaen" w:hAnsi="Sylfaen"/>
          <w:sz w:val="24"/>
          <w:szCs w:val="24"/>
          <w:lang w:val="hy-AM"/>
        </w:rPr>
        <w:footnoteReference w:id="1"/>
      </w:r>
      <w:r w:rsidRPr="00A43AC8">
        <w:rPr>
          <w:rFonts w:ascii="Sylfaen" w:hAnsi="Sylfaen"/>
          <w:sz w:val="24"/>
          <w:szCs w:val="24"/>
          <w:lang w:val="hy-AM"/>
        </w:rPr>
        <w:t>։</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9B37CD" w:rsidRPr="009B37CD">
        <w:rPr>
          <w:rFonts w:ascii="Sylfaen" w:eastAsia="Times New Roman" w:hAnsi="Sylfaen" w:cs="Times New Roman"/>
          <w:b/>
          <w:sz w:val="32"/>
          <w:szCs w:val="24"/>
          <w:lang w:val="hy-AM" w:eastAsia="ru-RU"/>
        </w:rPr>
        <w:t>LGD</w:t>
      </w:r>
      <w:r w:rsidR="006F2AF3" w:rsidRPr="006F2AF3">
        <w:rPr>
          <w:rFonts w:ascii="Sylfaen" w:eastAsia="Times New Roman" w:hAnsi="Sylfaen" w:cs="Times New Roman"/>
          <w:b/>
          <w:sz w:val="32"/>
          <w:szCs w:val="24"/>
          <w:lang w:val="hy-AM" w:eastAsia="ru-RU"/>
        </w:rPr>
        <w:t xml:space="preserve">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84455F">
        <w:rPr>
          <w:rFonts w:ascii="Sylfaen" w:eastAsia="Times New Roman" w:hAnsi="Sylfaen" w:cs="Times New Roman"/>
          <w:sz w:val="24"/>
          <w:szCs w:val="24"/>
          <w:lang w:val="hy-AM" w:eastAsia="ru-RU"/>
        </w:rPr>
        <w:t xml:space="preserve">Կորուստը չվճարման դեպքում (Loss Given Default – LGD): LGD ցուցանիշը ցույց է տալիս այն կորուստների մասնաբաժինը, որը ֆինանսական հաստատությունը կրում է դեֆոլտի դեպքում։ </w:t>
      </w:r>
      <w:r w:rsidRPr="00F43356">
        <w:rPr>
          <w:rFonts w:ascii="Sylfaen" w:eastAsia="Times New Roman" w:hAnsi="Sylfaen" w:cs="Times New Roman"/>
          <w:sz w:val="24"/>
          <w:szCs w:val="24"/>
          <w:lang w:val="hy-AM" w:eastAsia="ru-RU"/>
        </w:rPr>
        <w:t>Այլ կերպ ասած՝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9B37CD" w:rsidRDefault="009B37CD" w:rsidP="009B37CD">
      <w:pPr>
        <w:ind w:firstLine="426"/>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p>
    <w:p w:rsidR="009B37CD" w:rsidRDefault="009B37CD" w:rsidP="009B37CD">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Ձեր տրամադրած տվյալների հիման վրա հնարավոր է կառուցել ամբողջական, ինքնաբավ մաթեմատիկական համակարգ, որը չի պահանջում արտաքին </w:t>
      </w:r>
      <w:r w:rsidRPr="00900BE8">
        <w:rPr>
          <w:rFonts w:ascii="Sylfaen" w:eastAsia="Times New Roman" w:hAnsi="Sylfaen" w:cs="Times New Roman"/>
          <w:sz w:val="24"/>
          <w:szCs w:val="24"/>
          <w:lang w:val="hy-AM" w:eastAsia="ru-RU"/>
        </w:rPr>
        <w:lastRenderedPageBreak/>
        <w:t>փոփոխականներ՝ բացառությամբ գլոբալ գնահատվող գործակիցների և դիսկոնտավորման տոկոսադրույքի։</w:t>
      </w:r>
      <w:r>
        <w:rPr>
          <w:rFonts w:ascii="Sylfaen" w:eastAsia="Times New Roman" w:hAnsi="Sylfaen" w:cs="Times New Roman"/>
          <w:sz w:val="24"/>
          <w:szCs w:val="24"/>
          <w:lang w:val="hy-AM" w:eastAsia="ru-RU"/>
        </w:rPr>
        <w:t xml:space="preserve"> </w:t>
      </w:r>
      <w:r w:rsidRPr="0051217A">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-ի բանաձը.</w:t>
      </w:r>
    </w:p>
    <w:p w:rsidR="009B37CD" w:rsidRPr="00900BE8" w:rsidRDefault="009B37CD" w:rsidP="009B37CD">
      <w:pPr>
        <w:spacing w:before="30" w:after="30" w:line="240" w:lineRule="auto"/>
        <w:jc w:val="both"/>
        <w:rPr>
          <w:rFonts w:ascii="Sylfaen" w:eastAsia="Times New Roman" w:hAnsi="Sylfaen" w:cs="Times New Roman"/>
          <w:sz w:val="24"/>
          <w:szCs w:val="24"/>
          <w:lang w:val="hy-AM" w:eastAsia="ru-RU"/>
        </w:rPr>
      </w:pPr>
    </w:p>
    <w:p w:rsidR="009B37CD" w:rsidRPr="003640A1" w:rsidRDefault="009B37CD" w:rsidP="009B37CD">
      <w:pPr>
        <w:ind w:firstLine="426"/>
        <w:rPr>
          <w:rFonts w:ascii="Sylfaen" w:hAnsi="Sylfaen"/>
          <w:sz w:val="28"/>
          <w:lang w:val="en-US"/>
        </w:rPr>
      </w:pPr>
      <m:oMathPara>
        <m:oMath>
          <m:r>
            <w:rPr>
              <w:rFonts w:ascii="Cambria Math" w:hAnsi="Cambria Math"/>
              <w:sz w:val="28"/>
              <w:lang w:val="en-US"/>
            </w:rPr>
            <m:t>LGD=1-Recovery Rate</m:t>
          </m:r>
        </m:oMath>
      </m:oMathPara>
    </w:p>
    <w:p w:rsidR="009B37CD" w:rsidRPr="0084455F" w:rsidRDefault="009B37CD" w:rsidP="009B37CD">
      <w:pPr>
        <w:ind w:firstLine="426"/>
        <w:rPr>
          <w:rFonts w:ascii="Sylfaen" w:hAnsi="Sylfaen"/>
          <w:sz w:val="24"/>
          <w:lang w:val="en-US"/>
        </w:rPr>
      </w:pPr>
      <w:r w:rsidRPr="0084455F">
        <w:rPr>
          <w:rFonts w:ascii="Sylfaen" w:hAnsi="Sylfaen"/>
          <w:sz w:val="24"/>
        </w:rPr>
        <w:t>որտեղ</w:t>
      </w:r>
      <w:r w:rsidRPr="0084455F">
        <w:rPr>
          <w:rFonts w:ascii="Sylfaen" w:hAnsi="Sylfaen"/>
          <w:sz w:val="24"/>
          <w:lang w:val="en-US"/>
        </w:rPr>
        <w:t xml:space="preserve"> Recovery Rate-</w:t>
      </w:r>
      <w:r w:rsidRPr="0084455F">
        <w:rPr>
          <w:rFonts w:ascii="Sylfaen" w:hAnsi="Sylfaen"/>
          <w:sz w:val="24"/>
        </w:rPr>
        <w:t>ը</w:t>
      </w:r>
      <w:r w:rsidRPr="0084455F">
        <w:rPr>
          <w:rFonts w:ascii="Sylfaen" w:hAnsi="Sylfaen"/>
          <w:sz w:val="24"/>
          <w:lang w:val="en-US"/>
        </w:rPr>
        <w:t xml:space="preserve"> </w:t>
      </w:r>
      <w:r w:rsidRPr="0084455F">
        <w:rPr>
          <w:rFonts w:ascii="Sylfaen" w:hAnsi="Sylfaen"/>
          <w:sz w:val="24"/>
        </w:rPr>
        <w:t>այն</w:t>
      </w:r>
      <w:r w:rsidRPr="0084455F">
        <w:rPr>
          <w:rFonts w:ascii="Sylfaen" w:hAnsi="Sylfaen"/>
          <w:sz w:val="24"/>
          <w:lang w:val="en-US"/>
        </w:rPr>
        <w:t xml:space="preserve"> </w:t>
      </w:r>
      <w:r w:rsidRPr="0084455F">
        <w:rPr>
          <w:rFonts w:ascii="Sylfaen" w:hAnsi="Sylfaen"/>
          <w:sz w:val="24"/>
        </w:rPr>
        <w:t>գումարի</w:t>
      </w:r>
      <w:r w:rsidRPr="0084455F">
        <w:rPr>
          <w:rFonts w:ascii="Sylfaen" w:hAnsi="Sylfaen"/>
          <w:sz w:val="24"/>
          <w:lang w:val="en-US"/>
        </w:rPr>
        <w:t xml:space="preserve"> </w:t>
      </w:r>
      <w:r w:rsidRPr="0084455F">
        <w:rPr>
          <w:rFonts w:ascii="Sylfaen" w:hAnsi="Sylfaen"/>
          <w:sz w:val="24"/>
        </w:rPr>
        <w:t>մասնաբաժինն</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որը</w:t>
      </w:r>
      <w:r w:rsidRPr="0084455F">
        <w:rPr>
          <w:rFonts w:ascii="Sylfaen" w:hAnsi="Sylfaen"/>
          <w:sz w:val="24"/>
          <w:lang w:val="en-US"/>
        </w:rPr>
        <w:t xml:space="preserve"> </w:t>
      </w:r>
      <w:r w:rsidRPr="0084455F">
        <w:rPr>
          <w:rFonts w:ascii="Sylfaen" w:hAnsi="Sylfaen"/>
          <w:sz w:val="24"/>
        </w:rPr>
        <w:t>հնարավոր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վերականգնել</w:t>
      </w:r>
      <w:r w:rsidRPr="0084455F">
        <w:rPr>
          <w:rFonts w:ascii="Sylfaen" w:hAnsi="Sylfaen"/>
          <w:sz w:val="24"/>
          <w:lang w:val="en-US"/>
        </w:rPr>
        <w:t xml:space="preserve"> </w:t>
      </w:r>
      <w:r w:rsidRPr="0084455F">
        <w:rPr>
          <w:rFonts w:ascii="Sylfaen" w:hAnsi="Sylfaen"/>
          <w:sz w:val="24"/>
        </w:rPr>
        <w:t>դեֆոլտից</w:t>
      </w:r>
      <w:r w:rsidRPr="0084455F">
        <w:rPr>
          <w:rFonts w:ascii="Sylfaen" w:hAnsi="Sylfaen"/>
          <w:sz w:val="24"/>
          <w:lang w:val="en-US"/>
        </w:rPr>
        <w:t xml:space="preserve"> </w:t>
      </w:r>
      <w:r w:rsidRPr="0084455F">
        <w:rPr>
          <w:rFonts w:ascii="Sylfaen" w:hAnsi="Sylfaen"/>
          <w:sz w:val="24"/>
        </w:rPr>
        <w:t>հետո</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իրացում</w:t>
      </w:r>
      <w:r w:rsidRPr="0084455F">
        <w:rPr>
          <w:rFonts w:ascii="Sylfaen" w:hAnsi="Sylfaen"/>
          <w:sz w:val="24"/>
          <w:lang w:val="en-US"/>
        </w:rPr>
        <w:t xml:space="preserve">, </w:t>
      </w:r>
      <w:r w:rsidRPr="0084455F">
        <w:rPr>
          <w:rFonts w:ascii="Sylfaen" w:hAnsi="Sylfaen"/>
          <w:sz w:val="24"/>
        </w:rPr>
        <w:t>ապահովագրություն</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w:t>
      </w:r>
      <w:r w:rsidRPr="0084455F">
        <w:rPr>
          <w:rFonts w:ascii="Sylfaen" w:hAnsi="Sylfaen"/>
          <w:sz w:val="24"/>
          <w:lang w:val="en-US"/>
        </w:rPr>
        <w:t xml:space="preserve"> </w:t>
      </w:r>
      <w:r w:rsidRPr="0084455F">
        <w:rPr>
          <w:rFonts w:ascii="Sylfaen" w:hAnsi="Sylfaen"/>
          <w:sz w:val="24"/>
        </w:rPr>
        <w:t>կամ</w:t>
      </w:r>
      <w:r w:rsidRPr="0084455F">
        <w:rPr>
          <w:rFonts w:ascii="Sylfaen" w:hAnsi="Sylfaen"/>
          <w:sz w:val="24"/>
          <w:lang w:val="en-US"/>
        </w:rPr>
        <w:t xml:space="preserve"> </w:t>
      </w:r>
      <w:r w:rsidRPr="0084455F">
        <w:rPr>
          <w:rFonts w:ascii="Sylfaen" w:hAnsi="Sylfaen"/>
          <w:sz w:val="24"/>
        </w:rPr>
        <w:t>վարկառուի</w:t>
      </w:r>
      <w:r w:rsidRPr="0084455F">
        <w:rPr>
          <w:rFonts w:ascii="Sylfaen" w:hAnsi="Sylfaen"/>
          <w:sz w:val="24"/>
          <w:lang w:val="en-US"/>
        </w:rPr>
        <w:t xml:space="preserve"> </w:t>
      </w:r>
      <w:r w:rsidRPr="0084455F">
        <w:rPr>
          <w:rFonts w:ascii="Sylfaen" w:hAnsi="Sylfaen"/>
          <w:sz w:val="24"/>
        </w:rPr>
        <w:t>հետ</w:t>
      </w:r>
      <w:r w:rsidRPr="0084455F">
        <w:rPr>
          <w:rFonts w:ascii="Sylfaen" w:hAnsi="Sylfaen"/>
          <w:sz w:val="24"/>
          <w:lang w:val="en-US"/>
        </w:rPr>
        <w:t xml:space="preserve"> </w:t>
      </w:r>
      <w:r w:rsidRPr="0084455F">
        <w:rPr>
          <w:rFonts w:ascii="Sylfaen" w:hAnsi="Sylfaen"/>
          <w:sz w:val="24"/>
        </w:rPr>
        <w:t>համաձայնագրով</w:t>
      </w:r>
      <w:r w:rsidRPr="0084455F">
        <w:rPr>
          <w:rFonts w:ascii="Sylfaen" w:hAnsi="Sylfaen"/>
          <w:sz w:val="24"/>
          <w:lang w:val="en-US"/>
        </w:rPr>
        <w:t xml:space="preserve"> </w:t>
      </w:r>
      <w:r w:rsidRPr="0084455F">
        <w:rPr>
          <w:rFonts w:ascii="Sylfaen" w:hAnsi="Sylfaen"/>
          <w:sz w:val="24"/>
        </w:rPr>
        <w:t>վերադարձ</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lang w:val="en-US"/>
        </w:rPr>
        <w:t>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կախված</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մի</w:t>
      </w:r>
      <w:r w:rsidRPr="0084455F">
        <w:rPr>
          <w:rFonts w:ascii="Sylfaen" w:hAnsi="Sylfaen"/>
          <w:sz w:val="24"/>
          <w:lang w:val="en-US"/>
        </w:rPr>
        <w:t xml:space="preserve"> </w:t>
      </w:r>
      <w:r w:rsidRPr="0084455F">
        <w:rPr>
          <w:rFonts w:ascii="Sylfaen" w:hAnsi="Sylfaen"/>
          <w:sz w:val="24"/>
        </w:rPr>
        <w:t>շարք</w:t>
      </w:r>
      <w:r w:rsidRPr="0084455F">
        <w:rPr>
          <w:rFonts w:ascii="Sylfaen" w:hAnsi="Sylfaen"/>
          <w:sz w:val="24"/>
          <w:lang w:val="en-US"/>
        </w:rPr>
        <w:t xml:space="preserve"> </w:t>
      </w:r>
      <w:r w:rsidRPr="0084455F">
        <w:rPr>
          <w:rFonts w:ascii="Sylfaen" w:hAnsi="Sylfaen"/>
          <w:sz w:val="24"/>
        </w:rPr>
        <w:t>գործոններից</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Վարկի</w:t>
      </w:r>
      <w:r w:rsidRPr="0084455F">
        <w:rPr>
          <w:rFonts w:ascii="Sylfaen" w:hAnsi="Sylfaen"/>
          <w:sz w:val="24"/>
          <w:lang w:val="en-US"/>
        </w:rPr>
        <w:t xml:space="preserve"> </w:t>
      </w:r>
      <w:r w:rsidRPr="0084455F">
        <w:rPr>
          <w:rFonts w:ascii="Sylfaen" w:hAnsi="Sylfaen"/>
          <w:sz w:val="24"/>
        </w:rPr>
        <w:t>տեսակից</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սովորաբար</w:t>
      </w:r>
      <w:r w:rsidRPr="0084455F">
        <w:rPr>
          <w:rFonts w:ascii="Sylfaen" w:hAnsi="Sylfaen"/>
          <w:sz w:val="24"/>
          <w:lang w:val="en-US"/>
        </w:rPr>
        <w:t xml:space="preserve"> </w:t>
      </w:r>
      <w:r w:rsidRPr="0084455F">
        <w:rPr>
          <w:rFonts w:ascii="Sylfaen" w:hAnsi="Sylfaen"/>
          <w:sz w:val="24"/>
        </w:rPr>
        <w:t>ավելի</w:t>
      </w:r>
      <w:r w:rsidRPr="0084455F">
        <w:rPr>
          <w:rFonts w:ascii="Sylfaen" w:hAnsi="Sylfaen"/>
          <w:sz w:val="24"/>
          <w:lang w:val="en-US"/>
        </w:rPr>
        <w:t xml:space="preserve"> </w:t>
      </w:r>
      <w:r w:rsidRPr="0084455F">
        <w:rPr>
          <w:rFonts w:ascii="Sylfaen" w:hAnsi="Sylfaen"/>
          <w:sz w:val="24"/>
        </w:rPr>
        <w:t>բարձր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քան</w:t>
      </w:r>
      <w:r w:rsidRPr="0084455F">
        <w:rPr>
          <w:rFonts w:ascii="Sylfaen" w:hAnsi="Sylfaen"/>
          <w:sz w:val="24"/>
          <w:lang w:val="en-US"/>
        </w:rPr>
        <w:t xml:space="preserve"> </w:t>
      </w:r>
      <w:r w:rsidRPr="0084455F">
        <w:rPr>
          <w:rFonts w:ascii="Sylfaen" w:hAnsi="Sylfaen"/>
          <w:sz w:val="24"/>
        </w:rPr>
        <w:t>հիփոթեքայինի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Ապահովագրության</w:t>
      </w:r>
      <w:r w:rsidRPr="0084455F">
        <w:rPr>
          <w:rFonts w:ascii="Sylfaen" w:hAnsi="Sylfaen"/>
          <w:sz w:val="24"/>
          <w:lang w:val="en-US"/>
        </w:rPr>
        <w:t xml:space="preserve"> </w:t>
      </w:r>
      <w:r w:rsidRPr="0084455F">
        <w:rPr>
          <w:rFonts w:ascii="Sylfaen" w:hAnsi="Sylfaen"/>
          <w:sz w:val="24"/>
        </w:rPr>
        <w:t>առկայությունից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որակից</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w:t>
      </w:r>
      <w:r w:rsidRPr="0084455F">
        <w:rPr>
          <w:rFonts w:ascii="Sylfaen" w:hAnsi="Sylfaen"/>
          <w:sz w:val="24"/>
          <w:lang w:val="en-US"/>
        </w:rPr>
        <w:t xml:space="preserve">, </w:t>
      </w:r>
      <w:r w:rsidRPr="0084455F">
        <w:rPr>
          <w:rFonts w:ascii="Sylfaen" w:hAnsi="Sylfaen"/>
          <w:sz w:val="24"/>
        </w:rPr>
        <w:t>իրացվելիություն</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գնահատում</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Իրավական</w:t>
      </w:r>
      <w:r w:rsidRPr="0084455F">
        <w:rPr>
          <w:rFonts w:ascii="Sylfaen" w:hAnsi="Sylfaen"/>
          <w:sz w:val="24"/>
          <w:lang w:val="en-US"/>
        </w:rPr>
        <w:t xml:space="preserve"> </w:t>
      </w:r>
      <w:r w:rsidRPr="0084455F">
        <w:rPr>
          <w:rFonts w:ascii="Sylfaen" w:hAnsi="Sylfaen"/>
          <w:sz w:val="24"/>
        </w:rPr>
        <w:t>գործընթացների</w:t>
      </w:r>
      <w:r w:rsidRPr="0084455F">
        <w:rPr>
          <w:rFonts w:ascii="Sylfaen" w:hAnsi="Sylfaen"/>
          <w:sz w:val="24"/>
          <w:lang w:val="en-US"/>
        </w:rPr>
        <w:t xml:space="preserve"> </w:t>
      </w:r>
      <w:r w:rsidRPr="0084455F">
        <w:rPr>
          <w:rFonts w:ascii="Sylfaen" w:hAnsi="Sylfaen"/>
          <w:sz w:val="24"/>
        </w:rPr>
        <w:t>արդյունավետությունից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տևողությունից</w:t>
      </w:r>
      <w:r w:rsidRPr="0084455F">
        <w:rPr>
          <w:rFonts w:ascii="Sylfaen" w:hAnsi="Sylfaen"/>
          <w:sz w:val="24"/>
          <w:lang w:val="en-US"/>
        </w:rPr>
        <w:t xml:space="preserve"> (</w:t>
      </w:r>
      <w:r w:rsidRPr="0084455F">
        <w:rPr>
          <w:rFonts w:ascii="Sylfaen" w:hAnsi="Sylfaen"/>
          <w:sz w:val="24"/>
        </w:rPr>
        <w:t>Հայաստանում</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գործընթացները</w:t>
      </w:r>
      <w:r w:rsidRPr="0084455F">
        <w:rPr>
          <w:rFonts w:ascii="Sylfaen" w:hAnsi="Sylfaen"/>
          <w:sz w:val="24"/>
          <w:lang w:val="en-US"/>
        </w:rPr>
        <w:t xml:space="preserve"> </w:t>
      </w:r>
      <w:r w:rsidRPr="0084455F">
        <w:rPr>
          <w:rFonts w:ascii="Sylfaen" w:hAnsi="Sylfaen"/>
          <w:sz w:val="24"/>
        </w:rPr>
        <w:t>կարող</w:t>
      </w:r>
      <w:r w:rsidRPr="0084455F">
        <w:rPr>
          <w:rFonts w:ascii="Sylfaen" w:hAnsi="Sylfaen"/>
          <w:sz w:val="24"/>
          <w:lang w:val="en-US"/>
        </w:rPr>
        <w:t xml:space="preserve"> </w:t>
      </w:r>
      <w:r w:rsidRPr="0084455F">
        <w:rPr>
          <w:rFonts w:ascii="Sylfaen" w:hAnsi="Sylfaen"/>
          <w:sz w:val="24"/>
        </w:rPr>
        <w:t>են</w:t>
      </w:r>
      <w:r w:rsidRPr="0084455F">
        <w:rPr>
          <w:rFonts w:ascii="Sylfaen" w:hAnsi="Sylfaen"/>
          <w:sz w:val="24"/>
          <w:lang w:val="en-US"/>
        </w:rPr>
        <w:t xml:space="preserve"> </w:t>
      </w:r>
      <w:r w:rsidRPr="0084455F">
        <w:rPr>
          <w:rFonts w:ascii="Sylfaen" w:hAnsi="Sylfaen"/>
          <w:sz w:val="24"/>
        </w:rPr>
        <w:t>տևել</w:t>
      </w:r>
      <w:r w:rsidRPr="0084455F">
        <w:rPr>
          <w:rFonts w:ascii="Sylfaen" w:hAnsi="Sylfaen"/>
          <w:sz w:val="24"/>
          <w:lang w:val="en-US"/>
        </w:rPr>
        <w:t xml:space="preserve"> 1–3 </w:t>
      </w:r>
      <w:r w:rsidRPr="0084455F">
        <w:rPr>
          <w:rFonts w:ascii="Sylfaen" w:hAnsi="Sylfaen"/>
          <w:sz w:val="24"/>
        </w:rPr>
        <w:t>տարի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Տնտեսական</w:t>
      </w:r>
      <w:r w:rsidRPr="0084455F">
        <w:rPr>
          <w:rFonts w:ascii="Sylfaen" w:hAnsi="Sylfaen"/>
          <w:sz w:val="24"/>
          <w:lang w:val="en-US"/>
        </w:rPr>
        <w:t xml:space="preserve"> </w:t>
      </w:r>
      <w:r w:rsidRPr="0084455F">
        <w:rPr>
          <w:rFonts w:ascii="Sylfaen" w:hAnsi="Sylfaen"/>
          <w:sz w:val="24"/>
        </w:rPr>
        <w:t>պայմաններից</w:t>
      </w:r>
      <w:r w:rsidRPr="0084455F">
        <w:rPr>
          <w:rFonts w:ascii="Sylfaen" w:hAnsi="Sylfaen"/>
          <w:sz w:val="24"/>
          <w:lang w:val="en-US"/>
        </w:rPr>
        <w:t xml:space="preserve"> (</w:t>
      </w:r>
      <w:r w:rsidRPr="0084455F">
        <w:rPr>
          <w:rFonts w:ascii="Sylfaen" w:hAnsi="Sylfaen"/>
          <w:sz w:val="24"/>
        </w:rPr>
        <w:t>ճգնաժամի</w:t>
      </w:r>
      <w:r w:rsidRPr="0084455F">
        <w:rPr>
          <w:rFonts w:ascii="Sylfaen" w:hAnsi="Sylfaen"/>
          <w:sz w:val="24"/>
          <w:lang w:val="en-US"/>
        </w:rPr>
        <w:t xml:space="preserve"> </w:t>
      </w:r>
      <w:r w:rsidRPr="0084455F">
        <w:rPr>
          <w:rFonts w:ascii="Sylfaen" w:hAnsi="Sylfaen"/>
          <w:sz w:val="24"/>
        </w:rPr>
        <w:t>ժամանակ</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աճում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արժեքի</w:t>
      </w:r>
      <w:r w:rsidRPr="0084455F">
        <w:rPr>
          <w:rFonts w:ascii="Sylfaen" w:hAnsi="Sylfaen"/>
          <w:sz w:val="24"/>
          <w:lang w:val="en-US"/>
        </w:rPr>
        <w:t xml:space="preserve"> </w:t>
      </w:r>
      <w:r w:rsidRPr="0084455F">
        <w:rPr>
          <w:rFonts w:ascii="Sylfaen" w:hAnsi="Sylfaen"/>
          <w:sz w:val="24"/>
        </w:rPr>
        <w:t>անկման</w:t>
      </w:r>
      <w:r w:rsidRPr="0084455F">
        <w:rPr>
          <w:rFonts w:ascii="Sylfaen" w:hAnsi="Sylfaen"/>
          <w:sz w:val="24"/>
          <w:lang w:val="en-US"/>
        </w:rPr>
        <w:t xml:space="preserve"> </w:t>
      </w:r>
      <w:r w:rsidRPr="0084455F">
        <w:rPr>
          <w:rFonts w:ascii="Sylfaen" w:hAnsi="Sylfaen"/>
          <w:sz w:val="24"/>
        </w:rPr>
        <w:t>պատճառով</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rPr>
        <w:t>Հայաստանում</w:t>
      </w:r>
      <w:r w:rsidRPr="0084455F">
        <w:rPr>
          <w:rFonts w:ascii="Sylfaen" w:hAnsi="Sylfaen"/>
          <w:sz w:val="24"/>
          <w:lang w:val="en-US"/>
        </w:rPr>
        <w:t xml:space="preserve"> 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միջին</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w:t>
      </w:r>
      <w:r w:rsidRPr="0084455F">
        <w:rPr>
          <w:rFonts w:ascii="Sylfaen" w:hAnsi="Sylfaen"/>
          <w:sz w:val="24"/>
        </w:rPr>
        <w:t>կազմում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մոտ</w:t>
      </w:r>
      <w:r w:rsidRPr="0084455F">
        <w:rPr>
          <w:rFonts w:ascii="Sylfaen" w:hAnsi="Sylfaen"/>
          <w:sz w:val="24"/>
          <w:lang w:val="en-US"/>
        </w:rPr>
        <w:t xml:space="preserve"> 45–55%, </w:t>
      </w:r>
      <w:r w:rsidRPr="0084455F">
        <w:rPr>
          <w:rFonts w:ascii="Sylfaen" w:hAnsi="Sylfaen"/>
          <w:sz w:val="24"/>
        </w:rPr>
        <w:t>իսկ</w:t>
      </w:r>
      <w:r w:rsidRPr="0084455F">
        <w:rPr>
          <w:rFonts w:ascii="Sylfaen" w:hAnsi="Sylfaen"/>
          <w:sz w:val="24"/>
          <w:lang w:val="en-US"/>
        </w:rPr>
        <w:t xml:space="preserve"> </w:t>
      </w:r>
      <w:r w:rsidRPr="0084455F">
        <w:rPr>
          <w:rFonts w:ascii="Sylfaen" w:hAnsi="Sylfaen"/>
          <w:sz w:val="24"/>
        </w:rPr>
        <w:t>գրավով</w:t>
      </w:r>
      <w:r w:rsidRPr="0084455F">
        <w:rPr>
          <w:rFonts w:ascii="Sylfaen" w:hAnsi="Sylfaen"/>
          <w:sz w:val="24"/>
          <w:lang w:val="en-US"/>
        </w:rPr>
        <w:t xml:space="preserve"> </w:t>
      </w:r>
      <w:r w:rsidRPr="0084455F">
        <w:rPr>
          <w:rFonts w:ascii="Sylfaen" w:hAnsi="Sylfaen"/>
          <w:sz w:val="24"/>
        </w:rPr>
        <w:t>ապահովված</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30–40%</w:t>
      </w:r>
      <w:r w:rsidRPr="0084455F">
        <w:rPr>
          <w:rFonts w:ascii="Sylfaen" w:hAnsi="Sylfaen"/>
          <w:sz w:val="24"/>
        </w:rPr>
        <w:t>։</w:t>
      </w:r>
    </w:p>
    <w:p w:rsidR="001603A7" w:rsidRPr="00900BE8" w:rsidRDefault="00380089" w:rsidP="009B37CD">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9B37CD" w:rsidRPr="009B37CD">
        <w:rPr>
          <w:rFonts w:ascii="Sylfaen" w:eastAsia="Times New Roman" w:hAnsi="Sylfaen" w:cs="Times New Roman"/>
          <w:b/>
          <w:sz w:val="32"/>
          <w:szCs w:val="24"/>
          <w:lang w:val="hy-AM" w:eastAsia="ru-RU"/>
        </w:rPr>
        <w:t>EAD</w:t>
      </w:r>
      <w:r w:rsidR="00B97B2E" w:rsidRPr="00B97B2E">
        <w:rPr>
          <w:rFonts w:ascii="Sylfaen" w:eastAsia="Times New Roman" w:hAnsi="Sylfaen" w:cs="Times New Roman"/>
          <w:b/>
          <w:sz w:val="32"/>
          <w:szCs w:val="24"/>
          <w:lang w:val="hy-AM" w:eastAsia="ru-RU"/>
        </w:rPr>
        <w:t xml:space="preserve">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Pr>
          <w:rFonts w:ascii="Sylfaen" w:eastAsia="Times New Roman" w:hAnsi="Sylfaen" w:cs="Times New Roman"/>
          <w:sz w:val="24"/>
          <w:szCs w:val="24"/>
          <w:lang w:val="hy-AM" w:eastAsia="ru-RU"/>
        </w:rPr>
        <w:t>ի վրա այդ կորուստը կիրառվում է։</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Pr>
          <w:rFonts w:ascii="Sylfaen" w:eastAsia="Times New Roman" w:hAnsi="Sylfaen" w:cs="Times New Roman"/>
          <w:sz w:val="24"/>
          <w:szCs w:val="24"/>
          <w:lang w:val="hy-AM" w:eastAsia="ru-RU"/>
        </w:rPr>
        <w:t>զդեցությունն է ներառում իր մեջ։</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Pr>
          <w:rFonts w:ascii="Sylfaen" w:eastAsia="Times New Roman" w:hAnsi="Sylfaen" w:cs="Times New Roman"/>
          <w:sz w:val="24"/>
          <w:szCs w:val="24"/>
          <w:lang w:val="hy-AM" w:eastAsia="ru-RU"/>
        </w:rPr>
        <w:t xml:space="preserve"> կարող է աճել պարտավորությունը։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Pr>
          <w:rFonts w:ascii="Sylfaen" w:eastAsia="Times New Roman" w:hAnsi="Sylfaen" w:cs="Times New Roman"/>
          <w:sz w:val="24"/>
          <w:szCs w:val="24"/>
          <w:lang w:val="hy-AM" w:eastAsia="ru-RU"/>
        </w:rPr>
        <w:t>ին ազդեցությունը դեֆոլտի պահին։</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Pr>
          <w:rFonts w:ascii="Sylfaen" w:eastAsia="Times New Roman" w:hAnsi="Sylfaen" w:cs="Times New Roman"/>
          <w:sz w:val="24"/>
          <w:szCs w:val="24"/>
          <w:lang w:val="hy-AM" w:eastAsia="ru-RU"/>
        </w:rPr>
        <w:t>է բանկի ռիսկային ազդեցությունը։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Pr>
          <w:rFonts w:ascii="Sylfaen" w:eastAsia="Times New Roman" w:hAnsi="Sylfaen" w:cs="Times New Roman"/>
          <w:sz w:val="24"/>
          <w:szCs w:val="24"/>
          <w:lang w:val="hy-AM" w:eastAsia="ru-RU"/>
        </w:rPr>
        <w:t>զարգացումները գնահատելու համար։</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Pr>
          <w:rFonts w:ascii="Sylfaen" w:eastAsia="Times New Roman" w:hAnsi="Sylfaen" w:cs="Times New Roman"/>
          <w:sz w:val="24"/>
          <w:szCs w:val="24"/>
          <w:lang w:val="hy-AM" w:eastAsia="ru-RU"/>
        </w:rPr>
        <w:t xml:space="preserve"> հնարավոր սթրեսային սցենարները։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Pr>
          <w:rFonts w:ascii="Sylfaen" w:eastAsia="Times New Roman" w:hAnsi="Sylfaen" w:cs="Times New Roman"/>
          <w:sz w:val="24"/>
          <w:szCs w:val="24"/>
          <w:lang w:val="hy-AM" w:eastAsia="ru-RU"/>
        </w:rPr>
        <w:t>ական կայունության տեսանկյունից։</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B37CD" w:rsidRDefault="009B37CD" w:rsidP="009B37CD">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w:t>
      </w:r>
      <w:r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Pr>
          <w:rFonts w:ascii="Sylfaen" w:eastAsia="Times New Roman" w:hAnsi="Sylfaen" w:cs="Times New Roman"/>
          <w:sz w:val="24"/>
          <w:szCs w:val="24"/>
          <w:lang w:val="hy-AM" w:eastAsia="ru-RU"/>
        </w:rPr>
        <w:t xml:space="preserve"> </w:t>
      </w:r>
      <w:r w:rsidRPr="00900BE8">
        <w:rPr>
          <w:rFonts w:ascii="Sylfaen" w:eastAsia="Times New Roman" w:hAnsi="Sylfaen" w:cs="Times New Roman"/>
          <w:sz w:val="24"/>
          <w:szCs w:val="24"/>
          <w:lang w:val="hy-AM" w:eastAsia="ru-RU"/>
        </w:rPr>
        <w:t xml:space="preserve">EAD </w:t>
      </w:r>
      <w:r>
        <w:rPr>
          <w:rFonts w:ascii="Sylfaen" w:eastAsia="Times New Roman" w:hAnsi="Sylfaen" w:cs="Times New Roman"/>
          <w:sz w:val="24"/>
          <w:szCs w:val="24"/>
          <w:lang w:val="hy-AM" w:eastAsia="ru-RU"/>
        </w:rPr>
        <w:t>գործակցի բանաձևը.</w:t>
      </w:r>
    </w:p>
    <w:p w:rsidR="009B37CD" w:rsidRPr="005846C7" w:rsidRDefault="009B37CD" w:rsidP="009B37CD">
      <w:pPr>
        <w:spacing w:after="0" w:line="360" w:lineRule="auto"/>
        <w:ind w:firstLine="426"/>
        <w:jc w:val="both"/>
        <w:rPr>
          <w:rStyle w:val="s5"/>
          <w:rFonts w:ascii="Sylfaen" w:hAnsi="Sylfaen" w:cs="Times New Roman"/>
          <w:color w:val="000000"/>
          <w:sz w:val="24"/>
          <w:lang w:val="hy-AM"/>
        </w:rPr>
      </w:pPr>
      <w:r w:rsidRPr="005846C7">
        <w:rPr>
          <w:rFonts w:ascii="Sylfaen" w:hAnsi="Sylfaen" w:cs="Times New Roman"/>
          <w:color w:val="000000"/>
          <w:sz w:val="24"/>
          <w:lang w:val="hy-AM"/>
        </w:rPr>
        <w:t>Վարկային քարտերի և վարկային գծերի դեպքում EAD-ը հաշվարկվում է հետևյալ բանաձևով.</w:t>
      </w:r>
    </w:p>
    <w:p w:rsidR="009B37CD" w:rsidRPr="003C4AE1" w:rsidRDefault="009B37CD" w:rsidP="009B37CD">
      <w:pPr>
        <w:spacing w:after="0" w:line="360" w:lineRule="auto"/>
        <w:ind w:firstLine="426"/>
        <w:jc w:val="both"/>
        <w:rPr>
          <w:rStyle w:val="s5"/>
          <w:rFonts w:ascii="Sylfaen" w:hAnsi="Sylfaen" w:cs="Times New Roman"/>
          <w:color w:val="000000"/>
          <w:sz w:val="28"/>
        </w:rPr>
      </w:pPr>
      <m:oMathPara>
        <m:oMath>
          <m:r>
            <m:rPr>
              <m:sty m:val="p"/>
            </m:rPr>
            <w:rPr>
              <w:rStyle w:val="s5"/>
              <w:rFonts w:ascii="Cambria Math" w:eastAsia="Times New Roman" w:hAnsi="Cambria Math"/>
              <w:color w:val="000000"/>
              <w:sz w:val="28"/>
            </w:rPr>
            <m:t xml:space="preserve">EAD = Outstanding Balance + </m:t>
          </m:r>
          <m:d>
            <m:dPr>
              <m:ctrlPr>
                <w:rPr>
                  <w:rStyle w:val="s5"/>
                  <w:rFonts w:ascii="Cambria Math" w:eastAsia="Times New Roman" w:hAnsi="Cambria Math"/>
                  <w:color w:val="000000"/>
                  <w:sz w:val="28"/>
                </w:rPr>
              </m:ctrlPr>
            </m:dPr>
            <m:e>
              <m:r>
                <m:rPr>
                  <m:sty m:val="p"/>
                </m:rPr>
                <w:rPr>
                  <w:rStyle w:val="s5"/>
                  <w:rFonts w:ascii="Cambria Math" w:eastAsia="Times New Roman" w:hAnsi="Cambria Math"/>
                  <w:color w:val="000000"/>
                  <w:sz w:val="28"/>
                </w:rPr>
                <m:t xml:space="preserve">Credit Limit </m:t>
              </m:r>
              <m:r>
                <m:rPr>
                  <m:sty m:val="p"/>
                </m:rPr>
                <w:rPr>
                  <w:rStyle w:val="s5"/>
                  <w:rFonts w:ascii="Cambria Math" w:eastAsia="Times New Roman" w:hAnsi="Cambria Math"/>
                  <w:color w:val="000000"/>
                  <w:sz w:val="28"/>
                  <w:lang w:val="en-GB"/>
                </w:rPr>
                <m:t xml:space="preserve">x </m:t>
              </m:r>
              <m:r>
                <m:rPr>
                  <m:sty m:val="p"/>
                </m:rPr>
                <w:rPr>
                  <w:rStyle w:val="s5"/>
                  <w:rFonts w:ascii="Cambria Math" w:eastAsia="Times New Roman" w:hAnsi="Cambria Math"/>
                  <w:color w:val="000000"/>
                  <w:sz w:val="28"/>
                </w:rPr>
                <m:t>CCF</m:t>
              </m:r>
            </m:e>
          </m:d>
        </m:oMath>
      </m:oMathPara>
    </w:p>
    <w:p w:rsidR="009B37CD" w:rsidRPr="003640A1" w:rsidRDefault="009B37CD" w:rsidP="009B37CD">
      <w:pPr>
        <w:spacing w:after="0" w:line="360" w:lineRule="auto"/>
        <w:ind w:firstLine="426"/>
        <w:jc w:val="both"/>
        <w:rPr>
          <w:rFonts w:ascii="Sylfaen" w:hAnsi="Sylfaen" w:cs="Times New Roman"/>
          <w:color w:val="000000"/>
          <w:sz w:val="24"/>
          <w:lang w:val="en-US"/>
        </w:rPr>
      </w:pPr>
      <w:r w:rsidRPr="003640A1">
        <w:rPr>
          <w:rFonts w:ascii="Sylfaen" w:hAnsi="Sylfaen" w:cs="Times New Roman"/>
          <w:color w:val="000000"/>
          <w:sz w:val="24"/>
        </w:rPr>
        <w:t>որտեղ</w:t>
      </w:r>
      <w:r w:rsidRPr="003640A1">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Outstanding Balance — </w:t>
      </w:r>
      <w:r w:rsidRPr="007F42BE">
        <w:rPr>
          <w:rFonts w:ascii="Sylfaen" w:hAnsi="Sylfaen" w:cs="Times New Roman"/>
          <w:color w:val="000000"/>
          <w:sz w:val="24"/>
        </w:rPr>
        <w:t>ընթացիկ</w:t>
      </w:r>
      <w:r w:rsidRPr="007F42BE">
        <w:rPr>
          <w:rFonts w:ascii="Sylfaen" w:hAnsi="Sylfaen" w:cs="Times New Roman"/>
          <w:color w:val="000000"/>
          <w:sz w:val="24"/>
          <w:lang w:val="en-US"/>
        </w:rPr>
        <w:t xml:space="preserve"> </w:t>
      </w:r>
      <w:r w:rsidRPr="007F42BE">
        <w:rPr>
          <w:rFonts w:ascii="Sylfaen" w:hAnsi="Sylfaen" w:cs="Times New Roman"/>
          <w:color w:val="000000"/>
          <w:sz w:val="24"/>
        </w:rPr>
        <w:t>պարտք</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Credit Limit —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սահմանաչափ</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CCF (Credit Conversion Factor) —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փոխակերպման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գործակից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սովորաբար</w:t>
      </w:r>
      <w:r w:rsidRPr="007F42BE">
        <w:rPr>
          <w:rFonts w:ascii="Sylfaen" w:hAnsi="Sylfaen" w:cs="Times New Roman"/>
          <w:color w:val="000000"/>
          <w:sz w:val="24"/>
          <w:lang w:val="en-US"/>
        </w:rPr>
        <w:t xml:space="preserve"> 0.5–0.75, </w:t>
      </w:r>
      <w:r w:rsidRPr="007F42BE">
        <w:rPr>
          <w:rFonts w:ascii="Sylfaen" w:hAnsi="Sylfaen" w:cs="Times New Roman"/>
          <w:color w:val="000000"/>
          <w:sz w:val="24"/>
        </w:rPr>
        <w:t>կախված</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տեսակից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և</w:t>
      </w:r>
      <w:r w:rsidRPr="007F42BE">
        <w:rPr>
          <w:rFonts w:ascii="Sylfaen" w:hAnsi="Sylfaen" w:cs="Times New Roman"/>
          <w:color w:val="000000"/>
          <w:sz w:val="24"/>
          <w:lang w:val="en-US"/>
        </w:rPr>
        <w:t xml:space="preserve"> </w:t>
      </w:r>
      <w:r w:rsidRPr="007F42BE">
        <w:rPr>
          <w:rFonts w:ascii="Sylfaen" w:hAnsi="Sylfaen" w:cs="Times New Roman"/>
          <w:color w:val="000000"/>
          <w:sz w:val="24"/>
        </w:rPr>
        <w:t>հաճախորդի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վարքագծից</w:t>
      </w:r>
      <w:proofErr w:type="gramStart"/>
      <w:r w:rsidRPr="007F42BE">
        <w:rPr>
          <w:rFonts w:ascii="Sylfaen" w:hAnsi="Sylfaen" w:cs="Times New Roman"/>
          <w:color w:val="000000"/>
          <w:sz w:val="24"/>
          <w:lang w:val="en-US"/>
        </w:rPr>
        <w:t>)</w:t>
      </w:r>
      <w:r w:rsidRPr="007F42BE">
        <w:rPr>
          <w:rFonts w:ascii="Sylfaen" w:hAnsi="Sylfaen" w:cs="Times New Roman"/>
          <w:color w:val="000000"/>
          <w:sz w:val="24"/>
        </w:rPr>
        <w:t>։</w:t>
      </w:r>
      <w:proofErr w:type="gramEnd"/>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rPr>
      </w:pPr>
      <w:r w:rsidRPr="007F42BE">
        <w:rPr>
          <w:rFonts w:ascii="Sylfaen" w:hAnsi="Sylfaen" w:cs="Times New Roman"/>
          <w:color w:val="000000"/>
          <w:sz w:val="24"/>
        </w:rPr>
        <w:t>Գործնական նշանակությունը.</w:t>
      </w:r>
    </w:p>
    <w:p w:rsidR="009B37CD" w:rsidRPr="009B37CD" w:rsidRDefault="009B37CD" w:rsidP="009B37CD">
      <w:pPr>
        <w:ind w:firstLine="426"/>
        <w:rPr>
          <w:rFonts w:ascii="Sylfaen" w:hAnsi="Sylfaen"/>
          <w:sz w:val="24"/>
        </w:rPr>
      </w:pPr>
      <w:r w:rsidRPr="003640A1">
        <w:rPr>
          <w:rFonts w:ascii="Sylfaen" w:hAnsi="Sylfaen" w:cs="Times New Roman"/>
          <w:color w:val="000000"/>
          <w:sz w:val="24"/>
        </w:rPr>
        <w:t>EAD-ի ճշգրիտ գնահատումը հատկապես կարևոր է revolving վարկերի (վարկային քարտեր, overdraft) դեպքում, որտեղ հաճախորդը կարող է օգտագործել լրացուցիչ գումարներ մինչև դեֆոլտը։ Հայաստանի բանկերը (VTB Armenia, Converse Bank) այս պարամետրը հաշվարկում են պատմական տվյալների և վարքագծային մոդելների հիման վրա։</w:t>
      </w:r>
    </w:p>
    <w:p w:rsidR="00D53EDD" w:rsidRPr="00D53EDD" w:rsidRDefault="009B37CD" w:rsidP="009B37CD">
      <w:pPr>
        <w:spacing w:after="30"/>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w:t>
      </w:r>
      <w:r w:rsidR="00D53EDD">
        <w:rPr>
          <w:rFonts w:ascii="Sylfaen" w:eastAsia="Times New Roman" w:hAnsi="Sylfaen" w:cs="Times New Roman"/>
          <w:sz w:val="24"/>
          <w:szCs w:val="24"/>
          <w:lang w:val="hy-AM" w:eastAsia="ru-RU"/>
        </w:rPr>
        <w:t>Արդյունքում կարող ենք արտածել ECL գործակցի բանաձևը</w:t>
      </w:r>
      <w:r w:rsidR="00D53EDD"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FC3248" w:rsidRPr="00FC3248" w:rsidRDefault="00FC3248" w:rsidP="00FC3248">
      <w:pPr>
        <w:pStyle w:val="NormalWeb"/>
        <w:spacing w:before="30" w:beforeAutospacing="0" w:after="30" w:afterAutospacing="0" w:line="36" w:lineRule="atLeast"/>
        <w:rPr>
          <w:rFonts w:ascii="Sylfaen" w:hAnsi="Sylfaen"/>
          <w:b/>
          <w:sz w:val="22"/>
          <w:lang w:val="hy-AM"/>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ECL</w:t>
      </w:r>
      <w:r w:rsidR="009C6FE1">
        <w:rPr>
          <w:rFonts w:ascii="Sylfaen" w:eastAsia="Times New Roman" w:hAnsi="Sylfaen" w:cs="Times New Roman"/>
          <w:sz w:val="24"/>
          <w:szCs w:val="24"/>
          <w:lang w:val="hy-AM" w:eastAsia="ru-RU"/>
        </w:rPr>
        <w:t xml:space="preserve"> գործակցի</w:t>
      </w:r>
      <w:r w:rsidRPr="00E547CD">
        <w:rPr>
          <w:rFonts w:ascii="Sylfaen" w:eastAsia="Times New Roman" w:hAnsi="Sylfaen" w:cs="Times New Roman"/>
          <w:sz w:val="24"/>
          <w:szCs w:val="24"/>
          <w:lang w:val="hy-AM" w:eastAsia="ru-RU"/>
        </w:rPr>
        <w:t xml:space="preserve"> հաշվարկման ալգորիթմը սկսվում է Microsoft Azure ենթակառուցվածքի հիման վրա կառուցված տվյալների մշակման համակարգից, որը ներկայացված է որպես ամբողջական pipeline։ Այս համակարգը միավորում է տվյալների պահեստավորումը, մշակումը և վերլուծությունը մեկ միասնական հոսքի մեջ՝ ապահովելով գործընթացի ավտոմատացում, վերահսկելիություն և կրկնելիություն։ Ամբողջ ճարտարապետությունը կառուցված է Microsoft Azure հարթակի վրա, որը տրամադրում է հաշվարկային և պ</w:t>
      </w:r>
      <w:r>
        <w:rPr>
          <w:rFonts w:ascii="Sylfaen" w:eastAsia="Times New Roman" w:hAnsi="Sylfaen" w:cs="Times New Roman"/>
          <w:sz w:val="24"/>
          <w:szCs w:val="24"/>
          <w:lang w:val="hy-AM" w:eastAsia="ru-RU"/>
        </w:rPr>
        <w:t>ահեստային հիմնական ռեսուրսները։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Համակարգի կենտրոնական բաղադրիչը տվյալների բազան է, որը իրականացված է Azure SQL Database ծառայության միջոցով։ Այս բազան հանդիսանում է ամբողջ համակարգի տվյալների կառավարման հիմքը և ապահովում է ինչպես տվյալների երկարաժամկետ պահպանումը, այնպես էլ դրանց արդյունավետ հասանելիությունը տարբեր փուլերից։ Բազայում պահվում են ինչպես սկզբնական տվյալները, այնպես էլ pipeline-ի ընթացքում ստեղծվող միջանկյալ և վերջնական արդյունքները։ Տվյալները կազմակերպված են մի քանի առանձին աղյուսակների տեսքով՝ հիմնական տվյալների աղյուսակ, ուսուցման տվյալների աղյուսակ, թեստավորման տվյալների աղյուսակ, մոդելի պարամետրերի աղյուսակ և արդյունքների պահպանման աղյուսակ։ Այս կառուցվածքը թույլ է տալիս յուրաքանչյուր փուլին աշխատել հստակ սահմանված տվյալների հետ՝ ապահովելով համակարգի մոդուլայնությունը </w:t>
      </w:r>
      <w:r>
        <w:rPr>
          <w:rFonts w:ascii="Sylfaen" w:eastAsia="Times New Roman" w:hAnsi="Sylfaen" w:cs="Times New Roman"/>
          <w:sz w:val="24"/>
          <w:szCs w:val="24"/>
          <w:lang w:val="hy-AM" w:eastAsia="ru-RU"/>
        </w:rPr>
        <w:t>և տվյալների ամբողջականությունը։</w:t>
      </w:r>
    </w:p>
    <w:p w:rsidR="00B23403" w:rsidRDefault="00E547CD" w:rsidP="00405EAC">
      <w:pPr>
        <w:spacing w:before="30" w:after="30"/>
        <w:ind w:firstLine="426"/>
        <w:jc w:val="both"/>
        <w:rPr>
          <w:noProof/>
          <w:lang w:val="hy-AM" w:eastAsia="ru-RU"/>
        </w:rPr>
      </w:pPr>
      <w:r w:rsidRPr="00E547CD">
        <w:rPr>
          <w:rFonts w:ascii="Sylfaen" w:eastAsia="Times New Roman" w:hAnsi="Sylfaen" w:cs="Times New Roman"/>
          <w:sz w:val="24"/>
          <w:szCs w:val="24"/>
          <w:lang w:val="hy-AM" w:eastAsia="ru-RU"/>
        </w:rPr>
        <w:t>Տվյալների բազայի աշխատանքի հիմքում գտնվում է SQL լեզուն (Structured Query Language), որը հանդիսանում է հարաբերական տվյալների բազաների կառավարման հիմնական գործիքը։ SQL-ը հնարավորություն է տալիս ոչ միայն պահել և ստանալ տվյալներ, այլ նաև իրականացնել դրանց վրա տարբեր գործողություններ՝ ֆիլտրում, դասավորում, խմբավորում, ագրեգացիա և վերափոխում։ Այս հատկությունների շնորհիվ հնարավոր է իրականացնել տվյալների նախապատրաստման մի մասը անմիջապես բազայի մակարդակում՝ առանց հավելյալ հաշվարկային ծանրաբեռնվածության Python</w:t>
      </w:r>
      <w:r w:rsidR="00B23403" w:rsidRPr="00B23403">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միջավ</w:t>
      </w:r>
      <w:r>
        <w:rPr>
          <w:rFonts w:ascii="Sylfaen" w:eastAsia="Times New Roman" w:hAnsi="Sylfaen" w:cs="Times New Roman"/>
          <w:sz w:val="24"/>
          <w:szCs w:val="24"/>
          <w:lang w:val="hy-AM" w:eastAsia="ru-RU"/>
        </w:rPr>
        <w:t>այրում։</w:t>
      </w:r>
      <w:r w:rsidR="00B23403" w:rsidRPr="00B23403">
        <w:rPr>
          <w:noProof/>
          <w:lang w:val="hy-AM" w:eastAsia="ru-RU"/>
        </w:rPr>
        <w:t xml:space="preserve"> </w:t>
      </w:r>
    </w:p>
    <w:p w:rsidR="00E547CD" w:rsidRPr="00B23403" w:rsidRDefault="00B23403" w:rsidP="00B23403">
      <w:pPr>
        <w:jc w:val="both"/>
        <w:rPr>
          <w:rFonts w:ascii="Sylfaen" w:eastAsia="Times New Roman" w:hAnsi="Sylfaen" w:cs="Times New Roman"/>
          <w:sz w:val="24"/>
          <w:szCs w:val="24"/>
          <w:lang w:val="hy-AM" w:eastAsia="ru-RU"/>
        </w:rPr>
      </w:pPr>
      <w:r w:rsidRPr="00B23403">
        <w:rPr>
          <w:rFonts w:ascii="Sylfaen" w:eastAsia="Times New Roman" w:hAnsi="Sylfaen" w:cs="Times New Roman"/>
          <w:noProof/>
          <w:sz w:val="24"/>
          <w:szCs w:val="24"/>
          <w:lang w:eastAsia="ru-RU"/>
        </w:rPr>
        <w:lastRenderedPageBreak/>
        <w:drawing>
          <wp:inline distT="0" distB="0" distL="0" distR="0" wp14:anchorId="02D6EBF7" wp14:editId="1F787B85">
            <wp:extent cx="6120130" cy="5549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5549900"/>
                    </a:xfrm>
                    <a:prstGeom prst="rect">
                      <a:avLst/>
                    </a:prstGeom>
                  </pic:spPr>
                </pic:pic>
              </a:graphicData>
            </a:graphic>
          </wp:inline>
        </w:drawing>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SQL-ի կարևոր առանձնահատկություններից մեկը տվյալների կառուցվածքային կառավարումն է։ Տվյալները պահվում են աղյուսակների ձևով, որտեղ յուրաքանչյուր տող ներկայացնում է առանձին դիտարկում, իսկ սյունակները՝ համապատասխան հատկանիշներ։ Այս կառուցվածքը թույլ է տալիս հեշտությամբ իրականացնել տվյալների ընտրություն (SELECT), զտում (WHERE), դասավորում (ORDER BY) և միավորում (JOIN) տարբեր աղյուսակների միջև։ Օրինակ, pipeline-ի ընթացքում տվյալների բաժանման փուլում օգտագործվում են SQL հարցումներ, որոնք հնարավորություն են տալիս պատահական կամ կանոնավոր հիմքով առանձնացնել ուս</w:t>
      </w:r>
      <w:r>
        <w:rPr>
          <w:rFonts w:ascii="Sylfaen" w:eastAsia="Times New Roman" w:hAnsi="Sylfaen" w:cs="Times New Roman"/>
          <w:sz w:val="24"/>
          <w:szCs w:val="24"/>
          <w:lang w:val="hy-AM" w:eastAsia="ru-RU"/>
        </w:rPr>
        <w:t>ուցման և թեստավորման տվյալները։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տվյալների ընտրությունից, SQL-ը նաև ապահովում է տվյալների մանիպուլյացիայի հնարավորություններ։ INSERT, UPDATE և DELETE գործողությունների միջոցով հնարավոր է ավելացնել նոր տվյալներ, փոփոխել առկա արժեքները կամ հեռացնել ավելորդ գրառումները։ </w:t>
      </w:r>
      <w:r w:rsidR="009C6FE1" w:rsidRPr="009C6FE1">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ի </w:t>
      </w:r>
      <w:r w:rsidRPr="00E547CD">
        <w:rPr>
          <w:rFonts w:ascii="Sylfaen" w:eastAsia="Times New Roman" w:hAnsi="Sylfaen" w:cs="Times New Roman"/>
          <w:sz w:val="24"/>
          <w:szCs w:val="24"/>
          <w:lang w:val="hy-AM" w:eastAsia="ru-RU"/>
        </w:rPr>
        <w:lastRenderedPageBreak/>
        <w:t xml:space="preserve">կոնտեքստում այս գործողությունները օգտագործվում են միջանկյալ աղյուսակների ստեղծման, տվյալների թարմացման </w:t>
      </w:r>
      <w:r>
        <w:rPr>
          <w:rFonts w:ascii="Sylfaen" w:eastAsia="Times New Roman" w:hAnsi="Sylfaen" w:cs="Times New Roman"/>
          <w:sz w:val="24"/>
          <w:szCs w:val="24"/>
          <w:lang w:val="hy-AM" w:eastAsia="ru-RU"/>
        </w:rPr>
        <w:t>և արդյունքների պահպանման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մեկ այլ կարևոր ֆունկցիոնալ հնարավորություն է տվյալների ագրեգացիան և խմբավորումը։ GROUP BY և ագրեգացիոն ֆունկցիաների միջոցով հնարավոր է հաշվարկել միջին արժեքներ, գումարներ, քանակներ և այլ վիճակագրական ցուցանիշներ։ Սա հատկապես օգտակար է տվյալների նախնական վերլուծության փուլում, երբ անհրաժեշտ է հասկանալ տվյալների բաշխումը </w:t>
      </w:r>
      <w:r>
        <w:rPr>
          <w:rFonts w:ascii="Sylfaen" w:eastAsia="Times New Roman" w:hAnsi="Sylfaen" w:cs="Times New Roman"/>
          <w:sz w:val="24"/>
          <w:szCs w:val="24"/>
          <w:lang w:val="hy-AM" w:eastAsia="ru-RU"/>
        </w:rPr>
        <w:t>և հիմնական օրինաչափությունները։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Տվյալների բազայի մակարդակում իրականացվող այս գործողությունները զգալիորեն նվազեցնում են հաշվարկային ծանրաբեռնվածությունը Python միջավայրում և բարձրացնում համակարգի արդյունավետությունը։ SQL-ի միջոցով տվյալների նախնական մշակում կատարելը թույլ է տալիս </w:t>
      </w:r>
      <w:r w:rsidR="009C6FE1">
        <w:rPr>
          <w:rFonts w:ascii="Sylfaen" w:eastAsia="Times New Roman" w:hAnsi="Sylfaen" w:cs="Times New Roman"/>
          <w:sz w:val="24"/>
          <w:szCs w:val="24"/>
          <w:lang w:val="hy-AM" w:eastAsia="ru-RU"/>
        </w:rPr>
        <w:t>տ</w:t>
      </w:r>
      <w:r w:rsidR="009C6FE1" w:rsidRPr="009C6FE1">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ին աշխատել ավելի արագ և կայուն, քանի որ միայն արդեն մշակված և պատրաստ տվյալներն են փոխանցվում հաջորդ փուլերին։</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Ամբողջ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 կառավարումը իրականացվում է Azure Data Factory միջոցով, որը սահմանում և վերահսկում է փուլերի հաջորդական կատարումը։ Յուրաքանչյուր քայլ կախված է նախորդի ավարտից, ինչը ապահովում է գործընթացի ճիշտ հերթականություն և կանխում սխալների առաջացումը։ Բացի այդ, համակարգը կարող է գործարկվել ավտոմատ կերպով՝ ըստ սահմանված ժամանակացույցի կամ </w:t>
      </w:r>
      <w:r>
        <w:rPr>
          <w:rFonts w:ascii="Sylfaen" w:eastAsia="Times New Roman" w:hAnsi="Sylfaen" w:cs="Times New Roman"/>
          <w:sz w:val="24"/>
          <w:szCs w:val="24"/>
          <w:lang w:val="hy-AM" w:eastAsia="ru-RU"/>
        </w:rPr>
        <w:t>արտաքին ազդակների</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5.1</w:t>
      </w:r>
      <w:r w:rsidR="003E77E5" w:rsidRPr="003E77E5">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w:t>
      </w:r>
    </w:p>
    <w:p w:rsidR="003E77E5" w:rsidRDefault="003E77E5" w:rsidP="00405EAC">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bookmarkStart w:id="0" w:name="_GoBack"/>
      <w:bookmarkEnd w:id="0"/>
      <w:r>
        <w:rPr>
          <w:rFonts w:ascii="Sylfaen" w:eastAsia="Times New Roman" w:hAnsi="Sylfaen" w:cs="Times New Roman"/>
          <w:sz w:val="24"/>
          <w:szCs w:val="24"/>
          <w:lang w:val="hy-AM" w:eastAsia="ru-RU"/>
        </w:rPr>
        <w:t>Գծագիր 5.1</w:t>
      </w:r>
    </w:p>
    <w:p w:rsidR="003E77E5" w:rsidRPr="00E547CD" w:rsidRDefault="003E77E5" w:rsidP="00405EAC">
      <w:pPr>
        <w:spacing w:before="30" w:after="30"/>
        <w:ind w:firstLine="426"/>
        <w:jc w:val="both"/>
        <w:rPr>
          <w:rFonts w:ascii="Sylfaen" w:eastAsia="Times New Roman" w:hAnsi="Sylfaen" w:cs="Times New Roman"/>
          <w:sz w:val="24"/>
          <w:szCs w:val="24"/>
          <w:lang w:val="hy-AM" w:eastAsia="ru-RU"/>
        </w:rPr>
      </w:pPr>
      <w:r w:rsidRPr="003E77E5">
        <w:rPr>
          <w:rFonts w:ascii="Sylfaen" w:eastAsia="Times New Roman" w:hAnsi="Sylfaen" w:cs="Times New Roman"/>
          <w:sz w:val="24"/>
          <w:szCs w:val="24"/>
          <w:lang w:val="hy-AM" w:eastAsia="ru-RU"/>
        </w:rPr>
        <w:drawing>
          <wp:inline distT="0" distB="0" distL="0" distR="0" wp14:anchorId="484B1702" wp14:editId="763E3D77">
            <wp:extent cx="3299529" cy="4037163"/>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9511" cy="4073848"/>
                    </a:xfrm>
                    <a:prstGeom prst="rect">
                      <a:avLst/>
                    </a:prstGeom>
                  </pic:spPr>
                </pic:pic>
              </a:graphicData>
            </a:graphic>
          </wp:inline>
        </w:drawing>
      </w:r>
    </w:p>
    <w:p w:rsidR="00E547CD" w:rsidRP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lastRenderedPageBreak/>
        <w:t>Տվյալային խողովակաշար</w:t>
      </w:r>
      <w:r w:rsidR="00E547CD" w:rsidRPr="00E547CD">
        <w:rPr>
          <w:rFonts w:ascii="Sylfaen" w:eastAsia="Times New Roman" w:hAnsi="Sylfaen" w:cs="Times New Roman"/>
          <w:sz w:val="24"/>
          <w:szCs w:val="24"/>
          <w:lang w:val="hy-AM" w:eastAsia="ru-RU"/>
        </w:rPr>
        <w:t xml:space="preserve">ի առաջին փուլում իրականացվում է տվյալների պատրաստում և բաժանում։ Սկզբնական տվյալները վերցվում են հիմնական աղյուսակից և յուրաքանչյուր գործարկման ժամանակ պատահականորեն խառնվում են՝ ապահովելով տարբեր բաշխումներ յուրաքանչյուր </w:t>
      </w:r>
      <w:r w:rsidR="006A7B0A">
        <w:rPr>
          <w:rFonts w:ascii="Sylfaen" w:eastAsia="Times New Roman" w:hAnsi="Sylfaen" w:cs="Times New Roman"/>
          <w:sz w:val="24"/>
          <w:szCs w:val="24"/>
          <w:lang w:val="hy-AM" w:eastAsia="ru-RU"/>
        </w:rPr>
        <w:t>աշխատացման ժամանակ</w:t>
      </w:r>
      <w:r w:rsidR="00E547CD" w:rsidRPr="00E547CD">
        <w:rPr>
          <w:rFonts w:ascii="Sylfaen" w:eastAsia="Times New Roman" w:hAnsi="Sylfaen" w:cs="Times New Roman"/>
          <w:sz w:val="24"/>
          <w:szCs w:val="24"/>
          <w:lang w:val="hy-AM" w:eastAsia="ru-RU"/>
        </w:rPr>
        <w:t>։ Այս պատահականացումը կատարվում է SQL մակարդակում՝ առանց հիմնական տվյալների փոփոխման։ Խառնված տվյալների հիման վրա ձևավորվում են երկու ենթաբազմություններ՝ ուսուցման տվյալներ և թեստավորման տվյալներ, որոնք պահպանվում են առանձին աղյուսակներում։ Այս մոտեցումը ապահովում է, որ յուրաքանչյուր փորձարկման ժամանակ մոդելը աշխատի տարբեր տվյալային բաշխումների վրա՝ բարձրացնե</w:t>
      </w:r>
      <w:r w:rsidR="00E547CD">
        <w:rPr>
          <w:rFonts w:ascii="Sylfaen" w:eastAsia="Times New Roman" w:hAnsi="Sylfaen" w:cs="Times New Roman"/>
          <w:sz w:val="24"/>
          <w:szCs w:val="24"/>
          <w:lang w:val="hy-AM" w:eastAsia="ru-RU"/>
        </w:rPr>
        <w:t>լով գնահատման օբյեկտիվությունը։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Հաջորդ փուլում իրականացվում է մոդելի ուսուցումը։ Այս փուլում Python </w:t>
      </w:r>
      <w:r w:rsidR="006A7B0A">
        <w:rPr>
          <w:rFonts w:ascii="Sylfaen" w:eastAsia="Times New Roman" w:hAnsi="Sylfaen" w:cs="Times New Roman"/>
          <w:sz w:val="24"/>
          <w:szCs w:val="24"/>
          <w:lang w:val="hy-AM" w:eastAsia="ru-RU"/>
        </w:rPr>
        <w:t>լեզվով գրված ծրագիրը</w:t>
      </w:r>
      <w:r w:rsidRPr="00E547CD">
        <w:rPr>
          <w:rFonts w:ascii="Sylfaen" w:eastAsia="Times New Roman" w:hAnsi="Sylfaen" w:cs="Times New Roman"/>
          <w:sz w:val="24"/>
          <w:szCs w:val="24"/>
          <w:lang w:val="hy-AM" w:eastAsia="ru-RU"/>
        </w:rPr>
        <w:t xml:space="preserve"> </w:t>
      </w:r>
      <w:r w:rsidR="006A7B0A">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բազայից կարդում է ուսուցման </w:t>
      </w:r>
      <w:r w:rsidR="003402B8">
        <w:rPr>
          <w:rFonts w:ascii="Sylfaen" w:eastAsia="Times New Roman" w:hAnsi="Sylfaen" w:cs="Times New Roman"/>
          <w:sz w:val="24"/>
          <w:szCs w:val="24"/>
          <w:lang w:val="hy-AM" w:eastAsia="ru-RU"/>
        </w:rPr>
        <w:t xml:space="preserve">համար առանձնացված </w:t>
      </w:r>
      <w:r w:rsidRPr="00E547CD">
        <w:rPr>
          <w:rFonts w:ascii="Sylfaen" w:eastAsia="Times New Roman" w:hAnsi="Sylfaen" w:cs="Times New Roman"/>
          <w:sz w:val="24"/>
          <w:szCs w:val="24"/>
          <w:lang w:val="hy-AM" w:eastAsia="ru-RU"/>
        </w:rPr>
        <w:t>տվյալները և կիրառում է լոգիստիկ ռեգրեսիայի ալգորիթմ</w:t>
      </w:r>
      <w:r w:rsidR="003402B8">
        <w:rPr>
          <w:rFonts w:ascii="Sylfaen" w:eastAsia="Times New Roman" w:hAnsi="Sylfaen" w:cs="Times New Roman"/>
          <w:sz w:val="24"/>
          <w:szCs w:val="24"/>
          <w:lang w:val="hy-AM" w:eastAsia="ru-RU"/>
        </w:rPr>
        <w:t>ի միջոցով մշակում է մոդելը</w:t>
      </w:r>
      <w:r w:rsidRPr="00E547CD">
        <w:rPr>
          <w:rFonts w:ascii="Sylfaen" w:eastAsia="Times New Roman" w:hAnsi="Sylfaen" w:cs="Times New Roman"/>
          <w:sz w:val="24"/>
          <w:szCs w:val="24"/>
          <w:lang w:val="hy-AM" w:eastAsia="ru-RU"/>
        </w:rPr>
        <w:t>։ Ալգորիթմի նպատակն է գտնել կապ մուտքային հատկանիշների և նպատակային փոփոխականի միջև՝ հաշվարկելով հ</w:t>
      </w:r>
      <w:r w:rsidR="003402B8">
        <w:rPr>
          <w:rFonts w:ascii="Sylfaen" w:eastAsia="Times New Roman" w:hAnsi="Sylfaen" w:cs="Times New Roman"/>
          <w:sz w:val="24"/>
          <w:szCs w:val="24"/>
          <w:lang w:val="hy-AM" w:eastAsia="ru-RU"/>
        </w:rPr>
        <w:t>ամապատասխան կշռային գործակիցները</w:t>
      </w:r>
      <w:r w:rsidRPr="00E547CD">
        <w:rPr>
          <w:rFonts w:ascii="Sylfaen" w:eastAsia="Times New Roman" w:hAnsi="Sylfaen" w:cs="Times New Roman"/>
          <w:sz w:val="24"/>
          <w:szCs w:val="24"/>
          <w:lang w:val="hy-AM" w:eastAsia="ru-RU"/>
        </w:rPr>
        <w:t xml:space="preserve">։ Հաշվարկները իրականացվում են </w:t>
      </w:r>
      <w:r w:rsidR="003402B8">
        <w:rPr>
          <w:rFonts w:ascii="Sylfaen" w:eastAsia="Times New Roman" w:hAnsi="Sylfaen" w:cs="Times New Roman"/>
          <w:sz w:val="24"/>
          <w:szCs w:val="24"/>
          <w:lang w:val="hy-AM" w:eastAsia="ru-RU"/>
        </w:rPr>
        <w:t>իտեռացիոն</w:t>
      </w:r>
      <w:r w:rsidRPr="00E547CD">
        <w:rPr>
          <w:rFonts w:ascii="Sylfaen" w:eastAsia="Times New Roman" w:hAnsi="Sylfaen" w:cs="Times New Roman"/>
          <w:sz w:val="24"/>
          <w:szCs w:val="24"/>
          <w:lang w:val="hy-AM" w:eastAsia="ru-RU"/>
        </w:rPr>
        <w:t xml:space="preserve"> գործընթացով, որտեղ յուրաքանչյուր </w:t>
      </w:r>
      <w:r w:rsidR="003402B8">
        <w:rPr>
          <w:rFonts w:ascii="Sylfaen" w:eastAsia="Times New Roman" w:hAnsi="Sylfaen" w:cs="Times New Roman"/>
          <w:sz w:val="24"/>
          <w:szCs w:val="24"/>
          <w:lang w:val="hy-AM" w:eastAsia="ru-RU"/>
        </w:rPr>
        <w:t>իտեռացիայի ժամանակ</w:t>
      </w:r>
      <w:r w:rsidRPr="00E547CD">
        <w:rPr>
          <w:rFonts w:ascii="Sylfaen" w:eastAsia="Times New Roman" w:hAnsi="Sylfaen" w:cs="Times New Roman"/>
          <w:sz w:val="24"/>
          <w:szCs w:val="24"/>
          <w:lang w:val="hy-AM" w:eastAsia="ru-RU"/>
        </w:rPr>
        <w:t xml:space="preserve"> մոդելի պարամետրերը աստիճ</w:t>
      </w:r>
      <w:r w:rsidR="003402B8">
        <w:rPr>
          <w:rFonts w:ascii="Sylfaen" w:eastAsia="Times New Roman" w:hAnsi="Sylfaen" w:cs="Times New Roman"/>
          <w:sz w:val="24"/>
          <w:szCs w:val="24"/>
          <w:lang w:val="hy-AM" w:eastAsia="ru-RU"/>
        </w:rPr>
        <w:t>անաբար ճշգրտվում են՝ նվազեցնելով</w:t>
      </w:r>
      <w:r w:rsidRPr="00E547CD">
        <w:rPr>
          <w:rFonts w:ascii="Sylfaen" w:eastAsia="Times New Roman" w:hAnsi="Sylfaen" w:cs="Times New Roman"/>
          <w:sz w:val="24"/>
          <w:szCs w:val="24"/>
          <w:lang w:val="hy-AM" w:eastAsia="ru-RU"/>
        </w:rPr>
        <w:t xml:space="preserve"> կանխատեսման սխալը։ Հաշվարկային գործընթացում օգտագործվում են NumPy գրադարանը՝ վեկտորային հաշվարկների համար, և pandas գրադարա</w:t>
      </w:r>
      <w:r>
        <w:rPr>
          <w:rFonts w:ascii="Sylfaen" w:eastAsia="Times New Roman" w:hAnsi="Sylfaen" w:cs="Times New Roman"/>
          <w:sz w:val="24"/>
          <w:szCs w:val="24"/>
          <w:lang w:val="hy-AM" w:eastAsia="ru-RU"/>
        </w:rPr>
        <w:t>նը՝ տվյալների կառավարման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Ուսուցման ավարտից հետո ստացված մոդելի պարամետրերը պահպանվում են տվյալների բազայում՝ առանձին աղյուսակում։ Սա թույլ է տալիս հետագայում օգտագործել արդեն </w:t>
      </w:r>
      <w:r w:rsidR="003402B8">
        <w:rPr>
          <w:rFonts w:ascii="Sylfaen" w:eastAsia="Times New Roman" w:hAnsi="Sylfaen" w:cs="Times New Roman"/>
          <w:sz w:val="24"/>
          <w:szCs w:val="24"/>
          <w:lang w:val="hy-AM" w:eastAsia="ru-RU"/>
        </w:rPr>
        <w:t>մշակված</w:t>
      </w:r>
      <w:r w:rsidRPr="00E547CD">
        <w:rPr>
          <w:rFonts w:ascii="Sylfaen" w:eastAsia="Times New Roman" w:hAnsi="Sylfaen" w:cs="Times New Roman"/>
          <w:sz w:val="24"/>
          <w:szCs w:val="24"/>
          <w:lang w:val="hy-AM" w:eastAsia="ru-RU"/>
        </w:rPr>
        <w:t xml:space="preserve"> մոդելը առանց կրկնակի հաշվարկների և ապահովում է արդյունքների վերարտադրելիություն</w:t>
      </w:r>
      <w:r w:rsidR="00DD2EF7">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Պարամետրերի պահպանումը նաև հնարավորություն է տալիս հետևել </w:t>
      </w:r>
      <w:r w:rsidR="00DD2EF7" w:rsidRPr="00E547CD">
        <w:rPr>
          <w:rFonts w:ascii="Sylfaen" w:eastAsia="Times New Roman" w:hAnsi="Sylfaen" w:cs="Times New Roman"/>
          <w:sz w:val="24"/>
          <w:szCs w:val="24"/>
          <w:lang w:val="hy-AM" w:eastAsia="ru-RU"/>
        </w:rPr>
        <w:t xml:space="preserve">տարբեր </w:t>
      </w:r>
      <w:r w:rsidR="00DD2EF7">
        <w:rPr>
          <w:rFonts w:ascii="Sylfaen" w:eastAsia="Times New Roman" w:hAnsi="Sylfaen" w:cs="Times New Roman"/>
          <w:sz w:val="24"/>
          <w:szCs w:val="24"/>
          <w:lang w:val="hy-AM" w:eastAsia="ru-RU"/>
        </w:rPr>
        <w:t xml:space="preserve">մոդելներին </w:t>
      </w:r>
      <w:r w:rsidRPr="00E547CD">
        <w:rPr>
          <w:rFonts w:ascii="Sylfaen" w:eastAsia="Times New Roman" w:hAnsi="Sylfaen" w:cs="Times New Roman"/>
          <w:sz w:val="24"/>
          <w:szCs w:val="24"/>
          <w:lang w:val="hy-AM" w:eastAsia="ru-RU"/>
        </w:rPr>
        <w:t>և համեմ</w:t>
      </w:r>
      <w:r>
        <w:rPr>
          <w:rFonts w:ascii="Sylfaen" w:eastAsia="Times New Roman" w:hAnsi="Sylfaen" w:cs="Times New Roman"/>
          <w:sz w:val="24"/>
          <w:szCs w:val="24"/>
          <w:lang w:val="hy-AM" w:eastAsia="ru-RU"/>
        </w:rPr>
        <w:t>ատել դրանց արդյունավետությունը։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Հաջորդ փուլում իրականացվում է մոդելի թեստավորմ</w:t>
      </w:r>
      <w:r w:rsidR="00DD2EF7">
        <w:rPr>
          <w:rFonts w:ascii="Sylfaen" w:eastAsia="Times New Roman" w:hAnsi="Sylfaen" w:cs="Times New Roman"/>
          <w:sz w:val="24"/>
          <w:szCs w:val="24"/>
          <w:lang w:val="hy-AM" w:eastAsia="ru-RU"/>
        </w:rPr>
        <w:t>ը նախօրոք առանձնացված</w:t>
      </w:r>
      <w:r w:rsidRPr="00E547CD">
        <w:rPr>
          <w:rFonts w:ascii="Sylfaen" w:eastAsia="Times New Roman" w:hAnsi="Sylfaen" w:cs="Times New Roman"/>
          <w:sz w:val="24"/>
          <w:szCs w:val="24"/>
          <w:lang w:val="hy-AM" w:eastAsia="ru-RU"/>
        </w:rPr>
        <w:t xml:space="preserve"> տվյալների</w:t>
      </w:r>
      <w:r w:rsidR="00DD2EF7">
        <w:rPr>
          <w:rFonts w:ascii="Sylfaen" w:eastAsia="Times New Roman" w:hAnsi="Sylfaen" w:cs="Times New Roman"/>
          <w:sz w:val="24"/>
          <w:szCs w:val="24"/>
          <w:lang w:val="hy-AM" w:eastAsia="ru-RU"/>
        </w:rPr>
        <w:t xml:space="preserve"> բազայի</w:t>
      </w:r>
      <w:r w:rsidRPr="00E547CD">
        <w:rPr>
          <w:rFonts w:ascii="Sylfaen" w:eastAsia="Times New Roman" w:hAnsi="Sylfaen" w:cs="Times New Roman"/>
          <w:sz w:val="24"/>
          <w:szCs w:val="24"/>
          <w:lang w:val="hy-AM" w:eastAsia="ru-RU"/>
        </w:rPr>
        <w:t xml:space="preserve"> վրա։ Այս փուլում համակարգը բազայից կարդում է թե՛ թեստային տվյալները, թե՛ մոդելի պարամետրերը։ Յուրաքանչյուր դիտարկման համար հաշվարկվում է հավանականություն, որը ներկայացնում է տվյալ դեպքի պատկանելությունը որոշակի դասին։ Այդ հավանականության հիման վրա կատարվում է դասակարգում՝ օգտագործելով սահմանված շեմային արժեք։ Ստացված արդյունքները համեմատվում են իրական արժեքների հետ, և հաշվարկվում է մոդելի ճշտությունը</w:t>
      </w:r>
      <w:r w:rsidR="00DD2EF7">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Բացի այդ, յուրաքանչյուր դիտարկման համար ստացված հավանականությունները պահպանվում են տվյալների բազայում՝ հ</w:t>
      </w:r>
      <w:r>
        <w:rPr>
          <w:rFonts w:ascii="Sylfaen" w:eastAsia="Times New Roman" w:hAnsi="Sylfaen" w:cs="Times New Roman"/>
          <w:sz w:val="24"/>
          <w:szCs w:val="24"/>
          <w:lang w:val="hy-AM" w:eastAsia="ru-RU"/>
        </w:rPr>
        <w:t>ետագա վերլուծությունների համար։</w:t>
      </w:r>
    </w:p>
    <w:p w:rsid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կառուցվածքը հիմնված է մոդուլային մոտեցման վրա, որտեղ յուրաքանչյուր փուլ ունի հստակ սահմանված գործառույթ։ Սա թույլ է տալիս հեշտությամբ փոփոխել կամ ընդլայնել համակարգը՝ առանց ամբողջ կառուցվածքը վերափոխելու։ Բոլոր փուլերը փոխկապակցված են, սակայն միաժամանակ կարող են </w:t>
      </w:r>
      <w:r w:rsidR="00E547CD" w:rsidRPr="00E547CD">
        <w:rPr>
          <w:rFonts w:ascii="Sylfaen" w:eastAsia="Times New Roman" w:hAnsi="Sylfaen" w:cs="Times New Roman"/>
          <w:sz w:val="24"/>
          <w:szCs w:val="24"/>
          <w:lang w:val="hy-AM" w:eastAsia="ru-RU"/>
        </w:rPr>
        <w:lastRenderedPageBreak/>
        <w:t>դիտարկվել որպես անկախ մոդուլներ, ինչը կարևոր է համակարգի կայունության և</w:t>
      </w:r>
      <w:r w:rsidR="00E547CD">
        <w:rPr>
          <w:rFonts w:ascii="Sylfaen" w:eastAsia="Times New Roman" w:hAnsi="Sylfaen" w:cs="Times New Roman"/>
          <w:sz w:val="24"/>
          <w:szCs w:val="24"/>
          <w:lang w:val="hy-AM" w:eastAsia="ru-RU"/>
        </w:rPr>
        <w:t xml:space="preserve"> մասշտաբայնության տեսանկյունից։</w:t>
      </w:r>
    </w:p>
    <w:p w:rsidR="00D64407" w:rsidRDefault="00405EAC" w:rsidP="00405EAC">
      <w:pPr>
        <w:spacing w:before="30" w:after="30"/>
        <w:ind w:firstLine="426"/>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 xml:space="preserve">PD արժեքների հաշվարկումից հետո համակարգը անցնում է հաջորդ փուլ, որտեղ հիմք ընդունելով արդեն ստացված դեֆոլտի հավանականությունները՝ իրականացվում է </w:t>
      </w:r>
    </w:p>
    <w:p w:rsidR="00405EAC" w:rsidRPr="00405EAC" w:rsidRDefault="00D64407" w:rsidP="00D64407">
      <w:pPr>
        <w:spacing w:before="30" w:after="30"/>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LGD (Loss Given Default) ցուցանիշի գնահատմանը։ Այս փուլում համակարգը կենտրոնանում է այն բանի վրա, թե որքան մասն է հնարավոր կորուստի ենթակա լինելու, եթե դեֆոլտ տեղի ունենա։ LGD-ն արտահայտում է այն տոկոսային կամ հարաբերական չափը, որը ցույց է տալիս պարտքի չվերականգնվող մասը։ Հաշվարկը կարող է իրականացվել ինչպես պատմական տվյալների հիման վրա կառուցված մոդելներով, այնպես էլ պարզեցված մոտեցմամբ՝ օգտագործելով հաստատուն կամ կիսադինամիկ գործակիցներ։ Այս փուլում հաճախ հաշվի են առնվում լրացուցիչ գործոններ, ինչպիսիք են ապահովվածությունը, գրավի առկայությունը կամ հաճախորդի ռիսկային պրոֆիլը։ Ստացված LGD արժեքները նույնպես պահպանվում են տվյալների բազայում՝ որպես յուրաքանչյուր հաճախոր</w:t>
      </w:r>
      <w:r>
        <w:rPr>
          <w:rFonts w:ascii="Sylfaen" w:eastAsia="Times New Roman" w:hAnsi="Sylfaen" w:cs="Times New Roman"/>
          <w:sz w:val="24"/>
          <w:szCs w:val="24"/>
          <w:lang w:val="hy-AM" w:eastAsia="ru-RU"/>
        </w:rPr>
        <w:t>դի ռիսկային բնութագրի բաղադրիչ։</w:t>
      </w:r>
    </w:p>
    <w:p w:rsidR="00405EAC" w:rsidRP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հաշվարկից հետո </w:t>
      </w:r>
      <w:r w:rsidR="008723FE">
        <w:rPr>
          <w:rFonts w:ascii="Sylfaen" w:eastAsia="Times New Roman" w:hAnsi="Sylfaen" w:cs="Times New Roman"/>
          <w:sz w:val="24"/>
          <w:szCs w:val="24"/>
          <w:lang w:val="hy-AM" w:eastAsia="ru-RU"/>
        </w:rPr>
        <w:t>Տվյալային խողովակաշար</w:t>
      </w:r>
      <w:r w:rsidR="00405EAC" w:rsidRPr="00405EAC">
        <w:rPr>
          <w:rFonts w:ascii="Sylfaen" w:eastAsia="Times New Roman" w:hAnsi="Sylfaen" w:cs="Times New Roman"/>
          <w:sz w:val="24"/>
          <w:szCs w:val="24"/>
          <w:lang w:val="hy-AM" w:eastAsia="ru-RU"/>
        </w:rPr>
        <w:t xml:space="preserve">ը անցնում է </w:t>
      </w:r>
      <w:r w:rsidRPr="00405EAC">
        <w:rPr>
          <w:rFonts w:ascii="Sylfaen" w:eastAsia="Times New Roman" w:hAnsi="Sylfaen" w:cs="Times New Roman"/>
          <w:sz w:val="24"/>
          <w:szCs w:val="24"/>
          <w:lang w:val="hy-AM" w:eastAsia="ru-RU"/>
        </w:rPr>
        <w:t>EAD (Exposure at Default) ցուցանիշի հաշվարկը։ Այս փուլում յուրաքանչյուր հաճախորդի համար գնահատվում է այն հնարավոր ֆինանսական պարտավորության չափը, որը կարող է գոյություն ունենալ դեֆոլտի պահին։ Հաշվարկը իրականացվում է տվյալների բազայում պահվող հաճախորդների վարկային տեղեկատվության հիման վրա՝ հաշվի առնելով առկա մնացորդները, օգտագործված վարկային սահմանաչափերը և ընդհանուր պարտավորությունների կառուցվածքը։ Այս գործընթացը թույլ է տալիս յուրաքանչյուր դիտարկման համար ստանալ անհատականացված EAD արժեք, որը արտացոլում է տվյալ հաճախորդի հնարավոր ազդեցությունը ռիսկի տեսանկյունից։ Ստացված արդյունքները պահպանվում են տվյալների բազայում և հետագայում օգտագործվում են ընդհանուր ECL հաշվարկի մեջ։</w:t>
      </w:r>
    </w:p>
    <w:p w:rsid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EAD</w:t>
      </w:r>
      <w:r w:rsidR="00405EAC" w:rsidRPr="00405EAC">
        <w:rPr>
          <w:rFonts w:ascii="Sylfaen" w:eastAsia="Times New Roman" w:hAnsi="Sylfaen" w:cs="Times New Roman"/>
          <w:sz w:val="24"/>
          <w:szCs w:val="24"/>
          <w:lang w:val="hy-AM" w:eastAsia="ru-RU"/>
        </w:rPr>
        <w:t xml:space="preserve"> հաշվարկի ավարտից հետո համակարգը անցնում է վերջնական փուլին, որտեղ համադրվում են արդեն ստացված բոլոր բաղադրիչները՝ PD, </w:t>
      </w: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և </w:t>
      </w:r>
      <w:r w:rsidRPr="00D64407">
        <w:rPr>
          <w:rFonts w:ascii="Sylfaen" w:eastAsia="Times New Roman" w:hAnsi="Sylfaen" w:cs="Times New Roman"/>
          <w:sz w:val="24"/>
          <w:szCs w:val="24"/>
          <w:lang w:val="hy-AM" w:eastAsia="ru-RU"/>
        </w:rPr>
        <w:t>EA</w:t>
      </w:r>
      <w:r w:rsidRPr="003E77E5">
        <w:rPr>
          <w:rFonts w:ascii="Sylfaen" w:eastAsia="Times New Roman" w:hAnsi="Sylfaen" w:cs="Times New Roman"/>
          <w:sz w:val="24"/>
          <w:szCs w:val="24"/>
          <w:lang w:val="hy-AM" w:eastAsia="ru-RU"/>
        </w:rPr>
        <w:t>D</w:t>
      </w:r>
      <w:r w:rsidR="00405EAC" w:rsidRPr="00405EAC">
        <w:rPr>
          <w:rFonts w:ascii="Sylfaen" w:eastAsia="Times New Roman" w:hAnsi="Sylfaen" w:cs="Times New Roman"/>
          <w:sz w:val="24"/>
          <w:szCs w:val="24"/>
          <w:lang w:val="hy-AM" w:eastAsia="ru-RU"/>
        </w:rPr>
        <w:t>։ Այս փուլում իրականացվում է վերջնական ECL (Expected Credit Loss) արժեքի հաշվարկը, որը ներկայացնում է յուրաքանչյուր հաճախորդի համար սպասվող ֆինանսական կորուստը։ Այս հաշվարկը կատարվում է յուրաքանչյուր դիտարկման համար առանձին՝ ապահովելով անհատական գնահատում։ Ստացված ECL արժեքները պահվում են տվյալների բազայում և օգտագործվում են հետագա վերլուծությունների, հաշվետվությունների և ռիսկերի կառավարման գործընթացներում։</w:t>
      </w:r>
    </w:p>
    <w:p w:rsidR="00405EAC" w:rsidRPr="00E547CD" w:rsidRDefault="00405EAC"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Այս հաշվարկի արդյունքում ստացվում է հավանականություն, որը օգտագործվում է որպես հիմք Expected Credit Loss (ECL) արժեքի հաշվարկման համար։ ECL-ը հաշվարկվում է մի քանի գործակիցների համադրությամբ, որոնցից հիմնականներն են դեֆոլտի հավանականությունը, կորուստը դեֆոլտի դեպքում և ազդեցության չափը։ Յուրաքանչյուր հաճախորդի համար հաշվարկվում է այս գործակիցների համակցված արժեքը, որը ներկայացնում</w:t>
      </w:r>
      <w:r>
        <w:rPr>
          <w:rFonts w:ascii="Sylfaen" w:eastAsia="Times New Roman" w:hAnsi="Sylfaen" w:cs="Times New Roman"/>
          <w:sz w:val="24"/>
          <w:szCs w:val="24"/>
          <w:lang w:val="hy-AM" w:eastAsia="ru-RU"/>
        </w:rPr>
        <w:t xml:space="preserve"> է սպասվող ֆինանսական կորուստը։</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lastRenderedPageBreak/>
        <w:t xml:space="preserve">Բացի հիմնական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ից, համակարգում իրականացվում է նաև երկրորդ՝ ավելի պարզեցված գործընթաց, որը նախատեսված է հաճախորդների ռիսկի գնահատման համար։ Այս դեպքում մուտքային տվյալները ներկայացնում են հաճախորդների բնութագրերը, որոնք պահվում են տվյալների բազայում։ Գործընթացի սկզբում բազայից կարդացվում են արդեն ուսուցված մոդելի պարամետրերը, այնուհետև այդ մոդելը կիրառվում է </w:t>
      </w:r>
      <w:r>
        <w:rPr>
          <w:rFonts w:ascii="Sylfaen" w:eastAsia="Times New Roman" w:hAnsi="Sylfaen" w:cs="Times New Roman"/>
          <w:sz w:val="24"/>
          <w:szCs w:val="24"/>
          <w:lang w:val="hy-AM" w:eastAsia="ru-RU"/>
        </w:rPr>
        <w:t>նոր հաճախորդների տվյալների վրա</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w:t>
      </w:r>
      <w:r w:rsidR="003E77E5">
        <w:rPr>
          <w:rFonts w:ascii="Sylfaen" w:eastAsia="Times New Roman" w:hAnsi="Sylfaen" w:cs="Times New Roman"/>
          <w:sz w:val="24"/>
          <w:szCs w:val="24"/>
          <w:lang w:val="hy-AM" w:eastAsia="ru-RU"/>
        </w:rPr>
        <w:t>2</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w:t>
      </w:r>
    </w:p>
    <w:p w:rsidR="003E77E5" w:rsidRDefault="003E77E5" w:rsidP="00405EAC">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Գծագիր 5.2</w:t>
      </w:r>
    </w:p>
    <w:p w:rsidR="003E77E5" w:rsidRPr="00E547CD" w:rsidRDefault="003E77E5" w:rsidP="00405EAC">
      <w:pPr>
        <w:spacing w:before="30" w:after="30"/>
        <w:ind w:firstLine="426"/>
        <w:jc w:val="both"/>
        <w:rPr>
          <w:rFonts w:ascii="Sylfaen" w:eastAsia="Times New Roman" w:hAnsi="Sylfaen" w:cs="Times New Roman"/>
          <w:sz w:val="24"/>
          <w:szCs w:val="24"/>
          <w:lang w:val="hy-AM" w:eastAsia="ru-RU"/>
        </w:rPr>
      </w:pPr>
      <w:r w:rsidRPr="003E77E5">
        <w:rPr>
          <w:rFonts w:ascii="Sylfaen" w:eastAsia="Times New Roman" w:hAnsi="Sylfaen" w:cs="Times New Roman"/>
          <w:sz w:val="24"/>
          <w:szCs w:val="24"/>
          <w:lang w:val="hy-AM" w:eastAsia="ru-RU"/>
        </w:rPr>
        <w:drawing>
          <wp:inline distT="0" distB="0" distL="0" distR="0" wp14:anchorId="0390A8AA" wp14:editId="23BDAE4C">
            <wp:extent cx="1952898" cy="4029637"/>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52898" cy="4029637"/>
                    </a:xfrm>
                    <a:prstGeom prst="rect">
                      <a:avLst/>
                    </a:prstGeom>
                  </pic:spPr>
                </pic:pic>
              </a:graphicData>
            </a:graphic>
          </wp:inline>
        </w:drawing>
      </w:r>
    </w:p>
    <w:p w:rsidR="002C7D6B"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երկրորդ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ը ավելի պարզ կառուցվածք ունի, քանի որ չի ներառում տվյալների բաժանում կամ մոդելի ուսուցում։ Այն կենտրոնացած է միայն արդեն պատրաստ մոդելի կիրառման վրա և կարող է գործարկվել հաճախակի՝ նոր տվյալների մուտքագրման դեպքում։ Ստացված արդյունքները կարող են պահպանվել տվյալների բազայում կամ օգտագործվել հաշվետվությունների և ռիսկերի վերլուծության համար։</w:t>
      </w:r>
      <w:r w:rsidR="002C7D6B" w:rsidRPr="00E547CD">
        <w:rPr>
          <w:rFonts w:ascii="Sylfaen" w:hAnsi="Sylfaen"/>
          <w:lang w:val="hy-AM"/>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405EAC" w:rsidRDefault="00405EAC" w:rsidP="002C7D6B">
      <w:pPr>
        <w:pStyle w:val="NormalWeb"/>
        <w:spacing w:before="30" w:beforeAutospacing="0" w:after="30" w:afterAutospacing="0"/>
        <w:ind w:firstLine="426"/>
        <w:jc w:val="both"/>
        <w:rPr>
          <w:rFonts w:ascii="Sylfaen" w:hAnsi="Sylfaen"/>
          <w:lang w:val="hy-AM"/>
        </w:rPr>
      </w:pP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Ձեր մշակած ալգորիթմը, որը կառուցված է staging, CCF, MPD, PD, EAD, LGD</w:t>
      </w:r>
      <w:r w:rsidR="00A5563C">
        <w:rPr>
          <w:rFonts w:ascii="Sylfaen" w:hAnsi="Sylfaen"/>
          <w:lang w:val="hy-AM"/>
        </w:rPr>
        <w:t>-</w:t>
      </w:r>
      <w:r w:rsidRPr="002C7D6B">
        <w:rPr>
          <w:rFonts w:ascii="Sylfaen" w:hAnsi="Sylfaen"/>
          <w:lang w:val="hy-AM"/>
        </w:rPr>
        <w:t>Stat, LGD</w:t>
      </w:r>
      <w:r w:rsidR="00A5563C">
        <w:rPr>
          <w:rFonts w:ascii="Sylfaen" w:hAnsi="Sylfaen"/>
          <w:lang w:val="hy-AM"/>
        </w:rPr>
        <w:t>-</w:t>
      </w:r>
      <w:r w:rsidRPr="002C7D6B">
        <w:rPr>
          <w:rFonts w:ascii="Sylfaen" w:hAnsi="Sylfaen"/>
          <w:lang w:val="hy-AM"/>
        </w:rPr>
        <w:t xml:space="preserve">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405EAC" w:rsidRPr="00405EAC" w:rsidRDefault="00405EAC" w:rsidP="00CD110A">
      <w:pPr>
        <w:pStyle w:val="NormalWeb"/>
        <w:spacing w:before="30" w:beforeAutospacing="0" w:after="30" w:afterAutospacing="0"/>
        <w:jc w:val="center"/>
        <w:rPr>
          <w:rFonts w:ascii="Sylfaen" w:hAnsi="Sylfaen"/>
          <w:b/>
          <w:lang w:val="hy-AM"/>
        </w:rPr>
      </w:pP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Bank for International Settlements</w:t>
      </w:r>
      <w:r w:rsidRPr="00CD110A">
        <w:rPr>
          <w:lang w:val="en-US"/>
        </w:rPr>
        <w:t>. Credit Risk Modelling and Validation Publications.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 International Convergence of Capital Measurement and Capital Standards.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Basel III: A Global Regulatory Framework for More Resilient Banks and Banking Systems.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Basel Committee on Banking Supervision</w:t>
      </w:r>
      <w:r w:rsidRPr="00CD110A">
        <w:rPr>
          <w:lang w:val="en-US"/>
        </w:rPr>
        <w:t>. Guidance on Credit Risk and Accounting for Expected Credit Losses.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Christopher M. Bishop</w:t>
      </w:r>
      <w:r w:rsidRPr="00CD110A">
        <w:rPr>
          <w:lang w:val="en-US"/>
        </w:rPr>
        <w:t>. Pattern Recognition and Machine Learning.</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Coursera</w:t>
      </w:r>
      <w:r w:rsidRPr="00CD110A">
        <w:rPr>
          <w:lang w:val="en-US"/>
        </w:rPr>
        <w:t xml:space="preserve"> – Machine Learning and Financial Engineering Courses.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Darrell Duffie</w:t>
      </w:r>
      <w:r w:rsidRPr="00CD110A">
        <w:rPr>
          <w:lang w:val="en-US"/>
        </w:rPr>
        <w:t>. Credit Risk: Pricing, Measurement, and Management.</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David Lando</w:t>
      </w:r>
      <w:r w:rsidRPr="00CD110A">
        <w:rPr>
          <w:lang w:val="en-US"/>
        </w:rPr>
        <w:t>. Credit Risk Modeling: Theory and Applications.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Banking Authority</w:t>
      </w:r>
      <w:r w:rsidRPr="00CD110A">
        <w:rPr>
          <w:lang w:val="en-US"/>
        </w:rPr>
        <w:t>. Guidelines on Credit Risk Management Practices and Accounting for Expected Credit Losses.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European Central Bank</w:t>
      </w:r>
      <w:r w:rsidRPr="00CD110A">
        <w:rPr>
          <w:lang w:val="en-US"/>
        </w:rPr>
        <w:t>. Guidance to Banks on Non</w:t>
      </w:r>
      <w:r w:rsidR="00A5563C">
        <w:rPr>
          <w:lang w:val="en-US"/>
        </w:rPr>
        <w:t>-</w:t>
      </w:r>
      <w:r w:rsidRPr="00CD110A">
        <w:rPr>
          <w:lang w:val="en-US"/>
        </w:rPr>
        <w:t>Performing Loans.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Fitch Ratings</w:t>
      </w:r>
      <w:r w:rsidRPr="00CD110A">
        <w:rPr>
          <w:lang w:val="en-US"/>
        </w:rPr>
        <w:t>. Recovery Rate and Default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Gareth James</w:t>
      </w:r>
      <w:r w:rsidRPr="00CD110A">
        <w:rPr>
          <w:lang w:val="en-US"/>
        </w:rPr>
        <w:t xml:space="preserve"> </w:t>
      </w:r>
      <w:r>
        <w:t>և</w:t>
      </w:r>
      <w:r w:rsidRPr="00CD110A">
        <w:rPr>
          <w:lang w:val="en-US"/>
        </w:rPr>
        <w:t xml:space="preserve"> </w:t>
      </w:r>
      <w:r>
        <w:t>համահեղինակներ</w:t>
      </w:r>
      <w:r w:rsidRPr="00CD110A">
        <w:rPr>
          <w:lang w:val="en-US"/>
        </w:rPr>
        <w:t>. An Introduction to Statistical Learning.</w:t>
      </w:r>
    </w:p>
    <w:p w:rsidR="00A74616" w:rsidRPr="00CD110A" w:rsidRDefault="00A75070" w:rsidP="00D85359">
      <w:pPr>
        <w:pStyle w:val="NormalWeb"/>
        <w:numPr>
          <w:ilvl w:val="0"/>
          <w:numId w:val="17"/>
        </w:numPr>
        <w:tabs>
          <w:tab w:val="clear" w:pos="720"/>
          <w:tab w:val="num" w:pos="426"/>
        </w:tabs>
        <w:spacing w:before="30" w:beforeAutospacing="0" w:after="30" w:afterAutospacing="0"/>
        <w:ind w:hanging="720"/>
        <w:jc w:val="both"/>
        <w:rPr>
          <w:lang w:val="en-US"/>
        </w:rPr>
      </w:pPr>
      <w:r>
        <w:rPr>
          <w:rStyle w:val="whitespace-normal"/>
          <w:lang w:val="en-US"/>
        </w:rPr>
        <w:t>ՖՀՄՍ</w:t>
      </w:r>
      <w:r w:rsidR="00A74616" w:rsidRPr="00CD110A">
        <w:rPr>
          <w:rStyle w:val="whitespace-normal"/>
          <w:lang w:val="en-US"/>
        </w:rPr>
        <w:t xml:space="preserve"> Foundation</w:t>
      </w:r>
      <w:r w:rsidR="00A74616" w:rsidRPr="00CD110A">
        <w:rPr>
          <w:lang w:val="en-US"/>
        </w:rPr>
        <w:t xml:space="preserve">. </w:t>
      </w:r>
      <w:r>
        <w:rPr>
          <w:lang w:val="en-US"/>
        </w:rPr>
        <w:t>ՖՀՄՍ</w:t>
      </w:r>
      <w:r w:rsidR="00A74616" w:rsidRPr="00CD110A">
        <w:rPr>
          <w:lang w:val="en-US"/>
        </w:rPr>
        <w:t xml:space="preserve"> 9 Implementation Guidance and Basis for Conclusions.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Accounting Standards Board</w:t>
      </w:r>
      <w:r w:rsidRPr="00CD110A">
        <w:rPr>
          <w:lang w:val="en-US"/>
        </w:rPr>
        <w:t>. International Financial Reporting Standard 9 (</w:t>
      </w:r>
      <w:r w:rsidR="00A75070">
        <w:rPr>
          <w:lang w:val="en-US"/>
        </w:rPr>
        <w:t>ՖՀՄՍ</w:t>
      </w:r>
      <w:r w:rsidRPr="00CD110A">
        <w:rPr>
          <w:lang w:val="en-US"/>
        </w:rPr>
        <w:t xml:space="preserve"> 9) – Financial Instruments.</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International Monetary Fund</w:t>
      </w:r>
      <w:r w:rsidRPr="00CD110A">
        <w:rPr>
          <w:lang w:val="en-US"/>
        </w:rPr>
        <w:t>. Financial Sector Assessment Program (FSAP) Technical Notes.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John C. Hull</w:t>
      </w:r>
      <w:r w:rsidRPr="00CD110A">
        <w:rPr>
          <w:lang w:val="en-US"/>
        </w:rPr>
        <w:t>. Risk Management and Financial Institutions.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Kevin P. Murphy</w:t>
      </w:r>
      <w:r w:rsidRPr="00CD110A">
        <w:rPr>
          <w:lang w:val="en-US"/>
        </w:rPr>
        <w:t>. Machine Learning: A Probabilistic Perspective.</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Linda Allen</w:t>
      </w:r>
      <w:r w:rsidRPr="00CD110A">
        <w:rPr>
          <w:lang w:val="en-US"/>
        </w:rPr>
        <w:t>. Credit Risk Measurement: New Approaches to Value at Risk and Other Paradigms.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Data Lake and Synapse Analytics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Azure Machine Learning Documentation.</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Azure</w:t>
      </w:r>
      <w:r w:rsidRPr="00CD110A">
        <w:rPr>
          <w:lang w:val="en-US"/>
        </w:rPr>
        <w:t>. Security and Compliance Documentation for Financial Services.</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 Learn</w:t>
      </w:r>
      <w:r w:rsidRPr="00CD110A">
        <w:rPr>
          <w:lang w:val="en-US"/>
        </w:rPr>
        <w:t>. Cloud Solutions for Financial Risk Management.</w:t>
      </w:r>
    </w:p>
    <w:p w:rsidR="00A74616" w:rsidRPr="00CD110A" w:rsidRDefault="00A74616" w:rsidP="00D85359">
      <w:pPr>
        <w:pStyle w:val="NormalWeb"/>
        <w:numPr>
          <w:ilvl w:val="0"/>
          <w:numId w:val="20"/>
        </w:numPr>
        <w:tabs>
          <w:tab w:val="clear" w:pos="720"/>
          <w:tab w:val="num" w:pos="426"/>
        </w:tabs>
        <w:spacing w:before="30" w:beforeAutospacing="0" w:after="30" w:afterAutospacing="0"/>
        <w:ind w:hanging="720"/>
        <w:jc w:val="both"/>
        <w:rPr>
          <w:lang w:val="en-US"/>
        </w:rPr>
      </w:pPr>
      <w:r w:rsidRPr="00CD110A">
        <w:rPr>
          <w:rStyle w:val="whitespace-normal"/>
          <w:lang w:val="en-US"/>
        </w:rPr>
        <w:t>Microsoft</w:t>
      </w:r>
      <w:r w:rsidRPr="00CD110A">
        <w:rPr>
          <w:lang w:val="en-US"/>
        </w:rPr>
        <w:t>. Azure Architecture Center Documentation.</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Moody's Analytics</w:t>
      </w:r>
      <w:r w:rsidRPr="00CD110A">
        <w:rPr>
          <w:lang w:val="en-US"/>
        </w:rPr>
        <w:t xml:space="preserve">. Credit Risk Modeling Methodologies and </w:t>
      </w:r>
      <w:r w:rsidR="00A75070">
        <w:rPr>
          <w:lang w:val="en-US"/>
        </w:rPr>
        <w:t>ՖՀՄՍ</w:t>
      </w:r>
      <w:r w:rsidRPr="00CD110A">
        <w:rPr>
          <w:lang w:val="en-US"/>
        </w:rPr>
        <w:t xml:space="preserve"> 9 Publications.</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Paul Glasserman</w:t>
      </w:r>
      <w:r w:rsidRPr="00CD110A">
        <w:rPr>
          <w:lang w:val="en-US"/>
        </w:rPr>
        <w:t>. Monte Carlo Methods in Financial Engineering.</w:t>
      </w:r>
    </w:p>
    <w:p w:rsidR="00A74616" w:rsidRPr="00CD110A" w:rsidRDefault="00A74616" w:rsidP="00D85359">
      <w:pPr>
        <w:pStyle w:val="NormalWeb"/>
        <w:numPr>
          <w:ilvl w:val="0"/>
          <w:numId w:val="18"/>
        </w:numPr>
        <w:tabs>
          <w:tab w:val="clear" w:pos="720"/>
          <w:tab w:val="num" w:pos="426"/>
        </w:tabs>
        <w:spacing w:before="30" w:beforeAutospacing="0" w:after="30" w:afterAutospacing="0"/>
        <w:ind w:hanging="720"/>
        <w:jc w:val="both"/>
        <w:rPr>
          <w:lang w:val="en-US"/>
        </w:rPr>
      </w:pPr>
      <w:r w:rsidRPr="00CD110A">
        <w:rPr>
          <w:rStyle w:val="whitespace-normal"/>
          <w:lang w:val="en-US"/>
        </w:rPr>
        <w:t>Standard &amp; Poor's</w:t>
      </w:r>
      <w:r w:rsidRPr="00CD110A">
        <w:rPr>
          <w:lang w:val="en-US"/>
        </w:rPr>
        <w:t>. Credit Risk and Recovery Studies.</w:t>
      </w:r>
    </w:p>
    <w:p w:rsidR="00A74616" w:rsidRPr="00CD110A" w:rsidRDefault="00A74616" w:rsidP="00D85359">
      <w:pPr>
        <w:pStyle w:val="NormalWeb"/>
        <w:numPr>
          <w:ilvl w:val="0"/>
          <w:numId w:val="19"/>
        </w:numPr>
        <w:tabs>
          <w:tab w:val="clear" w:pos="720"/>
          <w:tab w:val="num" w:pos="426"/>
        </w:tabs>
        <w:spacing w:before="30" w:beforeAutospacing="0" w:after="30" w:afterAutospacing="0"/>
        <w:ind w:hanging="720"/>
        <w:jc w:val="both"/>
        <w:rPr>
          <w:lang w:val="en-US"/>
        </w:rPr>
      </w:pPr>
      <w:r w:rsidRPr="00CD110A">
        <w:rPr>
          <w:rStyle w:val="whitespace-normal"/>
          <w:lang w:val="en-US"/>
        </w:rPr>
        <w:t>Trevor Hastie</w:t>
      </w:r>
      <w:r w:rsidRPr="00CD110A">
        <w:rPr>
          <w:lang w:val="en-US"/>
        </w:rPr>
        <w:t xml:space="preserve">, </w:t>
      </w:r>
      <w:r w:rsidRPr="00CD110A">
        <w:rPr>
          <w:rStyle w:val="whitespace-normal"/>
          <w:lang w:val="en-US"/>
        </w:rPr>
        <w:t>Robert Tibshirani</w:t>
      </w:r>
      <w:r w:rsidRPr="00CD110A">
        <w:rPr>
          <w:lang w:val="en-US"/>
        </w:rPr>
        <w:t xml:space="preserve">, </w:t>
      </w:r>
      <w:r w:rsidRPr="00CD110A">
        <w:rPr>
          <w:rStyle w:val="whitespace-normal"/>
          <w:lang w:val="en-US"/>
        </w:rPr>
        <w:t>Jerome Friedman</w:t>
      </w:r>
      <w:r w:rsidRPr="00CD110A">
        <w:rPr>
          <w:lang w:val="en-US"/>
        </w:rPr>
        <w:t>. The Elements of Statistical Learning.</w:t>
      </w:r>
    </w:p>
    <w:p w:rsidR="00A74616" w:rsidRPr="00CD110A" w:rsidRDefault="00A74616" w:rsidP="00D85359">
      <w:pPr>
        <w:pStyle w:val="NormalWeb"/>
        <w:numPr>
          <w:ilvl w:val="0"/>
          <w:numId w:val="17"/>
        </w:numPr>
        <w:tabs>
          <w:tab w:val="clear" w:pos="720"/>
          <w:tab w:val="num" w:pos="426"/>
        </w:tabs>
        <w:spacing w:before="30" w:beforeAutospacing="0" w:after="30" w:afterAutospacing="0"/>
        <w:ind w:hanging="720"/>
        <w:jc w:val="both"/>
        <w:rPr>
          <w:lang w:val="en-US"/>
        </w:rPr>
      </w:pPr>
      <w:r w:rsidRPr="00CD110A">
        <w:rPr>
          <w:rStyle w:val="whitespace-normal"/>
          <w:lang w:val="en-US"/>
        </w:rPr>
        <w:t>World Bank</w:t>
      </w:r>
      <w:r w:rsidRPr="00CD110A">
        <w:rPr>
          <w:lang w:val="en-US"/>
        </w:rPr>
        <w:t>. Credit Risk Management in Banking Sector Reports.</w:t>
      </w:r>
    </w:p>
    <w:p w:rsidR="00CD110A" w:rsidRPr="00CD110A" w:rsidRDefault="00CD110A" w:rsidP="00CD110A">
      <w:pPr>
        <w:pStyle w:val="NormalWeb"/>
        <w:spacing w:before="30" w:beforeAutospacing="0" w:after="30" w:afterAutospacing="0"/>
        <w:rPr>
          <w:rFonts w:ascii="Sylfaen" w:hAnsi="Sylfaen"/>
          <w:sz w:val="32"/>
          <w:lang w:val="en-US"/>
        </w:rPr>
      </w:pPr>
    </w:p>
    <w:p w:rsidR="005A0C56" w:rsidRDefault="005A0C56">
      <w:pPr>
        <w:rPr>
          <w:rFonts w:ascii="Sylfaen" w:eastAsia="Times New Roman" w:hAnsi="Sylfaen" w:cs="Times New Roman"/>
          <w:sz w:val="24"/>
          <w:szCs w:val="24"/>
          <w:lang w:val="hy-AM" w:eastAsia="ru-RU"/>
        </w:rPr>
      </w:pPr>
      <w:r>
        <w:rPr>
          <w:rFonts w:ascii="Sylfaen" w:hAnsi="Sylfaen"/>
          <w:lang w:val="hy-AM"/>
        </w:rPr>
        <w:br w:type="page"/>
      </w:r>
    </w:p>
    <w:p w:rsidR="002C7D6B" w:rsidRDefault="005A0C56" w:rsidP="005A0C56">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lastRenderedPageBreak/>
        <w:t>Բովանդակ</w:t>
      </w:r>
      <w:r w:rsidR="003A42A0" w:rsidRPr="003A42A0">
        <w:rPr>
          <w:rFonts w:ascii="Sylfaen" w:hAnsi="Sylfaen"/>
          <w:b/>
          <w:sz w:val="36"/>
          <w:lang w:val="hy-AM"/>
        </w:rPr>
        <w:t>ություն</w:t>
      </w:r>
    </w:p>
    <w:p w:rsidR="00961CE8" w:rsidRDefault="00961CE8" w:rsidP="00961CE8">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497A81" w:rsidRPr="00207770" w:rsidRDefault="00961CE8" w:rsidP="00961CE8">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00497A81" w:rsidRPr="00497A81">
        <w:rPr>
          <w:rFonts w:ascii="Sylfaen" w:hAnsi="Sylfaen"/>
          <w:lang w:val="hy-AM"/>
        </w:rPr>
        <w:t>On</w:t>
      </w:r>
      <w:r w:rsidR="00A5563C">
        <w:rPr>
          <w:rFonts w:ascii="Sylfaen" w:hAnsi="Sylfaen"/>
          <w:lang w:val="hy-AM"/>
        </w:rPr>
        <w:t>-</w:t>
      </w:r>
      <w:r w:rsidR="00497A81" w:rsidRPr="00497A81">
        <w:rPr>
          <w:rFonts w:ascii="Sylfaen" w:hAnsi="Sylfaen"/>
          <w:lang w:val="hy-AM"/>
        </w:rPr>
        <w:t xml:space="preserve">Premise </w:t>
      </w:r>
      <w:r w:rsidRPr="00066CC6">
        <w:rPr>
          <w:rFonts w:ascii="Sylfaen" w:hAnsi="Sylfaen"/>
          <w:lang w:val="hy-AM"/>
        </w:rPr>
        <w:t>(Տեղային Տեղակայում)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1.2: </w:t>
      </w:r>
      <w:r w:rsidR="00497A81" w:rsidRPr="00066CC6">
        <w:rPr>
          <w:rFonts w:ascii="Sylfaen" w:hAnsi="Sylfaen"/>
          <w:lang w:val="hy-AM"/>
        </w:rPr>
        <w:t>IaaS</w:t>
      </w:r>
      <w:r w:rsidR="00497A81"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1.3: </w:t>
      </w:r>
      <w:r w:rsidR="00497A81">
        <w:rPr>
          <w:rFonts w:ascii="Sylfaen" w:hAnsi="Sylfaen"/>
          <w:lang w:val="en-US"/>
        </w:rPr>
        <w:t>PaaS</w:t>
      </w:r>
      <w:r w:rsidR="00497A81" w:rsidRPr="00497A81">
        <w:rPr>
          <w:rFonts w:ascii="Sylfaen" w:hAnsi="Sylfaen"/>
          <w:lang w:val="hy-AM"/>
        </w:rPr>
        <w:t xml:space="preserve"> </w:t>
      </w:r>
      <w:r w:rsidRPr="00066CC6">
        <w:rPr>
          <w:rFonts w:ascii="Sylfaen" w:hAnsi="Sylfaen"/>
          <w:lang w:val="hy-AM"/>
        </w:rPr>
        <w:t>(Հարթակը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1.4: </w:t>
      </w:r>
      <w:r w:rsidR="00497A81" w:rsidRPr="00066CC6">
        <w:rPr>
          <w:rFonts w:ascii="Sylfaen" w:hAnsi="Sylfaen"/>
          <w:lang w:val="hy-AM"/>
        </w:rPr>
        <w:t>SaaS</w:t>
      </w:r>
      <w:r w:rsidR="00497A81"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066CC6"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961CE8" w:rsidRPr="00961CE8" w:rsidRDefault="00066CC6" w:rsidP="00961CE8">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1.6: </w:t>
      </w:r>
      <w:r w:rsidR="00497A81">
        <w:rPr>
          <w:rFonts w:ascii="Sylfaen" w:hAnsi="Sylfaen"/>
          <w:lang w:val="en-US"/>
        </w:rPr>
        <w:t>Microsoft Azure</w:t>
      </w:r>
    </w:p>
    <w:p w:rsidR="00961CE8" w:rsidRDefault="00961CE8" w:rsidP="00961CE8">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497A81" w:rsidRPr="003D252B"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00497A81" w:rsidRPr="003D252B">
        <w:rPr>
          <w:rFonts w:ascii="Sylfaen" w:hAnsi="Sylfaen"/>
          <w:lang w:val="hy-AM"/>
        </w:rPr>
        <w:t>ETL/ELT</w:t>
      </w:r>
      <w:r w:rsidR="00497A81">
        <w:rPr>
          <w:rFonts w:ascii="Sylfaen" w:hAnsi="Sylfaen"/>
          <w:lang w:val="hy-AM"/>
        </w:rPr>
        <w:t xml:space="preserve"> </w:t>
      </w:r>
      <w:r w:rsidR="003D252B" w:rsidRPr="00264437">
        <w:rPr>
          <w:rFonts w:ascii="Sylfaen" w:hAnsi="Sylfaen"/>
          <w:lang w:val="hy-AM"/>
        </w:rPr>
        <w:t xml:space="preserve">Տվյալային </w:t>
      </w:r>
      <w:r w:rsidR="009C6FE1">
        <w:rPr>
          <w:rFonts w:ascii="Sylfaen" w:hAnsi="Sylfaen"/>
          <w:lang w:val="hy-AM"/>
        </w:rPr>
        <w:t>Խ</w:t>
      </w:r>
      <w:r w:rsidR="003D252B" w:rsidRPr="00264437">
        <w:rPr>
          <w:rFonts w:ascii="Sylfaen" w:hAnsi="Sylfaen"/>
          <w:lang w:val="hy-AM"/>
        </w:rPr>
        <w:t>ողովակաշարեր (Data Pipelines)</w:t>
      </w:r>
    </w:p>
    <w:p w:rsidR="00264437"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00264437" w:rsidRPr="00264437">
        <w:rPr>
          <w:rFonts w:ascii="Sylfaen" w:hAnsi="Sylfaen"/>
          <w:lang w:val="hy-AM"/>
        </w:rPr>
        <w:t>«Մեդալիոն» Ճարտարապետություն</w:t>
      </w:r>
    </w:p>
    <w:p w:rsidR="00961CE8" w:rsidRPr="00961CE8"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00264437" w:rsidRPr="00264437">
        <w:rPr>
          <w:rFonts w:ascii="Sylfaen" w:hAnsi="Sylfaen"/>
          <w:lang w:val="hy-AM"/>
        </w:rPr>
        <w:t>OLTP/OLAP համակարգեր</w:t>
      </w:r>
    </w:p>
    <w:p w:rsidR="001C5916" w:rsidRDefault="00B84D03" w:rsidP="001C5916">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001C5916" w:rsidRPr="001C5916">
        <w:rPr>
          <w:rFonts w:ascii="Sylfaen" w:hAnsi="Sylfaen"/>
          <w:lang w:val="hy-AM"/>
        </w:rPr>
        <w:t>ՏՎՅԱԼՆԵՐԻ ՃԱՐՏԱՐԱՊԵՏՈՒԹՅԱՆ ԳՈՐԾԻՔԱԿԱՑՄԵՐԸ MICROSOFT AZURE</w:t>
      </w:r>
      <w:r w:rsidR="00A5563C">
        <w:rPr>
          <w:rFonts w:ascii="Sylfaen" w:hAnsi="Sylfaen"/>
          <w:lang w:val="hy-AM"/>
        </w:rPr>
        <w:t>-</w:t>
      </w:r>
      <w:r w:rsidR="001C5916" w:rsidRPr="001C5916">
        <w:rPr>
          <w:rFonts w:ascii="Sylfaen" w:hAnsi="Sylfaen"/>
          <w:lang w:val="hy-AM"/>
        </w:rPr>
        <w:t xml:space="preserve">ՈԻՄ </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3.1: </w:t>
      </w:r>
      <w:r w:rsidR="00497A81" w:rsidRPr="00497A81">
        <w:rPr>
          <w:rFonts w:ascii="Sylfaen" w:hAnsi="Sylfaen"/>
          <w:lang w:val="hy-AM"/>
        </w:rPr>
        <w:t>Microsoft Azure Data Factory</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p>
    <w:p w:rsidR="00497A81" w:rsidRDefault="00096AA8" w:rsidP="00096AA8">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sidR="00D53EDD">
        <w:rPr>
          <w:rFonts w:ascii="Sylfaen" w:hAnsi="Sylfaen"/>
          <w:lang w:val="hy-AM"/>
        </w:rPr>
        <w:t xml:space="preserve">Գործիքների </w:t>
      </w:r>
      <w:r w:rsidR="003B7224">
        <w:rPr>
          <w:rFonts w:ascii="Sylfaen" w:hAnsi="Sylfaen"/>
          <w:lang w:val="hy-AM"/>
        </w:rPr>
        <w:t>Տարբերությունները</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00497A81" w:rsidRPr="00497A81">
        <w:rPr>
          <w:rFonts w:ascii="Sylfaen" w:hAnsi="Sylfaen"/>
          <w:lang w:val="hy-AM"/>
        </w:rPr>
        <w:t>Գլխի ամփոփում</w:t>
      </w:r>
    </w:p>
    <w:p w:rsidR="00497A81" w:rsidRDefault="00066CC6" w:rsidP="00066CC6">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w:t>
      </w:r>
      <w:r w:rsidR="00B84D03">
        <w:rPr>
          <w:rFonts w:ascii="Sylfaen" w:hAnsi="Sylfaen"/>
          <w:lang w:val="hy-AM"/>
        </w:rPr>
        <w:t>ԼՈՒԽ</w:t>
      </w:r>
      <w:r w:rsidRPr="00066CC6">
        <w:rPr>
          <w:rFonts w:ascii="Sylfaen" w:hAnsi="Sylfaen"/>
          <w:lang w:val="hy-AM"/>
        </w:rPr>
        <w:t xml:space="preserve"> 4: ECL Գ</w:t>
      </w:r>
      <w:r w:rsidR="00F46476">
        <w:rPr>
          <w:rFonts w:ascii="Sylfaen" w:hAnsi="Sylfaen"/>
          <w:lang w:val="hy-AM"/>
        </w:rPr>
        <w:t>ՈՐԾԱԿՑԻ</w:t>
      </w:r>
      <w:r w:rsidRPr="00066CC6">
        <w:rPr>
          <w:rFonts w:ascii="Sylfaen" w:hAnsi="Sylfaen"/>
          <w:lang w:val="hy-AM"/>
        </w:rPr>
        <w:t xml:space="preserve"> Հ</w:t>
      </w:r>
      <w:r w:rsidR="00F46476">
        <w:rPr>
          <w:rFonts w:ascii="Sylfaen" w:hAnsi="Sylfaen"/>
          <w:lang w:val="hy-AM"/>
        </w:rPr>
        <w:t>ԱՇՎՈՒՄԸ</w:t>
      </w:r>
    </w:p>
    <w:p w:rsidR="00207770" w:rsidRDefault="00096AA8" w:rsidP="00207770">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00207770" w:rsidRPr="00207770">
        <w:rPr>
          <w:rFonts w:ascii="Sylfaen" w:hAnsi="Sylfaen"/>
          <w:lang w:val="hy-AM"/>
        </w:rPr>
        <w:t xml:space="preserve">PD </w:t>
      </w:r>
      <w:r w:rsidR="00066CC6" w:rsidRPr="00066CC6">
        <w:rPr>
          <w:rFonts w:ascii="Sylfaen" w:hAnsi="Sylfaen"/>
          <w:lang w:val="hy-AM"/>
        </w:rPr>
        <w:t>Գործակցի Հաշվումը</w:t>
      </w:r>
      <w:r w:rsidR="00207770" w:rsidRPr="00207770">
        <w:rPr>
          <w:rFonts w:ascii="Sylfaen" w:hAnsi="Sylfaen"/>
          <w:lang w:val="hy-AM"/>
        </w:rPr>
        <w:t>, Մեքենայական Ուսուցումը և Լոգիստիկ Ռեգրեսիան</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009B37CD" w:rsidRPr="00066CC6">
        <w:rPr>
          <w:rFonts w:ascii="Sylfaen" w:hAnsi="Sylfaen"/>
          <w:lang w:val="hy-AM"/>
        </w:rPr>
        <w:t xml:space="preserve">LGD </w:t>
      </w:r>
      <w:r w:rsidR="00066CC6" w:rsidRPr="00066CC6">
        <w:rPr>
          <w:rFonts w:ascii="Sylfaen" w:hAnsi="Sylfaen"/>
          <w:lang w:val="hy-AM"/>
        </w:rPr>
        <w:t>Գործակցի Հաշվումը</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009B37CD" w:rsidRPr="00066CC6">
        <w:rPr>
          <w:rFonts w:ascii="Sylfaen" w:hAnsi="Sylfaen"/>
          <w:lang w:val="hy-AM"/>
        </w:rPr>
        <w:t xml:space="preserve">EAD </w:t>
      </w:r>
      <w:r w:rsidR="00066CC6" w:rsidRPr="00066CC6">
        <w:rPr>
          <w:rFonts w:ascii="Sylfaen" w:hAnsi="Sylfaen"/>
          <w:lang w:val="hy-AM"/>
        </w:rPr>
        <w:t xml:space="preserve">Գործակցի Հաշվումը և ECL Գործակցի Բանաձևը </w:t>
      </w:r>
    </w:p>
    <w:p w:rsidR="001C5916" w:rsidRDefault="001C5916" w:rsidP="00066CC6">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Գլուխ 5: ECL ԳՈՐԾԱԿՑԻ ՀԱՇՎՄԱՆ ԱԼԳՈՐԻԹՄԸ MICROSOFT AZURE ԱՄՊԱՅԻՆ ՏԵԽՆՈԼՈԳԻԱՆԵՐԻ ՄԻՋՈՑՈՎ</w:t>
      </w:r>
    </w:p>
    <w:p w:rsidR="00207770" w:rsidRPr="00F264B1" w:rsidRDefault="00207770" w:rsidP="001C5916">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sectPr w:rsidR="00207770" w:rsidRPr="00F264B1" w:rsidSect="00910AE1">
      <w:footerReference w:type="default" r:id="rId14"/>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46A7" w:rsidRDefault="000A46A7" w:rsidP="00165C31">
      <w:pPr>
        <w:spacing w:after="0" w:line="240" w:lineRule="auto"/>
      </w:pPr>
      <w:r>
        <w:separator/>
      </w:r>
    </w:p>
  </w:endnote>
  <w:endnote w:type="continuationSeparator" w:id="0">
    <w:p w:rsidR="000A46A7" w:rsidRDefault="000A46A7"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lfaen">
    <w:panose1 w:val="010A0502050306030303"/>
    <w:charset w:val="CC"/>
    <w:family w:val="roman"/>
    <w:pitch w:val="variable"/>
    <w:sig w:usb0="040006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9B37CD" w:rsidRDefault="009B37CD">
        <w:pPr>
          <w:pStyle w:val="Footer"/>
          <w:jc w:val="center"/>
        </w:pPr>
        <w:r>
          <w:fldChar w:fldCharType="begin"/>
        </w:r>
        <w:r>
          <w:instrText xml:space="preserve"> PAGE   \* MERGEFORMAT </w:instrText>
        </w:r>
        <w:r>
          <w:fldChar w:fldCharType="separate"/>
        </w:r>
        <w:r w:rsidR="00885136">
          <w:rPr>
            <w:noProof/>
          </w:rPr>
          <w:t>45</w:t>
        </w:r>
        <w:r>
          <w:rPr>
            <w:noProof/>
          </w:rPr>
          <w:fldChar w:fldCharType="end"/>
        </w:r>
      </w:p>
    </w:sdtContent>
  </w:sdt>
  <w:p w:rsidR="009B37CD" w:rsidRDefault="009B37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46A7" w:rsidRDefault="000A46A7" w:rsidP="00165C31">
      <w:pPr>
        <w:spacing w:after="0" w:line="240" w:lineRule="auto"/>
      </w:pPr>
      <w:r>
        <w:separator/>
      </w:r>
    </w:p>
  </w:footnote>
  <w:footnote w:type="continuationSeparator" w:id="0">
    <w:p w:rsidR="000A46A7" w:rsidRDefault="000A46A7" w:rsidP="00165C31">
      <w:pPr>
        <w:spacing w:after="0" w:line="240" w:lineRule="auto"/>
      </w:pPr>
      <w:r>
        <w:continuationSeparator/>
      </w:r>
    </w:p>
  </w:footnote>
  <w:footnote w:id="1">
    <w:p w:rsidR="009B37CD" w:rsidRDefault="009B37CD" w:rsidP="00A43AC8">
      <w:pPr>
        <w:pStyle w:val="FootnoteText"/>
        <w:rPr>
          <w:lang w:val="hy-AM"/>
        </w:rPr>
      </w:pPr>
      <w:r>
        <w:rPr>
          <w:rStyle w:val="FootnoteReference"/>
        </w:rPr>
        <w:footnoteRef/>
      </w:r>
      <w:hyperlink r:id="rId1" w:history="1">
        <w:r>
          <w:rPr>
            <w:rStyle w:val="Hyperlink"/>
          </w:rPr>
          <w:t>https://zhanibekov.edu.kz/media/university/faculties/materials/%D0%9B%D0%B5%D0%BA%D1%86%D0%B8%D1%8F_4_1.pdf</w:t>
        </w:r>
      </w:hyperlink>
      <w:r>
        <w:rPr>
          <w:lang w:val="hy-AM"/>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0382B"/>
    <w:multiLevelType w:val="hybridMultilevel"/>
    <w:tmpl w:val="1CD434DC"/>
    <w:lvl w:ilvl="0" w:tplc="928EF7F8">
      <w:numFmt w:val="bullet"/>
      <w:lvlText w:val="•"/>
      <w:lvlJc w:val="left"/>
      <w:pPr>
        <w:ind w:left="928" w:hanging="360"/>
      </w:pPr>
      <w:rPr>
        <w:rFonts w:ascii="Sylfaen" w:eastAsiaTheme="minorHAnsi" w:hAnsi="Sylfaen" w:cs="Times New Roman" w:hint="default"/>
      </w:rPr>
    </w:lvl>
    <w:lvl w:ilvl="1" w:tplc="04190003" w:tentative="1">
      <w:start w:val="1"/>
      <w:numFmt w:val="bullet"/>
      <w:lvlText w:val="o"/>
      <w:lvlJc w:val="left"/>
      <w:pPr>
        <w:ind w:left="1361" w:hanging="360"/>
      </w:pPr>
      <w:rPr>
        <w:rFonts w:ascii="Courier New" w:hAnsi="Courier New" w:cs="Courier New" w:hint="default"/>
      </w:rPr>
    </w:lvl>
    <w:lvl w:ilvl="2" w:tplc="04190005" w:tentative="1">
      <w:start w:val="1"/>
      <w:numFmt w:val="bullet"/>
      <w:lvlText w:val=""/>
      <w:lvlJc w:val="left"/>
      <w:pPr>
        <w:ind w:left="2081" w:hanging="360"/>
      </w:pPr>
      <w:rPr>
        <w:rFonts w:ascii="Wingdings" w:hAnsi="Wingdings" w:hint="default"/>
      </w:rPr>
    </w:lvl>
    <w:lvl w:ilvl="3" w:tplc="04190001" w:tentative="1">
      <w:start w:val="1"/>
      <w:numFmt w:val="bullet"/>
      <w:lvlText w:val=""/>
      <w:lvlJc w:val="left"/>
      <w:pPr>
        <w:ind w:left="2801" w:hanging="360"/>
      </w:pPr>
      <w:rPr>
        <w:rFonts w:ascii="Symbol" w:hAnsi="Symbol" w:hint="default"/>
      </w:rPr>
    </w:lvl>
    <w:lvl w:ilvl="4" w:tplc="04190003" w:tentative="1">
      <w:start w:val="1"/>
      <w:numFmt w:val="bullet"/>
      <w:lvlText w:val="o"/>
      <w:lvlJc w:val="left"/>
      <w:pPr>
        <w:ind w:left="3521" w:hanging="360"/>
      </w:pPr>
      <w:rPr>
        <w:rFonts w:ascii="Courier New" w:hAnsi="Courier New" w:cs="Courier New" w:hint="default"/>
      </w:rPr>
    </w:lvl>
    <w:lvl w:ilvl="5" w:tplc="04190005" w:tentative="1">
      <w:start w:val="1"/>
      <w:numFmt w:val="bullet"/>
      <w:lvlText w:val=""/>
      <w:lvlJc w:val="left"/>
      <w:pPr>
        <w:ind w:left="4241" w:hanging="360"/>
      </w:pPr>
      <w:rPr>
        <w:rFonts w:ascii="Wingdings" w:hAnsi="Wingdings" w:hint="default"/>
      </w:rPr>
    </w:lvl>
    <w:lvl w:ilvl="6" w:tplc="04190001" w:tentative="1">
      <w:start w:val="1"/>
      <w:numFmt w:val="bullet"/>
      <w:lvlText w:val=""/>
      <w:lvlJc w:val="left"/>
      <w:pPr>
        <w:ind w:left="4961" w:hanging="360"/>
      </w:pPr>
      <w:rPr>
        <w:rFonts w:ascii="Symbol" w:hAnsi="Symbol" w:hint="default"/>
      </w:rPr>
    </w:lvl>
    <w:lvl w:ilvl="7" w:tplc="04190003" w:tentative="1">
      <w:start w:val="1"/>
      <w:numFmt w:val="bullet"/>
      <w:lvlText w:val="o"/>
      <w:lvlJc w:val="left"/>
      <w:pPr>
        <w:ind w:left="5681" w:hanging="360"/>
      </w:pPr>
      <w:rPr>
        <w:rFonts w:ascii="Courier New" w:hAnsi="Courier New" w:cs="Courier New" w:hint="default"/>
      </w:rPr>
    </w:lvl>
    <w:lvl w:ilvl="8" w:tplc="04190005" w:tentative="1">
      <w:start w:val="1"/>
      <w:numFmt w:val="bullet"/>
      <w:lvlText w:val=""/>
      <w:lvlJc w:val="left"/>
      <w:pPr>
        <w:ind w:left="6401" w:hanging="360"/>
      </w:pPr>
      <w:rPr>
        <w:rFonts w:ascii="Wingdings" w:hAnsi="Wingdings" w:hint="default"/>
      </w:rPr>
    </w:lvl>
  </w:abstractNum>
  <w:abstractNum w:abstractNumId="2"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F64B2"/>
    <w:multiLevelType w:val="hybridMultilevel"/>
    <w:tmpl w:val="ADFC364C"/>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4"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num>
  <w:num w:numId="3">
    <w:abstractNumId w:val="22"/>
  </w:num>
  <w:num w:numId="4">
    <w:abstractNumId w:val="8"/>
  </w:num>
  <w:num w:numId="5">
    <w:abstractNumId w:val="7"/>
  </w:num>
  <w:num w:numId="6">
    <w:abstractNumId w:val="12"/>
  </w:num>
  <w:num w:numId="7">
    <w:abstractNumId w:val="18"/>
  </w:num>
  <w:num w:numId="8">
    <w:abstractNumId w:val="20"/>
  </w:num>
  <w:num w:numId="9">
    <w:abstractNumId w:val="25"/>
  </w:num>
  <w:num w:numId="10">
    <w:abstractNumId w:val="6"/>
  </w:num>
  <w:num w:numId="11">
    <w:abstractNumId w:val="19"/>
  </w:num>
  <w:num w:numId="12">
    <w:abstractNumId w:val="5"/>
  </w:num>
  <w:num w:numId="13">
    <w:abstractNumId w:val="4"/>
  </w:num>
  <w:num w:numId="14">
    <w:abstractNumId w:val="24"/>
  </w:num>
  <w:num w:numId="15">
    <w:abstractNumId w:val="10"/>
  </w:num>
  <w:num w:numId="16">
    <w:abstractNumId w:val="9"/>
  </w:num>
  <w:num w:numId="17">
    <w:abstractNumId w:val="21"/>
  </w:num>
  <w:num w:numId="18">
    <w:abstractNumId w:val="16"/>
  </w:num>
  <w:num w:numId="19">
    <w:abstractNumId w:val="2"/>
  </w:num>
  <w:num w:numId="20">
    <w:abstractNumId w:val="11"/>
  </w:num>
  <w:num w:numId="21">
    <w:abstractNumId w:val="17"/>
  </w:num>
  <w:num w:numId="22">
    <w:abstractNumId w:val="23"/>
  </w:num>
  <w:num w:numId="23">
    <w:abstractNumId w:val="15"/>
  </w:num>
  <w:num w:numId="24">
    <w:abstractNumId w:val="14"/>
  </w:num>
  <w:num w:numId="25">
    <w:abstractNumId w:val="3"/>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96AA8"/>
    <w:rsid w:val="000A46A7"/>
    <w:rsid w:val="000B6127"/>
    <w:rsid w:val="00130BE9"/>
    <w:rsid w:val="0014112B"/>
    <w:rsid w:val="001603A7"/>
    <w:rsid w:val="001639BA"/>
    <w:rsid w:val="00165C31"/>
    <w:rsid w:val="001A330B"/>
    <w:rsid w:val="001C5916"/>
    <w:rsid w:val="00207770"/>
    <w:rsid w:val="00221806"/>
    <w:rsid w:val="00264437"/>
    <w:rsid w:val="002B0721"/>
    <w:rsid w:val="002C7D6B"/>
    <w:rsid w:val="00337056"/>
    <w:rsid w:val="003402B8"/>
    <w:rsid w:val="00363802"/>
    <w:rsid w:val="0036674C"/>
    <w:rsid w:val="00380089"/>
    <w:rsid w:val="003A20F5"/>
    <w:rsid w:val="003A25C2"/>
    <w:rsid w:val="003A42A0"/>
    <w:rsid w:val="003B7224"/>
    <w:rsid w:val="003C26B1"/>
    <w:rsid w:val="003C4AE1"/>
    <w:rsid w:val="003D252B"/>
    <w:rsid w:val="003D3CE4"/>
    <w:rsid w:val="003E1586"/>
    <w:rsid w:val="003E77E5"/>
    <w:rsid w:val="00405EAC"/>
    <w:rsid w:val="00430327"/>
    <w:rsid w:val="00437DC9"/>
    <w:rsid w:val="0046144F"/>
    <w:rsid w:val="004761F6"/>
    <w:rsid w:val="00497A81"/>
    <w:rsid w:val="0051217A"/>
    <w:rsid w:val="005401AC"/>
    <w:rsid w:val="00567EE1"/>
    <w:rsid w:val="005846C7"/>
    <w:rsid w:val="0059743E"/>
    <w:rsid w:val="005A0C56"/>
    <w:rsid w:val="005A721E"/>
    <w:rsid w:val="005B40E2"/>
    <w:rsid w:val="005C3C63"/>
    <w:rsid w:val="00636C31"/>
    <w:rsid w:val="006758AD"/>
    <w:rsid w:val="0067757A"/>
    <w:rsid w:val="006814A7"/>
    <w:rsid w:val="00681ACE"/>
    <w:rsid w:val="006847A4"/>
    <w:rsid w:val="006A7B0A"/>
    <w:rsid w:val="006D3815"/>
    <w:rsid w:val="006D4EA8"/>
    <w:rsid w:val="006F2AF3"/>
    <w:rsid w:val="00713F19"/>
    <w:rsid w:val="00717D21"/>
    <w:rsid w:val="0072237D"/>
    <w:rsid w:val="00723DE4"/>
    <w:rsid w:val="00731FB0"/>
    <w:rsid w:val="00747E7E"/>
    <w:rsid w:val="00761669"/>
    <w:rsid w:val="008112E4"/>
    <w:rsid w:val="00823360"/>
    <w:rsid w:val="0084455F"/>
    <w:rsid w:val="00871015"/>
    <w:rsid w:val="008723FE"/>
    <w:rsid w:val="00885136"/>
    <w:rsid w:val="00892921"/>
    <w:rsid w:val="00892CDC"/>
    <w:rsid w:val="008A547F"/>
    <w:rsid w:val="008B2C66"/>
    <w:rsid w:val="008E7850"/>
    <w:rsid w:val="00900BE8"/>
    <w:rsid w:val="00910AE1"/>
    <w:rsid w:val="00945121"/>
    <w:rsid w:val="00961CE8"/>
    <w:rsid w:val="009670D4"/>
    <w:rsid w:val="009700D2"/>
    <w:rsid w:val="0099103E"/>
    <w:rsid w:val="009B37CD"/>
    <w:rsid w:val="009B744C"/>
    <w:rsid w:val="009C2C4F"/>
    <w:rsid w:val="009C6FE1"/>
    <w:rsid w:val="009D78D9"/>
    <w:rsid w:val="00A31C2E"/>
    <w:rsid w:val="00A35846"/>
    <w:rsid w:val="00A43AC8"/>
    <w:rsid w:val="00A45ECE"/>
    <w:rsid w:val="00A5563C"/>
    <w:rsid w:val="00A60080"/>
    <w:rsid w:val="00A600D3"/>
    <w:rsid w:val="00A610A6"/>
    <w:rsid w:val="00A65E20"/>
    <w:rsid w:val="00A74616"/>
    <w:rsid w:val="00A75070"/>
    <w:rsid w:val="00A90A7B"/>
    <w:rsid w:val="00AC3920"/>
    <w:rsid w:val="00AF4B92"/>
    <w:rsid w:val="00B14FB2"/>
    <w:rsid w:val="00B23403"/>
    <w:rsid w:val="00B42BC8"/>
    <w:rsid w:val="00B516BE"/>
    <w:rsid w:val="00B6507B"/>
    <w:rsid w:val="00B669BC"/>
    <w:rsid w:val="00B71162"/>
    <w:rsid w:val="00B84D03"/>
    <w:rsid w:val="00B93FDB"/>
    <w:rsid w:val="00B97B2E"/>
    <w:rsid w:val="00BA52C2"/>
    <w:rsid w:val="00BC7A4D"/>
    <w:rsid w:val="00C00DD2"/>
    <w:rsid w:val="00C05DAC"/>
    <w:rsid w:val="00C61DDE"/>
    <w:rsid w:val="00C66EF6"/>
    <w:rsid w:val="00CB177C"/>
    <w:rsid w:val="00CD110A"/>
    <w:rsid w:val="00D53EDD"/>
    <w:rsid w:val="00D64407"/>
    <w:rsid w:val="00D67DCF"/>
    <w:rsid w:val="00D729B8"/>
    <w:rsid w:val="00D85359"/>
    <w:rsid w:val="00D934C7"/>
    <w:rsid w:val="00DC21D0"/>
    <w:rsid w:val="00DD2EF7"/>
    <w:rsid w:val="00E547CD"/>
    <w:rsid w:val="00E56028"/>
    <w:rsid w:val="00E7443D"/>
    <w:rsid w:val="00E96CCF"/>
    <w:rsid w:val="00EA5940"/>
    <w:rsid w:val="00ED0B39"/>
    <w:rsid w:val="00ED192A"/>
    <w:rsid w:val="00F01692"/>
    <w:rsid w:val="00F03D84"/>
    <w:rsid w:val="00F24AC6"/>
    <w:rsid w:val="00F264B1"/>
    <w:rsid w:val="00F278EE"/>
    <w:rsid w:val="00F43356"/>
    <w:rsid w:val="00F46476"/>
    <w:rsid w:val="00F53056"/>
    <w:rsid w:val="00F8594D"/>
    <w:rsid w:val="00FB0C36"/>
    <w:rsid w:val="00FC3248"/>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06BA"/>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78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 w:type="paragraph" w:styleId="ListParagraph">
    <w:name w:val="List Paragraph"/>
    <w:basedOn w:val="Normal"/>
    <w:uiPriority w:val="34"/>
    <w:qFormat/>
    <w:rsid w:val="0084455F"/>
    <w:pPr>
      <w:ind w:left="720"/>
      <w:contextualSpacing/>
    </w:pPr>
  </w:style>
  <w:style w:type="character" w:customStyle="1" w:styleId="s5">
    <w:name w:val="s5"/>
    <w:basedOn w:val="DefaultParagraphFont"/>
    <w:rsid w:val="005846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474219037">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34466179">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346905858">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zhanibekov.edu.kz/media/university/faculties/materials/%D0%9B%D0%B5%D0%BA%D1%86%D0%B8%D1%8F_4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AC27F-BF46-4A01-B923-6D3F7ABDE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51</Pages>
  <Words>13318</Words>
  <Characters>75918</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21</cp:revision>
  <dcterms:created xsi:type="dcterms:W3CDTF">2026-03-03T21:38:00Z</dcterms:created>
  <dcterms:modified xsi:type="dcterms:W3CDTF">2026-04-27T21:53:00Z</dcterms:modified>
</cp:coreProperties>
</file>