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0808" w:rsidRDefault="008B0808" w:rsidP="008B0808">
      <w:pPr>
        <w:pStyle w:val="BodyText"/>
        <w:spacing w:line="276" w:lineRule="auto"/>
        <w:ind w:right="5"/>
        <w:jc w:val="center"/>
      </w:pPr>
      <w:r>
        <w:t>ՀԱՅԱՍՏԱՆԻ</w:t>
      </w:r>
      <w:r>
        <w:rPr>
          <w:lang w:val="en-US"/>
        </w:rPr>
        <w:t xml:space="preserve"> </w:t>
      </w:r>
      <w:r>
        <w:t>ԱԶԳԱՅԻՆ</w:t>
      </w:r>
      <w:r>
        <w:rPr>
          <w:lang w:val="en-US"/>
        </w:rPr>
        <w:t xml:space="preserve"> </w:t>
      </w:r>
      <w:r>
        <w:t>ՊՈԼԻՏԵԽՆԻԿԱԿԱՆ</w:t>
      </w:r>
      <w:r>
        <w:rPr>
          <w:lang w:val="en-US"/>
        </w:rPr>
        <w:t xml:space="preserve"> </w:t>
      </w:r>
      <w:r>
        <w:t>ՀԱՄԱԼՍԱՐԱՆ</w:t>
      </w:r>
      <w:r>
        <w:rPr>
          <w:lang w:val="en-US"/>
        </w:rPr>
        <w:t xml:space="preserve"> </w:t>
      </w:r>
      <w:r>
        <w:rPr>
          <w:spacing w:val="-2"/>
        </w:rPr>
        <w:t>(ՀԻՄՆԱԴՐԱՄ)</w:t>
      </w:r>
    </w:p>
    <w:p w:rsidR="008B0808" w:rsidRDefault="008B0808" w:rsidP="008B0808">
      <w:pPr>
        <w:pStyle w:val="BodyText"/>
        <w:spacing w:before="324"/>
      </w:pPr>
    </w:p>
    <w:p w:rsidR="008B0808" w:rsidRDefault="008B0808" w:rsidP="008B0808">
      <w:pPr>
        <w:pStyle w:val="BodyText"/>
        <w:ind w:right="5"/>
        <w:jc w:val="center"/>
      </w:pPr>
      <w:r>
        <w:t>«Լեռնամետալուրգիայի</w:t>
      </w:r>
      <w:r w:rsidRPr="00E420E4">
        <w:t xml:space="preserve"> </w:t>
      </w:r>
      <w:r>
        <w:t>և</w:t>
      </w:r>
      <w:r w:rsidRPr="00E420E4">
        <w:t xml:space="preserve"> </w:t>
      </w:r>
      <w:r>
        <w:t>քիմիական</w:t>
      </w:r>
      <w:r w:rsidRPr="00E420E4">
        <w:t xml:space="preserve"> </w:t>
      </w:r>
      <w:r>
        <w:t>տեխնոլոգիաների»</w:t>
      </w:r>
      <w:r w:rsidRPr="00E420E4">
        <w:t xml:space="preserve"> </w:t>
      </w:r>
      <w:r>
        <w:rPr>
          <w:spacing w:val="-2"/>
        </w:rPr>
        <w:t>ինստիտուտ</w:t>
      </w:r>
    </w:p>
    <w:p w:rsidR="008B0808" w:rsidRDefault="008B0808" w:rsidP="008B0808">
      <w:pPr>
        <w:pStyle w:val="BodyText"/>
        <w:spacing w:before="110"/>
      </w:pPr>
    </w:p>
    <w:p w:rsidR="008B0808" w:rsidRDefault="008B0808" w:rsidP="008B0808">
      <w:pPr>
        <w:pStyle w:val="BodyText"/>
        <w:tabs>
          <w:tab w:val="left" w:pos="7227"/>
        </w:tabs>
        <w:spacing w:line="276" w:lineRule="auto"/>
        <w:ind w:left="1474" w:right="1478"/>
        <w:jc w:val="center"/>
      </w:pPr>
      <w:r>
        <w:t>«Քիմիական</w:t>
      </w:r>
      <w:r w:rsidRPr="00E420E4">
        <w:t xml:space="preserve"> </w:t>
      </w:r>
      <w:r>
        <w:t>տեխնոլոգիաներ,</w:t>
      </w:r>
      <w:r w:rsidRPr="00E420E4">
        <w:t xml:space="preserve"> </w:t>
      </w:r>
      <w:r>
        <w:t>բնապահպանություն</w:t>
      </w:r>
      <w:r w:rsidRPr="00E420E4">
        <w:t xml:space="preserve"> </w:t>
      </w:r>
      <w:r>
        <w:t>և</w:t>
      </w:r>
      <w:r w:rsidRPr="00E420E4">
        <w:t xml:space="preserve"> </w:t>
      </w:r>
      <w:r>
        <w:t>կենսագործունեության</w:t>
      </w:r>
      <w:r w:rsidRPr="00E420E4">
        <w:t xml:space="preserve"> </w:t>
      </w:r>
      <w:r>
        <w:t xml:space="preserve">անվտանգություն» </w:t>
      </w:r>
      <w:r>
        <w:rPr>
          <w:spacing w:val="-2"/>
        </w:rPr>
        <w:t>ամբիոն</w:t>
      </w:r>
    </w:p>
    <w:p w:rsidR="008B0808" w:rsidRDefault="008B0808" w:rsidP="008B0808">
      <w:pPr>
        <w:pStyle w:val="BodyText"/>
      </w:pPr>
    </w:p>
    <w:p w:rsidR="008B0808" w:rsidRDefault="008B0808" w:rsidP="008B0808">
      <w:pPr>
        <w:pStyle w:val="BodyText"/>
      </w:pPr>
    </w:p>
    <w:p w:rsidR="008B0808" w:rsidRDefault="008B0808" w:rsidP="008B0808">
      <w:pPr>
        <w:pStyle w:val="BodyText"/>
        <w:spacing w:before="322"/>
      </w:pPr>
    </w:p>
    <w:p w:rsidR="008B0808" w:rsidRDefault="008B0808" w:rsidP="008B0808">
      <w:pPr>
        <w:pStyle w:val="Title"/>
        <w:ind w:left="2"/>
      </w:pPr>
      <w:r>
        <w:rPr>
          <w:lang w:val="hy-AM"/>
        </w:rPr>
        <w:t xml:space="preserve">ԱՎԱՐՏԱԿԱՆ </w:t>
      </w:r>
      <w:r w:rsidRPr="005651F6">
        <w:t xml:space="preserve"> </w:t>
      </w:r>
      <w:r>
        <w:t>ԱՇԽԱՏԱՆՔԻ</w:t>
      </w:r>
      <w:r w:rsidRPr="005651F6">
        <w:t xml:space="preserve"> </w:t>
      </w:r>
      <w:r>
        <w:rPr>
          <w:lang w:val="hy-AM"/>
        </w:rPr>
        <w:t xml:space="preserve"> </w:t>
      </w:r>
      <w:r>
        <w:rPr>
          <w:spacing w:val="-2"/>
        </w:rPr>
        <w:t>ԱՌԱՋԱԴՐԱՆՔ</w:t>
      </w:r>
    </w:p>
    <w:p w:rsidR="008B0808" w:rsidRDefault="008B0808" w:rsidP="008B0808">
      <w:pPr>
        <w:pStyle w:val="BodyText"/>
        <w:rPr>
          <w:sz w:val="36"/>
        </w:rPr>
      </w:pPr>
    </w:p>
    <w:p w:rsidR="008B0808" w:rsidRDefault="008B0808" w:rsidP="008B0808">
      <w:pPr>
        <w:pStyle w:val="BodyText"/>
        <w:spacing w:before="380"/>
        <w:rPr>
          <w:sz w:val="36"/>
        </w:rPr>
      </w:pPr>
    </w:p>
    <w:p w:rsidR="008B0808" w:rsidRDefault="008B0808" w:rsidP="008B0808">
      <w:pPr>
        <w:pStyle w:val="Title"/>
        <w:spacing w:line="276" w:lineRule="auto"/>
      </w:pPr>
      <w:r>
        <w:t>«ԿԵՆՍԱԳՈՐԾՈՒՆԵՈՒԹՅԱՆ</w:t>
      </w:r>
      <w:r>
        <w:rPr>
          <w:lang w:val="hy-AM"/>
        </w:rPr>
        <w:t xml:space="preserve">  </w:t>
      </w:r>
      <w:r>
        <w:t xml:space="preserve">ԱՆՎՏԱՆԳՈՒԹՅՈՒՆ» </w:t>
      </w:r>
      <w:r>
        <w:rPr>
          <w:spacing w:val="-2"/>
        </w:rPr>
        <w:t>ԲԱԺՆԻՑ</w:t>
      </w:r>
    </w:p>
    <w:p w:rsidR="008B0808" w:rsidRDefault="008B0808" w:rsidP="008B0808">
      <w:pPr>
        <w:pStyle w:val="BodyText"/>
        <w:rPr>
          <w:sz w:val="36"/>
        </w:rPr>
      </w:pPr>
    </w:p>
    <w:p w:rsidR="008B0808" w:rsidRDefault="008B0808" w:rsidP="008B0808">
      <w:pPr>
        <w:pStyle w:val="BodyText"/>
        <w:rPr>
          <w:sz w:val="36"/>
        </w:rPr>
      </w:pPr>
    </w:p>
    <w:p w:rsidR="008B0808" w:rsidRDefault="008B0808" w:rsidP="008B0808">
      <w:pPr>
        <w:pStyle w:val="BodyText"/>
        <w:spacing w:before="270"/>
        <w:rPr>
          <w:sz w:val="36"/>
        </w:rPr>
      </w:pPr>
    </w:p>
    <w:p w:rsidR="008B0808" w:rsidRDefault="008B0808" w:rsidP="008B0808">
      <w:pPr>
        <w:pStyle w:val="BodyText"/>
        <w:tabs>
          <w:tab w:val="left" w:pos="2005"/>
          <w:tab w:val="left" w:pos="9009"/>
        </w:tabs>
        <w:ind w:left="101"/>
        <w:rPr>
          <w:rFonts w:ascii="Times New Roman" w:eastAsia="Times New Roman" w:hAnsi="Times New Roman" w:cs="Times New Roman"/>
        </w:rPr>
      </w:pPr>
      <w:r>
        <w:rPr>
          <w:spacing w:val="-2"/>
          <w:lang w:val="en-US"/>
        </w:rPr>
        <w:t>Ինստիտուտ</w:t>
      </w:r>
      <w:r>
        <w:tab/>
      </w:r>
      <w:r>
        <w:rPr>
          <w:rFonts w:ascii="Times New Roman" w:eastAsia="Times New Roman" w:hAnsi="Times New Roman" w:cs="Times New Roman"/>
          <w:u w:val="single"/>
        </w:rPr>
        <w:tab/>
      </w:r>
    </w:p>
    <w:p w:rsidR="008B0808" w:rsidRDefault="008B0808" w:rsidP="008B0808">
      <w:pPr>
        <w:pStyle w:val="BodyText"/>
        <w:spacing w:before="46"/>
        <w:rPr>
          <w:rFonts w:ascii="Times New Roman"/>
        </w:rPr>
      </w:pPr>
    </w:p>
    <w:p w:rsidR="008B0808" w:rsidRDefault="008B0808" w:rsidP="008B0808">
      <w:pPr>
        <w:pStyle w:val="BodyText"/>
        <w:tabs>
          <w:tab w:val="left" w:pos="2000"/>
          <w:tab w:val="left" w:pos="9006"/>
        </w:tabs>
        <w:ind w:left="101"/>
        <w:rPr>
          <w:rFonts w:ascii="Times New Roman" w:eastAsia="Times New Roman" w:hAnsi="Times New Roman" w:cs="Times New Roman"/>
        </w:rPr>
      </w:pPr>
      <w:r>
        <w:rPr>
          <w:spacing w:val="-2"/>
        </w:rPr>
        <w:t>Խումբ</w:t>
      </w:r>
      <w:r>
        <w:tab/>
      </w:r>
      <w:r>
        <w:rPr>
          <w:rFonts w:ascii="Times New Roman" w:eastAsia="Times New Roman" w:hAnsi="Times New Roman" w:cs="Times New Roman"/>
          <w:u w:val="single"/>
        </w:rPr>
        <w:tab/>
      </w:r>
    </w:p>
    <w:p w:rsidR="008B0808" w:rsidRDefault="008B0808" w:rsidP="008B0808">
      <w:pPr>
        <w:pStyle w:val="BodyText"/>
        <w:spacing w:before="46"/>
        <w:rPr>
          <w:rFonts w:ascii="Times New Roman"/>
        </w:rPr>
      </w:pPr>
    </w:p>
    <w:p w:rsidR="008B0808" w:rsidRDefault="008B0808" w:rsidP="008B0808">
      <w:pPr>
        <w:pStyle w:val="BodyText"/>
        <w:tabs>
          <w:tab w:val="left" w:pos="1981"/>
          <w:tab w:val="left" w:pos="8985"/>
        </w:tabs>
        <w:spacing w:before="1"/>
        <w:ind w:left="101"/>
        <w:rPr>
          <w:rFonts w:ascii="Times New Roman" w:eastAsia="Times New Roman" w:hAnsi="Times New Roman" w:cs="Times New Roman"/>
        </w:rPr>
      </w:pPr>
      <w:r>
        <w:rPr>
          <w:spacing w:val="-2"/>
        </w:rPr>
        <w:t>Ուսանող</w:t>
      </w:r>
      <w:r>
        <w:tab/>
      </w:r>
      <w:r>
        <w:rPr>
          <w:rFonts w:ascii="Times New Roman" w:eastAsia="Times New Roman" w:hAnsi="Times New Roman" w:cs="Times New Roman"/>
          <w:u w:val="single"/>
        </w:rPr>
        <w:tab/>
      </w:r>
    </w:p>
    <w:p w:rsidR="008B0808" w:rsidRDefault="008B0808" w:rsidP="008B0808">
      <w:pPr>
        <w:pStyle w:val="BodyText"/>
        <w:spacing w:before="48"/>
        <w:rPr>
          <w:rFonts w:ascii="Times New Roman"/>
        </w:rPr>
      </w:pPr>
    </w:p>
    <w:p w:rsidR="008B0808" w:rsidRDefault="008B0808" w:rsidP="008B0808">
      <w:pPr>
        <w:pStyle w:val="BodyText"/>
        <w:tabs>
          <w:tab w:val="left" w:pos="2038"/>
          <w:tab w:val="left" w:pos="9041"/>
        </w:tabs>
        <w:ind w:left="101"/>
        <w:rPr>
          <w:rFonts w:ascii="Times New Roman" w:eastAsia="Times New Roman" w:hAnsi="Times New Roman" w:cs="Times New Roman"/>
        </w:rPr>
      </w:pPr>
      <w:r>
        <w:rPr>
          <w:spacing w:val="-2"/>
        </w:rPr>
        <w:t>Խորհրդատու</w:t>
      </w:r>
      <w:r>
        <w:tab/>
      </w:r>
      <w:r>
        <w:rPr>
          <w:rFonts w:ascii="Times New Roman" w:eastAsia="Times New Roman" w:hAnsi="Times New Roman" w:cs="Times New Roman"/>
          <w:u w:val="single"/>
        </w:rPr>
        <w:tab/>
      </w:r>
    </w:p>
    <w:p w:rsidR="008B0808" w:rsidRDefault="008B0808" w:rsidP="008B0808">
      <w:pPr>
        <w:pStyle w:val="BodyText"/>
        <w:rPr>
          <w:rFonts w:ascii="Times New Roman"/>
        </w:rPr>
      </w:pPr>
    </w:p>
    <w:p w:rsidR="008B0808" w:rsidRDefault="008B0808" w:rsidP="008B0808">
      <w:pPr>
        <w:pStyle w:val="BodyText"/>
        <w:rPr>
          <w:rFonts w:ascii="Times New Roman"/>
        </w:rPr>
      </w:pPr>
    </w:p>
    <w:p w:rsidR="008B0808" w:rsidRDefault="008B0808" w:rsidP="008B0808">
      <w:pPr>
        <w:pStyle w:val="BodyText"/>
        <w:rPr>
          <w:rFonts w:ascii="Times New Roman"/>
        </w:rPr>
      </w:pPr>
    </w:p>
    <w:p w:rsidR="008B0808" w:rsidRDefault="008B0808" w:rsidP="008B0808">
      <w:pPr>
        <w:pStyle w:val="BodyText"/>
        <w:rPr>
          <w:rFonts w:ascii="Times New Roman"/>
        </w:rPr>
      </w:pPr>
    </w:p>
    <w:p w:rsidR="008B0808" w:rsidRDefault="008B0808" w:rsidP="008B0808">
      <w:pPr>
        <w:pStyle w:val="BodyText"/>
        <w:rPr>
          <w:rFonts w:ascii="Times New Roman"/>
        </w:rPr>
      </w:pPr>
    </w:p>
    <w:p w:rsidR="008B0808" w:rsidRDefault="008B0808" w:rsidP="008B0808">
      <w:pPr>
        <w:pStyle w:val="BodyText"/>
        <w:spacing w:before="198"/>
        <w:rPr>
          <w:rFonts w:ascii="Times New Roman"/>
        </w:rPr>
      </w:pPr>
    </w:p>
    <w:p w:rsidR="008B0808" w:rsidRPr="005651F6" w:rsidRDefault="008B0808" w:rsidP="008B0808">
      <w:pPr>
        <w:pStyle w:val="BodyText"/>
        <w:ind w:left="1" w:right="5"/>
        <w:jc w:val="center"/>
      </w:pPr>
      <w:r>
        <w:t>ԵՐԵՎԱՆ</w:t>
      </w:r>
      <w:r w:rsidRPr="005651F6">
        <w:t xml:space="preserve"> </w:t>
      </w:r>
      <w:r>
        <w:rPr>
          <w:spacing w:val="-4"/>
        </w:rPr>
        <w:t>202</w:t>
      </w:r>
      <w:r w:rsidRPr="005651F6">
        <w:rPr>
          <w:spacing w:val="-4"/>
        </w:rPr>
        <w:t>5</w:t>
      </w:r>
    </w:p>
    <w:p w:rsidR="008B0808" w:rsidRDefault="008B0808" w:rsidP="008B0808">
      <w:pPr>
        <w:jc w:val="center"/>
        <w:sectPr w:rsidR="008B0808" w:rsidSect="008B0808">
          <w:pgSz w:w="11910" w:h="16840"/>
          <w:pgMar w:top="1120" w:right="460" w:bottom="280" w:left="1600" w:header="720" w:footer="720" w:gutter="0"/>
          <w:cols w:space="720"/>
        </w:sectPr>
      </w:pPr>
    </w:p>
    <w:p w:rsidR="008B0808" w:rsidRDefault="008B0808" w:rsidP="008B0808">
      <w:pPr>
        <w:pStyle w:val="BodyText"/>
        <w:spacing w:line="364" w:lineRule="exact"/>
        <w:ind w:left="101"/>
        <w:jc w:val="center"/>
      </w:pPr>
      <w:r>
        <w:lastRenderedPageBreak/>
        <w:t>ԱՌԱՋԱԴՐԱՆՔԻ</w:t>
      </w:r>
      <w:r w:rsidRPr="008B0808">
        <w:t xml:space="preserve"> </w:t>
      </w:r>
      <w:r>
        <w:rPr>
          <w:spacing w:val="-4"/>
        </w:rPr>
        <w:t>ԹԵՄԱ</w:t>
      </w:r>
    </w:p>
    <w:p w:rsidR="008B0808" w:rsidRDefault="008B0808" w:rsidP="008B0808">
      <w:pPr>
        <w:pStyle w:val="BodyText"/>
        <w:rPr>
          <w:sz w:val="20"/>
        </w:rPr>
      </w:pPr>
    </w:p>
    <w:p w:rsidR="008B0808" w:rsidRPr="00DE39BE" w:rsidRDefault="008B0808" w:rsidP="008B0808">
      <w:pPr>
        <w:pStyle w:val="NormalWeb"/>
        <w:spacing w:before="30" w:after="30"/>
        <w:ind w:firstLine="426"/>
        <w:jc w:val="center"/>
        <w:rPr>
          <w:rFonts w:ascii="Sylfaen" w:hAnsi="Sylfaen"/>
          <w:sz w:val="32"/>
        </w:rPr>
      </w:pPr>
      <w:r w:rsidRPr="00DE39BE">
        <w:rPr>
          <w:rFonts w:ascii="Sylfaen" w:hAnsi="Sylfaen"/>
          <w:sz w:val="32"/>
        </w:rPr>
        <w:t>Ամպային տեխնոլոգիաներ մատակարարող տվյալային կենտրոնների շրջակա միջավայրի վրա ազդեցության Ամպային տեխնոլոգիաներ մատակարարող տվյալային կենտրոնների շրջակա միջավայրի վրա ազդեցության գնահատումը</w:t>
      </w:r>
    </w:p>
    <w:p w:rsidR="008B0808" w:rsidRDefault="008B0808" w:rsidP="008B0808">
      <w:pPr>
        <w:pStyle w:val="BodyText"/>
        <w:spacing w:before="303"/>
      </w:pPr>
    </w:p>
    <w:p w:rsidR="008B0808" w:rsidRDefault="008B0808" w:rsidP="008B0808">
      <w:pPr>
        <w:pStyle w:val="BodyText"/>
        <w:ind w:right="5"/>
        <w:jc w:val="center"/>
      </w:pPr>
      <w:r>
        <w:t>ԱՌԱՋԱԴՐՎՈՂ</w:t>
      </w:r>
      <w:r>
        <w:rPr>
          <w:lang w:val="hy-AM"/>
        </w:rPr>
        <w:t xml:space="preserve">  </w:t>
      </w:r>
      <w:r>
        <w:rPr>
          <w:spacing w:val="-2"/>
        </w:rPr>
        <w:t>ԳՐԱԿԱՆՈՒԹՅՈՒՆ</w:t>
      </w:r>
    </w:p>
    <w:p w:rsidR="008B0808" w:rsidRDefault="008B0808" w:rsidP="008B0808">
      <w:pPr>
        <w:pStyle w:val="BodyText"/>
        <w:spacing w:before="289"/>
      </w:pPr>
    </w:p>
    <w:p w:rsidR="008B0808" w:rsidRPr="00DE39BE" w:rsidRDefault="008B0808" w:rsidP="008B0808">
      <w:pPr>
        <w:pStyle w:val="ListParagraph"/>
        <w:numPr>
          <w:ilvl w:val="0"/>
          <w:numId w:val="1"/>
        </w:numPr>
        <w:tabs>
          <w:tab w:val="left" w:pos="461"/>
        </w:tabs>
        <w:spacing w:line="360" w:lineRule="auto"/>
        <w:ind w:right="102"/>
        <w:rPr>
          <w:sz w:val="28"/>
          <w:szCs w:val="28"/>
        </w:rPr>
      </w:pPr>
      <w:r w:rsidRPr="00DE39BE">
        <w:rPr>
          <w:sz w:val="28"/>
          <w:szCs w:val="28"/>
        </w:rPr>
        <w:t>Խալաթյան Ռ.Պ., Սարգսյան Ս.Հ, Խիզանցյան. Կ.Մ. - Կենսագործու</w:t>
      </w:r>
      <w:r w:rsidRPr="00DE39BE">
        <w:rPr>
          <w:sz w:val="28"/>
          <w:szCs w:val="28"/>
        </w:rPr>
        <w:softHyphen/>
        <w:t>նեության անվտանգություն: Մեթոդականձեռնարկ: ՀԱՊՀ Երևան-Ճարտարագետ 2022</w:t>
      </w:r>
      <w:bookmarkStart w:id="0" w:name="_GoBack"/>
      <w:bookmarkEnd w:id="0"/>
      <w:r w:rsidRPr="00DE39BE">
        <w:rPr>
          <w:sz w:val="28"/>
          <w:szCs w:val="28"/>
        </w:rPr>
        <w:t>:</w:t>
      </w:r>
    </w:p>
    <w:p w:rsidR="008B0808" w:rsidRPr="00DE39BE" w:rsidRDefault="008B0808" w:rsidP="008B0808">
      <w:pPr>
        <w:pStyle w:val="ListParagraph"/>
        <w:numPr>
          <w:ilvl w:val="0"/>
          <w:numId w:val="1"/>
        </w:numPr>
        <w:tabs>
          <w:tab w:val="left" w:pos="461"/>
        </w:tabs>
        <w:spacing w:line="360" w:lineRule="auto"/>
        <w:ind w:right="102"/>
        <w:rPr>
          <w:sz w:val="28"/>
          <w:szCs w:val="28"/>
        </w:rPr>
      </w:pPr>
      <w:r w:rsidRPr="00DE39BE">
        <w:rPr>
          <w:sz w:val="28"/>
          <w:szCs w:val="28"/>
          <w:lang w:val="en-US"/>
        </w:rPr>
        <w:t>Ջուհարյան</w:t>
      </w:r>
      <w:r w:rsidRPr="00DE39BE">
        <w:rPr>
          <w:sz w:val="28"/>
          <w:szCs w:val="28"/>
        </w:rPr>
        <w:t xml:space="preserve"> </w:t>
      </w:r>
      <w:r w:rsidRPr="00DE39BE">
        <w:rPr>
          <w:sz w:val="28"/>
          <w:szCs w:val="28"/>
          <w:lang w:val="en-US"/>
        </w:rPr>
        <w:t>Օ</w:t>
      </w:r>
      <w:r w:rsidRPr="00DE39BE">
        <w:rPr>
          <w:sz w:val="28"/>
          <w:szCs w:val="28"/>
        </w:rPr>
        <w:t>.</w:t>
      </w:r>
      <w:r w:rsidRPr="00DE39BE">
        <w:rPr>
          <w:sz w:val="28"/>
          <w:szCs w:val="28"/>
          <w:lang w:val="en-US"/>
        </w:rPr>
        <w:t>Ա</w:t>
      </w:r>
      <w:r w:rsidRPr="00DE39BE">
        <w:rPr>
          <w:sz w:val="28"/>
          <w:szCs w:val="28"/>
        </w:rPr>
        <w:t xml:space="preserve">., </w:t>
      </w:r>
      <w:r w:rsidRPr="00DE39BE">
        <w:rPr>
          <w:sz w:val="28"/>
          <w:szCs w:val="28"/>
          <w:lang w:val="en-US"/>
        </w:rPr>
        <w:t>Սաղաթելյան</w:t>
      </w:r>
      <w:r w:rsidRPr="00DE39BE">
        <w:rPr>
          <w:sz w:val="28"/>
          <w:szCs w:val="28"/>
        </w:rPr>
        <w:t xml:space="preserve"> </w:t>
      </w:r>
      <w:r w:rsidRPr="00DE39BE">
        <w:rPr>
          <w:sz w:val="28"/>
          <w:szCs w:val="28"/>
          <w:lang w:val="en-US"/>
        </w:rPr>
        <w:t>Ա</w:t>
      </w:r>
      <w:r w:rsidRPr="00DE39BE">
        <w:rPr>
          <w:sz w:val="28"/>
          <w:szCs w:val="28"/>
        </w:rPr>
        <w:t>.</w:t>
      </w:r>
      <w:r w:rsidRPr="00DE39BE">
        <w:rPr>
          <w:sz w:val="28"/>
          <w:szCs w:val="28"/>
          <w:lang w:val="en-US"/>
        </w:rPr>
        <w:t>Կ</w:t>
      </w:r>
      <w:r w:rsidRPr="00DE39BE">
        <w:rPr>
          <w:sz w:val="28"/>
          <w:szCs w:val="28"/>
        </w:rPr>
        <w:t>. –</w:t>
      </w:r>
      <w:r w:rsidRPr="00DE39BE">
        <w:rPr>
          <w:sz w:val="28"/>
          <w:szCs w:val="28"/>
          <w:lang w:val="en-US"/>
        </w:rPr>
        <w:t>Կենսագործունեության</w:t>
      </w:r>
      <w:r w:rsidRPr="00DE39BE">
        <w:rPr>
          <w:sz w:val="28"/>
          <w:szCs w:val="28"/>
        </w:rPr>
        <w:t xml:space="preserve"> </w:t>
      </w:r>
      <w:r w:rsidRPr="00DE39BE">
        <w:rPr>
          <w:sz w:val="28"/>
          <w:szCs w:val="28"/>
          <w:lang w:val="en-US"/>
        </w:rPr>
        <w:t>անվտանգություն</w:t>
      </w:r>
      <w:r w:rsidRPr="00DE39BE">
        <w:rPr>
          <w:sz w:val="28"/>
          <w:szCs w:val="28"/>
        </w:rPr>
        <w:t>.-</w:t>
      </w:r>
      <w:r w:rsidRPr="00DE39BE">
        <w:rPr>
          <w:sz w:val="28"/>
          <w:szCs w:val="28"/>
          <w:lang w:val="en-US"/>
        </w:rPr>
        <w:t>Եր</w:t>
      </w:r>
      <w:r w:rsidRPr="00DE39BE">
        <w:rPr>
          <w:sz w:val="28"/>
          <w:szCs w:val="28"/>
        </w:rPr>
        <w:t xml:space="preserve">.: </w:t>
      </w:r>
      <w:r w:rsidRPr="00DE39BE">
        <w:rPr>
          <w:sz w:val="28"/>
          <w:szCs w:val="28"/>
          <w:lang w:val="en-US"/>
        </w:rPr>
        <w:t>ՀՀԳԱԱ</w:t>
      </w:r>
      <w:r w:rsidRPr="00DE39BE">
        <w:rPr>
          <w:sz w:val="28"/>
          <w:szCs w:val="28"/>
        </w:rPr>
        <w:t xml:space="preserve"> </w:t>
      </w:r>
      <w:r w:rsidRPr="00DE39BE">
        <w:rPr>
          <w:sz w:val="28"/>
          <w:szCs w:val="28"/>
          <w:lang w:val="en-US"/>
        </w:rPr>
        <w:t>Էկոլոգանոոսֆերային</w:t>
      </w:r>
      <w:r w:rsidRPr="00DE39BE">
        <w:rPr>
          <w:sz w:val="28"/>
          <w:szCs w:val="28"/>
        </w:rPr>
        <w:t xml:space="preserve"> </w:t>
      </w:r>
      <w:r w:rsidRPr="00DE39BE">
        <w:rPr>
          <w:sz w:val="28"/>
          <w:szCs w:val="28"/>
          <w:lang w:val="en-US"/>
        </w:rPr>
        <w:t>հետազոտությունների</w:t>
      </w:r>
      <w:r w:rsidRPr="00DE39BE">
        <w:rPr>
          <w:sz w:val="28"/>
          <w:szCs w:val="28"/>
        </w:rPr>
        <w:t xml:space="preserve"> </w:t>
      </w:r>
      <w:r w:rsidRPr="00DE39BE">
        <w:rPr>
          <w:sz w:val="28"/>
          <w:szCs w:val="28"/>
          <w:lang w:val="en-US"/>
        </w:rPr>
        <w:t>կենտրոնի</w:t>
      </w:r>
      <w:r w:rsidRPr="00DE39BE">
        <w:rPr>
          <w:sz w:val="28"/>
          <w:szCs w:val="28"/>
        </w:rPr>
        <w:t xml:space="preserve"> </w:t>
      </w:r>
      <w:r w:rsidRPr="00DE39BE">
        <w:rPr>
          <w:sz w:val="28"/>
          <w:szCs w:val="28"/>
          <w:lang w:val="en-US"/>
        </w:rPr>
        <w:t>հրատ</w:t>
      </w:r>
      <w:r w:rsidRPr="00DE39BE">
        <w:rPr>
          <w:sz w:val="28"/>
          <w:szCs w:val="28"/>
        </w:rPr>
        <w:t>., 2005, 187</w:t>
      </w:r>
      <w:r w:rsidRPr="00DE39BE">
        <w:rPr>
          <w:sz w:val="28"/>
          <w:szCs w:val="28"/>
          <w:lang w:val="en-US"/>
        </w:rPr>
        <w:t>էջ</w:t>
      </w:r>
      <w:r w:rsidRPr="00DE39BE">
        <w:rPr>
          <w:sz w:val="28"/>
          <w:szCs w:val="28"/>
        </w:rPr>
        <w:t>:</w:t>
      </w:r>
    </w:p>
    <w:p w:rsidR="008B0808" w:rsidRPr="00DE39BE" w:rsidRDefault="008B0808" w:rsidP="008B0808">
      <w:pPr>
        <w:pStyle w:val="ListParagraph"/>
        <w:numPr>
          <w:ilvl w:val="0"/>
          <w:numId w:val="1"/>
        </w:numPr>
        <w:tabs>
          <w:tab w:val="left" w:pos="461"/>
        </w:tabs>
        <w:spacing w:line="360" w:lineRule="auto"/>
        <w:ind w:right="102"/>
        <w:rPr>
          <w:sz w:val="28"/>
          <w:szCs w:val="28"/>
        </w:rPr>
      </w:pPr>
      <w:r w:rsidRPr="00DE39BE">
        <w:rPr>
          <w:sz w:val="28"/>
          <w:szCs w:val="28"/>
        </w:rPr>
        <w:t xml:space="preserve">Семехин Ю.Г. – </w:t>
      </w:r>
      <w:r w:rsidRPr="00DE39BE">
        <w:rPr>
          <w:sz w:val="28"/>
        </w:rPr>
        <w:t>Безопасность жизнедеятельности. Учебник / Под общ. ред. д. тех. наук, проф. Б.Ч. Месхи – М.: ИНФРА – М: Академцентр, 2018.- 288.</w:t>
      </w:r>
    </w:p>
    <w:p w:rsidR="009E1ADE" w:rsidRPr="009E1ADE" w:rsidRDefault="009E1ADE" w:rsidP="009E1ADE">
      <w:pPr>
        <w:pStyle w:val="ListParagraph"/>
        <w:numPr>
          <w:ilvl w:val="0"/>
          <w:numId w:val="1"/>
        </w:numPr>
        <w:tabs>
          <w:tab w:val="left" w:pos="461"/>
        </w:tabs>
        <w:spacing w:line="360" w:lineRule="auto"/>
        <w:ind w:right="103"/>
        <w:rPr>
          <w:sz w:val="28"/>
          <w:szCs w:val="28"/>
          <w:lang w:val="en-US"/>
        </w:rPr>
      </w:pPr>
      <w:r w:rsidRPr="009E1ADE">
        <w:rPr>
          <w:sz w:val="28"/>
          <w:szCs w:val="28"/>
          <w:lang w:val="en-US"/>
        </w:rPr>
        <w:t>Uptime Institute – Data Center Energy Efficiency and Sustainability Reports</w:t>
      </w:r>
    </w:p>
    <w:p w:rsidR="009E1ADE" w:rsidRPr="009E1ADE" w:rsidRDefault="009E1ADE" w:rsidP="009E1ADE">
      <w:pPr>
        <w:pStyle w:val="ListParagraph"/>
        <w:numPr>
          <w:ilvl w:val="0"/>
          <w:numId w:val="1"/>
        </w:numPr>
        <w:tabs>
          <w:tab w:val="left" w:pos="461"/>
        </w:tabs>
        <w:spacing w:line="360" w:lineRule="auto"/>
        <w:ind w:right="103"/>
        <w:rPr>
          <w:sz w:val="28"/>
          <w:szCs w:val="28"/>
          <w:lang w:val="en-US"/>
        </w:rPr>
      </w:pPr>
      <w:r w:rsidRPr="009E1ADE">
        <w:rPr>
          <w:sz w:val="28"/>
          <w:szCs w:val="28"/>
          <w:lang w:val="en-US"/>
        </w:rPr>
        <w:t>The Green Grid – Power Usage Effectiveness (PUE) and Metrics</w:t>
      </w:r>
    </w:p>
    <w:p w:rsidR="009E1ADE" w:rsidRPr="009E1ADE" w:rsidRDefault="009E1ADE" w:rsidP="009E1ADE">
      <w:pPr>
        <w:pStyle w:val="ListParagraph"/>
        <w:numPr>
          <w:ilvl w:val="0"/>
          <w:numId w:val="1"/>
        </w:numPr>
        <w:tabs>
          <w:tab w:val="left" w:pos="461"/>
        </w:tabs>
        <w:spacing w:line="360" w:lineRule="auto"/>
        <w:ind w:right="103"/>
        <w:rPr>
          <w:sz w:val="28"/>
          <w:szCs w:val="28"/>
          <w:lang w:val="en-US"/>
        </w:rPr>
      </w:pPr>
      <w:r w:rsidRPr="009E1ADE">
        <w:rPr>
          <w:sz w:val="28"/>
          <w:szCs w:val="28"/>
          <w:lang w:val="en-US"/>
        </w:rPr>
        <w:t>International Energy Agency (IEA) – Data Centres and Data Transmission Networks</w:t>
      </w:r>
    </w:p>
    <w:p w:rsidR="009E1ADE" w:rsidRPr="009E1ADE" w:rsidRDefault="009E1ADE" w:rsidP="009E1ADE">
      <w:pPr>
        <w:pStyle w:val="ListParagraph"/>
        <w:numPr>
          <w:ilvl w:val="0"/>
          <w:numId w:val="1"/>
        </w:numPr>
        <w:tabs>
          <w:tab w:val="left" w:pos="461"/>
        </w:tabs>
        <w:spacing w:line="360" w:lineRule="auto"/>
        <w:ind w:right="103"/>
        <w:rPr>
          <w:sz w:val="28"/>
          <w:szCs w:val="28"/>
          <w:lang w:val="en-US"/>
        </w:rPr>
      </w:pPr>
      <w:r w:rsidRPr="009E1ADE">
        <w:rPr>
          <w:sz w:val="28"/>
          <w:szCs w:val="28"/>
          <w:lang w:val="en-US"/>
        </w:rPr>
        <w:t>U.S. Department of Energy – Energy Efficiency and Renewable Energy (EERE) Reports on Data Centers</w:t>
      </w:r>
    </w:p>
    <w:p w:rsidR="008B0808" w:rsidRPr="00F85696" w:rsidRDefault="008B0808" w:rsidP="008B0808">
      <w:pPr>
        <w:pStyle w:val="BodyText"/>
        <w:tabs>
          <w:tab w:val="left" w:pos="6072"/>
          <w:tab w:val="left" w:pos="6821"/>
          <w:tab w:val="left" w:pos="9521"/>
        </w:tabs>
        <w:spacing w:before="232"/>
        <w:ind w:left="461"/>
        <w:rPr>
          <w:sz w:val="26"/>
          <w:szCs w:val="26"/>
          <w:lang w:val="en-US"/>
        </w:rPr>
      </w:pPr>
      <w:r>
        <w:t>Առաջադրանքը</w:t>
      </w:r>
      <w:r>
        <w:rPr>
          <w:lang w:val="hy-AM"/>
        </w:rPr>
        <w:t xml:space="preserve"> </w:t>
      </w:r>
      <w:r>
        <w:t>տրված</w:t>
      </w:r>
      <w:r>
        <w:rPr>
          <w:lang w:val="hy-AM"/>
        </w:rPr>
        <w:t xml:space="preserve"> </w:t>
      </w:r>
      <w:r>
        <w:rPr>
          <w:spacing w:val="-10"/>
        </w:rPr>
        <w:t>է</w:t>
      </w:r>
      <w:r w:rsidRPr="00F85696">
        <w:rPr>
          <w:lang w:val="en-US"/>
        </w:rPr>
        <w:tab/>
      </w:r>
      <w:r w:rsidRPr="00F85696">
        <w:rPr>
          <w:spacing w:val="-10"/>
          <w:sz w:val="26"/>
          <w:szCs w:val="26"/>
          <w:lang w:val="en-US"/>
        </w:rPr>
        <w:t>“</w:t>
      </w:r>
      <w:r w:rsidRPr="00F85696">
        <w:rPr>
          <w:sz w:val="26"/>
          <w:szCs w:val="26"/>
          <w:u w:val="single"/>
          <w:lang w:val="en-US"/>
        </w:rPr>
        <w:tab/>
      </w:r>
      <w:r w:rsidRPr="00F85696">
        <w:rPr>
          <w:sz w:val="26"/>
          <w:szCs w:val="26"/>
          <w:lang w:val="en-US"/>
        </w:rPr>
        <w:t>”</w:t>
      </w:r>
      <w:r w:rsidRPr="00F85696">
        <w:rPr>
          <w:sz w:val="26"/>
          <w:szCs w:val="26"/>
          <w:u w:val="single"/>
          <w:lang w:val="en-US"/>
        </w:rPr>
        <w:tab/>
      </w:r>
    </w:p>
    <w:p w:rsidR="008B0808" w:rsidRPr="00F85696" w:rsidRDefault="008B0808" w:rsidP="008B0808">
      <w:pPr>
        <w:pStyle w:val="BodyText"/>
        <w:spacing w:before="16"/>
        <w:rPr>
          <w:lang w:val="en-US"/>
        </w:rPr>
      </w:pPr>
    </w:p>
    <w:p w:rsidR="008B0808" w:rsidRPr="00F85696" w:rsidRDefault="008B0808" w:rsidP="00DE39BE">
      <w:pPr>
        <w:pStyle w:val="BodyText"/>
        <w:ind w:left="449"/>
        <w:rPr>
          <w:lang w:val="en-US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54656" behindDoc="0" locked="0" layoutInCell="1" allowOverlap="1">
                <wp:simplePos x="0" y="0"/>
                <wp:positionH relativeFrom="page">
                  <wp:posOffset>4799330</wp:posOffset>
                </wp:positionH>
                <wp:positionV relativeFrom="paragraph">
                  <wp:posOffset>197485</wp:posOffset>
                </wp:positionV>
                <wp:extent cx="2392680" cy="1270"/>
                <wp:effectExtent l="8255" t="6350" r="8890" b="11430"/>
                <wp:wrapNone/>
                <wp:docPr id="1" name="Freeform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392680" cy="1270"/>
                        </a:xfrm>
                        <a:custGeom>
                          <a:avLst/>
                          <a:gdLst>
                            <a:gd name="T0" fmla="*/ 0 w 2392680"/>
                            <a:gd name="T1" fmla="*/ 0 h 1270"/>
                            <a:gd name="T2" fmla="*/ 2392674 w 2392680"/>
                            <a:gd name="T3" fmla="*/ 0 h 12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2392680" h="1270">
                              <a:moveTo>
                                <a:pt x="0" y="0"/>
                              </a:moveTo>
                              <a:lnTo>
                                <a:pt x="2392674" y="0"/>
                              </a:lnTo>
                            </a:path>
                          </a:pathLst>
                        </a:custGeom>
                        <a:noFill/>
                        <a:ln w="763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471394" id="Freeform 1" o:spid="_x0000_s1026" style="position:absolute;margin-left:377.9pt;margin-top:15.55pt;width:188.4pt;height:.1pt;z-index:2516546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3926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" path="m,l2392674,e" filled="f" strokeweight=".21208mm">
                <v:path arrowok="t" o:connecttype="custom" o:connectlocs="0,0;2392674,0" o:connectangles="0,0"/>
                <w10:wrap anchorx="page"/>
              </v:shape>
            </w:pict>
          </mc:Fallback>
        </mc:AlternateContent>
      </w:r>
      <w:r>
        <w:rPr>
          <w:spacing w:val="-2"/>
        </w:rPr>
        <w:t>Խորհրդատու</w:t>
      </w:r>
    </w:p>
    <w:p w:rsidR="009E1ADE" w:rsidRPr="00F85696" w:rsidRDefault="009E1ADE">
      <w:pPr>
        <w:rPr>
          <w:rFonts w:ascii="Sylfaen" w:eastAsia="Times New Roman" w:hAnsi="Sylfaen" w:cs="Times New Roman"/>
          <w:sz w:val="24"/>
          <w:szCs w:val="24"/>
          <w:lang w:val="en-US" w:eastAsia="ru-RU"/>
        </w:rPr>
      </w:pPr>
      <w:r w:rsidRPr="00F85696">
        <w:rPr>
          <w:rFonts w:ascii="Sylfaen" w:hAnsi="Sylfaen"/>
          <w:lang w:val="en-US"/>
        </w:rPr>
        <w:br w:type="page"/>
      </w:r>
    </w:p>
    <w:p w:rsidR="00A768A7" w:rsidRPr="00F85696" w:rsidRDefault="00A768A7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  <w:lang w:val="en-US"/>
        </w:rPr>
      </w:pPr>
      <w:r w:rsidRPr="00A768A7">
        <w:rPr>
          <w:rFonts w:ascii="Sylfaen" w:hAnsi="Sylfaen"/>
        </w:rPr>
        <w:lastRenderedPageBreak/>
        <w:t>Ամպային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տեխնոլոգիաներ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մատակարարող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տվյալային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կենտրոնների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շրջակա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միջավայրի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վրա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ազդեցության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գնահատումը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ժամանակակից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թվային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տնտեսության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ամենաարդիական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և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ռազմավարական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հարցերից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մեկն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է։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Վերջին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երկու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տասնամյակների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ընթացքում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թվային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փոխակերպումը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դարձել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է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համաշխարհային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զարգացման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հիմնական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շարժիչ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ուժերից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մեկը։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Կազմակերպությունները</w:t>
      </w:r>
      <w:r w:rsidRPr="00F85696">
        <w:rPr>
          <w:rFonts w:ascii="Sylfaen" w:hAnsi="Sylfaen"/>
          <w:lang w:val="en-US"/>
        </w:rPr>
        <w:t xml:space="preserve">, </w:t>
      </w:r>
      <w:r w:rsidRPr="00A768A7">
        <w:rPr>
          <w:rFonts w:ascii="Sylfaen" w:hAnsi="Sylfaen"/>
        </w:rPr>
        <w:t>պետական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կառույցները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և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անհատ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օգտվողները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աստիճանաբար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տեղափոխում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են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իրենց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տվյալները</w:t>
      </w:r>
      <w:r w:rsidRPr="00F85696">
        <w:rPr>
          <w:rFonts w:ascii="Sylfaen" w:hAnsi="Sylfaen"/>
          <w:lang w:val="en-US"/>
        </w:rPr>
        <w:t xml:space="preserve">, </w:t>
      </w:r>
      <w:r w:rsidRPr="00A768A7">
        <w:rPr>
          <w:rFonts w:ascii="Sylfaen" w:hAnsi="Sylfaen"/>
        </w:rPr>
        <w:t>ծրագրերը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և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հաշվարկային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գործընթացները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ամպային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միջավայրեր՝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հրաժարվելով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տեղական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սերվերային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ենթակառուցվածքներից։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Այս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գործընթացը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պայմանավորված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է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ամպային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համակարգերի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ճկունությամբ</w:t>
      </w:r>
      <w:r w:rsidRPr="00F85696">
        <w:rPr>
          <w:rFonts w:ascii="Sylfaen" w:hAnsi="Sylfaen"/>
          <w:lang w:val="en-US"/>
        </w:rPr>
        <w:t xml:space="preserve">, </w:t>
      </w:r>
      <w:r w:rsidRPr="00A768A7">
        <w:rPr>
          <w:rFonts w:ascii="Sylfaen" w:hAnsi="Sylfaen"/>
        </w:rPr>
        <w:t>մասշտաբայնությամբ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և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ծախսերի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օպտիմալացման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հնարավորություններով։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Սակայն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թվային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հարմարավետության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աճին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զուգահեռ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աճում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է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նաև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տվյալային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կենտրոնների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քանակը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և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հզորությունը</w:t>
      </w:r>
      <w:r w:rsidRPr="00F85696">
        <w:rPr>
          <w:rFonts w:ascii="Sylfaen" w:hAnsi="Sylfaen"/>
          <w:lang w:val="en-US"/>
        </w:rPr>
        <w:t xml:space="preserve">, </w:t>
      </w:r>
      <w:r w:rsidRPr="00A768A7">
        <w:rPr>
          <w:rFonts w:ascii="Sylfaen" w:hAnsi="Sylfaen"/>
        </w:rPr>
        <w:t>ինչն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իր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հերթին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առաջացնում</w:t>
      </w:r>
      <w:r w:rsidRPr="00F85696">
        <w:rPr>
          <w:rFonts w:ascii="Sylfaen" w:hAnsi="Sylfaen"/>
          <w:lang w:val="en-US"/>
        </w:rPr>
        <w:t xml:space="preserve"> </w:t>
      </w:r>
      <w:r w:rsidRPr="00A768A7">
        <w:rPr>
          <w:rFonts w:ascii="Sylfaen" w:hAnsi="Sylfaen"/>
        </w:rPr>
        <w:t>է</w:t>
      </w:r>
      <w:r w:rsidRPr="00F85696">
        <w:rPr>
          <w:rFonts w:ascii="Sylfaen" w:hAnsi="Sylfaen"/>
          <w:lang w:val="en-US"/>
        </w:rPr>
        <w:t xml:space="preserve"> </w:t>
      </w:r>
      <w:r>
        <w:rPr>
          <w:rFonts w:ascii="Sylfaen" w:hAnsi="Sylfaen"/>
        </w:rPr>
        <w:t>էկոլոգիական</w:t>
      </w:r>
      <w:r w:rsidRPr="00F85696">
        <w:rPr>
          <w:rFonts w:ascii="Sylfaen" w:hAnsi="Sylfaen"/>
          <w:lang w:val="en-US"/>
        </w:rPr>
        <w:t xml:space="preserve"> </w:t>
      </w:r>
      <w:r>
        <w:rPr>
          <w:rFonts w:ascii="Sylfaen" w:hAnsi="Sylfaen"/>
        </w:rPr>
        <w:t>նոր</w:t>
      </w:r>
      <w:r w:rsidRPr="00F85696">
        <w:rPr>
          <w:rFonts w:ascii="Sylfaen" w:hAnsi="Sylfaen"/>
          <w:lang w:val="en-US"/>
        </w:rPr>
        <w:t xml:space="preserve"> </w:t>
      </w:r>
      <w:r>
        <w:rPr>
          <w:rFonts w:ascii="Sylfaen" w:hAnsi="Sylfaen"/>
        </w:rPr>
        <w:t>մարտահրավերներ։</w:t>
      </w:r>
    </w:p>
    <w:p w:rsidR="00A768A7" w:rsidRPr="00A768A7" w:rsidRDefault="00A768A7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</w:rPr>
      </w:pPr>
      <w:r w:rsidRPr="00A768A7">
        <w:rPr>
          <w:rFonts w:ascii="Sylfaen" w:hAnsi="Sylfaen"/>
        </w:rPr>
        <w:t>Տվյալային կենտրոնները հանդիսանում են բարձր տեխնոլոգիական համալիրներ, որոնք ներառում են հազարավոր սերվերներ, տվյալների պահեստավորման համակարգեր, ցանցային սարքավորումներ, էներգամատակարարման ենթակառուցվածքներ և բազմաշերտ սառեցման համակարգեր։ Դրանք գործում են շուրջօրյա՝ ապահովելով ինտերնետային ծառայությունների անխափան աշխատանքը, առցանց հարթակների հասանելիությունը, արհեստական բանականության մոդելների ուսուցումը, ֆինանսական գործարքների մշակումն ու մեծ տվյալների վերլուծությունը։ Տվյալային կենտրոնների հուսալիությունը և շարունակական աշխատանքը պահանջում են կրկնակի և եռակի պահուստային համակարգեր, ինչը նշանակում է հավելյալ էներգասպառում և նյո</w:t>
      </w:r>
      <w:r>
        <w:rPr>
          <w:rFonts w:ascii="Sylfaen" w:hAnsi="Sylfaen"/>
        </w:rPr>
        <w:t>ւթական ռեսուրսների օգտագործում։</w:t>
      </w:r>
    </w:p>
    <w:p w:rsidR="00A768A7" w:rsidRPr="00A768A7" w:rsidRDefault="00A768A7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</w:rPr>
      </w:pPr>
      <w:r w:rsidRPr="00A768A7">
        <w:rPr>
          <w:rFonts w:ascii="Sylfaen" w:hAnsi="Sylfaen"/>
        </w:rPr>
        <w:t>Բացի տեխնիկական բաղադրիչներից, տվյալային կենտրոնները ներկայացնում են բարդ ինժեներական համակարգեր, որոնց նախագծումն իրականացվում է բարձր հուսալիության և անխափան աշխատանքի սկզբունքով։ Սովորաբար կիրառվում է պահուստավորման բազմաստիճան ճարտարապետություն, ինչը նշանակում է, որ յուրաքանչյուր կարևոր համակարգ ունի լրացուցիչ կրկնօրինակներ։ Սա բարձրացնում է ծառայությունների կայունությունը, սակայն միաժամանակ մեծացնում է սարքավորումների քանակը, տարածքի պահանջը և էներգիայի սպառումը։ Արդյունքում ձևավորվում է հակասություն թվային ծառայությունների բարձր հասանելիության և շրջա</w:t>
      </w:r>
      <w:r>
        <w:rPr>
          <w:rFonts w:ascii="Sylfaen" w:hAnsi="Sylfaen"/>
        </w:rPr>
        <w:t>կա միջավայրի պահպանության միջև</w:t>
      </w:r>
    </w:p>
    <w:p w:rsidR="00A768A7" w:rsidRPr="00A768A7" w:rsidRDefault="00A768A7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</w:rPr>
      </w:pPr>
      <w:r w:rsidRPr="00A768A7">
        <w:rPr>
          <w:rFonts w:ascii="Sylfaen" w:hAnsi="Sylfaen"/>
        </w:rPr>
        <w:t>Տվյալային կենտրոնների աճը պայմանավորված է նաև մեծ տվյալների ծավալների կտրուկ ավելացմամբ, արհեստական բանականության և մեքենայական ուսուցման ալգորիթմների ինտենսիվ կիրառմամբ, ինչպես նաև տեսահոսքային ծառայությունների և սոցիալական ցանցերի լայն տարածմամբ։ Յուրաքանչյուր որոնում, առցանց գործարք կամ ամպային պահեստում պահպանվող ֆայլ իրականում պահանջում է սերվերային ռեսուրսներ, որոնք ֆիզիկապես տեղակայված են տվյալային կենտրոններում։ Այս հանգամանքը ցույց է տալիս, որ թվային աշխարհը, թեև անտեսանելի է ֆիզիկական իմաստով, իրականում հիմնված է նյութական ենթակառուցվածքների վրա, որոնք ունեն հստակ էներգետի</w:t>
      </w:r>
      <w:r>
        <w:rPr>
          <w:rFonts w:ascii="Sylfaen" w:hAnsi="Sylfaen"/>
        </w:rPr>
        <w:t>կ և բնապահպանական ազդեցություն։</w:t>
      </w:r>
    </w:p>
    <w:p w:rsidR="00A768A7" w:rsidRPr="00A768A7" w:rsidRDefault="00A768A7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</w:rPr>
      </w:pPr>
      <w:r w:rsidRPr="00A768A7">
        <w:rPr>
          <w:rFonts w:ascii="Sylfaen" w:hAnsi="Sylfaen"/>
        </w:rPr>
        <w:t xml:space="preserve">Տվյալային կենտրոնների տարածքային տեղակայումը ևս կարևոր նշանակություն ունի։ Դրանք հաճախ կառուցվում են արդյունաբերական գոտիներում կամ խոշոր քաղաքների մերձակայքում՝ ապահովելով արագ կապ և ցանցային ցածր ուշացում։ Սակայն որոշ դեպքերում նախընտրելի է ընտրել սառը կլիմայական պայմաններով </w:t>
      </w:r>
      <w:r w:rsidRPr="00A768A7">
        <w:rPr>
          <w:rFonts w:ascii="Sylfaen" w:hAnsi="Sylfaen"/>
        </w:rPr>
        <w:lastRenderedPageBreak/>
        <w:t>տարածաշրջաններ, որտեղ հնարավոր է նվազեցնել սառեցման ծախսերը։ Այս ընտրությունը պայմանավորված է ոչ միայն տնտեսական, այլև բնապահպանական նկատառումներով, քանի որ սառեցման համակարգերը կազմում են ընդհա</w:t>
      </w:r>
      <w:r>
        <w:rPr>
          <w:rFonts w:ascii="Sylfaen" w:hAnsi="Sylfaen"/>
        </w:rPr>
        <w:t>նուր էներգասպառման զգալի բաժին։</w:t>
      </w:r>
    </w:p>
    <w:p w:rsidR="00A768A7" w:rsidRPr="00A768A7" w:rsidRDefault="00A768A7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</w:rPr>
      </w:pPr>
      <w:r w:rsidRPr="00A768A7">
        <w:rPr>
          <w:rFonts w:ascii="Sylfaen" w:hAnsi="Sylfaen"/>
        </w:rPr>
        <w:t>Բացի շահագործման փուլից, տվյալային կենտրոնների ազդեցությունը պետք է դիտարկել նաև ամբողջ կյանքի ցիկլի համատեքստում։ Սարքավորումների արտադրությունը, փոխադրումը, տեղադրումը և հետագա վերամշակումը պահանջում են էներգիա և բնական ռեսուրսներ։ Հազվագյուտ մետաղների և հանքանյութերի արդյունահանումը, որոնք օգտագործվում են միկրոպրոցեսորների և հիշողության մոդուլների արտադրության մեջ, կարող է հանգեցնել էկոհամակարգերի խախտման և հողերի դեգրադացիայի։ Հետևաբար, տվյալային կենտրոնների էկոլոգիական ազդեցությունը սահմանափակված չէ միայն դրանց շահագործման փուլով, այլ ընդգր</w:t>
      </w:r>
      <w:r>
        <w:rPr>
          <w:rFonts w:ascii="Sylfaen" w:hAnsi="Sylfaen"/>
        </w:rPr>
        <w:t>կում է ամբողջ արտադրական շղթան։</w:t>
      </w:r>
    </w:p>
    <w:p w:rsidR="00545DAF" w:rsidRPr="00545DAF" w:rsidRDefault="00A768A7" w:rsidP="004160F5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</w:rPr>
      </w:pPr>
      <w:r w:rsidRPr="00A768A7">
        <w:rPr>
          <w:rFonts w:ascii="Sylfaen" w:hAnsi="Sylfaen"/>
        </w:rPr>
        <w:t>Այս բոլոր գործոնները վկայում են, որ ամպային տեխնոլոգիաների զարգացումը մի կողմից նպաստում է թվային տնտեսության արդյունավետությանը և գլոբալ կապի ամրապնդմանը, իսկ մյուս կողմից առաջացնում է բնապահպանական լուրջ մարտահրավերներ։ Ուստի տվյալային կենտրոնների գործունեության գնահատումը պետք է իրականացվի համակարգային և բազմաչափ մոտեցմամբ՝ հաշվի առնելով էներգետիկ, նյութական, ջրային և սոցիալական գործոնների համադրությունը։</w:t>
      </w:r>
      <w:r w:rsidR="00545DAF" w:rsidRPr="00545DAF">
        <w:rPr>
          <w:rFonts w:ascii="Sylfaen" w:hAnsi="Sylfaen"/>
        </w:rPr>
        <w:t>Շրջակա միջավայրի վրա ազդեցության հիմնական գործոնը էներգիայի սպառումն է։ Տվյալային կենտրոնները սպառում են հսկայական քանակությամբ էլեկտրաէներգիա ինչպես հաշվարկային գործընթացների, այնպես էլ սառեցման համակարգերի համար։ Տվյալային կենտրոնի ընդհանուր էներգասպառու</w:t>
      </w:r>
      <w:r w:rsidR="004160F5">
        <w:rPr>
          <w:rFonts w:ascii="Sylfaen" w:hAnsi="Sylfaen"/>
        </w:rPr>
        <w:t>մը ներկայացվում է</w:t>
      </w:r>
      <w:r w:rsidR="00545DAF" w:rsidRPr="00545DAF">
        <w:rPr>
          <w:rFonts w:ascii="Sylfaen" w:hAnsi="Sylfaen"/>
        </w:rPr>
        <w:t xml:space="preserve"> սերվերների և ցանցային սարքավորումների էներգասպառ</w:t>
      </w:r>
      <w:r w:rsidR="004160F5">
        <w:rPr>
          <w:rFonts w:ascii="Sylfaen" w:hAnsi="Sylfaen"/>
          <w:lang w:val="hy-AM"/>
        </w:rPr>
        <w:t xml:space="preserve">ման, </w:t>
      </w:r>
      <w:r w:rsidR="00545DAF" w:rsidRPr="00545DAF">
        <w:rPr>
          <w:rFonts w:ascii="Sylfaen" w:hAnsi="Sylfaen"/>
        </w:rPr>
        <w:t>սառեցման համակարգերի էներգասպառ</w:t>
      </w:r>
      <w:r w:rsidR="00FE094F">
        <w:rPr>
          <w:rFonts w:ascii="Sylfaen" w:hAnsi="Sylfaen"/>
          <w:lang w:val="hy-AM"/>
        </w:rPr>
        <w:t xml:space="preserve">ման, </w:t>
      </w:r>
      <w:r w:rsidR="00545DAF" w:rsidRPr="00545DAF">
        <w:rPr>
          <w:rFonts w:ascii="Sylfaen" w:hAnsi="Sylfaen"/>
        </w:rPr>
        <w:t>էներգիայի փոխակերպման և պահուստավորման ը</w:t>
      </w:r>
      <w:r w:rsidR="00FE094F">
        <w:rPr>
          <w:rFonts w:ascii="Sylfaen" w:hAnsi="Sylfaen"/>
        </w:rPr>
        <w:t>նթացքում առաջացող կորուստնե</w:t>
      </w:r>
      <w:r w:rsidR="00FE094F">
        <w:rPr>
          <w:rFonts w:ascii="Sylfaen" w:hAnsi="Sylfaen"/>
          <w:lang w:val="hy-AM"/>
        </w:rPr>
        <w:t>րի և</w:t>
      </w:r>
      <w:r w:rsidR="00545DAF" w:rsidRPr="00545DAF">
        <w:rPr>
          <w:rFonts w:ascii="Sylfaen" w:hAnsi="Sylfaen"/>
        </w:rPr>
        <w:t xml:space="preserve"> լուսավո</w:t>
      </w:r>
      <w:r w:rsidR="00FE094F">
        <w:rPr>
          <w:rFonts w:ascii="Sylfaen" w:hAnsi="Sylfaen"/>
        </w:rPr>
        <w:t>րության համակարգերի էներգասպառ</w:t>
      </w:r>
      <w:r w:rsidR="00FE094F">
        <w:rPr>
          <w:rFonts w:ascii="Sylfaen" w:hAnsi="Sylfaen"/>
          <w:lang w:val="hy-AM"/>
        </w:rPr>
        <w:t>ման</w:t>
      </w:r>
      <w:r w:rsidR="004160F5">
        <w:rPr>
          <w:rFonts w:ascii="Sylfaen" w:hAnsi="Sylfaen"/>
          <w:lang w:val="hy-AM"/>
        </w:rPr>
        <w:t xml:space="preserve"> </w:t>
      </w:r>
      <w:r w:rsidR="004160F5" w:rsidRPr="00545DAF">
        <w:rPr>
          <w:rFonts w:ascii="Sylfaen" w:hAnsi="Sylfaen"/>
        </w:rPr>
        <w:t xml:space="preserve">գումարի տեսքով </w:t>
      </w:r>
      <w:r w:rsidR="00545DAF" w:rsidRPr="00545DAF">
        <w:rPr>
          <w:rFonts w:ascii="Sylfaen" w:hAnsi="Sylfaen"/>
        </w:rPr>
        <w:t>։ Էլեկտրաէներգիայի արտադրության աղբյուրը մեծապես որոշում է տվյալային կենտրոնների ածխածնային հետքը։ Այն երկրներում, որտեղ էլեկտրաէներգիայի մեծ մասը ստացվում է ածխից կամ բնական գազից, տվյալային կենտրոնների գործունեությունը հանգեցնում է ջերմոցային գազերի զգալի արտանետումների, ինչը նպաստում է գլոբա</w:t>
      </w:r>
      <w:r w:rsidR="00545DAF">
        <w:rPr>
          <w:rFonts w:ascii="Sylfaen" w:hAnsi="Sylfaen"/>
        </w:rPr>
        <w:t>լ կլիմայական փոփոխություններին։</w:t>
      </w:r>
    </w:p>
    <w:p w:rsidR="002E6760" w:rsidRDefault="00545DAF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</w:rPr>
      </w:pPr>
      <w:r w:rsidRPr="00545DAF">
        <w:rPr>
          <w:rFonts w:ascii="Sylfaen" w:hAnsi="Sylfaen"/>
        </w:rPr>
        <w:t xml:space="preserve">Էներգաարդյունավետության գնահատման համար կիրառվում է Power Usage Effectiveness ցուցանիշը, </w:t>
      </w:r>
      <w:r w:rsidR="002E6760">
        <w:rPr>
          <w:rFonts w:ascii="Sylfaen" w:hAnsi="Sylfaen"/>
        </w:rPr>
        <w:t>որը հաշվարկվում է հետևյալ կերպ՝</w:t>
      </w:r>
    </w:p>
    <w:p w:rsidR="002E6760" w:rsidRDefault="002E6760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PUE 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 xml:space="preserve">Տվյալային կենտրոնի ընդհանուր էներգասպառում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ՏՏ սարքավորումների էներգասպառում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 </m:t>
          </m:r>
        </m:oMath>
      </m:oMathPara>
    </w:p>
    <w:p w:rsidR="002E6760" w:rsidRDefault="00545DAF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</w:rPr>
      </w:pPr>
      <w:r w:rsidRPr="00545DAF">
        <w:rPr>
          <w:rFonts w:ascii="Sylfaen" w:hAnsi="Sylfaen"/>
        </w:rPr>
        <w:t>PUE-ի արժեքը որքան մոտ է 1-ին, այնքան տվյալային կենտրոնը համարվում է առավել արդյունավետ։ PUE ցուցանիշի հակադարձ մեծությունն է Data Center Infrastructure Efficienc</w:t>
      </w:r>
      <w:r w:rsidR="002E6760">
        <w:rPr>
          <w:rFonts w:ascii="Sylfaen" w:hAnsi="Sylfaen"/>
        </w:rPr>
        <w:t>y ցուցանիշը, որը հաշվարկվում է՝</w:t>
      </w:r>
    </w:p>
    <w:p w:rsidR="002E6760" w:rsidRDefault="002E6760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DCIE=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ՏՏ սարքավորումների էներգասպառում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Տվյալային կենտրոնի ընդհանուր էներգասպառում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×100%</m:t>
          </m:r>
        </m:oMath>
      </m:oMathPara>
    </w:p>
    <w:p w:rsidR="00545DAF" w:rsidRPr="00545DAF" w:rsidRDefault="00545DAF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</w:rPr>
      </w:pPr>
      <w:r w:rsidRPr="00545DAF">
        <w:rPr>
          <w:rFonts w:ascii="Sylfaen" w:hAnsi="Sylfaen"/>
        </w:rPr>
        <w:t>Այս ցուցանիշը ցույց է տալիս, թե ընդհանուր էներգիայի քանի տոկոսն է օգտագործվում հաշվարկային համակա</w:t>
      </w:r>
      <w:r>
        <w:rPr>
          <w:rFonts w:ascii="Sylfaen" w:hAnsi="Sylfaen"/>
        </w:rPr>
        <w:t>րգերի կողմից։</w:t>
      </w:r>
    </w:p>
    <w:p w:rsidR="002E6760" w:rsidRDefault="00545DAF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</w:rPr>
      </w:pPr>
      <w:r w:rsidRPr="00545DAF">
        <w:rPr>
          <w:rFonts w:ascii="Sylfaen" w:hAnsi="Sylfaen"/>
        </w:rPr>
        <w:t xml:space="preserve">Ածխածնային արտանետումների գնահատման համար կիրառվում է Carbon Usage Effectiveness ցուցանիշը՝ </w:t>
      </w:r>
    </w:p>
    <w:p w:rsidR="002E6760" w:rsidRDefault="002E6760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 xml:space="preserve">CUE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 xml:space="preserve">Տվյալային կենտրոնի CO₂ </m:t>
              </m:r>
              <m:r>
                <m:rPr>
                  <m:sty m:val="p"/>
                </m:rPr>
                <w:rPr>
                  <w:rFonts w:ascii="Cambria Math" w:hAnsi="Cambria Math" w:cs="Sylfaen"/>
                </w:rPr>
                <m:t>արտանետումներ</m:t>
              </m:r>
            </m:num>
            <m:den>
              <m:r>
                <m:rPr>
                  <m:sty m:val="p"/>
                </m:rPr>
                <w:rPr>
                  <w:rFonts w:ascii="Cambria Math" w:hAnsi="Cambria Math" w:cs="Sylfaen"/>
                </w:rPr>
                <m:t>ՏՏ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cs="Sylfaen"/>
                </w:rPr>
                <m:t>սարքավորումների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cs="Sylfaen"/>
                </w:rPr>
                <m:t>էներգասպառում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</m:t>
          </m:r>
        </m:oMath>
      </m:oMathPara>
    </w:p>
    <w:p w:rsidR="00545DAF" w:rsidRPr="00545DAF" w:rsidRDefault="00545DAF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</w:rPr>
      </w:pPr>
      <w:r w:rsidRPr="00545DAF">
        <w:rPr>
          <w:rFonts w:ascii="Sylfaen" w:hAnsi="Sylfaen" w:cs="Sylfaen"/>
        </w:rPr>
        <w:t>Արտանետումների</w:t>
      </w:r>
      <w:r w:rsidRPr="00545DAF">
        <w:rPr>
          <w:rFonts w:ascii="Sylfaen" w:hAnsi="Sylfaen"/>
        </w:rPr>
        <w:t xml:space="preserve"> </w:t>
      </w:r>
      <w:r w:rsidRPr="00545DAF">
        <w:rPr>
          <w:rFonts w:ascii="Sylfaen" w:hAnsi="Sylfaen" w:cs="Sylfaen"/>
        </w:rPr>
        <w:t>ընդհանուր</w:t>
      </w:r>
      <w:r w:rsidRPr="00545DAF">
        <w:rPr>
          <w:rFonts w:ascii="Sylfaen" w:hAnsi="Sylfaen"/>
        </w:rPr>
        <w:t xml:space="preserve"> </w:t>
      </w:r>
      <w:r w:rsidRPr="00545DAF">
        <w:rPr>
          <w:rFonts w:ascii="Sylfaen" w:hAnsi="Sylfaen" w:cs="Sylfaen"/>
        </w:rPr>
        <w:t>ծավալը</w:t>
      </w:r>
      <w:r w:rsidRPr="00545DAF">
        <w:rPr>
          <w:rFonts w:ascii="Sylfaen" w:hAnsi="Sylfaen"/>
        </w:rPr>
        <w:t xml:space="preserve"> </w:t>
      </w:r>
      <w:r w:rsidRPr="00545DAF">
        <w:rPr>
          <w:rFonts w:ascii="Sylfaen" w:hAnsi="Sylfaen" w:cs="Sylfaen"/>
        </w:rPr>
        <w:t>հաշվարկվում</w:t>
      </w:r>
      <w:r w:rsidRPr="00545DAF">
        <w:rPr>
          <w:rFonts w:ascii="Sylfaen" w:hAnsi="Sylfaen"/>
        </w:rPr>
        <w:t xml:space="preserve"> </w:t>
      </w:r>
      <w:r w:rsidRPr="00545DAF">
        <w:rPr>
          <w:rFonts w:ascii="Sylfaen" w:hAnsi="Sylfaen" w:cs="Sylfaen"/>
        </w:rPr>
        <w:t>է՝</w:t>
      </w:r>
      <w:r w:rsidRPr="00545DAF">
        <w:rPr>
          <w:rFonts w:ascii="Sylfaen" w:hAnsi="Sylfaen"/>
        </w:rPr>
        <w:t xml:space="preserve"> </w:t>
      </w:r>
      <w:r w:rsidR="002E6760">
        <w:rPr>
          <w:rFonts w:ascii="Sylfaen" w:hAnsi="Sylfaen" w:cs="Sylfaen"/>
          <w:lang w:val="hy-AM"/>
        </w:rPr>
        <w:t>ս</w:t>
      </w:r>
      <w:r w:rsidRPr="00545DAF">
        <w:rPr>
          <w:rFonts w:ascii="Sylfaen" w:hAnsi="Sylfaen" w:cs="Sylfaen"/>
        </w:rPr>
        <w:t>պա</w:t>
      </w:r>
      <w:r w:rsidRPr="00545DAF">
        <w:rPr>
          <w:rFonts w:ascii="Sylfaen" w:hAnsi="Sylfaen"/>
        </w:rPr>
        <w:t>ռված էլեկտրաէներգիա</w:t>
      </w:r>
      <w:r w:rsidR="002E6760">
        <w:rPr>
          <w:rFonts w:ascii="Sylfaen" w:hAnsi="Sylfaen"/>
          <w:lang w:val="hy-AM"/>
        </w:rPr>
        <w:t>ն</w:t>
      </w:r>
      <w:r w:rsidR="002E6760">
        <w:rPr>
          <w:rFonts w:ascii="Sylfaen" w:hAnsi="Sylfaen"/>
        </w:rPr>
        <w:t xml:space="preserve"> </w:t>
      </w:r>
      <w:r w:rsidR="002E6760">
        <w:rPr>
          <w:rFonts w:ascii="Sylfaen" w:hAnsi="Sylfaen"/>
          <w:lang w:val="hy-AM"/>
        </w:rPr>
        <w:t>բազմապատկած</w:t>
      </w:r>
      <w:r w:rsidR="005F0BE3">
        <w:rPr>
          <w:rFonts w:ascii="Sylfaen" w:hAnsi="Sylfaen"/>
        </w:rPr>
        <w:t xml:space="preserve"> </w:t>
      </w:r>
      <w:r w:rsidR="005F0BE3">
        <w:rPr>
          <w:rFonts w:ascii="Sylfaen" w:hAnsi="Sylfaen"/>
          <w:lang w:val="hy-AM"/>
        </w:rPr>
        <w:t>ա</w:t>
      </w:r>
      <w:r w:rsidRPr="00545DAF">
        <w:rPr>
          <w:rFonts w:ascii="Sylfaen" w:hAnsi="Sylfaen"/>
        </w:rPr>
        <w:t>րտանետման գործակից, որտեղ արտանետման գործակիցը կախված է էն</w:t>
      </w:r>
      <w:r>
        <w:rPr>
          <w:rFonts w:ascii="Sylfaen" w:hAnsi="Sylfaen"/>
        </w:rPr>
        <w:t>երգիայի արտադրության աղբյուրից։</w:t>
      </w:r>
    </w:p>
    <w:p w:rsidR="005F0BE3" w:rsidRDefault="00545DAF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</w:rPr>
      </w:pPr>
      <w:r w:rsidRPr="00545DAF">
        <w:rPr>
          <w:rFonts w:ascii="Sylfaen" w:hAnsi="Sylfaen"/>
        </w:rPr>
        <w:t xml:space="preserve">Ջրային ռեսուրսների օգտագործման արդյունավետությունը գնահատվում է Water </w:t>
      </w:r>
      <w:r w:rsidR="005F0BE3">
        <w:rPr>
          <w:rFonts w:ascii="Sylfaen" w:hAnsi="Sylfaen"/>
        </w:rPr>
        <w:t>Usage Effectiveness ցուցանիշով՝</w:t>
      </w:r>
    </w:p>
    <w:p w:rsidR="005F0BE3" w:rsidRPr="005F0BE3" w:rsidRDefault="005F0BE3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  <w:i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WUE 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Տարեկան օգտագործված ջրի ծավալ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ՏՏ սարքավորումների էներգասպառում</m:t>
              </m:r>
            </m:den>
          </m:f>
        </m:oMath>
      </m:oMathPara>
    </w:p>
    <w:p w:rsidR="00545DAF" w:rsidRPr="00545DAF" w:rsidRDefault="00545DAF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</w:rPr>
      </w:pPr>
      <w:r w:rsidRPr="00545DAF">
        <w:rPr>
          <w:rFonts w:ascii="Sylfaen" w:hAnsi="Sylfaen"/>
        </w:rPr>
        <w:t>Ցածր WUE արժեքը նշանակում է ջրային ռեսուրսների ավելի արդյունավետ օգտագործում։ Այդ պատճառով տվյալային կենտրոնները հաճախ տեղակայվում են սառը կլիմայական պայմաններում, որտեղ հնարավոր է բնակա</w:t>
      </w:r>
      <w:r>
        <w:rPr>
          <w:rFonts w:ascii="Sylfaen" w:hAnsi="Sylfaen"/>
        </w:rPr>
        <w:t>ն սառեցում և ջրի խնայողություն։</w:t>
      </w:r>
    </w:p>
    <w:p w:rsidR="005F0BE3" w:rsidRDefault="00545DAF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</w:rPr>
      </w:pPr>
      <w:r w:rsidRPr="00545DAF">
        <w:rPr>
          <w:rFonts w:ascii="Sylfaen" w:hAnsi="Sylfaen"/>
        </w:rPr>
        <w:t xml:space="preserve">Տվյալային կենտրոնների կյանքի ամբողջ ընթացքում շրջակա միջավայրի վրա </w:t>
      </w:r>
      <w:r w:rsidR="00CE0271">
        <w:rPr>
          <w:rFonts w:ascii="Sylfaen" w:hAnsi="Sylfaen"/>
          <w:lang w:val="hy-AM"/>
        </w:rPr>
        <w:t xml:space="preserve">ընդանուր </w:t>
      </w:r>
      <w:r w:rsidRPr="00545DAF">
        <w:rPr>
          <w:rFonts w:ascii="Sylfaen" w:hAnsi="Sylfaen"/>
        </w:rPr>
        <w:t>ազդեցությունը գնահա</w:t>
      </w:r>
      <w:r w:rsidR="005F0BE3">
        <w:rPr>
          <w:rFonts w:ascii="Sylfaen" w:hAnsi="Sylfaen"/>
        </w:rPr>
        <w:t>տվում է կյանքի ցիկլի մոտեցմամբ՝</w:t>
      </w:r>
    </w:p>
    <w:p w:rsidR="005F0BE3" w:rsidRPr="007824DA" w:rsidRDefault="007824DA" w:rsidP="007824DA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  <w:i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ԸԱ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ՇիԱ+ ՇաԱ+ ԱԱ</m:t>
          </m:r>
        </m:oMath>
      </m:oMathPara>
    </w:p>
    <w:p w:rsidR="00545DAF" w:rsidRPr="007824DA" w:rsidRDefault="00545DAF" w:rsidP="005F0BE3">
      <w:pPr>
        <w:pStyle w:val="NormalWeb"/>
        <w:spacing w:before="32" w:beforeAutospacing="0" w:after="32" w:afterAutospacing="0"/>
        <w:jc w:val="both"/>
        <w:rPr>
          <w:rFonts w:ascii="Sylfaen" w:hAnsi="Sylfaen"/>
          <w:lang w:val="en-US"/>
        </w:rPr>
      </w:pPr>
      <w:r w:rsidRPr="00545DAF">
        <w:rPr>
          <w:rFonts w:ascii="Sylfaen" w:hAnsi="Sylfaen"/>
        </w:rPr>
        <w:t>որտեղ</w:t>
      </w:r>
      <w:r w:rsidRPr="007824DA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հաշվարկվում</w:t>
      </w:r>
      <w:r w:rsidRPr="007824DA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են</w:t>
      </w:r>
      <w:r w:rsidRPr="007824DA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շինարարության</w:t>
      </w:r>
      <w:r w:rsidRPr="007824DA">
        <w:rPr>
          <w:rFonts w:ascii="Sylfaen" w:hAnsi="Sylfaen"/>
          <w:lang w:val="en-US"/>
        </w:rPr>
        <w:t xml:space="preserve">, </w:t>
      </w:r>
      <w:r w:rsidRPr="00545DAF">
        <w:rPr>
          <w:rFonts w:ascii="Sylfaen" w:hAnsi="Sylfaen"/>
        </w:rPr>
        <w:t>շահագործման</w:t>
      </w:r>
      <w:r w:rsidRPr="007824DA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և</w:t>
      </w:r>
      <w:r w:rsidRPr="007824DA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ապամոնտաժման</w:t>
      </w:r>
      <w:r w:rsidRPr="007824DA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փուլերի</w:t>
      </w:r>
      <w:r w:rsidRPr="007824DA">
        <w:rPr>
          <w:rFonts w:ascii="Sylfaen" w:hAnsi="Sylfaen"/>
          <w:lang w:val="en-US"/>
        </w:rPr>
        <w:t xml:space="preserve"> </w:t>
      </w:r>
      <w:r>
        <w:rPr>
          <w:rFonts w:ascii="Sylfaen" w:hAnsi="Sylfaen"/>
        </w:rPr>
        <w:t>ազդեցությունները։</w:t>
      </w:r>
    </w:p>
    <w:p w:rsidR="007824DA" w:rsidRPr="007824DA" w:rsidRDefault="00545DAF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  <w:lang w:val="en-US"/>
        </w:rPr>
      </w:pPr>
      <w:r w:rsidRPr="00545DAF">
        <w:rPr>
          <w:rFonts w:ascii="Sylfaen" w:hAnsi="Sylfaen"/>
        </w:rPr>
        <w:t>Վերականգնվող</w:t>
      </w:r>
      <w:r w:rsidRPr="007824DA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էներգիայի</w:t>
      </w:r>
      <w:r w:rsidRPr="007824DA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կիրառման</w:t>
      </w:r>
      <w:r w:rsidRPr="007824DA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մակարդակը</w:t>
      </w:r>
      <w:r w:rsidR="007824DA" w:rsidRPr="007824DA">
        <w:rPr>
          <w:rFonts w:ascii="Sylfaen" w:hAnsi="Sylfaen"/>
          <w:lang w:val="en-US"/>
        </w:rPr>
        <w:t xml:space="preserve"> </w:t>
      </w:r>
      <w:r w:rsidR="007824DA">
        <w:rPr>
          <w:rFonts w:ascii="Sylfaen" w:hAnsi="Sylfaen"/>
        </w:rPr>
        <w:t>գնահատվում</w:t>
      </w:r>
      <w:r w:rsidR="007824DA" w:rsidRPr="007824DA">
        <w:rPr>
          <w:rFonts w:ascii="Sylfaen" w:hAnsi="Sylfaen"/>
          <w:lang w:val="en-US"/>
        </w:rPr>
        <w:t xml:space="preserve"> </w:t>
      </w:r>
      <w:r w:rsidR="007824DA">
        <w:rPr>
          <w:rFonts w:ascii="Sylfaen" w:hAnsi="Sylfaen"/>
        </w:rPr>
        <w:t>է</w:t>
      </w:r>
      <w:r w:rsidR="007824DA" w:rsidRPr="007824DA">
        <w:rPr>
          <w:rFonts w:ascii="Sylfaen" w:hAnsi="Sylfaen"/>
          <w:lang w:val="en-US"/>
        </w:rPr>
        <w:t xml:space="preserve"> </w:t>
      </w:r>
      <w:r w:rsidR="007824DA">
        <w:rPr>
          <w:rFonts w:ascii="Sylfaen" w:hAnsi="Sylfaen"/>
        </w:rPr>
        <w:t>հետևյալ</w:t>
      </w:r>
      <w:r w:rsidR="007824DA" w:rsidRPr="007824DA">
        <w:rPr>
          <w:rFonts w:ascii="Sylfaen" w:hAnsi="Sylfaen"/>
          <w:lang w:val="en-US"/>
        </w:rPr>
        <w:t xml:space="preserve"> </w:t>
      </w:r>
      <w:r w:rsidR="007824DA">
        <w:rPr>
          <w:rFonts w:ascii="Sylfaen" w:hAnsi="Sylfaen"/>
        </w:rPr>
        <w:t>բանաձևով՝</w:t>
      </w:r>
    </w:p>
    <w:p w:rsidR="007824DA" w:rsidRDefault="00CE0271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Կիրառման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մակարդակը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Վերականգնվող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աղբյուրներից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ստացված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էներգիա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Ընդհանուր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սպառված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էներգիա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× 100%</m:t>
          </m:r>
        </m:oMath>
      </m:oMathPara>
    </w:p>
    <w:p w:rsidR="00545DAF" w:rsidRPr="007824DA" w:rsidRDefault="007824DA" w:rsidP="007824DA">
      <w:pPr>
        <w:pStyle w:val="NormalWeb"/>
        <w:spacing w:before="32" w:beforeAutospacing="0" w:after="32" w:afterAutospacing="0"/>
        <w:jc w:val="both"/>
        <w:rPr>
          <w:rFonts w:ascii="Sylfaen" w:hAnsi="Sylfaen"/>
          <w:lang w:val="en-US"/>
        </w:rPr>
      </w:pPr>
      <w:r>
        <w:rPr>
          <w:rFonts w:ascii="Sylfaen" w:hAnsi="Sylfaen"/>
          <w:lang w:val="hy-AM"/>
        </w:rPr>
        <w:t>ա</w:t>
      </w:r>
      <w:r w:rsidR="00545DAF" w:rsidRPr="00545DAF">
        <w:rPr>
          <w:rFonts w:ascii="Sylfaen" w:hAnsi="Sylfaen"/>
        </w:rPr>
        <w:t>յս</w:t>
      </w:r>
      <w:r w:rsidR="00545DAF" w:rsidRPr="007824DA">
        <w:rPr>
          <w:rFonts w:ascii="Sylfaen" w:hAnsi="Sylfaen"/>
          <w:lang w:val="en-US"/>
        </w:rPr>
        <w:t xml:space="preserve"> </w:t>
      </w:r>
      <w:r w:rsidR="00545DAF" w:rsidRPr="00545DAF">
        <w:rPr>
          <w:rFonts w:ascii="Sylfaen" w:hAnsi="Sylfaen"/>
        </w:rPr>
        <w:t>ցուցանիշը</w:t>
      </w:r>
      <w:r w:rsidR="00545DAF" w:rsidRPr="007824DA">
        <w:rPr>
          <w:rFonts w:ascii="Sylfaen" w:hAnsi="Sylfaen"/>
          <w:lang w:val="en-US"/>
        </w:rPr>
        <w:t xml:space="preserve"> </w:t>
      </w:r>
      <w:r w:rsidR="00545DAF" w:rsidRPr="00545DAF">
        <w:rPr>
          <w:rFonts w:ascii="Sylfaen" w:hAnsi="Sylfaen"/>
        </w:rPr>
        <w:t>բնութագրում</w:t>
      </w:r>
      <w:r w:rsidR="00545DAF" w:rsidRPr="007824DA">
        <w:rPr>
          <w:rFonts w:ascii="Sylfaen" w:hAnsi="Sylfaen"/>
          <w:lang w:val="en-US"/>
        </w:rPr>
        <w:t xml:space="preserve"> </w:t>
      </w:r>
      <w:r w:rsidR="00545DAF" w:rsidRPr="00545DAF">
        <w:rPr>
          <w:rFonts w:ascii="Sylfaen" w:hAnsi="Sylfaen"/>
        </w:rPr>
        <w:t>է</w:t>
      </w:r>
      <w:r w:rsidR="00545DAF" w:rsidRPr="007824DA">
        <w:rPr>
          <w:rFonts w:ascii="Sylfaen" w:hAnsi="Sylfaen"/>
          <w:lang w:val="en-US"/>
        </w:rPr>
        <w:t xml:space="preserve"> </w:t>
      </w:r>
      <w:r w:rsidR="00545DAF" w:rsidRPr="00545DAF">
        <w:rPr>
          <w:rFonts w:ascii="Sylfaen" w:hAnsi="Sylfaen"/>
        </w:rPr>
        <w:t>տվյալային</w:t>
      </w:r>
      <w:r w:rsidR="00545DAF" w:rsidRPr="007824DA">
        <w:rPr>
          <w:rFonts w:ascii="Sylfaen" w:hAnsi="Sylfaen"/>
          <w:lang w:val="en-US"/>
        </w:rPr>
        <w:t xml:space="preserve"> </w:t>
      </w:r>
      <w:r w:rsidR="00545DAF" w:rsidRPr="00545DAF">
        <w:rPr>
          <w:rFonts w:ascii="Sylfaen" w:hAnsi="Sylfaen"/>
        </w:rPr>
        <w:t>կենտրոնի</w:t>
      </w:r>
      <w:r w:rsidR="00545DAF" w:rsidRPr="007824DA">
        <w:rPr>
          <w:rFonts w:ascii="Sylfaen" w:hAnsi="Sylfaen"/>
          <w:lang w:val="en-US"/>
        </w:rPr>
        <w:t xml:space="preserve"> </w:t>
      </w:r>
      <w:r w:rsidR="00545DAF" w:rsidRPr="00545DAF">
        <w:rPr>
          <w:rFonts w:ascii="Sylfaen" w:hAnsi="Sylfaen"/>
        </w:rPr>
        <w:t>կայունության</w:t>
      </w:r>
      <w:r w:rsidR="00545DAF" w:rsidRPr="007824DA">
        <w:rPr>
          <w:rFonts w:ascii="Sylfaen" w:hAnsi="Sylfaen"/>
          <w:lang w:val="en-US"/>
        </w:rPr>
        <w:t xml:space="preserve"> </w:t>
      </w:r>
      <w:r w:rsidR="00545DAF" w:rsidRPr="00545DAF">
        <w:rPr>
          <w:rFonts w:ascii="Sylfaen" w:hAnsi="Sylfaen"/>
        </w:rPr>
        <w:t>մակարդակը</w:t>
      </w:r>
      <w:r w:rsidR="00545DAF" w:rsidRPr="007824DA">
        <w:rPr>
          <w:rFonts w:ascii="Sylfaen" w:hAnsi="Sylfaen"/>
          <w:lang w:val="en-US"/>
        </w:rPr>
        <w:t xml:space="preserve"> </w:t>
      </w:r>
      <w:r w:rsidR="00545DAF" w:rsidRPr="00545DAF">
        <w:rPr>
          <w:rFonts w:ascii="Sylfaen" w:hAnsi="Sylfaen"/>
        </w:rPr>
        <w:t>և</w:t>
      </w:r>
      <w:r w:rsidR="00545DAF" w:rsidRPr="007824DA">
        <w:rPr>
          <w:rFonts w:ascii="Sylfaen" w:hAnsi="Sylfaen"/>
          <w:lang w:val="en-US"/>
        </w:rPr>
        <w:t xml:space="preserve"> </w:t>
      </w:r>
      <w:r w:rsidR="00545DAF" w:rsidRPr="00545DAF">
        <w:rPr>
          <w:rFonts w:ascii="Sylfaen" w:hAnsi="Sylfaen"/>
        </w:rPr>
        <w:t>ածխածնային</w:t>
      </w:r>
      <w:r w:rsidR="00545DAF" w:rsidRPr="007824DA">
        <w:rPr>
          <w:rFonts w:ascii="Sylfaen" w:hAnsi="Sylfaen"/>
          <w:lang w:val="en-US"/>
        </w:rPr>
        <w:t xml:space="preserve"> </w:t>
      </w:r>
      <w:r w:rsidR="00545DAF" w:rsidRPr="00545DAF">
        <w:rPr>
          <w:rFonts w:ascii="Sylfaen" w:hAnsi="Sylfaen"/>
        </w:rPr>
        <w:t>հետքի</w:t>
      </w:r>
      <w:r w:rsidR="00545DAF" w:rsidRPr="007824DA">
        <w:rPr>
          <w:rFonts w:ascii="Sylfaen" w:hAnsi="Sylfaen"/>
          <w:lang w:val="en-US"/>
        </w:rPr>
        <w:t xml:space="preserve"> </w:t>
      </w:r>
      <w:r w:rsidR="00545DAF">
        <w:rPr>
          <w:rFonts w:ascii="Sylfaen" w:hAnsi="Sylfaen"/>
        </w:rPr>
        <w:t>նվազեցման</w:t>
      </w:r>
      <w:r w:rsidR="00545DAF" w:rsidRPr="007824DA">
        <w:rPr>
          <w:rFonts w:ascii="Sylfaen" w:hAnsi="Sylfaen"/>
          <w:lang w:val="en-US"/>
        </w:rPr>
        <w:t xml:space="preserve"> </w:t>
      </w:r>
      <w:r w:rsidR="00545DAF">
        <w:rPr>
          <w:rFonts w:ascii="Sylfaen" w:hAnsi="Sylfaen"/>
        </w:rPr>
        <w:t>հնարավորությունները։</w:t>
      </w:r>
    </w:p>
    <w:p w:rsidR="00545DAF" w:rsidRPr="00F85696" w:rsidRDefault="00545DAF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  <w:lang w:val="en-US"/>
        </w:rPr>
      </w:pPr>
      <w:r w:rsidRPr="00545DAF">
        <w:rPr>
          <w:rFonts w:ascii="Sylfaen" w:hAnsi="Sylfaen"/>
        </w:rPr>
        <w:t>Արհեստական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բանականության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տեխնոլոգիաները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նպաստում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են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էներգաարդյունավետ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կառավարմանը՝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վերլուծելով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ջերմաստիճանային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տվյալները</w:t>
      </w:r>
      <w:r w:rsidRPr="00F85696">
        <w:rPr>
          <w:rFonts w:ascii="Sylfaen" w:hAnsi="Sylfaen"/>
          <w:lang w:val="en-US"/>
        </w:rPr>
        <w:t xml:space="preserve">, </w:t>
      </w:r>
      <w:r w:rsidRPr="00545DAF">
        <w:rPr>
          <w:rFonts w:ascii="Sylfaen" w:hAnsi="Sylfaen"/>
        </w:rPr>
        <w:t>կանխատեսելով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բեռնվածությունը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և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ավտոմատ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կարգավորելով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սառեցման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համակարգերը։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Զարգանում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են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նաև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հեղուկ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սառեցման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և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ուղղակի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սառեցման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նորարարական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մեթոդներ</w:t>
      </w:r>
      <w:r w:rsidRPr="00F85696">
        <w:rPr>
          <w:rFonts w:ascii="Sylfaen" w:hAnsi="Sylfaen"/>
          <w:lang w:val="en-US"/>
        </w:rPr>
        <w:t xml:space="preserve">, </w:t>
      </w:r>
      <w:r w:rsidRPr="00545DAF">
        <w:rPr>
          <w:rFonts w:ascii="Sylfaen" w:hAnsi="Sylfaen"/>
        </w:rPr>
        <w:t>որոնք</w:t>
      </w:r>
      <w:r w:rsidRPr="00F85696">
        <w:rPr>
          <w:rFonts w:ascii="Sylfaen" w:hAnsi="Sylfaen"/>
          <w:lang w:val="en-US"/>
        </w:rPr>
        <w:t xml:space="preserve"> </w:t>
      </w:r>
      <w:r w:rsidRPr="00545DAF">
        <w:rPr>
          <w:rFonts w:ascii="Sylfaen" w:hAnsi="Sylfaen"/>
        </w:rPr>
        <w:t>նվազե</w:t>
      </w:r>
      <w:r>
        <w:rPr>
          <w:rFonts w:ascii="Sylfaen" w:hAnsi="Sylfaen"/>
        </w:rPr>
        <w:t>ցնում</w:t>
      </w:r>
      <w:r w:rsidRPr="00F85696">
        <w:rPr>
          <w:rFonts w:ascii="Sylfaen" w:hAnsi="Sylfaen"/>
          <w:lang w:val="en-US"/>
        </w:rPr>
        <w:t xml:space="preserve"> </w:t>
      </w:r>
      <w:r>
        <w:rPr>
          <w:rFonts w:ascii="Sylfaen" w:hAnsi="Sylfaen"/>
        </w:rPr>
        <w:t>են</w:t>
      </w:r>
      <w:r w:rsidRPr="00F85696">
        <w:rPr>
          <w:rFonts w:ascii="Sylfaen" w:hAnsi="Sylfaen"/>
          <w:lang w:val="en-US"/>
        </w:rPr>
        <w:t xml:space="preserve"> </w:t>
      </w:r>
      <w:r>
        <w:rPr>
          <w:rFonts w:ascii="Sylfaen" w:hAnsi="Sylfaen"/>
        </w:rPr>
        <w:t>էներգիայի</w:t>
      </w:r>
      <w:r w:rsidRPr="00F85696">
        <w:rPr>
          <w:rFonts w:ascii="Sylfaen" w:hAnsi="Sylfaen"/>
          <w:lang w:val="en-US"/>
        </w:rPr>
        <w:t xml:space="preserve"> </w:t>
      </w:r>
      <w:r>
        <w:rPr>
          <w:rFonts w:ascii="Sylfaen" w:hAnsi="Sylfaen"/>
        </w:rPr>
        <w:t>կորուստները։</w:t>
      </w:r>
    </w:p>
    <w:p w:rsidR="00545DAF" w:rsidRPr="00545DAF" w:rsidRDefault="00545DAF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</w:rPr>
      </w:pPr>
      <w:r w:rsidRPr="00545DAF">
        <w:rPr>
          <w:rFonts w:ascii="Sylfaen" w:hAnsi="Sylfaen"/>
        </w:rPr>
        <w:t>Իրավական կարգավորումները խթանում են տվյալային կենտրոնների բնապահպանական պատասխանատվությունը։ Երկրները սահմանում են արտանետումների և էներգասպառման խիստ չափանիշներ, պարտադրում հաշվետվությունների հրապարակում և խրախուսում վերականգնվող էներգիայի օգտագործումը հար</w:t>
      </w:r>
      <w:r>
        <w:rPr>
          <w:rFonts w:ascii="Sylfaen" w:hAnsi="Sylfaen"/>
        </w:rPr>
        <w:t>կային արտոնությունների միջոցով։</w:t>
      </w:r>
    </w:p>
    <w:p w:rsidR="00545DAF" w:rsidRPr="00520579" w:rsidRDefault="00545DAF" w:rsidP="00520579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</w:rPr>
      </w:pPr>
      <w:r w:rsidRPr="00545DAF">
        <w:rPr>
          <w:rFonts w:ascii="Sylfaen" w:hAnsi="Sylfaen"/>
        </w:rPr>
        <w:t>Տվյալային կենտրոնների սոցիալական ազդեցությունը դրսևորվում է աշխատատեղերի ստեղծմամբ և տեղական տնտեսության զարգացման խթանմամբ, սակայն միաժամանակ կարող է առաջացնել անհանգստություններ՝ կապված էներգիայի և ջրի մեծ սպառման հետ, ինչը պահանջում է համայնքային ներգրավվա</w:t>
      </w:r>
      <w:r>
        <w:rPr>
          <w:rFonts w:ascii="Sylfaen" w:hAnsi="Sylfaen"/>
        </w:rPr>
        <w:t>ծություն և թափանցիկ կառավարում։</w:t>
      </w:r>
    </w:p>
    <w:p w:rsidR="00A768A7" w:rsidRPr="00A768A7" w:rsidRDefault="00520579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</w:rPr>
      </w:pPr>
      <w:r>
        <w:rPr>
          <w:rFonts w:ascii="Sylfaen" w:hAnsi="Sylfaen"/>
          <w:lang w:val="hy-AM"/>
        </w:rPr>
        <w:t>Այսպիսով,</w:t>
      </w:r>
      <w:r w:rsidR="00A768A7" w:rsidRPr="00A768A7">
        <w:rPr>
          <w:rFonts w:ascii="Sylfaen" w:hAnsi="Sylfaen"/>
        </w:rPr>
        <w:t xml:space="preserve"> տեխնոլոգիաներ մատակարարող տվյալային կենտրոնները հանդիսանում են ժամանակակից թվային տնտեսության հիմնասյուներից, սակայն դրանց գործունեությունը ուղեկցվում է զգալի էներգասպառմամբ և շրջակա միջավայրի վրա բազմակողմանի ազդեցությամբ։ Էներգաարդյունավետության, ածխածնային արտանետումների, ջրային ռեսուրսների օգտագործման և կյանքի ցիկլի ամբողջական </w:t>
      </w:r>
      <w:r w:rsidR="00A768A7" w:rsidRPr="00A768A7">
        <w:rPr>
          <w:rFonts w:ascii="Sylfaen" w:hAnsi="Sylfaen"/>
        </w:rPr>
        <w:lastRenderedPageBreak/>
        <w:t>գնահատման մեթոդները հնարավորություն են տալիս համակողմանիորեն վերլուծել տվյալային կենտրոնների բնապահպանական հետևանքները։ Տեխնոլոգիական նորարարությունների, խելացի կառավարման համակարգերի, վերականգնվող էներգիայի լայն կիրառման, իրավական հստակ կարգավորումների և հասարակական վերահսկողության համադրումը կարող է զգալիորեն նվազեցնել տվյալային կենտր</w:t>
      </w:r>
      <w:r w:rsidR="00A768A7">
        <w:rPr>
          <w:rFonts w:ascii="Sylfaen" w:hAnsi="Sylfaen"/>
        </w:rPr>
        <w:t>ոնների բացասական ազդեցությունը։</w:t>
      </w:r>
    </w:p>
    <w:p w:rsidR="00A768A7" w:rsidRPr="00A768A7" w:rsidRDefault="00A768A7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</w:rPr>
      </w:pPr>
      <w:r w:rsidRPr="00A768A7">
        <w:rPr>
          <w:rFonts w:ascii="Sylfaen" w:hAnsi="Sylfaen"/>
        </w:rPr>
        <w:t>Հատկապես կարևոր է էներգաարդյունավետ սարքավորումների և օպտիմալ կառավարման համակարգերի ներդրումը, որոնք նվազեցնում են պարապ հզորությունները և ապահովում ռեսուրսների նպատակային օգտագործում։ Սառեցման ժամանակակից տեխնոլոգիաների կիրառումը, ջերմության վերաօգտագործման համակարգերը և տվյալային կենտրոնների տեղակայման խելամիտ ընտրությունը թույլ են տալիս զգալիորեն կրճատել էներգիայի կորուստները և նվազեցնել բնապահպանական բեռը։ Վերականգնվող էներգիայի աղբյուրների ինտեգրումը ևս կարևոր քայլ է, քանի որ այն սահմանափակում է հանածո վառելիքի օգտագործումը և նվազեցնում ջե</w:t>
      </w:r>
      <w:r>
        <w:rPr>
          <w:rFonts w:ascii="Sylfaen" w:hAnsi="Sylfaen"/>
        </w:rPr>
        <w:t>րմոցային գազերի արտանետումները։</w:t>
      </w:r>
    </w:p>
    <w:p w:rsidR="00A768A7" w:rsidRPr="00A768A7" w:rsidRDefault="00A768A7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</w:rPr>
      </w:pPr>
      <w:r w:rsidRPr="00A768A7">
        <w:rPr>
          <w:rFonts w:ascii="Sylfaen" w:hAnsi="Sylfaen"/>
        </w:rPr>
        <w:t>Կարևոր նշանակություն ունի նաև պատասխանատու կառավարման քաղաքականությունը։ Միջազգային ստանդարտների կիրառումը, բնապահպանական հաշվետվությունների հրապարակումը և պետական խրախուսական ծրագրերը նպաստում են, որպեսզի տեխնոլոգիական ընկերությունները գործեն ավելի թափանցիկ և էկոլոգիապես պատասխանատու ձևով։ Միաժամանակ, հասարակության իրազեկվածության բարձրացումը և համայնքների մասնակցությունը որոշումների կայացման գործընթացներին ուժեղացնում են հանրային վերահսկողությունը և խթանում կայուն զ</w:t>
      </w:r>
      <w:r>
        <w:rPr>
          <w:rFonts w:ascii="Sylfaen" w:hAnsi="Sylfaen"/>
        </w:rPr>
        <w:t>արգացման մշակույթը։</w:t>
      </w:r>
    </w:p>
    <w:p w:rsidR="006D08EC" w:rsidRPr="00EE0BCB" w:rsidRDefault="00A768A7" w:rsidP="00A768A7">
      <w:pPr>
        <w:pStyle w:val="NormalWeb"/>
        <w:spacing w:before="32" w:beforeAutospacing="0" w:after="32" w:afterAutospacing="0"/>
        <w:ind w:firstLine="426"/>
        <w:jc w:val="both"/>
        <w:rPr>
          <w:rFonts w:ascii="Sylfaen" w:hAnsi="Sylfaen"/>
          <w:sz w:val="20"/>
        </w:rPr>
      </w:pPr>
      <w:r w:rsidRPr="00A768A7">
        <w:rPr>
          <w:rFonts w:ascii="Sylfaen" w:hAnsi="Sylfaen"/>
        </w:rPr>
        <w:t>Այսպիսով, թվային ենթակառուցվածքների զարգացումը չպետք է դիտարկվի միայն տեխնոլոգիական առաջընթացի տեսանկյունից։ Այն պետք է ուղեկցվի բնապահպանական ռիսկերի մանրակրկիտ գնահատմամբ և կայուն լուծումների ներդրմամբ։ Միայն տեխնոլոգիական նորարարությունների, արդյունավետ կառավարման և բնապահպանական պատասխանատվության համադրումը կարող է ապահովել թվային առաջընթացի և շրջակա միջավայրի պահպանության միջև հավասարակշռություն՝ նպաստելով երկարաժամկետ կայուն զարգացմանը և ապագա սերունդների բարեկեցությանը։</w:t>
      </w:r>
    </w:p>
    <w:sectPr w:rsidR="006D08EC" w:rsidRPr="00EE0BCB" w:rsidSect="00802735">
      <w:footerReference w:type="default" r:id="rId7"/>
      <w:pgSz w:w="11906" w:h="16838"/>
      <w:pgMar w:top="1134" w:right="567" w:bottom="141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E7BB6" w:rsidRDefault="00FE7BB6" w:rsidP="00072C02">
      <w:pPr>
        <w:spacing w:after="0" w:line="240" w:lineRule="auto"/>
      </w:pPr>
      <w:r>
        <w:separator/>
      </w:r>
    </w:p>
  </w:endnote>
  <w:endnote w:type="continuationSeparator" w:id="0">
    <w:p w:rsidR="00FE7BB6" w:rsidRDefault="00FE7BB6" w:rsidP="00072C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126030292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072C02" w:rsidRDefault="00072C0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85696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072C02" w:rsidRDefault="00072C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E7BB6" w:rsidRDefault="00FE7BB6" w:rsidP="00072C02">
      <w:pPr>
        <w:spacing w:after="0" w:line="240" w:lineRule="auto"/>
      </w:pPr>
      <w:r>
        <w:separator/>
      </w:r>
    </w:p>
  </w:footnote>
  <w:footnote w:type="continuationSeparator" w:id="0">
    <w:p w:rsidR="00FE7BB6" w:rsidRDefault="00FE7BB6" w:rsidP="00072C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922D73"/>
    <w:multiLevelType w:val="hybridMultilevel"/>
    <w:tmpl w:val="966AE7C2"/>
    <w:lvl w:ilvl="0" w:tplc="797AB6B4">
      <w:start w:val="1"/>
      <w:numFmt w:val="decimal"/>
      <w:lvlText w:val="%1."/>
      <w:lvlJc w:val="left"/>
      <w:pPr>
        <w:ind w:left="461" w:hanging="360"/>
      </w:pPr>
      <w:rPr>
        <w:rFonts w:ascii="Sylfaen" w:eastAsia="Sylfaen" w:hAnsi="Sylfaen" w:cs="Sylfae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9C233EC">
      <w:numFmt w:val="bullet"/>
      <w:lvlText w:val="•"/>
      <w:lvlJc w:val="left"/>
      <w:pPr>
        <w:ind w:left="1398" w:hanging="360"/>
      </w:pPr>
      <w:rPr>
        <w:rFonts w:hint="default"/>
        <w:lang w:val="ru-RU" w:eastAsia="en-US" w:bidi="ar-SA"/>
      </w:rPr>
    </w:lvl>
    <w:lvl w:ilvl="2" w:tplc="4B1AAD26">
      <w:numFmt w:val="bullet"/>
      <w:lvlText w:val="•"/>
      <w:lvlJc w:val="left"/>
      <w:pPr>
        <w:ind w:left="2337" w:hanging="360"/>
      </w:pPr>
      <w:rPr>
        <w:rFonts w:hint="default"/>
        <w:lang w:val="ru-RU" w:eastAsia="en-US" w:bidi="ar-SA"/>
      </w:rPr>
    </w:lvl>
    <w:lvl w:ilvl="3" w:tplc="2EA82820">
      <w:numFmt w:val="bullet"/>
      <w:lvlText w:val="•"/>
      <w:lvlJc w:val="left"/>
      <w:pPr>
        <w:ind w:left="3275" w:hanging="360"/>
      </w:pPr>
      <w:rPr>
        <w:rFonts w:hint="default"/>
        <w:lang w:val="ru-RU" w:eastAsia="en-US" w:bidi="ar-SA"/>
      </w:rPr>
    </w:lvl>
    <w:lvl w:ilvl="4" w:tplc="DF8460CA">
      <w:numFmt w:val="bullet"/>
      <w:lvlText w:val="•"/>
      <w:lvlJc w:val="left"/>
      <w:pPr>
        <w:ind w:left="4214" w:hanging="360"/>
      </w:pPr>
      <w:rPr>
        <w:rFonts w:hint="default"/>
        <w:lang w:val="ru-RU" w:eastAsia="en-US" w:bidi="ar-SA"/>
      </w:rPr>
    </w:lvl>
    <w:lvl w:ilvl="5" w:tplc="8FA050C2">
      <w:numFmt w:val="bullet"/>
      <w:lvlText w:val="•"/>
      <w:lvlJc w:val="left"/>
      <w:pPr>
        <w:ind w:left="5153" w:hanging="360"/>
      </w:pPr>
      <w:rPr>
        <w:rFonts w:hint="default"/>
        <w:lang w:val="ru-RU" w:eastAsia="en-US" w:bidi="ar-SA"/>
      </w:rPr>
    </w:lvl>
    <w:lvl w:ilvl="6" w:tplc="BBFC2DC4">
      <w:numFmt w:val="bullet"/>
      <w:lvlText w:val="•"/>
      <w:lvlJc w:val="left"/>
      <w:pPr>
        <w:ind w:left="6091" w:hanging="360"/>
      </w:pPr>
      <w:rPr>
        <w:rFonts w:hint="default"/>
        <w:lang w:val="ru-RU" w:eastAsia="en-US" w:bidi="ar-SA"/>
      </w:rPr>
    </w:lvl>
    <w:lvl w:ilvl="7" w:tplc="00FE7B10">
      <w:numFmt w:val="bullet"/>
      <w:lvlText w:val="•"/>
      <w:lvlJc w:val="left"/>
      <w:pPr>
        <w:ind w:left="7030" w:hanging="360"/>
      </w:pPr>
      <w:rPr>
        <w:rFonts w:hint="default"/>
        <w:lang w:val="ru-RU" w:eastAsia="en-US" w:bidi="ar-SA"/>
      </w:rPr>
    </w:lvl>
    <w:lvl w:ilvl="8" w:tplc="B23AF500">
      <w:numFmt w:val="bullet"/>
      <w:lvlText w:val="•"/>
      <w:lvlJc w:val="left"/>
      <w:pPr>
        <w:ind w:left="7969" w:hanging="360"/>
      </w:pPr>
      <w:rPr>
        <w:rFonts w:hint="default"/>
        <w:lang w:val="ru-RU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264BA"/>
    <w:rsid w:val="00072C02"/>
    <w:rsid w:val="001272B8"/>
    <w:rsid w:val="002264BA"/>
    <w:rsid w:val="002B1753"/>
    <w:rsid w:val="002E6760"/>
    <w:rsid w:val="004160F5"/>
    <w:rsid w:val="004735B9"/>
    <w:rsid w:val="00520579"/>
    <w:rsid w:val="00545DAF"/>
    <w:rsid w:val="0058521C"/>
    <w:rsid w:val="005E6FB4"/>
    <w:rsid w:val="005F0BE3"/>
    <w:rsid w:val="007824DA"/>
    <w:rsid w:val="00802735"/>
    <w:rsid w:val="00823360"/>
    <w:rsid w:val="008B0808"/>
    <w:rsid w:val="009C5C4E"/>
    <w:rsid w:val="009E1ADE"/>
    <w:rsid w:val="00A768A7"/>
    <w:rsid w:val="00AD6BC2"/>
    <w:rsid w:val="00C774C5"/>
    <w:rsid w:val="00CE0271"/>
    <w:rsid w:val="00D934C7"/>
    <w:rsid w:val="00DE39BE"/>
    <w:rsid w:val="00DF0A46"/>
    <w:rsid w:val="00EE0BCB"/>
    <w:rsid w:val="00F85696"/>
    <w:rsid w:val="00FE094F"/>
    <w:rsid w:val="00FE7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2AD6E"/>
  <w15:chartTrackingRefBased/>
  <w15:docId w15:val="{9390E46F-093B-4C6B-A609-BDB723EC3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272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A768A7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072C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2C02"/>
  </w:style>
  <w:style w:type="paragraph" w:styleId="Footer">
    <w:name w:val="footer"/>
    <w:basedOn w:val="Normal"/>
    <w:link w:val="FooterChar"/>
    <w:uiPriority w:val="99"/>
    <w:unhideWhenUsed/>
    <w:rsid w:val="00072C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2C02"/>
  </w:style>
  <w:style w:type="paragraph" w:styleId="BodyText">
    <w:name w:val="Body Text"/>
    <w:basedOn w:val="Normal"/>
    <w:link w:val="BodyTextChar"/>
    <w:uiPriority w:val="1"/>
    <w:qFormat/>
    <w:rsid w:val="008B0808"/>
    <w:pPr>
      <w:widowControl w:val="0"/>
      <w:autoSpaceDE w:val="0"/>
      <w:autoSpaceDN w:val="0"/>
      <w:spacing w:after="0" w:line="240" w:lineRule="auto"/>
    </w:pPr>
    <w:rPr>
      <w:rFonts w:ascii="Sylfaen" w:eastAsia="Sylfaen" w:hAnsi="Sylfaen" w:cs="Sylfaen"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8B0808"/>
    <w:rPr>
      <w:rFonts w:ascii="Sylfaen" w:eastAsia="Sylfaen" w:hAnsi="Sylfaen" w:cs="Sylfaen"/>
      <w:sz w:val="28"/>
      <w:szCs w:val="28"/>
    </w:rPr>
  </w:style>
  <w:style w:type="paragraph" w:styleId="Title">
    <w:name w:val="Title"/>
    <w:basedOn w:val="Normal"/>
    <w:link w:val="TitleChar"/>
    <w:uiPriority w:val="1"/>
    <w:qFormat/>
    <w:rsid w:val="008B0808"/>
    <w:pPr>
      <w:widowControl w:val="0"/>
      <w:autoSpaceDE w:val="0"/>
      <w:autoSpaceDN w:val="0"/>
      <w:spacing w:after="0" w:line="240" w:lineRule="auto"/>
      <w:ind w:left="1" w:right="5"/>
      <w:jc w:val="center"/>
    </w:pPr>
    <w:rPr>
      <w:rFonts w:ascii="Sylfaen" w:eastAsia="Sylfaen" w:hAnsi="Sylfaen" w:cs="Sylfaen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"/>
    <w:rsid w:val="008B0808"/>
    <w:rPr>
      <w:rFonts w:ascii="Sylfaen" w:eastAsia="Sylfaen" w:hAnsi="Sylfaen" w:cs="Sylfaen"/>
      <w:sz w:val="36"/>
      <w:szCs w:val="36"/>
    </w:rPr>
  </w:style>
  <w:style w:type="paragraph" w:styleId="ListParagraph">
    <w:name w:val="List Paragraph"/>
    <w:basedOn w:val="Normal"/>
    <w:uiPriority w:val="1"/>
    <w:qFormat/>
    <w:rsid w:val="008B0808"/>
    <w:pPr>
      <w:widowControl w:val="0"/>
      <w:autoSpaceDE w:val="0"/>
      <w:autoSpaceDN w:val="0"/>
      <w:spacing w:after="0" w:line="240" w:lineRule="auto"/>
      <w:ind w:left="461" w:right="101" w:hanging="360"/>
      <w:jc w:val="both"/>
    </w:pPr>
    <w:rPr>
      <w:rFonts w:ascii="Sylfaen" w:eastAsia="Sylfaen" w:hAnsi="Sylfaen" w:cs="Sylfa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1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793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800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207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768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725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773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30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15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016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871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457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682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74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99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7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96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561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530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382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975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6024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175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6</Pages>
  <Words>1699</Words>
  <Characters>9685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16</cp:revision>
  <dcterms:created xsi:type="dcterms:W3CDTF">2026-02-18T18:44:00Z</dcterms:created>
  <dcterms:modified xsi:type="dcterms:W3CDTF">2026-03-08T21:37:00Z</dcterms:modified>
</cp:coreProperties>
</file>