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t>Ներածություն</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 xml:space="preserve">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համակարգերի, տվյալների անվտանգության և կիրառական ծրագրերի </w:t>
      </w:r>
      <w:r w:rsidRPr="00871015">
        <w:rPr>
          <w:rFonts w:ascii="Sylfaen" w:hAnsi="Sylfaen"/>
          <w:lang w:val="hy-AM"/>
        </w:rPr>
        <w:lastRenderedPageBreak/>
        <w:t>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շերտերի նկատմամբ։ Հնարավոր չէ կատարել խորքային կոնֆիգուրացիաներ կամ </w:t>
      </w:r>
      <w:r w:rsidRPr="00871015">
        <w:rPr>
          <w:rFonts w:ascii="Sylfaen" w:hAnsi="Sylfaen"/>
          <w:lang w:val="hy-AM"/>
        </w:rPr>
        <w:lastRenderedPageBreak/>
        <w:t>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շուկայում կարևոր դեր ունի նաև Google ընկերության Google Cloud Platform հարթակը։ Google Cloud-ը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054CEF"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Azure-ի ծառայությունները ներառում են Azure Data Factory-ն՝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փուլը՝ Transform,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ELT-ն (Extract - Load - Transform) մոտեցումը տարբերվում է ETL</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Pr>
          <w:rFonts w:ascii="Sylfaen" w:hAnsi="Sylfaen"/>
          <w:lang w:val="hy-AM"/>
        </w:rPr>
        <w:t>-ի</w:t>
      </w:r>
      <w:r w:rsidRPr="007F50ED">
        <w:rPr>
          <w:rFonts w:ascii="Sylfaen" w:hAnsi="Sylfaen"/>
          <w:lang w:val="hy-AM"/>
        </w:rPr>
        <w:t>, Spark</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165C31">
      <w:pPr>
        <w:pStyle w:val="NormalWeb"/>
        <w:spacing w:before="30" w:beforeAutospacing="0" w:after="30" w:afterAutospacing="0" w:line="36" w:lineRule="atLeast"/>
        <w:ind w:left="425"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333"/>
        <w:gridCol w:w="3010"/>
        <w:gridCol w:w="3285"/>
      </w:tblGrid>
      <w:tr w:rsidR="008E7850"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Վերափոխման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Տվյալների պահեստում</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8E7850" w:rsidRPr="00A75070"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 xml:space="preserve">Cloud/Data Warehouse </w:t>
            </w:r>
            <w:r>
              <w:rPr>
                <w:rFonts w:ascii="Sylfaen" w:hAnsi="Sylfaen"/>
                <w:lang w:val="en-US"/>
              </w:rPr>
              <w:t>-</w:t>
            </w:r>
            <w:r w:rsidRPr="00541295">
              <w:rPr>
                <w:rFonts w:ascii="Sylfaen" w:hAnsi="Sylfaen"/>
              </w:rPr>
              <w:t>ի</w:t>
            </w:r>
            <w:r w:rsidRPr="00541295">
              <w:rPr>
                <w:rFonts w:ascii="Sylfaen" w:hAnsi="Sylfaen"/>
                <w:lang w:val="en-US"/>
              </w:rPr>
              <w:t xml:space="preserve"> </w:t>
            </w:r>
            <w:r w:rsidRPr="00541295">
              <w:rPr>
                <w:rFonts w:ascii="Sylfaen" w:hAnsi="Sylfaen"/>
              </w:rPr>
              <w:t>վրա</w:t>
            </w:r>
          </w:p>
        </w:tc>
      </w:tr>
      <w:tr w:rsidR="008E7850"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165C31">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 raw տվյալները</w:t>
            </w:r>
            <w:r>
              <w:rPr>
                <w:rFonts w:ascii="Sylfaen" w:hAnsi="Sylfaen"/>
                <w:lang w:val="hy-AM"/>
              </w:rPr>
              <w:t xml:space="preserve"> և</w:t>
            </w:r>
            <w:r w:rsidRPr="00541295">
              <w:rPr>
                <w:rFonts w:ascii="Sylfaen" w:hAnsi="Sylfaen"/>
                <w:lang w:val="hy-AM"/>
              </w:rPr>
              <w:t xml:space="preserve"> </w:t>
            </w:r>
            <w:r>
              <w:rPr>
                <w:rFonts w:ascii="Sylfaen" w:hAnsi="Sylfaen"/>
              </w:rPr>
              <w:t>վերափոխվ</w:t>
            </w:r>
            <w:r>
              <w:rPr>
                <w:rFonts w:ascii="Sylfaen" w:hAnsi="Sylfaen"/>
                <w:lang w:val="hy-AM"/>
              </w:rPr>
              <w:t>ած տվյալները</w:t>
            </w:r>
          </w:p>
        </w:tc>
      </w:tr>
      <w:tr w:rsidR="008E7850" w:rsidRPr="00A75070"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165C31">
            <w:pPr>
              <w:spacing w:before="30" w:after="30" w:line="36" w:lineRule="atLeast"/>
              <w:ind w:left="425"/>
              <w:jc w:val="both"/>
              <w:rPr>
                <w:rFonts w:ascii="Sylfaen" w:hAnsi="Sylfaen"/>
                <w:lang w:val="en-US"/>
              </w:rPr>
            </w:pPr>
            <w:r w:rsidRPr="00541295">
              <w:rPr>
                <w:rFonts w:ascii="Sylfaen" w:hAnsi="Sylfaen"/>
                <w:lang w:val="en-US"/>
              </w:rPr>
              <w:t>Azure Synapse, Snowflake, BigQuery, Databricks</w:t>
            </w:r>
          </w:p>
        </w:tc>
      </w:tr>
      <w:tr w:rsidR="008E7850" w:rsidRPr="00541295" w:rsidTr="00AF4B92">
        <w:trPr>
          <w:trHeight w:val="555"/>
        </w:trPr>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Սկզբնական ճկունություն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Ավելի կոշտ գործընթացներ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Շատ ճկուն՝ մոդելավորման և SQL transform</w:t>
            </w:r>
            <w:r>
              <w:rPr>
                <w:rFonts w:ascii="Sylfaen" w:hAnsi="Sylfaen"/>
              </w:rPr>
              <w:t>-</w:t>
            </w:r>
            <w:r w:rsidRPr="00541295">
              <w:rPr>
                <w:rFonts w:ascii="Sylfaen" w:hAnsi="Sylfaen"/>
              </w:rPr>
              <w:t>ի համար</w:t>
            </w:r>
          </w:p>
        </w:tc>
      </w:tr>
    </w:tbl>
    <w:p w:rsidR="008E7850" w:rsidRDefault="008E7850" w:rsidP="00165C31">
      <w:pPr>
        <w:spacing w:before="30" w:after="30"/>
        <w:ind w:left="425"/>
        <w:rPr>
          <w:rFonts w:ascii="Sylfaen" w:eastAsia="Times New Roman" w:hAnsi="Sylfaen" w:cs="Times New Roman"/>
          <w:sz w:val="24"/>
          <w:szCs w:val="24"/>
          <w:lang w:eastAsia="ru-RU"/>
        </w:rPr>
      </w:pPr>
      <w:r w:rsidRPr="00B47C5E">
        <w:rPr>
          <w:rFonts w:ascii="Sylfaen" w:eastAsia="Times New Roman" w:hAnsi="Sylfaen" w:cs="Times New Roman"/>
          <w:sz w:val="24"/>
          <w:szCs w:val="24"/>
          <w:lang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Մեդալիոն</w:t>
      </w:r>
      <w:r w:rsidR="008E7850" w:rsidRPr="00054CEF">
        <w:rPr>
          <w:rFonts w:ascii="Sylfaen" w:eastAsia="Times New Roman" w:hAnsi="Sylfaen" w:cs="Times New Roman"/>
          <w:b/>
          <w:sz w:val="32"/>
          <w:szCs w:val="24"/>
          <w:lang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 xml:space="preserve">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 Այս մոտեցումը դարձնում </w:t>
      </w:r>
      <w:r w:rsidRPr="00871015">
        <w:rPr>
          <w:rFonts w:ascii="Sylfaen" w:eastAsia="Times New Roman" w:hAnsi="Sylfaen" w:cs="Times New Roman"/>
          <w:sz w:val="24"/>
          <w:szCs w:val="24"/>
          <w:lang w:val="hy-AM" w:eastAsia="ru-RU"/>
        </w:rPr>
        <w:lastRenderedPageBreak/>
        <w:t>է տվյալների կառավարումն ավելի հեշտ և ապահովում է, որ տարբեր բաժիններ ու թիմեր օգտվեն նույն հուսալի տվյալներից՝ իրենց որոշումների և վերլուծությունների համար։</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համակարգեր</w:t>
      </w: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Pr>
          <w:rFonts w:ascii="Sylfaen" w:eastAsia="Times New Roman" w:hAnsi="Sylfaen" w:cs="Times New Roman"/>
          <w:b/>
          <w:bCs/>
          <w:sz w:val="36"/>
          <w:szCs w:val="24"/>
          <w:lang w:val="hy-AM" w:eastAsia="ru-RU"/>
        </w:rPr>
        <w:t>-ՈԻՄ</w:t>
      </w:r>
    </w:p>
    <w:p w:rsidR="008E7850" w:rsidRPr="00054CEF"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t>Integration Runtime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կողմից և </w:t>
      </w:r>
      <w:r w:rsidRPr="00541295">
        <w:rPr>
          <w:rFonts w:ascii="Sylfaen" w:eastAsia="Times New Roman" w:hAnsi="Sylfaen" w:cs="Times New Roman"/>
          <w:bCs/>
          <w:sz w:val="24"/>
          <w:szCs w:val="24"/>
          <w:lang w:val="hy-AM" w:eastAsia="ru-RU"/>
        </w:rPr>
        <w:lastRenderedPageBreak/>
        <w:t>օգտագործվում է cloud</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A65E20" w:rsidRDefault="006D3815" w:rsidP="00165C31">
      <w:pPr>
        <w:pStyle w:val="NormalWeb"/>
        <w:spacing w:before="30" w:beforeAutospacing="0" w:after="30" w:afterAutospacing="0" w:line="36" w:lineRule="atLeast"/>
        <w:jc w:val="center"/>
        <w:rPr>
          <w:rFonts w:ascii="Sylfaen" w:hAnsi="Sylfaen"/>
          <w:b/>
          <w:sz w:val="32"/>
          <w:lang w:val="hy-AM"/>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Databricks-ը նախատեսված է մեծ տվյալների բաշխված մշակման, տվյալների ինժեներիայի և մեքենայական ուսուցման խնդիրների լուծման համար։ Apache Spark-ի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լճում ապահովում է տրանզակցիոն հատկություններ և տվյալների վերսիանավորում։ Delta Lake-ը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pool-ը հատկապես արդյունավետ է ֆինանսական հաշվետվությունների, բազմաչափ վերլուծությունների, KPI-ների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Բացի dedicated ռեժիմից, Synapse-ն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Synapse-ը ներառում է նաև Spark pool, որը հնարավորություն է տալիս իրականացնել բաշխված տվյալների մշակում նույն միջավայրում։ Spark pool-ի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Synapse-ը համադրում է ETL գործընթացները, մեծ տվյալների մշակումն ու ավանդական տվյալների պահեստավորումը մեկ միասնական հարթակում։</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 xml:space="preserve">Synapse-ը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w:t>
      </w:r>
      <w:r w:rsidRPr="00761669">
        <w:rPr>
          <w:rFonts w:ascii="Sylfaen" w:hAnsi="Sylfaen"/>
          <w:lang w:val="hy-AM"/>
        </w:rPr>
        <w:lastRenderedPageBreak/>
        <w:t>ժամանակում մուտք գործող տեղեկատվությունը՝ ստեղծելով ամբողջական վերլուծական պատկեր։</w:t>
      </w:r>
    </w:p>
    <w:p w:rsidR="00761669" w:rsidRPr="00761669" w:rsidRDefault="00761669" w:rsidP="00761669">
      <w:pPr>
        <w:spacing w:before="30" w:after="30"/>
        <w:ind w:firstLine="426"/>
        <w:jc w:val="both"/>
        <w:rPr>
          <w:rFonts w:ascii="Sylfaen" w:hAnsi="Sylfaen"/>
          <w:lang w:val="hy-AM"/>
        </w:rPr>
      </w:pPr>
      <w:r w:rsidRPr="00761669">
        <w:rPr>
          <w:rFonts w:ascii="Sylfaen" w:hAnsi="Sylfaen"/>
          <w:lang w:val="hy-AM"/>
        </w:rPr>
        <w:t>Ծառայությունը ինտեգրված է Azure-ի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Default="00761669" w:rsidP="00761669">
      <w:pPr>
        <w:spacing w:before="30" w:after="30"/>
        <w:ind w:firstLine="426"/>
        <w:jc w:val="both"/>
        <w:rPr>
          <w:rFonts w:ascii="Sylfaen" w:hAnsi="Sylfaen"/>
          <w:lang w:val="hy-AM"/>
        </w:rPr>
      </w:pPr>
      <w:r w:rsidRPr="00761669">
        <w:rPr>
          <w:rFonts w:ascii="Sylfaen" w:hAnsi="Sylfaen"/>
          <w:lang w:val="hy-AM"/>
        </w:rPr>
        <w:t>Այսպիսով, Azure Synapse Analytics-ը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3B7224" w:rsidRPr="003B7224">
        <w:rPr>
          <w:rFonts w:ascii="Sylfaen" w:hAnsi="Sylfaen"/>
          <w:b/>
          <w:sz w:val="32"/>
          <w:lang w:val="hy-AM"/>
        </w:rPr>
        <w:t>Տարբերությունները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էկոհամակարգի կարևոր բաղադրիչներ,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Databricks-ը առավելապես ուղղված է տվյալների ինժեներներին և տվյալագետներին։ Այն առանձնանում է ճկունությամբ, բաց էկոհամակարգով և առաջադեմ մեքենայական ուսուցման հնարավորություններով։ Apache Spark-ի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Synapse-ի մեքենայական ուսուցման հնարավորությունները սովորաբար ավելի սահմանափակ են Databricks-ի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Կարևոր տարբերություններից մեկը վերաբերում է աշխատանքային ոճին։ Databricks-ը առավելապես կենտրոնացած է կոդային, ճկուն և փորձարարական միջավայրի վրա, որտեղ օգտատերը կարող է արագ փորձարկել գաղափարներ և փոխել տվյալների </w:t>
      </w:r>
      <w:r w:rsidRPr="00892921">
        <w:rPr>
          <w:rFonts w:ascii="Sylfaen" w:hAnsi="Sylfaen"/>
          <w:sz w:val="24"/>
          <w:lang w:val="hy-AM"/>
        </w:rPr>
        <w:lastRenderedPageBreak/>
        <w:t>մշակման տրամաբանությունը։ Synapse-ը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Databricks-ը օգտագործվում է տվյալների նախնական մշակումի, բարդ վերափոխումների և մեքենայական ուսուցման մոդելների ստեղծման համար, իսկ Synapse-ը՝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lastRenderedPageBreak/>
        <w:t xml:space="preserve">PD-ի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հիմնվում է լոգիստիկ (կամ սիգմոիդային) ֆունկցիայի վրա՝ 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z</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-z</m:t>
                  </m:r>
                </m:sup>
              </m:sSup>
            </m:den>
          </m:f>
        </m:oMath>
      </m:oMathPara>
    </w:p>
    <w:p w:rsidR="00A600D3"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որտեղ z-ը մուտքային փոփոխականների գծային կոմբինացիա է։ Սիգմոիդային ֆունկցիան ընդունում է ցանկացած իրական թիվ, բայց այն փոխակերպում է 0–1 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1-ում:</w:t>
      </w:r>
    </w:p>
    <w:p w:rsidR="00A600D3" w:rsidRDefault="00A600D3" w:rsidP="00A43AC8">
      <w:pPr>
        <w:spacing w:before="30" w:after="30" w:line="360" w:lineRule="auto"/>
        <w:jc w:val="both"/>
        <w:rPr>
          <w:rFonts w:ascii="Sylfaen" w:hAnsi="Sylfaen"/>
          <w:sz w:val="24"/>
          <w:szCs w:val="24"/>
          <w:lang w:val="hy-AM"/>
        </w:rPr>
      </w:pPr>
    </w:p>
    <w:p w:rsidR="00A600D3" w:rsidRDefault="00A600D3" w:rsidP="00A43AC8">
      <w:pPr>
        <w:spacing w:before="30" w:after="30" w:line="360" w:lineRule="auto"/>
        <w:jc w:val="both"/>
        <w:rPr>
          <w:rFonts w:ascii="Sylfaen" w:hAnsi="Sylfaen"/>
          <w:sz w:val="24"/>
          <w:szCs w:val="24"/>
          <w:lang w:val="hy-AM"/>
        </w:rPr>
      </w:pPr>
      <w:r>
        <w:rPr>
          <w:rFonts w:ascii="Sylfaen" w:hAnsi="Sylfaen"/>
          <w:sz w:val="24"/>
          <w:szCs w:val="24"/>
          <w:lang w:val="hy-AM"/>
        </w:rPr>
        <w:lastRenderedPageBreak/>
        <w:t>Գծագիր 1:</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4174176" cy="2686843"/>
            <wp:effectExtent l="0" t="0" r="0" b="0"/>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84820" cy="2758062"/>
                    </a:xfrm>
                    <a:prstGeom prst="rect">
                      <a:avLst/>
                    </a:prstGeom>
                    <a:noFill/>
                    <a:ln>
                      <a:noFill/>
                    </a:ln>
                  </pic:spPr>
                </pic:pic>
              </a:graphicData>
            </a:graphic>
          </wp:inline>
        </w:drawing>
      </w:r>
    </w:p>
    <w:p w:rsidR="00A43AC8" w:rsidRPr="00A43AC8" w:rsidRDefault="00A43AC8" w:rsidP="00A43AC8">
      <w:pPr>
        <w:spacing w:before="30" w:after="30" w:line="360" w:lineRule="auto"/>
        <w:jc w:val="both"/>
        <w:rPr>
          <w:rFonts w:ascii="Sylfaen" w:hAnsi="Sylfaen"/>
          <w:i/>
          <w:sz w:val="24"/>
          <w:szCs w:val="24"/>
          <w:lang w:val="hy-AM"/>
        </w:rPr>
      </w:pPr>
      <w:r w:rsidRPr="00A43AC8">
        <w:rPr>
          <w:rFonts w:ascii="Sylfaen" w:hAnsi="Sylfaen"/>
          <w:sz w:val="24"/>
          <w:szCs w:val="24"/>
          <w:lang w:val="hy-AM"/>
        </w:rPr>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X-ը հատկանիշների վեկտորն է։</w:t>
      </w:r>
    </w:p>
    <w:p w:rsid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363802" w:rsidRDefault="00363802" w:rsidP="00A43AC8">
      <w:pPr>
        <w:spacing w:before="30" w:after="30" w:line="360" w:lineRule="auto"/>
        <w:jc w:val="both"/>
        <w:rPr>
          <w:rFonts w:ascii="Sylfaen" w:hAnsi="Sylfaen"/>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=σ</m:t>
          </m:r>
          <m:d>
            <m:dPr>
              <m:ctrlPr>
                <w:rPr>
                  <w:rFonts w:ascii="Cambria Math" w:hAnsi="Cambria Math"/>
                  <w:i/>
                  <w:sz w:val="28"/>
                  <w:szCs w:val="24"/>
                  <w:lang w:val="hy-AM"/>
                </w:rPr>
              </m:ctrlPr>
            </m:dPr>
            <m:e>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e>
          </m:d>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Հավանականության առավելագույնացում (Maximum Likelihood Estimation)</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w:lastRenderedPageBreak/>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Լոգ-հավանականության առավելագույնացումը թույլ է տալիս գտնել β-ի օպտիմալ արժեքները՝ օգտագործելով թվային մեթոդներ, օրինակ՝ գրադիենտային իջեցում կամ Նյուտոն–Ռաֆսոնի մեթոդ։</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համակցությունների մեկնաբանություն</w:t>
      </w:r>
    </w:p>
    <w:p w:rsidR="00A43AC8" w:rsidRPr="00A43AC8" w:rsidRDefault="00363802" w:rsidP="00363802">
      <w:pPr>
        <w:spacing w:before="30" w:after="30" w:line="360" w:lineRule="auto"/>
        <w:ind w:firstLine="426"/>
        <w:jc w:val="both"/>
        <w:rPr>
          <w:rFonts w:ascii="Sylfaen" w:hAnsi="Sylfaen"/>
          <w:sz w:val="24"/>
          <w:szCs w:val="24"/>
          <w:lang w:val="hy-AM"/>
        </w:rPr>
      </w:pPr>
      <w:r>
        <w:rPr>
          <w:rFonts w:ascii="Sylfaen" w:hAnsi="Sylfaen"/>
          <w:sz w:val="24"/>
          <w:szCs w:val="24"/>
          <w:lang w:val="hy-AM"/>
        </w:rPr>
        <w:t>Գծային</w:t>
      </w:r>
      <w:r w:rsidR="00A43AC8"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00A43AC8" w:rsidRPr="00A43AC8">
        <w:rPr>
          <w:rFonts w:ascii="Times New Roman" w:hAnsi="Times New Roman" w:cs="Times New Roman"/>
          <w:sz w:val="24"/>
          <w:szCs w:val="24"/>
          <w:lang w:val="hy-AM"/>
        </w:rPr>
        <w:t>ᵢ</w:t>
      </w:r>
      <w:r w:rsidR="00A43AC8"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43AC8" w:rsidRDefault="00A43AC8" w:rsidP="00363802">
      <w:pPr>
        <w:spacing w:before="30" w:after="30" w:line="360" w:lineRule="auto"/>
        <w:jc w:val="center"/>
        <w:rPr>
          <w:rFonts w:ascii="Sylfaen" w:hAnsi="Sylfaen"/>
          <w:sz w:val="24"/>
          <w:szCs w:val="24"/>
          <w:lang w:val="hy-AM"/>
        </w:rPr>
      </w:pPr>
      <w:r w:rsidRPr="00A43AC8">
        <w:rPr>
          <w:rFonts w:ascii="Sylfaen" w:hAnsi="Sylfaen"/>
          <w:sz w:val="24"/>
          <w:szCs w:val="24"/>
          <w:lang w:val="hy-AM"/>
        </w:rPr>
        <w:t>Մոդելի որակի գնահատում</w:t>
      </w:r>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Քանի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Խառնումների մատրիցա (Confusion Matrix) —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A31C2E"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ROC կոր և AUC — մոդելի արդյունավետության գնահատում տարբեր շեմերի դեպքում։</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Բազմադասային լոգիստիկ ռեգրեսիա</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lastRenderedPageBreak/>
        <w:t>Լոգիստիկ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 xml:space="preserve">One-vs-Rest (OvR) —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One-vs-One (OvO) —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կիրառումը</w:t>
      </w:r>
    </w:p>
    <w:p w:rsidR="00A43AC8" w:rsidRPr="00A43AC8" w:rsidRDefault="00A43AC8" w:rsidP="00FB0C36">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 xml:space="preserve">ժշկություն —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 xml:space="preserve">ինանսներ — վարկի չվճարման կամ այլ ռիսկային 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ասարակագիտություն — սոցիալական խմբերին կամ վարքագծային կատեգորիաներին պատկանելու հավանականություն։</w:t>
      </w:r>
    </w:p>
    <w:p w:rsidR="00A43AC8" w:rsidRPr="00A43AC8" w:rsidRDefault="00A43AC8" w:rsidP="00FB0C36">
      <w:pPr>
        <w:spacing w:before="30" w:after="30" w:line="360" w:lineRule="auto"/>
        <w:jc w:val="center"/>
        <w:rPr>
          <w:rFonts w:ascii="Sylfaen" w:hAnsi="Sylfaen"/>
          <w:sz w:val="24"/>
          <w:szCs w:val="24"/>
          <w:lang w:val="hy-AM"/>
        </w:rPr>
      </w:pPr>
      <w:r w:rsidRPr="00A43AC8">
        <w:rPr>
          <w:rFonts w:ascii="Sylfaen" w:hAnsi="Sylfaen"/>
          <w:sz w:val="24"/>
          <w:szCs w:val="24"/>
          <w:lang w:val="hy-AM"/>
        </w:rPr>
        <w:t>Լոգիստիկ ռեգրեսիայի սահմանափակումները</w:t>
      </w:r>
    </w:p>
    <w:p w:rsidR="0072237D" w:rsidRPr="00A43AC8" w:rsidRDefault="00A43AC8" w:rsidP="00430327">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Չնայած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գայունություն արտախմբային արժեքների նկատմամբ —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կոլլինեարության խնդիրներ — բարձրորեն փոխկապակցված հատկանիշները հանգեցնում են անկայուն և դժվար մեկնաբանվող համակցությունների</w:t>
      </w:r>
      <w:r w:rsidRPr="00A43AC8">
        <w:rPr>
          <w:rStyle w:val="FootnoteReference"/>
          <w:rFonts w:ascii="Sylfaen" w:hAnsi="Sylfaen"/>
          <w:sz w:val="24"/>
          <w:szCs w:val="24"/>
          <w:lang w:val="hy-AM"/>
        </w:rPr>
        <w:footnoteReference w:id="1"/>
      </w:r>
      <w:r w:rsidRPr="00A43AC8">
        <w:rPr>
          <w:rFonts w:ascii="Sylfaen" w:hAnsi="Sylfaen"/>
          <w:sz w:val="24"/>
          <w:szCs w:val="24"/>
          <w:lang w:val="hy-AM"/>
        </w:rPr>
        <w:t>։</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6F2AF3" w:rsidRPr="006F2AF3">
        <w:rPr>
          <w:rFonts w:ascii="Sylfaen" w:eastAsia="Times New Roman" w:hAnsi="Sylfaen" w:cs="Times New Roman"/>
          <w:b/>
          <w:sz w:val="32"/>
          <w:szCs w:val="24"/>
          <w:lang w:val="hy-AM" w:eastAsia="ru-RU"/>
        </w:rPr>
        <w:t xml:space="preserve">EAD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EAD-ն արտացոլում է այն ընդհանուր գումարը, որի նկատմամբ ֆինանսական կազմակերպությունը կրում է ռիսկ այն պահին, երբ վարկառուն դառնում է դեֆոլտային։ Եթե PD-ն ցույց է տալիս դեֆոլտի հավանականությունը, իսկ LGD-ն՝ դեֆոլտի դեպքում կորուստների մասնաբաժինը, ապա EAD-ն սահմանում է այն բազային գումարը, որ</w:t>
      </w:r>
      <w:r w:rsidR="00A60080">
        <w:rPr>
          <w:rFonts w:ascii="Sylfaen" w:eastAsia="Times New Roman" w:hAnsi="Sylfaen" w:cs="Times New Roman"/>
          <w:sz w:val="24"/>
          <w:szCs w:val="24"/>
          <w:lang w:val="hy-AM" w:eastAsia="ru-RU"/>
        </w:rPr>
        <w:t>ի վրա այդ կորուստը կիրառվում է։</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EAD-ն հենց այս ամբողջ ա</w:t>
      </w:r>
      <w:r w:rsidR="00A60080">
        <w:rPr>
          <w:rFonts w:ascii="Sylfaen" w:eastAsia="Times New Roman" w:hAnsi="Sylfaen" w:cs="Times New Roman"/>
          <w:sz w:val="24"/>
          <w:szCs w:val="24"/>
          <w:lang w:val="hy-AM" w:eastAsia="ru-RU"/>
        </w:rPr>
        <w:t>զդեցությունն է ներառում իր մեջ։</w:t>
      </w:r>
    </w:p>
    <w:p w:rsidR="001603A7" w:rsidRPr="001603A7" w:rsidRDefault="001603A7" w:rsidP="00A60080">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EAD-ի վարքագիծը տարբեր է։ Սպառողական կամ հիփոթեքային դասական վարկերի դեպքում EAD-ն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EAD-ն կարող է զգալիորեն տարբերվել հաշվեկշռային մնացորդից։ Այս դեպքում անհրաժեշտ է գնահատել, թե դեֆոլտից առաջ ինչ չափով</w:t>
      </w:r>
      <w:r w:rsidR="00A60080">
        <w:rPr>
          <w:rFonts w:ascii="Sylfaen" w:eastAsia="Times New Roman" w:hAnsi="Sylfaen" w:cs="Times New Roman"/>
          <w:sz w:val="24"/>
          <w:szCs w:val="24"/>
          <w:lang w:val="hy-AM" w:eastAsia="ru-RU"/>
        </w:rPr>
        <w:t xml:space="preserve"> կարող է աճել պարտավորությունը։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sidR="006F2AF3">
        <w:rPr>
          <w:rFonts w:ascii="Sylfaen" w:eastAsia="Times New Roman" w:hAnsi="Sylfaen" w:cs="Times New Roman"/>
          <w:sz w:val="24"/>
          <w:szCs w:val="24"/>
          <w:lang w:val="hy-AM" w:eastAsia="ru-RU"/>
        </w:rPr>
        <w:t>ին ազդեցությունը դեֆոլտի պահին։</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 xml:space="preserve">EAD-ի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մեխանիզմները։ Վարքագծային գործոնները կապված են հաճախորդի ֆինանսական </w:t>
      </w:r>
      <w:r w:rsidRPr="001603A7">
        <w:rPr>
          <w:rFonts w:ascii="Sylfaen" w:eastAsia="Times New Roman" w:hAnsi="Sylfaen" w:cs="Times New Roman"/>
          <w:sz w:val="24"/>
          <w:szCs w:val="24"/>
          <w:lang w:val="hy-AM" w:eastAsia="ru-RU"/>
        </w:rPr>
        <w:lastRenderedPageBreak/>
        <w:t xml:space="preserve">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sidR="006F2AF3">
        <w:rPr>
          <w:rFonts w:ascii="Sylfaen" w:eastAsia="Times New Roman" w:hAnsi="Sylfaen" w:cs="Times New Roman"/>
          <w:sz w:val="24"/>
          <w:szCs w:val="24"/>
          <w:lang w:val="hy-AM" w:eastAsia="ru-RU"/>
        </w:rPr>
        <w:t>է բանկի ռիսկային ազդեցությունը։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 xml:space="preserve">Կորպորատիվ հատվածում EAD-ի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sidR="006F2AF3">
        <w:rPr>
          <w:rFonts w:ascii="Sylfaen" w:eastAsia="Times New Roman" w:hAnsi="Sylfaen" w:cs="Times New Roman"/>
          <w:sz w:val="24"/>
          <w:szCs w:val="24"/>
          <w:lang w:val="hy-AM" w:eastAsia="ru-RU"/>
        </w:rPr>
        <w:t>զարգացումները գնահատելու համար։</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sidR="006F2AF3">
        <w:rPr>
          <w:rFonts w:ascii="Sylfaen" w:eastAsia="Times New Roman" w:hAnsi="Sylfaen" w:cs="Times New Roman"/>
          <w:sz w:val="24"/>
          <w:szCs w:val="24"/>
          <w:lang w:val="hy-AM" w:eastAsia="ru-RU"/>
        </w:rPr>
        <w:t xml:space="preserve"> հնարավոր սթրեսային սցենարները։</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EAD-ն նշանակում է ավելի մեծ ռիսկային ակտիվներ և, համապատասխանաբար, ավելի բարձր կապիտալի պահանջներ կարգավորող մարմինների պահանջների համաձայն։ Այդ պատճառով EAD-ի ճշգրիտ գնահատումը ռազմավարական նշանակություն ունի ֆինանս</w:t>
      </w:r>
      <w:r w:rsidR="006F2AF3">
        <w:rPr>
          <w:rFonts w:ascii="Sylfaen" w:eastAsia="Times New Roman" w:hAnsi="Sylfaen" w:cs="Times New Roman"/>
          <w:sz w:val="24"/>
          <w:szCs w:val="24"/>
          <w:lang w:val="hy-AM" w:eastAsia="ru-RU"/>
        </w:rPr>
        <w:t>ական կայունության տեսանկյունից։</w:t>
      </w:r>
    </w:p>
    <w:p w:rsidR="001603A7" w:rsidRPr="001603A7" w:rsidRDefault="001603A7" w:rsidP="006F2AF3">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00BE8" w:rsidRDefault="00AC3920" w:rsidP="002B0721">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001603A7"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չափի կորուստ կարող է կրել ֆինանսական կազմակերպությունը։ Առանց EAD-ի </w:t>
      </w:r>
      <w:r w:rsidR="001603A7" w:rsidRPr="001603A7">
        <w:rPr>
          <w:rFonts w:ascii="Sylfaen" w:eastAsia="Times New Roman" w:hAnsi="Sylfaen" w:cs="Times New Roman"/>
          <w:sz w:val="24"/>
          <w:szCs w:val="24"/>
          <w:lang w:val="hy-AM" w:eastAsia="ru-RU"/>
        </w:rPr>
        <w:lastRenderedPageBreak/>
        <w:t>գնահատման հնարավոր չէ իրական և ամբողջական կերպով հասկանալ վարկային ռիսկի ծավալը և արդյունավետորեն կառավարել ֆինանսական հաստատության պորտֆելը։</w:t>
      </w:r>
      <w:r w:rsidR="002B0721">
        <w:rPr>
          <w:rFonts w:ascii="Sylfaen" w:eastAsia="Times New Roman" w:hAnsi="Sylfaen" w:cs="Times New Roman"/>
          <w:sz w:val="24"/>
          <w:szCs w:val="24"/>
          <w:lang w:val="hy-AM" w:eastAsia="ru-RU"/>
        </w:rPr>
        <w:t xml:space="preserve"> </w:t>
      </w:r>
      <w:r w:rsidR="00900BE8" w:rsidRPr="00900BE8">
        <w:rPr>
          <w:rFonts w:ascii="Sylfaen" w:eastAsia="Times New Roman" w:hAnsi="Sylfaen" w:cs="Times New Roman"/>
          <w:sz w:val="24"/>
          <w:szCs w:val="24"/>
          <w:lang w:val="hy-AM" w:eastAsia="ru-RU"/>
        </w:rPr>
        <w:t xml:space="preserve">EAD </w:t>
      </w:r>
      <w:r w:rsidR="00900BE8">
        <w:rPr>
          <w:rFonts w:ascii="Sylfaen" w:eastAsia="Times New Roman" w:hAnsi="Sylfaen" w:cs="Times New Roman"/>
          <w:sz w:val="24"/>
          <w:szCs w:val="24"/>
          <w:lang w:val="hy-AM" w:eastAsia="ru-RU"/>
        </w:rPr>
        <w:t>գործակցի բանաձևը</w:t>
      </w:r>
      <w:r w:rsidR="002B0721">
        <w:rPr>
          <w:rFonts w:ascii="Sylfaen" w:eastAsia="Times New Roman" w:hAnsi="Sylfaen" w:cs="Times New Roman"/>
          <w:sz w:val="24"/>
          <w:szCs w:val="24"/>
          <w:lang w:val="hy-AM" w:eastAsia="ru-RU"/>
        </w:rPr>
        <w:t>.</w:t>
      </w:r>
    </w:p>
    <w:p w:rsidR="00900BE8" w:rsidRDefault="00900BE8" w:rsidP="001603A7">
      <w:pPr>
        <w:spacing w:before="30" w:after="30"/>
        <w:ind w:firstLine="426"/>
        <w:jc w:val="both"/>
        <w:rPr>
          <w:rFonts w:ascii="Sylfaen" w:eastAsia="Times New Roman" w:hAnsi="Sylfaen" w:cs="Times New Roman"/>
          <w:sz w:val="24"/>
          <w:szCs w:val="24"/>
          <w:lang w:val="hy-AM" w:eastAsia="ru-RU"/>
        </w:rPr>
      </w:pPr>
      <m:oMathPara>
        <m:oMath>
          <m:r>
            <w:rPr>
              <w:rFonts w:ascii="Cambria Math" w:eastAsia="Times New Roman" w:hAnsi="Cambria Math" w:cs="Times New Roman"/>
              <w:sz w:val="24"/>
              <w:szCs w:val="24"/>
              <w:lang w:val="hy-AM" w:eastAsia="ru-RU"/>
            </w:rPr>
            <m:t>EAD=Drawn Amount+(CCF×Undrawn Amount)</m:t>
          </m:r>
        </m:oMath>
      </m:oMathPara>
    </w:p>
    <w:p w:rsidR="00380089" w:rsidRPr="00380089" w:rsidRDefault="00B93FDB" w:rsidP="00380089">
      <w:pPr>
        <w:ind w:firstLine="426"/>
        <w:jc w:val="both"/>
        <w:rPr>
          <w:rFonts w:ascii="Sylfaen" w:hAnsi="Sylfaen"/>
          <w:lang w:val="hy-AM" w:eastAsia="ru-RU"/>
        </w:rPr>
      </w:pPr>
      <w:r>
        <w:rPr>
          <w:rFonts w:ascii="Sylfaen" w:hAnsi="Sylfaen"/>
          <w:lang w:val="hy-AM" w:eastAsia="ru-RU"/>
        </w:rPr>
        <w:t xml:space="preserve">Որտեղ՝ </w:t>
      </w:r>
      <w:r w:rsidRPr="00B93FDB">
        <w:rPr>
          <w:rFonts w:ascii="Sylfaen" w:hAnsi="Sylfaen"/>
          <w:lang w:val="hy-AM" w:eastAsia="ru-RU"/>
        </w:rPr>
        <w:t>Drawn Amount</w:t>
      </w:r>
      <w:r>
        <w:rPr>
          <w:rFonts w:ascii="Sylfaen" w:hAnsi="Sylfaen"/>
          <w:lang w:val="hy-AM" w:eastAsia="ru-RU"/>
        </w:rPr>
        <w:t xml:space="preserve">-ը ընթացիկ չմարված մնացորդը, </w:t>
      </w:r>
      <w:r w:rsidRPr="00B93FDB">
        <w:rPr>
          <w:rFonts w:ascii="Sylfaen" w:hAnsi="Sylfaen"/>
          <w:lang w:val="hy-AM" w:eastAsia="ru-RU"/>
        </w:rPr>
        <w:t>CCF (Credit Conversion Factor)</w:t>
      </w:r>
      <w:r>
        <w:rPr>
          <w:rFonts w:ascii="Sylfaen" w:hAnsi="Sylfaen"/>
          <w:lang w:val="hy-AM" w:eastAsia="ru-RU"/>
        </w:rPr>
        <w:t xml:space="preserve">-ը </w:t>
      </w:r>
      <w:r w:rsidRPr="00B93FDB">
        <w:rPr>
          <w:rFonts w:ascii="Sylfaen" w:hAnsi="Sylfaen"/>
          <w:lang w:val="hy-AM" w:eastAsia="ru-RU"/>
        </w:rPr>
        <w:t>չօգտագործված սահմանաչափի տոկոսը, որը սպասվում է, որ կօգտագործվի մինչև դեֆոլտը</w:t>
      </w:r>
      <w:r w:rsidR="002B0721">
        <w:rPr>
          <w:rFonts w:ascii="Sylfaen" w:hAnsi="Sylfaen"/>
          <w:lang w:val="hy-AM" w:eastAsia="ru-RU"/>
        </w:rPr>
        <w:t xml:space="preserve">, </w:t>
      </w:r>
      <w:r w:rsidR="002B0721" w:rsidRPr="002B0721">
        <w:rPr>
          <w:rFonts w:ascii="Sylfaen" w:hAnsi="Sylfaen"/>
          <w:lang w:val="hy-AM" w:eastAsia="ru-RU"/>
        </w:rPr>
        <w:t>Undrawn Amount-</w:t>
      </w:r>
      <w:r w:rsidR="002B0721">
        <w:rPr>
          <w:rFonts w:ascii="Sylfaen" w:hAnsi="Sylfaen"/>
          <w:lang w:val="hy-AM" w:eastAsia="ru-RU"/>
        </w:rPr>
        <w:t>ը վ</w:t>
      </w:r>
      <w:r w:rsidR="002B0721" w:rsidRPr="002B0721">
        <w:rPr>
          <w:rFonts w:ascii="Sylfaen" w:hAnsi="Sylfaen"/>
          <w:lang w:val="hy-AM" w:eastAsia="ru-RU"/>
        </w:rPr>
        <w:t xml:space="preserve">արկային սահմանաչափի չօգտագործված </w:t>
      </w:r>
      <w:r w:rsidR="00380089">
        <w:rPr>
          <w:rFonts w:ascii="Sylfaen" w:hAnsi="Sylfaen"/>
          <w:lang w:val="hy-AM" w:eastAsia="ru-RU"/>
        </w:rPr>
        <w:t>մասը</w:t>
      </w:r>
      <w:r w:rsidRPr="00B93FDB">
        <w:rPr>
          <w:rFonts w:ascii="Sylfaen" w:hAnsi="Sylfaen"/>
          <w:lang w:val="hy-AM" w:eastAsia="ru-RU"/>
        </w:rPr>
        <w:t>։</w:t>
      </w:r>
    </w:p>
    <w:p w:rsidR="001603A7" w:rsidRPr="00900BE8" w:rsidRDefault="00380089" w:rsidP="00380089">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Pr="00892921"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B97B2E" w:rsidRPr="00B97B2E">
        <w:rPr>
          <w:rFonts w:ascii="Sylfaen" w:eastAsia="Times New Roman" w:hAnsi="Sylfaen" w:cs="Times New Roman"/>
          <w:b/>
          <w:sz w:val="32"/>
          <w:szCs w:val="24"/>
          <w:lang w:val="hy-AM" w:eastAsia="ru-RU"/>
        </w:rPr>
        <w:t xml:space="preserve">LGD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 գործակիցը (Loss Given Default) վարկային ռիսկի կառավարման կարևորագույն ցուցանիշներից մեկն է, որը ցույց է տալիս, թե որքան կորուստ է կրում ֆինանսական կազմակերպությունը այն դեպքում, երբ վարկառուն դառնում է դեֆոլտային։ Այլ կերպ ասած՝ LGD-ն արտացոլում է դեֆոլտի պայմաններում կորցվող գումարի մասնաբաժինը ընդհանուր պարտավորությունից։ Եթե դեֆոլտը տեղի է ունեցել, LGD-ն գնահատում է, թե տվյալ վարկից որքան մասն է հնարավոր վերականգնել և որքանն է փաստացի կորուստ դառնում բանկի կամ վարկատուի համար։</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LGD-ն հակված է աճելու։ Ընդհակառակը, տնտեսական աճի պայմաններում վերականգնման մակարդակները կարող են լինել ավելի բարձր, և LGD-ն՝ ավելի ցածր։ Այս պատճառով ֆինանսական հաստատությունները հաճախ գնահատում են LGD-ն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F43356" w:rsidRPr="00F43356" w:rsidRDefault="00F43356" w:rsidP="006F2AF3">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r w:rsidRPr="00F43356">
        <w:rPr>
          <w:rFonts w:ascii="Sylfaen" w:eastAsia="Times New Roman" w:hAnsi="Sylfaen" w:cs="Times New Roman"/>
          <w:sz w:val="24"/>
          <w:szCs w:val="24"/>
          <w:lang w:val="hy-AM" w:eastAsia="ru-RU"/>
        </w:rPr>
        <w:br w:type="page"/>
      </w:r>
    </w:p>
    <w:p w:rsidR="00AF4B92" w:rsidRPr="00900BE8" w:rsidRDefault="00AF4B92" w:rsidP="00AF4B92">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lastRenderedPageBreak/>
        <w:t>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Ձեր տրամադրած տվյալների հիման վրա հնարավոր է կառուցել ամբողջական, ինքնաբավ մաթեմատիկական համակարգ, որը չի պահանջում արտաքին փոփոխականներ՝ բացառությամբ գլոբալ գնահատվող գործակիցների և դիսկոնտավորման տոկոսադրույքի։</w:t>
      </w:r>
      <w:r w:rsidR="002B0721">
        <w:rPr>
          <w:rFonts w:ascii="Sylfaen" w:eastAsia="Times New Roman" w:hAnsi="Sylfaen" w:cs="Times New Roman"/>
          <w:sz w:val="24"/>
          <w:szCs w:val="24"/>
          <w:lang w:val="hy-AM" w:eastAsia="ru-RU"/>
        </w:rPr>
        <w:t xml:space="preserve"> </w:t>
      </w:r>
      <w:r w:rsidR="002B0721">
        <w:rPr>
          <w:rFonts w:ascii="Sylfaen" w:eastAsia="Times New Roman" w:hAnsi="Sylfaen" w:cs="Times New Roman"/>
          <w:sz w:val="24"/>
          <w:szCs w:val="24"/>
          <w:lang w:val="en-US" w:eastAsia="ru-RU"/>
        </w:rPr>
        <w:t>LGD</w:t>
      </w:r>
      <w:r w:rsidR="002B0721">
        <w:rPr>
          <w:rFonts w:ascii="Sylfaen" w:eastAsia="Times New Roman" w:hAnsi="Sylfaen" w:cs="Times New Roman"/>
          <w:sz w:val="24"/>
          <w:szCs w:val="24"/>
          <w:lang w:val="hy-AM" w:eastAsia="ru-RU"/>
        </w:rPr>
        <w:t>-ի բանաձը.</w:t>
      </w:r>
    </w:p>
    <w:p w:rsidR="00AF4B92" w:rsidRPr="00A31C2E" w:rsidRDefault="00A31C2E" w:rsidP="00A31C2E">
      <w:pPr>
        <w:spacing w:after="0" w:line="360" w:lineRule="atLeast"/>
        <w:rPr>
          <w:rFonts w:ascii="Helvetica Neue" w:eastAsia="Times New Roman" w:hAnsi="Helvetica Neue" w:cs="Times New Roman"/>
          <w:i/>
          <w:color w:val="0A0A0A"/>
        </w:rPr>
      </w:pPr>
      <m:oMathPara>
        <m:oMath>
          <m:r>
            <w:rPr>
              <w:rFonts w:ascii="Cambria Math" w:eastAsia="Times New Roman" w:hAnsi="Cambria Math" w:cs="Times New Roman"/>
              <w:color w:val="0A0A0A"/>
            </w:rPr>
            <m:t>LGD = 1 - [ Σ (Cash_t - Cost_t) / (1 + r)^t ] / EAD</m:t>
          </m:r>
        </m:oMath>
      </m:oMathPara>
    </w:p>
    <w:p w:rsidR="00D53EDD" w:rsidRDefault="00D53EDD" w:rsidP="00D53EDD">
      <w:pPr>
        <w:spacing w:before="30" w:after="30" w:line="240" w:lineRule="auto"/>
        <w:rPr>
          <w:rFonts w:ascii="Sylfaen" w:hAnsi="Sylfaen"/>
          <w:lang w:val="hy-AM"/>
        </w:rPr>
      </w:pPr>
      <w:r>
        <w:rPr>
          <w:rFonts w:ascii="Sylfaen" w:hAnsi="Sylfaen"/>
          <w:lang w:val="hy-AM"/>
        </w:rPr>
        <w:t>ո</w:t>
      </w:r>
      <w:r w:rsidR="001A330B">
        <w:rPr>
          <w:rFonts w:ascii="Sylfaen" w:hAnsi="Sylfaen"/>
          <w:lang w:val="hy-AM"/>
        </w:rPr>
        <w:t xml:space="preserve">րտեղ </w:t>
      </w:r>
      <w:r w:rsidR="00A31C2E">
        <w:rPr>
          <w:rFonts w:ascii="Sylfaen" w:hAnsi="Sylfaen"/>
          <w:lang w:val="en-US"/>
        </w:rPr>
        <w:t>Cash</w:t>
      </w:r>
      <w:r w:rsidR="00A31C2E" w:rsidRPr="00A31C2E">
        <w:rPr>
          <w:rFonts w:ascii="Sylfaen" w:hAnsi="Sylfaen"/>
        </w:rPr>
        <w:t>_</w:t>
      </w:r>
      <w:r w:rsidR="00A31C2E">
        <w:rPr>
          <w:rFonts w:ascii="Sylfaen" w:hAnsi="Sylfaen"/>
          <w:lang w:val="en-US"/>
        </w:rPr>
        <w:t>t</w:t>
      </w:r>
      <w:r w:rsidR="001A330B">
        <w:rPr>
          <w:rFonts w:ascii="Sylfaen" w:hAnsi="Sylfaen"/>
          <w:lang w:val="hy-AM"/>
        </w:rPr>
        <w:t>–ն</w:t>
      </w:r>
      <w:r w:rsidR="001A330B" w:rsidRPr="001A330B">
        <w:rPr>
          <w:rFonts w:ascii="Sylfaen" w:hAnsi="Sylfaen"/>
          <w:lang w:val="hy-AM"/>
        </w:rPr>
        <w:t xml:space="preserve"> </w:t>
      </w:r>
      <w:r w:rsidR="00A31C2E" w:rsidRPr="00A31C2E">
        <w:rPr>
          <w:rFonts w:ascii="Sylfaen" w:hAnsi="Sylfaen"/>
          <w:lang w:val="hy-AM"/>
        </w:rPr>
        <w:t>t ժամանակահատվածում վարկառուից ստացված բոլոր կանխիկ մուտքերը կամ գրավի վաճառքը</w:t>
      </w:r>
      <w:r w:rsidR="00A31C2E" w:rsidRPr="00A31C2E">
        <w:rPr>
          <w:rFonts w:ascii="Sylfaen" w:hAnsi="Sylfaen"/>
        </w:rPr>
        <w:t xml:space="preserve">, </w:t>
      </w:r>
      <w:r w:rsidR="00A31C2E">
        <w:rPr>
          <w:rFonts w:ascii="Sylfaen" w:hAnsi="Sylfaen"/>
          <w:lang w:val="en-US"/>
        </w:rPr>
        <w:t>Cost</w:t>
      </w:r>
      <w:r w:rsidR="00A31C2E" w:rsidRPr="00A31C2E">
        <w:rPr>
          <w:rFonts w:ascii="Sylfaen" w:hAnsi="Sylfaen"/>
        </w:rPr>
        <w:t>_</w:t>
      </w:r>
      <w:r w:rsidR="00A31C2E">
        <w:rPr>
          <w:rFonts w:ascii="Sylfaen" w:hAnsi="Sylfaen"/>
          <w:lang w:val="en-US"/>
        </w:rPr>
        <w:t>t</w:t>
      </w:r>
      <w:r w:rsidR="00A31C2E" w:rsidRPr="00A31C2E">
        <w:rPr>
          <w:rFonts w:ascii="Sylfaen" w:hAnsi="Sylfaen"/>
        </w:rPr>
        <w:t>-</w:t>
      </w:r>
      <w:r w:rsidR="00A31C2E">
        <w:rPr>
          <w:rFonts w:ascii="Sylfaen" w:hAnsi="Sylfaen"/>
          <w:lang w:val="hy-AM"/>
        </w:rPr>
        <w:t>ն</w:t>
      </w:r>
      <w:r w:rsidR="00A31C2E" w:rsidRPr="00A31C2E">
        <w:rPr>
          <w:rFonts w:ascii="Sylfaen" w:hAnsi="Sylfaen"/>
        </w:rPr>
        <w:t xml:space="preserve"> </w:t>
      </w:r>
      <w:r w:rsidR="00A31C2E" w:rsidRPr="00A31C2E">
        <w:rPr>
          <w:rFonts w:ascii="Sylfaen" w:hAnsi="Sylfaen"/>
          <w:lang w:val="en-US"/>
        </w:rPr>
        <w:t>t</w:t>
      </w:r>
      <w:r w:rsidR="00A31C2E" w:rsidRPr="00A31C2E">
        <w:rPr>
          <w:rFonts w:ascii="Sylfaen" w:hAnsi="Sylfaen"/>
        </w:rPr>
        <w:t xml:space="preserve"> </w:t>
      </w:r>
      <w:r w:rsidR="00A31C2E" w:rsidRPr="00A31C2E">
        <w:rPr>
          <w:rFonts w:ascii="Sylfaen" w:hAnsi="Sylfaen"/>
          <w:lang w:val="en-US"/>
        </w:rPr>
        <w:t>ժամանակահատվածում</w:t>
      </w:r>
      <w:r w:rsidR="00A31C2E" w:rsidRPr="00A31C2E">
        <w:rPr>
          <w:rFonts w:ascii="Sylfaen" w:hAnsi="Sylfaen"/>
        </w:rPr>
        <w:t xml:space="preserve"> </w:t>
      </w:r>
      <w:r w:rsidR="00A31C2E" w:rsidRPr="00A31C2E">
        <w:rPr>
          <w:rFonts w:ascii="Sylfaen" w:hAnsi="Sylfaen"/>
          <w:lang w:val="en-US"/>
        </w:rPr>
        <w:t>գանձման</w:t>
      </w:r>
      <w:r w:rsidR="00A31C2E" w:rsidRPr="00A31C2E">
        <w:rPr>
          <w:rFonts w:ascii="Sylfaen" w:hAnsi="Sylfaen"/>
        </w:rPr>
        <w:t xml:space="preserve"> </w:t>
      </w:r>
      <w:r w:rsidR="00A31C2E" w:rsidRPr="00A31C2E">
        <w:rPr>
          <w:rFonts w:ascii="Sylfaen" w:hAnsi="Sylfaen"/>
          <w:lang w:val="en-US"/>
        </w:rPr>
        <w:t>ուղղակի</w:t>
      </w:r>
      <w:r w:rsidR="00A31C2E" w:rsidRPr="00A31C2E">
        <w:rPr>
          <w:rFonts w:ascii="Sylfaen" w:hAnsi="Sylfaen"/>
        </w:rPr>
        <w:t xml:space="preserve"> </w:t>
      </w:r>
      <w:r w:rsidR="00A31C2E" w:rsidRPr="00A31C2E">
        <w:rPr>
          <w:rFonts w:ascii="Sylfaen" w:hAnsi="Sylfaen"/>
          <w:lang w:val="en-US"/>
        </w:rPr>
        <w:t>բանկային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իրավաբանական</w:t>
      </w:r>
      <w:r w:rsidR="00A31C2E" w:rsidRPr="00A31C2E">
        <w:rPr>
          <w:rFonts w:ascii="Sylfaen" w:hAnsi="Sylfaen"/>
        </w:rPr>
        <w:t xml:space="preserve"> </w:t>
      </w:r>
      <w:r w:rsidR="00A31C2E" w:rsidRPr="00A31C2E">
        <w:rPr>
          <w:rFonts w:ascii="Sylfaen" w:hAnsi="Sylfaen"/>
          <w:lang w:val="en-US"/>
        </w:rPr>
        <w:t>ծախսեր</w:t>
      </w:r>
      <w:r w:rsidR="00A31C2E" w:rsidRPr="00A31C2E">
        <w:rPr>
          <w:rFonts w:ascii="Sylfaen" w:hAnsi="Sylfaen"/>
        </w:rPr>
        <w:t xml:space="preserve">, </w:t>
      </w:r>
      <w:r w:rsidR="00A31C2E" w:rsidRPr="00A31C2E">
        <w:rPr>
          <w:rFonts w:ascii="Sylfaen" w:hAnsi="Sylfaen"/>
          <w:lang w:val="en-US"/>
        </w:rPr>
        <w:t>գնահատում</w:t>
      </w:r>
      <w:r w:rsidR="00A31C2E" w:rsidRPr="00A31C2E">
        <w:rPr>
          <w:rFonts w:ascii="Sylfaen" w:hAnsi="Sylfaen"/>
        </w:rPr>
        <w:t xml:space="preserve">, </w:t>
      </w:r>
      <w:r w:rsidR="00A31C2E" w:rsidRPr="00A31C2E">
        <w:rPr>
          <w:rFonts w:ascii="Sylfaen" w:hAnsi="Sylfaen"/>
          <w:lang w:val="en-US"/>
        </w:rPr>
        <w:t>գրավի</w:t>
      </w:r>
      <w:r w:rsidR="00A31C2E" w:rsidRPr="00A31C2E">
        <w:rPr>
          <w:rFonts w:ascii="Sylfaen" w:hAnsi="Sylfaen"/>
        </w:rPr>
        <w:t xml:space="preserve"> </w:t>
      </w:r>
      <w:r w:rsidR="00A31C2E" w:rsidRPr="00A31C2E">
        <w:rPr>
          <w:rFonts w:ascii="Sylfaen" w:hAnsi="Sylfaen"/>
          <w:lang w:val="en-US"/>
        </w:rPr>
        <w:t>ապահովագրություն</w:t>
      </w:r>
      <w:r w:rsidR="00A31C2E" w:rsidRPr="00A31C2E">
        <w:rPr>
          <w:rFonts w:ascii="Sylfaen" w:hAnsi="Sylfaen"/>
        </w:rPr>
        <w:t>)</w:t>
      </w:r>
      <w:r w:rsidR="00A31C2E">
        <w:rPr>
          <w:rFonts w:ascii="Sylfaen" w:hAnsi="Sylfaen"/>
          <w:lang w:val="hy-AM"/>
        </w:rPr>
        <w:t xml:space="preserve">, </w:t>
      </w:r>
      <w:r w:rsidR="00A31C2E">
        <w:rPr>
          <w:rFonts w:ascii="Sylfaen" w:hAnsi="Sylfaen"/>
          <w:lang w:val="en-US"/>
        </w:rPr>
        <w:t>r</w:t>
      </w:r>
      <w:r w:rsidR="00A31C2E" w:rsidRPr="00A31C2E">
        <w:rPr>
          <w:rFonts w:ascii="Sylfaen" w:hAnsi="Sylfaen"/>
        </w:rPr>
        <w:t>-</w:t>
      </w:r>
      <w:r w:rsidR="00A31C2E">
        <w:rPr>
          <w:rFonts w:ascii="Sylfaen" w:hAnsi="Sylfaen"/>
          <w:lang w:val="hy-AM"/>
        </w:rPr>
        <w:t xml:space="preserve">ը </w:t>
      </w:r>
      <w:r w:rsidR="00337056" w:rsidRPr="00337056">
        <w:rPr>
          <w:rFonts w:ascii="Sylfaen" w:hAnsi="Sylfaen"/>
          <w:lang w:val="hy-AM"/>
        </w:rPr>
        <w:t>վարկի արդյունավետ տոկոսադրույքը (EIR) չվճարման պահին</w:t>
      </w:r>
      <w:r w:rsidR="00337056">
        <w:rPr>
          <w:rFonts w:ascii="Sylfaen" w:hAnsi="Sylfaen"/>
          <w:lang w:val="hy-AM"/>
        </w:rPr>
        <w:t xml:space="preserve">, </w:t>
      </w:r>
      <w:r w:rsidR="00337056">
        <w:rPr>
          <w:rFonts w:ascii="Sylfaen" w:hAnsi="Sylfaen"/>
          <w:lang w:val="en-US"/>
        </w:rPr>
        <w:t>t</w:t>
      </w:r>
      <w:r w:rsidR="00337056">
        <w:rPr>
          <w:rFonts w:ascii="Sylfaen" w:hAnsi="Sylfaen"/>
          <w:lang w:val="hy-AM"/>
        </w:rPr>
        <w:t>-ն</w:t>
      </w:r>
      <w:r w:rsidR="00337056" w:rsidRPr="00337056">
        <w:rPr>
          <w:rFonts w:ascii="Sylfaen" w:hAnsi="Sylfaen"/>
          <w:lang w:val="hy-AM"/>
        </w:rPr>
        <w:t xml:space="preserve"> ժամանակահատվածը (տարիներով կամ ամիսներով)՝ չվճարման օրվանից մինչև միջոցների ստացման </w:t>
      </w:r>
      <w:r w:rsidR="00337056">
        <w:rPr>
          <w:rFonts w:ascii="Sylfaen" w:hAnsi="Sylfaen"/>
          <w:lang w:val="hy-AM"/>
        </w:rPr>
        <w:t>օրը</w:t>
      </w:r>
      <w:r w:rsidR="001A330B" w:rsidRPr="001A330B">
        <w:rPr>
          <w:rFonts w:ascii="Sylfaen" w:hAnsi="Sylfaen"/>
          <w:lang w:val="hy-AM"/>
        </w:rPr>
        <w:t>։</w:t>
      </w:r>
    </w:p>
    <w:p w:rsidR="00D53EDD" w:rsidRPr="00D53EDD" w:rsidRDefault="00D53EDD" w:rsidP="00D53EDD">
      <w:pPr>
        <w:spacing w:before="30" w:after="30" w:line="240" w:lineRule="auto"/>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Արդյունքում կարող ենք արտածել ECL գործակցի բանաձևը</w:t>
      </w:r>
      <w:r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Pr="00497A81"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Սպասվող վարկային կորուստների (Expected Credit Loss, ECL) հաշվարկը ժամանակակից բանկային և ֆինանսական համակարգերում իրականացվում է տվյալահեն մոտեցմամբ, որտեղ կիրառվում են վարկային ռիսկի հիմնական բաղադրիչները՝ PD, LGD և EAD։ </w:t>
      </w:r>
      <w:r w:rsidRPr="005C3C63">
        <w:rPr>
          <w:rStyle w:val="whitespace-normal"/>
          <w:rFonts w:ascii="Sylfaen" w:hAnsi="Sylfaen"/>
          <w:lang w:val="hy-AM"/>
        </w:rPr>
        <w:t>Microsoft Azure</w:t>
      </w:r>
      <w:r w:rsidRPr="005C3C63">
        <w:rPr>
          <w:rFonts w:ascii="Sylfaen" w:hAnsi="Sylfaen"/>
          <w:lang w:val="hy-AM"/>
        </w:rPr>
        <w:t xml:space="preserve"> ամպային միջավայրը հնարավորություն է տալիս կառուցել ամբողջական ավտոմատացված գործընթաց՝ սկսած տվյալների հավաքագրումից մինչև վերջնական ECL-ի հաշվարկ և հաշվետվություն։ ECL-</w:t>
      </w:r>
      <w:r>
        <w:rPr>
          <w:rFonts w:ascii="Sylfaen" w:hAnsi="Sylfaen"/>
          <w:lang w:val="hy-AM"/>
        </w:rPr>
        <w:t xml:space="preserve">ի հաշվման ալգորիթմը </w:t>
      </w:r>
      <w:r w:rsidRPr="005C3C63">
        <w:rPr>
          <w:rFonts w:ascii="Sylfaen" w:hAnsi="Sylfaen"/>
          <w:lang w:val="hy-AM"/>
        </w:rPr>
        <w:t xml:space="preserve">հիմնված </w:t>
      </w:r>
      <w:r>
        <w:rPr>
          <w:rFonts w:ascii="Sylfaen" w:hAnsi="Sylfaen"/>
          <w:lang w:val="hy-AM"/>
        </w:rPr>
        <w:t xml:space="preserve">է </w:t>
      </w:r>
      <w:r w:rsidR="00713F19">
        <w:rPr>
          <w:rFonts w:ascii="Sylfaen" w:hAnsi="Sylfaen"/>
          <w:lang w:val="hy-AM"/>
        </w:rPr>
        <w:t>գծագիր 2-ի</w:t>
      </w:r>
      <w:r>
        <w:rPr>
          <w:rFonts w:ascii="Sylfaen" w:hAnsi="Sylfaen"/>
          <w:lang w:val="hy-AM"/>
        </w:rPr>
        <w:t xml:space="preserve"> քալերի վրա՝</w:t>
      </w:r>
    </w:p>
    <w:p w:rsidR="00713F19" w:rsidRDefault="00713F19" w:rsidP="005C3C63">
      <w:pPr>
        <w:pStyle w:val="NormalWeb"/>
        <w:spacing w:before="30" w:beforeAutospacing="0" w:after="30" w:afterAutospacing="0"/>
        <w:ind w:firstLine="426"/>
        <w:jc w:val="both"/>
        <w:rPr>
          <w:rFonts w:ascii="Sylfaen" w:hAnsi="Sylfaen"/>
          <w:lang w:val="hy-AM"/>
        </w:rPr>
      </w:pPr>
      <w:r>
        <w:rPr>
          <w:rFonts w:ascii="Sylfaen" w:hAnsi="Sylfaen"/>
          <w:lang w:val="hy-AM"/>
        </w:rPr>
        <w:t>Գ</w:t>
      </w:r>
      <w:r>
        <w:rPr>
          <w:rFonts w:ascii="Sylfaen" w:hAnsi="Sylfaen"/>
          <w:lang w:val="hy-AM"/>
        </w:rPr>
        <w:t>ծագիր 2</w:t>
      </w:r>
    </w:p>
    <w:p w:rsidR="00713F19" w:rsidRPr="00713F19" w:rsidRDefault="00713F19" w:rsidP="00E56028">
      <w:pPr>
        <w:spacing w:after="0" w:line="240" w:lineRule="auto"/>
        <w:jc w:val="center"/>
        <w:rPr>
          <w:rFonts w:ascii="Times New Roman" w:eastAsia="Times New Roman" w:hAnsi="Times New Roman" w:cs="Times New Roman"/>
          <w:sz w:val="24"/>
          <w:szCs w:val="24"/>
          <w:lang w:eastAsia="ru-RU"/>
        </w:rPr>
      </w:pPr>
      <w:bookmarkStart w:id="0" w:name="_GoBack"/>
      <w:r w:rsidRPr="00713F19">
        <w:rPr>
          <w:rFonts w:ascii="Sylfaen" w:eastAsia="Times New Roman" w:hAnsi="Sylfaen" w:cs="Times New Roman"/>
          <w:noProof/>
          <w:sz w:val="24"/>
          <w:szCs w:val="24"/>
          <w:lang w:eastAsia="ru-RU"/>
        </w:rPr>
        <w:drawing>
          <wp:inline distT="0" distB="0" distL="0" distR="0">
            <wp:extent cx="1304644" cy="3893888"/>
            <wp:effectExtent l="0" t="0" r="0" b="0"/>
            <wp:docPr id="2" name="Picture 2" descr="C:\Users\user\AppData\Local\Microsoft\Windows\INetCache\Content.MSO\7AD633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MSO\7AD633EC.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04644" cy="3893888"/>
                    </a:xfrm>
                    <a:prstGeom prst="rect">
                      <a:avLst/>
                    </a:prstGeom>
                    <a:noFill/>
                    <a:ln>
                      <a:noFill/>
                    </a:ln>
                  </pic:spPr>
                </pic:pic>
              </a:graphicData>
            </a:graphic>
          </wp:inline>
        </w:drawing>
      </w:r>
      <w:bookmarkEnd w:id="0"/>
    </w:p>
    <w:p w:rsidR="005C3C63" w:rsidRPr="005C3C63" w:rsidRDefault="005C3C63" w:rsidP="005C3C63">
      <w:pPr>
        <w:pStyle w:val="NormalWeb"/>
        <w:spacing w:before="30" w:beforeAutospacing="0" w:after="30" w:afterAutospacing="0"/>
        <w:ind w:firstLine="426"/>
        <w:jc w:val="both"/>
        <w:rPr>
          <w:rFonts w:ascii="Sylfaen" w:hAnsi="Sylfaen"/>
          <w:lang w:val="hy-AM"/>
        </w:rPr>
      </w:pPr>
      <w:r w:rsidRPr="005C3C63">
        <w:rPr>
          <w:rFonts w:ascii="Sylfaen" w:hAnsi="Sylfaen"/>
          <w:lang w:val="hy-AM"/>
        </w:rPr>
        <w:t xml:space="preserve">Առաջին փուլը staging-ն է։ </w:t>
      </w:r>
      <w:r w:rsidR="008112E4">
        <w:rPr>
          <w:rFonts w:ascii="Sylfaen" w:hAnsi="Sylfaen"/>
          <w:lang w:val="hy-AM"/>
        </w:rPr>
        <w:t>ՖՀՄՍ</w:t>
      </w:r>
      <w:r w:rsidRPr="005C3C63">
        <w:rPr>
          <w:rFonts w:ascii="Sylfaen" w:hAnsi="Sylfaen"/>
          <w:lang w:val="hy-AM"/>
        </w:rPr>
        <w:t xml:space="preserve"> 9 մոտեցման շրջանակում վարկերը դասակարգվում են տարբեր փուլերի՝ կախված վարկային ռիսկի փոփոխությունից։ Առաջին փուլում ընդգրկվում են այն ակտիվները, որոնց ռիսկը էականորեն չի աճել սկզբնական ճանաչումից հետո։ Երկրորդ փուլում ներառվում են այն ակտիվները, որոնց դեպքում գրանցվել է էական աճ վարկային ռիսկում։ Երրորդ փուլում ընդգրկվում են դեֆոլտային ակտիվները։ Azure միջավայրում staging-ի իրականացումը կարող է կատարվել տվյալների մշակման հարթակների միջոցով՝ օրինակ տվյալների պահոցում (Data Lake) պահպանված պատմական տվյալների հիման վրա, կիրառելով բիզնես կանոններ կամ մեքենայական ուսուցման մոդելներ։ Այս փուլում որոշվում է, թե յուրաքանչյուր վարկի համար պետք է կիրառվի 12-ամսյա, թե ամբողջ կյանքի հորիզոնով ECL հաշվարկ։</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Հաջորդ</w:t>
      </w:r>
      <w:r w:rsidRPr="005C3C63">
        <w:rPr>
          <w:rFonts w:ascii="Sylfaen" w:hAnsi="Sylfaen"/>
          <w:lang w:val="en-US"/>
        </w:rPr>
        <w:t xml:space="preserve"> </w:t>
      </w:r>
      <w:r w:rsidRPr="005C3C63">
        <w:rPr>
          <w:rFonts w:ascii="Sylfaen" w:hAnsi="Sylfaen"/>
        </w:rPr>
        <w:t>կարևոր</w:t>
      </w:r>
      <w:r w:rsidRPr="005C3C63">
        <w:rPr>
          <w:rFonts w:ascii="Sylfaen" w:hAnsi="Sylfaen"/>
          <w:lang w:val="en-US"/>
        </w:rPr>
        <w:t xml:space="preserve"> </w:t>
      </w:r>
      <w:r w:rsidRPr="005C3C63">
        <w:rPr>
          <w:rFonts w:ascii="Sylfaen" w:hAnsi="Sylfaen"/>
        </w:rPr>
        <w:t>քայլը</w:t>
      </w:r>
      <w:r w:rsidRPr="005C3C63">
        <w:rPr>
          <w:rFonts w:ascii="Sylfaen" w:hAnsi="Sylfaen"/>
          <w:lang w:val="en-US"/>
        </w:rPr>
        <w:t xml:space="preserve"> CCF-</w:t>
      </w:r>
      <w:r w:rsidRPr="005C3C63">
        <w:rPr>
          <w:rFonts w:ascii="Sylfaen" w:hAnsi="Sylfaen"/>
        </w:rPr>
        <w:t>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Credit Conversion Factor</w:t>
      </w:r>
      <w:r w:rsidRPr="005C3C63">
        <w:rPr>
          <w:rFonts w:ascii="Sylfaen" w:hAnsi="Sylfaen"/>
        </w:rPr>
        <w:t>։</w:t>
      </w:r>
      <w:r w:rsidRPr="005C3C63">
        <w:rPr>
          <w:rFonts w:ascii="Sylfaen" w:hAnsi="Sylfaen"/>
          <w:lang w:val="en-US"/>
        </w:rPr>
        <w:t xml:space="preserve"> </w:t>
      </w:r>
      <w:r w:rsidRPr="005C3C63">
        <w:rPr>
          <w:rFonts w:ascii="Sylfaen" w:hAnsi="Sylfaen"/>
        </w:rPr>
        <w:t>Այն</w:t>
      </w:r>
      <w:r w:rsidRPr="005C3C63">
        <w:rPr>
          <w:rFonts w:ascii="Sylfaen" w:hAnsi="Sylfaen"/>
          <w:lang w:val="en-US"/>
        </w:rPr>
        <w:t xml:space="preserve"> </w:t>
      </w:r>
      <w:r w:rsidRPr="005C3C63">
        <w:rPr>
          <w:rFonts w:ascii="Sylfaen" w:hAnsi="Sylfaen"/>
        </w:rPr>
        <w:t>կիրառվում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հատկապես</w:t>
      </w:r>
      <w:r w:rsidRPr="005C3C63">
        <w:rPr>
          <w:rFonts w:ascii="Sylfaen" w:hAnsi="Sylfaen"/>
          <w:lang w:val="en-US"/>
        </w:rPr>
        <w:t xml:space="preserve"> </w:t>
      </w:r>
      <w:r w:rsidRPr="005C3C63">
        <w:rPr>
          <w:rFonts w:ascii="Sylfaen" w:hAnsi="Sylfaen"/>
        </w:rPr>
        <w:t>օֆ</w:t>
      </w:r>
      <w:r w:rsidRPr="005C3C63">
        <w:rPr>
          <w:rFonts w:ascii="Sylfaen" w:hAnsi="Sylfaen"/>
          <w:lang w:val="en-US"/>
        </w:rPr>
        <w:t>-</w:t>
      </w:r>
      <w:r w:rsidRPr="005C3C63">
        <w:rPr>
          <w:rFonts w:ascii="Sylfaen" w:hAnsi="Sylfaen"/>
        </w:rPr>
        <w:t>բալանսային</w:t>
      </w:r>
      <w:r w:rsidRPr="005C3C63">
        <w:rPr>
          <w:rFonts w:ascii="Sylfaen" w:hAnsi="Sylfaen"/>
          <w:lang w:val="en-US"/>
        </w:rPr>
        <w:t xml:space="preserve"> </w:t>
      </w:r>
      <w:r w:rsidRPr="005C3C63">
        <w:rPr>
          <w:rFonts w:ascii="Sylfaen" w:hAnsi="Sylfaen"/>
        </w:rPr>
        <w:t>պարտավորությունների</w:t>
      </w:r>
      <w:r w:rsidRPr="005C3C63">
        <w:rPr>
          <w:rFonts w:ascii="Sylfaen" w:hAnsi="Sylfaen"/>
          <w:lang w:val="en-US"/>
        </w:rPr>
        <w:t xml:space="preserve"> </w:t>
      </w:r>
      <w:r w:rsidRPr="005C3C63">
        <w:rPr>
          <w:rFonts w:ascii="Sylfaen" w:hAnsi="Sylfaen"/>
        </w:rPr>
        <w:t>դեպքում՝</w:t>
      </w:r>
      <w:r w:rsidRPr="005C3C63">
        <w:rPr>
          <w:rFonts w:ascii="Sylfaen" w:hAnsi="Sylfaen"/>
          <w:lang w:val="en-US"/>
        </w:rPr>
        <w:t xml:space="preserve"> </w:t>
      </w:r>
      <w:r w:rsidRPr="005C3C63">
        <w:rPr>
          <w:rFonts w:ascii="Sylfaen" w:hAnsi="Sylfaen"/>
        </w:rPr>
        <w:t>օրինակ</w:t>
      </w:r>
      <w:r w:rsidRPr="005C3C63">
        <w:rPr>
          <w:rFonts w:ascii="Sylfaen" w:hAnsi="Sylfaen"/>
          <w:lang w:val="en-US"/>
        </w:rPr>
        <w:t xml:space="preserve"> </w:t>
      </w:r>
      <w:r w:rsidRPr="005C3C63">
        <w:rPr>
          <w:rFonts w:ascii="Sylfaen" w:hAnsi="Sylfaen"/>
        </w:rPr>
        <w:t>վարկային</w:t>
      </w:r>
      <w:r w:rsidRPr="005C3C63">
        <w:rPr>
          <w:rFonts w:ascii="Sylfaen" w:hAnsi="Sylfaen"/>
          <w:lang w:val="en-US"/>
        </w:rPr>
        <w:t xml:space="preserve"> </w:t>
      </w:r>
      <w:r w:rsidRPr="005C3C63">
        <w:rPr>
          <w:rFonts w:ascii="Sylfaen" w:hAnsi="Sylfaen"/>
        </w:rPr>
        <w:t>գծերի</w:t>
      </w:r>
      <w:r w:rsidRPr="005C3C63">
        <w:rPr>
          <w:rFonts w:ascii="Sylfaen" w:hAnsi="Sylfaen"/>
          <w:lang w:val="en-US"/>
        </w:rPr>
        <w:t xml:space="preserve"> </w:t>
      </w:r>
      <w:r w:rsidRPr="005C3C63">
        <w:rPr>
          <w:rFonts w:ascii="Sylfaen" w:hAnsi="Sylfaen"/>
        </w:rPr>
        <w:t>կամ</w:t>
      </w:r>
      <w:r w:rsidRPr="005C3C63">
        <w:rPr>
          <w:rFonts w:ascii="Sylfaen" w:hAnsi="Sylfaen"/>
          <w:lang w:val="en-US"/>
        </w:rPr>
        <w:t xml:space="preserve"> </w:t>
      </w:r>
      <w:r w:rsidRPr="005C3C63">
        <w:rPr>
          <w:rFonts w:ascii="Sylfaen" w:hAnsi="Sylfaen"/>
        </w:rPr>
        <w:lastRenderedPageBreak/>
        <w:t>երաշխիքների</w:t>
      </w:r>
      <w:r w:rsidRPr="005C3C63">
        <w:rPr>
          <w:rFonts w:ascii="Sylfaen" w:hAnsi="Sylfaen"/>
          <w:lang w:val="en-US"/>
        </w:rPr>
        <w:t xml:space="preserve"> </w:t>
      </w:r>
      <w:r w:rsidRPr="005C3C63">
        <w:rPr>
          <w:rFonts w:ascii="Sylfaen" w:hAnsi="Sylfaen"/>
        </w:rPr>
        <w:t>համար։</w:t>
      </w:r>
      <w:r w:rsidRPr="005C3C63">
        <w:rPr>
          <w:rFonts w:ascii="Sylfaen" w:hAnsi="Sylfaen"/>
          <w:lang w:val="en-US"/>
        </w:rPr>
        <w:t xml:space="preserve"> CCF-</w:t>
      </w:r>
      <w:r w:rsidRPr="005C3C63">
        <w:rPr>
          <w:rFonts w:ascii="Sylfaen" w:hAnsi="Sylfaen"/>
        </w:rPr>
        <w:t>ն</w:t>
      </w:r>
      <w:r w:rsidRPr="005C3C63">
        <w:rPr>
          <w:rFonts w:ascii="Sylfaen" w:hAnsi="Sylfaen"/>
          <w:lang w:val="en-US"/>
        </w:rPr>
        <w:t xml:space="preserve"> </w:t>
      </w:r>
      <w:r w:rsidRPr="005C3C63">
        <w:rPr>
          <w:rFonts w:ascii="Sylfaen" w:hAnsi="Sylfaen"/>
        </w:rPr>
        <w:t>գնահատում</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թե</w:t>
      </w:r>
      <w:r w:rsidRPr="005C3C63">
        <w:rPr>
          <w:rFonts w:ascii="Sylfaen" w:hAnsi="Sylfaen"/>
          <w:lang w:val="en-US"/>
        </w:rPr>
        <w:t xml:space="preserve"> </w:t>
      </w:r>
      <w:r w:rsidRPr="005C3C63">
        <w:rPr>
          <w:rFonts w:ascii="Sylfaen" w:hAnsi="Sylfaen"/>
        </w:rPr>
        <w:t>չօգտագործված</w:t>
      </w:r>
      <w:r w:rsidRPr="005C3C63">
        <w:rPr>
          <w:rFonts w:ascii="Sylfaen" w:hAnsi="Sylfaen"/>
          <w:lang w:val="en-US"/>
        </w:rPr>
        <w:t xml:space="preserve"> </w:t>
      </w:r>
      <w:r w:rsidRPr="005C3C63">
        <w:rPr>
          <w:rFonts w:ascii="Sylfaen" w:hAnsi="Sylfaen"/>
        </w:rPr>
        <w:t>լիմիտի</w:t>
      </w:r>
      <w:r w:rsidRPr="005C3C63">
        <w:rPr>
          <w:rFonts w:ascii="Sylfaen" w:hAnsi="Sylfaen"/>
          <w:lang w:val="en-US"/>
        </w:rPr>
        <w:t xml:space="preserve"> </w:t>
      </w:r>
      <w:r w:rsidRPr="005C3C63">
        <w:rPr>
          <w:rFonts w:ascii="Sylfaen" w:hAnsi="Sylfaen"/>
        </w:rPr>
        <w:t>ինչ</w:t>
      </w:r>
      <w:r w:rsidRPr="005C3C63">
        <w:rPr>
          <w:rFonts w:ascii="Sylfaen" w:hAnsi="Sylfaen"/>
          <w:lang w:val="en-US"/>
        </w:rPr>
        <w:t xml:space="preserve"> </w:t>
      </w:r>
      <w:r w:rsidRPr="005C3C63">
        <w:rPr>
          <w:rFonts w:ascii="Sylfaen" w:hAnsi="Sylfaen"/>
        </w:rPr>
        <w:t>մասն</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հավանական</w:t>
      </w:r>
      <w:r w:rsidRPr="005C3C63">
        <w:rPr>
          <w:rFonts w:ascii="Sylfaen" w:hAnsi="Sylfaen"/>
          <w:lang w:val="en-US"/>
        </w:rPr>
        <w:t xml:space="preserve">, </w:t>
      </w:r>
      <w:r w:rsidRPr="005C3C63">
        <w:rPr>
          <w:rFonts w:ascii="Sylfaen" w:hAnsi="Sylfaen"/>
        </w:rPr>
        <w:t>որ</w:t>
      </w:r>
      <w:r w:rsidRPr="005C3C63">
        <w:rPr>
          <w:rFonts w:ascii="Sylfaen" w:hAnsi="Sylfaen"/>
          <w:lang w:val="en-US"/>
        </w:rPr>
        <w:t xml:space="preserve"> </w:t>
      </w:r>
      <w:r w:rsidRPr="005C3C63">
        <w:rPr>
          <w:rFonts w:ascii="Sylfaen" w:hAnsi="Sylfaen"/>
        </w:rPr>
        <w:t>կօգտագործվի</w:t>
      </w:r>
      <w:r w:rsidRPr="005C3C63">
        <w:rPr>
          <w:rFonts w:ascii="Sylfaen" w:hAnsi="Sylfaen"/>
          <w:lang w:val="en-US"/>
        </w:rPr>
        <w:t xml:space="preserve"> </w:t>
      </w:r>
      <w:r w:rsidRPr="005C3C63">
        <w:rPr>
          <w:rFonts w:ascii="Sylfaen" w:hAnsi="Sylfaen"/>
        </w:rPr>
        <w:t>մինչև</w:t>
      </w:r>
      <w:r w:rsidRPr="005C3C63">
        <w:rPr>
          <w:rFonts w:ascii="Sylfaen" w:hAnsi="Sylfaen"/>
          <w:lang w:val="en-US"/>
        </w:rPr>
        <w:t xml:space="preserve"> </w:t>
      </w:r>
      <w:r w:rsidRPr="005C3C63">
        <w:rPr>
          <w:rFonts w:ascii="Sylfaen" w:hAnsi="Sylfaen"/>
        </w:rPr>
        <w:t>դեֆոլտի</w:t>
      </w:r>
      <w:r w:rsidRPr="005C3C63">
        <w:rPr>
          <w:rFonts w:ascii="Sylfaen" w:hAnsi="Sylfaen"/>
          <w:lang w:val="en-US"/>
        </w:rPr>
        <w:t xml:space="preserve"> </w:t>
      </w:r>
      <w:r w:rsidRPr="005C3C63">
        <w:rPr>
          <w:rFonts w:ascii="Sylfaen" w:hAnsi="Sylfaen"/>
        </w:rPr>
        <w:t>պահը։</w:t>
      </w:r>
      <w:r w:rsidRPr="005C3C63">
        <w:rPr>
          <w:rFonts w:ascii="Sylfaen" w:hAnsi="Sylfaen"/>
          <w:lang w:val="en-US"/>
        </w:rPr>
        <w:t xml:space="preserve"> Azure-</w:t>
      </w:r>
      <w:r w:rsidRPr="005C3C63">
        <w:rPr>
          <w:rFonts w:ascii="Sylfaen" w:hAnsi="Sylfaen"/>
        </w:rPr>
        <w:t>ում</w:t>
      </w:r>
      <w:r w:rsidRPr="005C3C63">
        <w:rPr>
          <w:rFonts w:ascii="Sylfaen" w:hAnsi="Sylfaen"/>
          <w:lang w:val="en-US"/>
        </w:rPr>
        <w:t xml:space="preserve"> </w:t>
      </w:r>
      <w:r w:rsidRPr="005C3C63">
        <w:rPr>
          <w:rFonts w:ascii="Sylfaen" w:hAnsi="Sylfaen"/>
        </w:rPr>
        <w:t>այս</w:t>
      </w:r>
      <w:r w:rsidRPr="005C3C63">
        <w:rPr>
          <w:rFonts w:ascii="Sylfaen" w:hAnsi="Sylfaen"/>
          <w:lang w:val="en-US"/>
        </w:rPr>
        <w:t xml:space="preserve"> </w:t>
      </w:r>
      <w:r w:rsidRPr="005C3C63">
        <w:rPr>
          <w:rFonts w:ascii="Sylfaen" w:hAnsi="Sylfaen"/>
        </w:rPr>
        <w:t>գործակիցը</w:t>
      </w:r>
      <w:r w:rsidRPr="005C3C63">
        <w:rPr>
          <w:rFonts w:ascii="Sylfaen" w:hAnsi="Sylfaen"/>
          <w:lang w:val="en-US"/>
        </w:rPr>
        <w:t xml:space="preserve"> </w:t>
      </w:r>
      <w:r w:rsidRPr="005C3C63">
        <w:rPr>
          <w:rFonts w:ascii="Sylfaen" w:hAnsi="Sylfaen"/>
        </w:rPr>
        <w:t>կարող</w:t>
      </w:r>
      <w:r w:rsidRPr="005C3C63">
        <w:rPr>
          <w:rFonts w:ascii="Sylfaen" w:hAnsi="Sylfaen"/>
          <w:lang w:val="en-US"/>
        </w:rPr>
        <w:t xml:space="preserve"> </w:t>
      </w:r>
      <w:r w:rsidRPr="005C3C63">
        <w:rPr>
          <w:rFonts w:ascii="Sylfaen" w:hAnsi="Sylfaen"/>
        </w:rPr>
        <w:t>է</w:t>
      </w:r>
      <w:r w:rsidRPr="005C3C63">
        <w:rPr>
          <w:rFonts w:ascii="Sylfaen" w:hAnsi="Sylfaen"/>
          <w:lang w:val="en-US"/>
        </w:rPr>
        <w:t xml:space="preserve"> </w:t>
      </w:r>
      <w:r w:rsidRPr="005C3C63">
        <w:rPr>
          <w:rFonts w:ascii="Sylfaen" w:hAnsi="Sylfaen"/>
        </w:rPr>
        <w:t>հաշվարկվել</w:t>
      </w:r>
      <w:r w:rsidRPr="005C3C63">
        <w:rPr>
          <w:rFonts w:ascii="Sylfaen" w:hAnsi="Sylfaen"/>
          <w:lang w:val="en-US"/>
        </w:rPr>
        <w:t xml:space="preserve"> </w:t>
      </w:r>
      <w:r w:rsidRPr="005C3C63">
        <w:rPr>
          <w:rFonts w:ascii="Sylfaen" w:hAnsi="Sylfaen"/>
        </w:rPr>
        <w:t>պատմական</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հիման</w:t>
      </w:r>
      <w:r w:rsidRPr="005C3C63">
        <w:rPr>
          <w:rFonts w:ascii="Sylfaen" w:hAnsi="Sylfaen"/>
          <w:lang w:val="en-US"/>
        </w:rPr>
        <w:t xml:space="preserve"> </w:t>
      </w:r>
      <w:r w:rsidRPr="005C3C63">
        <w:rPr>
          <w:rFonts w:ascii="Sylfaen" w:hAnsi="Sylfaen"/>
        </w:rPr>
        <w:t>վրա՝</w:t>
      </w:r>
      <w:r w:rsidRPr="005C3C63">
        <w:rPr>
          <w:rFonts w:ascii="Sylfaen" w:hAnsi="Sylfaen"/>
          <w:lang w:val="en-US"/>
        </w:rPr>
        <w:t xml:space="preserve"> </w:t>
      </w:r>
      <w:r w:rsidRPr="005C3C63">
        <w:rPr>
          <w:rFonts w:ascii="Sylfaen" w:hAnsi="Sylfaen"/>
        </w:rPr>
        <w:t>օգտագործելով</w:t>
      </w:r>
      <w:r w:rsidRPr="005C3C63">
        <w:rPr>
          <w:rFonts w:ascii="Sylfaen" w:hAnsi="Sylfaen"/>
          <w:lang w:val="en-US"/>
        </w:rPr>
        <w:t xml:space="preserve"> </w:t>
      </w:r>
      <w:r w:rsidRPr="005C3C63">
        <w:rPr>
          <w:rFonts w:ascii="Sylfaen" w:hAnsi="Sylfaen"/>
        </w:rPr>
        <w:t>տվյալների</w:t>
      </w:r>
      <w:r w:rsidRPr="005C3C63">
        <w:rPr>
          <w:rFonts w:ascii="Sylfaen" w:hAnsi="Sylfaen"/>
          <w:lang w:val="en-US"/>
        </w:rPr>
        <w:t xml:space="preserve"> </w:t>
      </w:r>
      <w:r w:rsidRPr="005C3C63">
        <w:rPr>
          <w:rFonts w:ascii="Sylfaen" w:hAnsi="Sylfaen"/>
        </w:rPr>
        <w:t>վերլուծական</w:t>
      </w:r>
      <w:r w:rsidRPr="005C3C63">
        <w:rPr>
          <w:rFonts w:ascii="Sylfaen" w:hAnsi="Sylfaen"/>
          <w:lang w:val="en-US"/>
        </w:rPr>
        <w:t xml:space="preserve"> </w:t>
      </w:r>
      <w:r w:rsidRPr="005C3C63">
        <w:rPr>
          <w:rFonts w:ascii="Sylfaen" w:hAnsi="Sylfaen"/>
        </w:rPr>
        <w:t>ծառայություններ</w:t>
      </w:r>
      <w:r w:rsidRPr="005C3C63">
        <w:rPr>
          <w:rFonts w:ascii="Sylfaen" w:hAnsi="Sylfaen"/>
          <w:lang w:val="en-US"/>
        </w:rPr>
        <w:t xml:space="preserve"> </w:t>
      </w:r>
      <w:r w:rsidRPr="005C3C63">
        <w:rPr>
          <w:rFonts w:ascii="Sylfaen" w:hAnsi="Sylfaen"/>
        </w:rPr>
        <w:t>և</w:t>
      </w:r>
      <w:r w:rsidRPr="005C3C63">
        <w:rPr>
          <w:rFonts w:ascii="Sylfaen" w:hAnsi="Sylfaen"/>
          <w:lang w:val="en-US"/>
        </w:rPr>
        <w:t xml:space="preserve"> </w:t>
      </w:r>
      <w:r w:rsidRPr="005C3C63">
        <w:rPr>
          <w:rFonts w:ascii="Sylfaen" w:hAnsi="Sylfaen"/>
        </w:rPr>
        <w:t>վարքագծային</w:t>
      </w:r>
      <w:r w:rsidRPr="005C3C63">
        <w:rPr>
          <w:rFonts w:ascii="Sylfaen" w:hAnsi="Sylfaen"/>
          <w:lang w:val="en-US"/>
        </w:rPr>
        <w:t xml:space="preserve"> </w:t>
      </w:r>
      <w:r w:rsidRPr="005C3C63">
        <w:rPr>
          <w:rFonts w:ascii="Sylfaen" w:hAnsi="Sylfaen"/>
        </w:rPr>
        <w:t>մոդելներ։</w:t>
      </w:r>
      <w:r w:rsidRPr="005C3C63">
        <w:rPr>
          <w:rFonts w:ascii="Sylfaen" w:hAnsi="Sylfaen"/>
          <w:lang w:val="en-US"/>
        </w:rPr>
        <w:t xml:space="preserve"> </w:t>
      </w:r>
      <w:r w:rsidRPr="005C3C63">
        <w:rPr>
          <w:rFonts w:ascii="Sylfaen" w:hAnsi="Sylfaen"/>
        </w:rPr>
        <w:t>Ստացված արդյունքը օգտագործվում է հետագայում EAD-ի հաշվարկում։</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MPD-ն՝ Marginal Probability of Default, ներկայացնում է յուրաքանչյուր ժամանակային միջակայքի համար դեֆոլտի սահմանային հավանականությունը։ Եթե կիրառվում է ամբողջ կյանքի հորիզոնով գնահատում, ապա անհրաժեշտ է կառուցել ժամանակային պրոֆիլ, որը ցույց է տալիս, թե յուրաքանչյուր տարվա կամ եռամսյակի ընթացքում ինչ հավանականությամբ կարող է տեղի ունենալ դեֆոլտ։ Azure Machine Learning ծառայության միջոցով հնարավոր է կառուցել ժամանակային շարքերի կամ դասակարգման մոդելներ, որոնք գնահատում են այս սահմանային հավանականությունները՝ հիմնվելով պատմական վարքագծի վրա։</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MPD-ների ագրեգացման արդյունքում ձևավորվում է PD-ն տվյալ ժամանակային հորիզոնի համար։ PD-ն կարող է հաշվարկվել որպես 12-ամսյա կամ lifetime ցուցանիշ՝ կախված staging-ի արդյունքից։ Azure-ում PD-ի մոդելավորումը հաճախ իրականացվում է լոգիստիկ ռեգրեսիայի, որոշման ծառերի կամ այլ ալգորիթմների միջոցով։ Մոդելները ուսուցանվում են պատմական տվյալների վրա, իսկ արդյունքները պահպանվում են տվյալների բազաներում՝ հետագա օգտագործման համար։</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EAD-ի հաշվարկը հաջորդ քայլն է։ Այն ներառում է հաշվեկշռային մնացորդը և, անհրաժեշտության դեպքում, չօգտագործված լիմիտի այն մասը, որը գնահատվել է CCF-ի միջոցով։ Azure-ում EAD-ի հաշվարկը կարող է իրականացվել տվյալների ինտեգրման և հաշվարկային pipeline-ների միջոցով, որտեղ միավորվում են վարկի մնացորդային տվյալները և վարքագծային գործակիցները։ Այս փուլում ձևավորվում է դեֆոլտի պահին ակնկալվող ընդհանուր ռիսկային ազդեցությունը։</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LGD-ի գնահատման համար հաճախ կիրառվում են երկու մոտեցումներ՝ LGD-Stat և LGD-Econ։ LGD-Stat-ը հիմնված է պատմական վիճակագրական տվյալների վրա և արտացոլում է նախորդ դեֆոլտային դեպքերի միջին վերականգնման մակարդակները։ Azure-ի վերլուծական գործիքներով հնարավոր է մշակել պատմական վերականգնման տվյալները և ստանալ միջին կամ սեգմենտացված LGD արժեքներ։ LGD-Econ-ը ներառում է մակրոտնտեսական գործոնների ազդեցությունը՝ օրինակ ՀՆԱ-ի աճ, գործազրկություն, անշարժ գույքի գների ինդեքսներ։ Azure-ում կարելի է ինտեգրել արտաքին մակրոտնտեսական տվյալներ և կառուցել սցենարային մոդելներ, որոնք կկարգավորեն LGD-ն տնտեսական կանխատեսումների հիման վրա։ Այսպիսով ստացվում է առաջադեմ, forward-looking LGD գնահատում։</w:t>
      </w:r>
    </w:p>
    <w:p w:rsidR="005C3C63" w:rsidRPr="005C3C63" w:rsidRDefault="005C3C63" w:rsidP="005C3C63">
      <w:pPr>
        <w:pStyle w:val="NormalWeb"/>
        <w:spacing w:before="30" w:beforeAutospacing="0" w:after="30" w:afterAutospacing="0"/>
        <w:ind w:firstLine="426"/>
        <w:jc w:val="both"/>
        <w:rPr>
          <w:rFonts w:ascii="Sylfaen" w:hAnsi="Sylfaen"/>
        </w:rPr>
      </w:pPr>
      <w:r w:rsidRPr="005C3C63">
        <w:rPr>
          <w:rFonts w:ascii="Sylfaen" w:hAnsi="Sylfaen"/>
        </w:rPr>
        <w:t>Վերջնական փուլում հաշվարկվում է ECL-ը։ Այս ցուցանիշը միավորում է PD, LGD և EAD բաղադրիչները և արտացոլում է սպասվող վարկային կորուստը տվյալ ակտիվի համար։ Եթե ակտիվը գտնվում է առաջին փուլում, հաշվարկվում է 12-ամսյա ECL, իսկ երկրորդ և երրորդ փուլերում՝ ամբողջ կյանքի հորիզոնով ECL։ Azure-ում այս հաշվարկը կարող է իրականացվել ավտոմատացված հաշվարկային միջավայրում՝ օգտագործելով մեծ տվյալների մշակման ծառայություններ, ինչը թույլ է տալիս միաժամանակ հաշվարկել հազարավոր կամ միլիոնավոր վարկերի համար սպասվող կորուստները։</w:t>
      </w:r>
    </w:p>
    <w:p w:rsidR="002C7D6B" w:rsidRPr="008112E4" w:rsidRDefault="005C3C63" w:rsidP="002C7D6B">
      <w:pPr>
        <w:pStyle w:val="NormalWeb"/>
        <w:spacing w:before="30" w:beforeAutospacing="0" w:after="30" w:afterAutospacing="0"/>
        <w:ind w:firstLine="426"/>
        <w:jc w:val="both"/>
        <w:rPr>
          <w:rFonts w:ascii="Sylfaen" w:hAnsi="Sylfaen"/>
        </w:rPr>
      </w:pPr>
      <w:r w:rsidRPr="005C3C63">
        <w:rPr>
          <w:rFonts w:ascii="Sylfaen" w:hAnsi="Sylfaen"/>
        </w:rPr>
        <w:t xml:space="preserve">Արդյունքում, Microsoft Azure ամպային հարթակի միջոցով հնարավոր է կառուցել ամբողջական, մասշտաբային և ավտոմատացված ECL հաշվարկման համակարգ։ Այն </w:t>
      </w:r>
      <w:r w:rsidRPr="005C3C63">
        <w:rPr>
          <w:rFonts w:ascii="Sylfaen" w:hAnsi="Sylfaen"/>
        </w:rPr>
        <w:lastRenderedPageBreak/>
        <w:t>ապահովում է տվյալների պահպանում, մոդելավորում, սցենարային վերլուծություն և հաշվետվությունների գեներացում մեկ միասնական միջավայրում։ Staging-ից սկսած մինչև վերջնական ECL հաշվարկ, յուրաքանչյուր քայլ կարող է իրականացվել տվյալահեն, վերահսկելի և կարգավորող պահանջներին համապատասխան մեխանիզմներով՝ ապահովելով վարկային ռիս</w:t>
      </w:r>
      <w:r w:rsidR="002C7D6B">
        <w:rPr>
          <w:rFonts w:ascii="Sylfaen" w:hAnsi="Sylfaen"/>
        </w:rPr>
        <w:t>կի ճշգրիտ և թափանցիկ գնահատում։</w:t>
      </w:r>
    </w:p>
    <w:p w:rsidR="002C7D6B" w:rsidRPr="008112E4" w:rsidRDefault="002C7D6B">
      <w:pPr>
        <w:rPr>
          <w:rFonts w:ascii="Sylfaen" w:eastAsia="Times New Roman" w:hAnsi="Sylfaen" w:cs="Times New Roman"/>
          <w:sz w:val="24"/>
          <w:szCs w:val="24"/>
          <w:lang w:eastAsia="ru-RU"/>
        </w:rPr>
      </w:pPr>
      <w:r w:rsidRPr="008112E4">
        <w:rPr>
          <w:rFonts w:ascii="Sylfaen" w:hAnsi="Sylfaen"/>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Ձեր մշակած ալգորիթմը, որը կառուցված է staging, CCF, MPD, PD, EAD, LGD-Stat, LGD-Econ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Pr="00CD110A"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Bank for International Settlements</w:t>
      </w:r>
      <w:r w:rsidRPr="00CD110A">
        <w:rPr>
          <w:lang w:val="en-US"/>
        </w:rPr>
        <w:t>. Credit Risk Modelling and Validation Publications.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Basel II: International Convergence of Capital Measurement and Capital Standards.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Basel III: A Global Regulatory Framework for More Resilient Banks and Banking Systems.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Basel Committee on Banking Supervision</w:t>
      </w:r>
      <w:r w:rsidRPr="00CD110A">
        <w:rPr>
          <w:lang w:val="en-US"/>
        </w:rPr>
        <w:t>. Guidance on Credit Risk and Accounting for Expected Credit Losses.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Christopher M. Bishop</w:t>
      </w:r>
      <w:r w:rsidRPr="00CD110A">
        <w:rPr>
          <w:lang w:val="en-US"/>
        </w:rPr>
        <w:t>. Pattern Recognition and Machine Learning.</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Coursera</w:t>
      </w:r>
      <w:r w:rsidRPr="00CD110A">
        <w:rPr>
          <w:lang w:val="en-US"/>
        </w:rPr>
        <w:t xml:space="preserve"> – Machine Learning and Financial Engineering Courses.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Darrell Duffie</w:t>
      </w:r>
      <w:r w:rsidRPr="00CD110A">
        <w:rPr>
          <w:lang w:val="en-US"/>
        </w:rPr>
        <w:t>. Credit Risk: Pricing, Measurement, and Management.</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David Lando</w:t>
      </w:r>
      <w:r w:rsidRPr="00CD110A">
        <w:rPr>
          <w:lang w:val="en-US"/>
        </w:rPr>
        <w:t>. Credit Risk Modeling: Theory and Applications.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European Banking Authority</w:t>
      </w:r>
      <w:r w:rsidRPr="00CD110A">
        <w:rPr>
          <w:lang w:val="en-US"/>
        </w:rPr>
        <w:t>. Guidelines on Credit Risk Management Practices and Accounting for Expected Credit Losses.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European Central Bank</w:t>
      </w:r>
      <w:r w:rsidRPr="00CD110A">
        <w:rPr>
          <w:lang w:val="en-US"/>
        </w:rPr>
        <w:t>. Guidance to Banks on Non-Performing Loans.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Fitch Ratings</w:t>
      </w:r>
      <w:r w:rsidRPr="00CD110A">
        <w:rPr>
          <w:lang w:val="en-US"/>
        </w:rPr>
        <w:t>. Recovery Rate and Default Studies.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Gareth James</w:t>
      </w:r>
      <w:r w:rsidRPr="00CD110A">
        <w:rPr>
          <w:lang w:val="en-US"/>
        </w:rPr>
        <w:t xml:space="preserve"> </w:t>
      </w:r>
      <w:r>
        <w:t>և</w:t>
      </w:r>
      <w:r w:rsidRPr="00CD110A">
        <w:rPr>
          <w:lang w:val="en-US"/>
        </w:rPr>
        <w:t xml:space="preserve"> </w:t>
      </w:r>
      <w:r>
        <w:t>համահեղինակներ</w:t>
      </w:r>
      <w:r w:rsidRPr="00CD110A">
        <w:rPr>
          <w:lang w:val="en-US"/>
        </w:rPr>
        <w:t>. An Introduction to Statistical Learning.</w:t>
      </w:r>
    </w:p>
    <w:p w:rsidR="00A74616" w:rsidRPr="00CD110A" w:rsidRDefault="00A75070" w:rsidP="00CD110A">
      <w:pPr>
        <w:pStyle w:val="NormalWeb"/>
        <w:numPr>
          <w:ilvl w:val="0"/>
          <w:numId w:val="17"/>
        </w:numPr>
        <w:spacing w:before="30" w:beforeAutospacing="0" w:after="30" w:afterAutospacing="0"/>
        <w:rPr>
          <w:lang w:val="en-US"/>
        </w:rPr>
      </w:pPr>
      <w:r>
        <w:rPr>
          <w:rStyle w:val="whitespace-normal"/>
          <w:lang w:val="en-US"/>
        </w:rPr>
        <w:t>ՖՀՄՍ</w:t>
      </w:r>
      <w:r w:rsidR="00A74616" w:rsidRPr="00CD110A">
        <w:rPr>
          <w:rStyle w:val="whitespace-normal"/>
          <w:lang w:val="en-US"/>
        </w:rPr>
        <w:t xml:space="preserve"> Foundation</w:t>
      </w:r>
      <w:r w:rsidR="00A74616" w:rsidRPr="00CD110A">
        <w:rPr>
          <w:lang w:val="en-US"/>
        </w:rPr>
        <w:t xml:space="preserve">. </w:t>
      </w:r>
      <w:r>
        <w:rPr>
          <w:lang w:val="en-US"/>
        </w:rPr>
        <w:t>ՖՀՄՍ</w:t>
      </w:r>
      <w:r w:rsidR="00A74616" w:rsidRPr="00CD110A">
        <w:rPr>
          <w:lang w:val="en-US"/>
        </w:rPr>
        <w:t xml:space="preserve"> 9 Implementation Guidance and Basis for Conclusions.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International Accounting Standards Board</w:t>
      </w:r>
      <w:r w:rsidRPr="00CD110A">
        <w:rPr>
          <w:lang w:val="en-US"/>
        </w:rPr>
        <w:t>. International Financial Reporting Standard 9 (</w:t>
      </w:r>
      <w:r w:rsidR="00A75070">
        <w:rPr>
          <w:lang w:val="en-US"/>
        </w:rPr>
        <w:t>ՖՀՄՍ</w:t>
      </w:r>
      <w:r w:rsidRPr="00CD110A">
        <w:rPr>
          <w:lang w:val="en-US"/>
        </w:rPr>
        <w:t xml:space="preserve"> 9) – Financial Instruments.</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International Monetary Fund</w:t>
      </w:r>
      <w:r w:rsidRPr="00CD110A">
        <w:rPr>
          <w:lang w:val="en-US"/>
        </w:rPr>
        <w:t>. Financial Sector Assessment Program (FSAP) Technical Notes.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John C. Hull</w:t>
      </w:r>
      <w:r w:rsidRPr="00CD110A">
        <w:rPr>
          <w:lang w:val="en-US"/>
        </w:rPr>
        <w:t>. Risk Management and Financial Institutions.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Kevin P. Murphy</w:t>
      </w:r>
      <w:r w:rsidRPr="00CD110A">
        <w:rPr>
          <w:lang w:val="en-US"/>
        </w:rPr>
        <w:t>. Machine Learning: A Probabilistic Perspective.</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Linda Allen</w:t>
      </w:r>
      <w:r w:rsidRPr="00CD110A">
        <w:rPr>
          <w:lang w:val="en-US"/>
        </w:rPr>
        <w:t>. Credit Risk Measurement: New Approaches to Value at Risk and Other Paradigms.</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Azure Data Lake and Synapse Analytics Documentation.</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Azure Machine Learning Documentation.</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Azure</w:t>
      </w:r>
      <w:r w:rsidRPr="00CD110A">
        <w:rPr>
          <w:lang w:val="en-US"/>
        </w:rPr>
        <w:t>. Security and Compliance Documentation for Financial Services.</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 Learn</w:t>
      </w:r>
      <w:r w:rsidRPr="00CD110A">
        <w:rPr>
          <w:lang w:val="en-US"/>
        </w:rPr>
        <w:t>. Cloud Solutions for Financial Risk Management.</w:t>
      </w:r>
    </w:p>
    <w:p w:rsidR="00A74616" w:rsidRPr="00CD110A" w:rsidRDefault="00A74616" w:rsidP="00CD110A">
      <w:pPr>
        <w:pStyle w:val="NormalWeb"/>
        <w:numPr>
          <w:ilvl w:val="0"/>
          <w:numId w:val="20"/>
        </w:numPr>
        <w:spacing w:before="30" w:beforeAutospacing="0" w:after="30" w:afterAutospacing="0"/>
        <w:rPr>
          <w:lang w:val="en-US"/>
        </w:rPr>
      </w:pPr>
      <w:r w:rsidRPr="00CD110A">
        <w:rPr>
          <w:rStyle w:val="whitespace-normal"/>
          <w:lang w:val="en-US"/>
        </w:rPr>
        <w:t>Microsoft</w:t>
      </w:r>
      <w:r w:rsidRPr="00CD110A">
        <w:rPr>
          <w:lang w:val="en-US"/>
        </w:rPr>
        <w:t>. Azure Architecture Center Documentation.</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Moody's Analytics</w:t>
      </w:r>
      <w:r w:rsidRPr="00CD110A">
        <w:rPr>
          <w:lang w:val="en-US"/>
        </w:rPr>
        <w:t xml:space="preserve">. Credit Risk Modeling Methodologies and </w:t>
      </w:r>
      <w:r w:rsidR="00A75070">
        <w:rPr>
          <w:lang w:val="en-US"/>
        </w:rPr>
        <w:t>ՖՀՄՍ</w:t>
      </w:r>
      <w:r w:rsidRPr="00CD110A">
        <w:rPr>
          <w:lang w:val="en-US"/>
        </w:rPr>
        <w:t xml:space="preserve"> 9 Publications.</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Paul Glasserman</w:t>
      </w:r>
      <w:r w:rsidRPr="00CD110A">
        <w:rPr>
          <w:lang w:val="en-US"/>
        </w:rPr>
        <w:t>. Monte Carlo Methods in Financial Engineering.</w:t>
      </w:r>
    </w:p>
    <w:p w:rsidR="00A74616" w:rsidRPr="00CD110A" w:rsidRDefault="00A74616" w:rsidP="00CD110A">
      <w:pPr>
        <w:pStyle w:val="NormalWeb"/>
        <w:numPr>
          <w:ilvl w:val="0"/>
          <w:numId w:val="18"/>
        </w:numPr>
        <w:spacing w:before="30" w:beforeAutospacing="0" w:after="30" w:afterAutospacing="0"/>
        <w:rPr>
          <w:lang w:val="en-US"/>
        </w:rPr>
      </w:pPr>
      <w:r w:rsidRPr="00CD110A">
        <w:rPr>
          <w:rStyle w:val="whitespace-normal"/>
          <w:lang w:val="en-US"/>
        </w:rPr>
        <w:t>Standard &amp; Poor's</w:t>
      </w:r>
      <w:r w:rsidRPr="00CD110A">
        <w:rPr>
          <w:lang w:val="en-US"/>
        </w:rPr>
        <w:t>. Credit Risk and Recovery Studies.</w:t>
      </w:r>
    </w:p>
    <w:p w:rsidR="00A74616" w:rsidRPr="00CD110A" w:rsidRDefault="00A74616" w:rsidP="00CD110A">
      <w:pPr>
        <w:pStyle w:val="NormalWeb"/>
        <w:numPr>
          <w:ilvl w:val="0"/>
          <w:numId w:val="19"/>
        </w:numPr>
        <w:spacing w:before="30" w:beforeAutospacing="0" w:after="30" w:afterAutospacing="0"/>
        <w:rPr>
          <w:lang w:val="en-US"/>
        </w:rPr>
      </w:pPr>
      <w:r w:rsidRPr="00CD110A">
        <w:rPr>
          <w:rStyle w:val="whitespace-normal"/>
          <w:lang w:val="en-US"/>
        </w:rPr>
        <w:t>Trevor Hastie</w:t>
      </w:r>
      <w:r w:rsidRPr="00CD110A">
        <w:rPr>
          <w:lang w:val="en-US"/>
        </w:rPr>
        <w:t xml:space="preserve">, </w:t>
      </w:r>
      <w:r w:rsidRPr="00CD110A">
        <w:rPr>
          <w:rStyle w:val="whitespace-normal"/>
          <w:lang w:val="en-US"/>
        </w:rPr>
        <w:t>Robert Tibshirani</w:t>
      </w:r>
      <w:r w:rsidRPr="00CD110A">
        <w:rPr>
          <w:lang w:val="en-US"/>
        </w:rPr>
        <w:t xml:space="preserve">, </w:t>
      </w:r>
      <w:r w:rsidRPr="00CD110A">
        <w:rPr>
          <w:rStyle w:val="whitespace-normal"/>
          <w:lang w:val="en-US"/>
        </w:rPr>
        <w:t>Jerome Friedman</w:t>
      </w:r>
      <w:r w:rsidRPr="00CD110A">
        <w:rPr>
          <w:lang w:val="en-US"/>
        </w:rPr>
        <w:t>. The Elements of Statistical Learning.</w:t>
      </w:r>
    </w:p>
    <w:p w:rsidR="00A74616" w:rsidRPr="00CD110A" w:rsidRDefault="00A74616" w:rsidP="00CD110A">
      <w:pPr>
        <w:pStyle w:val="NormalWeb"/>
        <w:numPr>
          <w:ilvl w:val="0"/>
          <w:numId w:val="17"/>
        </w:numPr>
        <w:spacing w:before="30" w:beforeAutospacing="0" w:after="30" w:afterAutospacing="0"/>
        <w:rPr>
          <w:lang w:val="en-US"/>
        </w:rPr>
      </w:pPr>
      <w:r w:rsidRPr="00CD110A">
        <w:rPr>
          <w:rStyle w:val="whitespace-normal"/>
          <w:lang w:val="en-US"/>
        </w:rPr>
        <w:t>World Bank</w:t>
      </w:r>
      <w:r w:rsidRPr="00CD110A">
        <w:rPr>
          <w:lang w:val="en-US"/>
        </w:rPr>
        <w:t>. Credit Risk Management in Banking Sector Reports.</w:t>
      </w:r>
    </w:p>
    <w:p w:rsidR="00CD110A" w:rsidRPr="00CD110A" w:rsidRDefault="00CD110A" w:rsidP="00CD110A">
      <w:pPr>
        <w:pStyle w:val="NormalWeb"/>
        <w:spacing w:before="30" w:beforeAutospacing="0" w:after="30" w:afterAutospacing="0"/>
        <w:rPr>
          <w:rFonts w:ascii="Sylfaen" w:hAnsi="Sylfaen"/>
          <w:sz w:val="32"/>
          <w:lang w:val="en-US"/>
        </w:rPr>
      </w:pPr>
    </w:p>
    <w:p w:rsidR="005A0C56" w:rsidRDefault="005A0C56">
      <w:pPr>
        <w:rPr>
          <w:rFonts w:ascii="Sylfaen" w:eastAsia="Times New Roman" w:hAnsi="Sylfaen" w:cs="Times New Roman"/>
          <w:sz w:val="24"/>
          <w:szCs w:val="24"/>
          <w:lang w:val="hy-AM" w:eastAsia="ru-RU"/>
        </w:rPr>
      </w:pPr>
      <w:r>
        <w:rPr>
          <w:rFonts w:ascii="Sylfaen" w:hAnsi="Sylfaen"/>
          <w:lang w:val="hy-AM"/>
        </w:rPr>
        <w:br w:type="page"/>
      </w:r>
    </w:p>
    <w:p w:rsidR="002C7D6B" w:rsidRDefault="005A0C56" w:rsidP="005A0C56">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lastRenderedPageBreak/>
        <w:t>Բովանդակ</w:t>
      </w:r>
      <w:r w:rsidR="003A42A0" w:rsidRPr="003A42A0">
        <w:rPr>
          <w:rFonts w:ascii="Sylfaen" w:hAnsi="Sylfaen"/>
          <w:b/>
          <w:sz w:val="36"/>
          <w:lang w:val="hy-AM"/>
        </w:rPr>
        <w:t>ություն</w:t>
      </w:r>
    </w:p>
    <w:p w:rsidR="00961CE8" w:rsidRDefault="00961CE8" w:rsidP="00961CE8">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497A81" w:rsidRPr="00207770" w:rsidRDefault="00961CE8" w:rsidP="00961CE8">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00497A81" w:rsidRPr="00497A81">
        <w:rPr>
          <w:rFonts w:ascii="Sylfaen" w:hAnsi="Sylfaen"/>
          <w:lang w:val="hy-AM"/>
        </w:rPr>
        <w:t xml:space="preserve">On-Premise </w:t>
      </w:r>
      <w:r w:rsidRPr="00066CC6">
        <w:rPr>
          <w:rFonts w:ascii="Sylfaen" w:hAnsi="Sylfaen"/>
          <w:lang w:val="hy-AM"/>
        </w:rPr>
        <w:t>(Տեղային Տեղակայում)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1.2: </w:t>
      </w:r>
      <w:r w:rsidR="00497A81" w:rsidRPr="00066CC6">
        <w:rPr>
          <w:rFonts w:ascii="Sylfaen" w:hAnsi="Sylfaen"/>
          <w:lang w:val="hy-AM"/>
        </w:rPr>
        <w:t>IaaS</w:t>
      </w:r>
      <w:r w:rsidR="00497A81"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1.3: </w:t>
      </w:r>
      <w:r w:rsidR="00497A81">
        <w:rPr>
          <w:rFonts w:ascii="Sylfaen" w:hAnsi="Sylfaen"/>
          <w:lang w:val="en-US"/>
        </w:rPr>
        <w:t>PaaS</w:t>
      </w:r>
      <w:r w:rsidR="00497A81" w:rsidRPr="00497A81">
        <w:rPr>
          <w:rFonts w:ascii="Sylfaen" w:hAnsi="Sylfaen"/>
          <w:lang w:val="hy-AM"/>
        </w:rPr>
        <w:t xml:space="preserve"> </w:t>
      </w:r>
      <w:r w:rsidRPr="00066CC6">
        <w:rPr>
          <w:rFonts w:ascii="Sylfaen" w:hAnsi="Sylfaen"/>
          <w:lang w:val="hy-AM"/>
        </w:rPr>
        <w:t>(Հարթակը Որպես Ծառայություն) Մոդելը</w:t>
      </w:r>
    </w:p>
    <w:p w:rsidR="00497A81"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 xml:space="preserve">1.4: </w:t>
      </w:r>
      <w:r w:rsidR="00497A81" w:rsidRPr="00066CC6">
        <w:rPr>
          <w:rFonts w:ascii="Sylfaen" w:hAnsi="Sylfaen"/>
          <w:lang w:val="hy-AM"/>
        </w:rPr>
        <w:t>SaaS</w:t>
      </w:r>
      <w:r w:rsidR="00497A81"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066CC6" w:rsidRDefault="00066CC6" w:rsidP="00066CC6">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961CE8" w:rsidRPr="00961CE8" w:rsidRDefault="00066CC6" w:rsidP="00961CE8">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1.6: </w:t>
      </w:r>
      <w:r w:rsidR="00497A81">
        <w:rPr>
          <w:rFonts w:ascii="Sylfaen" w:hAnsi="Sylfaen"/>
          <w:lang w:val="en-US"/>
        </w:rPr>
        <w:t>Microsoft Azure</w:t>
      </w:r>
    </w:p>
    <w:p w:rsidR="00961CE8" w:rsidRDefault="00961CE8" w:rsidP="00961CE8">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497A81" w:rsidRPr="003D252B"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00497A81" w:rsidRPr="003D252B">
        <w:rPr>
          <w:rFonts w:ascii="Sylfaen" w:hAnsi="Sylfaen"/>
          <w:lang w:val="hy-AM"/>
        </w:rPr>
        <w:t>ETL/ELT</w:t>
      </w:r>
      <w:r w:rsidR="00497A81">
        <w:rPr>
          <w:rFonts w:ascii="Sylfaen" w:hAnsi="Sylfaen"/>
          <w:lang w:val="hy-AM"/>
        </w:rPr>
        <w:t xml:space="preserve"> </w:t>
      </w:r>
      <w:r w:rsidR="003D252B" w:rsidRPr="00264437">
        <w:rPr>
          <w:rFonts w:ascii="Sylfaen" w:hAnsi="Sylfaen"/>
          <w:lang w:val="hy-AM"/>
        </w:rPr>
        <w:t>Տվյալային խողովակաշարեր (Data Pipelines)</w:t>
      </w:r>
    </w:p>
    <w:p w:rsidR="00264437"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00264437" w:rsidRPr="00264437">
        <w:rPr>
          <w:rFonts w:ascii="Sylfaen" w:hAnsi="Sylfaen"/>
          <w:lang w:val="hy-AM"/>
        </w:rPr>
        <w:t>«Մեդալիոն» Ճարտարապետություն</w:t>
      </w:r>
    </w:p>
    <w:p w:rsidR="00961CE8" w:rsidRPr="00961CE8" w:rsidRDefault="00096AA8" w:rsidP="00961CE8">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00264437" w:rsidRPr="00264437">
        <w:rPr>
          <w:rFonts w:ascii="Sylfaen" w:hAnsi="Sylfaen"/>
          <w:lang w:val="hy-AM"/>
        </w:rPr>
        <w:t>OLTP/OLAP համակարգեր</w:t>
      </w:r>
    </w:p>
    <w:p w:rsidR="001C5916" w:rsidRDefault="001C5916" w:rsidP="001C5916">
      <w:pPr>
        <w:pStyle w:val="NormalWeb"/>
        <w:numPr>
          <w:ilvl w:val="0"/>
          <w:numId w:val="15"/>
        </w:numPr>
        <w:spacing w:before="30" w:beforeAutospacing="0" w:after="30" w:afterAutospacing="0"/>
        <w:ind w:left="284" w:hanging="284"/>
        <w:rPr>
          <w:rFonts w:ascii="Sylfaen" w:hAnsi="Sylfaen"/>
          <w:lang w:val="hy-AM"/>
        </w:rPr>
      </w:pPr>
      <w:r w:rsidRPr="001C5916">
        <w:rPr>
          <w:rFonts w:ascii="Sylfaen" w:hAnsi="Sylfaen"/>
          <w:lang w:val="hy-AM"/>
        </w:rPr>
        <w:t xml:space="preserve">ՏՎՅԱԼՆԵՐԻ ՃԱՐՏԱՐԱՊԵՏՈՒԹՅԱՆ ԳՈՐԾԻՔԱԿԱՑՄԵՐԸ MICROSOFT AZURE-ՈԻՄ </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3.1: </w:t>
      </w:r>
      <w:r w:rsidR="00497A81" w:rsidRPr="00497A81">
        <w:rPr>
          <w:rFonts w:ascii="Sylfaen" w:hAnsi="Sylfaen"/>
          <w:lang w:val="hy-AM"/>
        </w:rPr>
        <w:t>Microsoft Azure Data Factory</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p>
    <w:p w:rsidR="00497A81" w:rsidRDefault="00096AA8" w:rsidP="00096AA8">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p>
    <w:p w:rsidR="00D53EDD"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sidR="00D53EDD">
        <w:rPr>
          <w:rFonts w:ascii="Sylfaen" w:hAnsi="Sylfaen"/>
          <w:lang w:val="hy-AM"/>
        </w:rPr>
        <w:t xml:space="preserve">Գործիքների </w:t>
      </w:r>
      <w:r w:rsidR="003B7224">
        <w:rPr>
          <w:rFonts w:ascii="Sylfaen" w:hAnsi="Sylfaen"/>
          <w:lang w:val="hy-AM"/>
        </w:rPr>
        <w:t>Տարբերությունները</w:t>
      </w:r>
    </w:p>
    <w:p w:rsidR="00497A81" w:rsidRDefault="00096AA8" w:rsidP="001C5916">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00497A81" w:rsidRPr="00497A81">
        <w:rPr>
          <w:rFonts w:ascii="Sylfaen" w:hAnsi="Sylfaen"/>
          <w:lang w:val="hy-AM"/>
        </w:rPr>
        <w:t>Գլխի ամփոփում</w:t>
      </w:r>
    </w:p>
    <w:p w:rsidR="00497A81" w:rsidRDefault="00066CC6" w:rsidP="00066CC6">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Գլուխ 4: ECL Գործակցի Հաշվումը</w:t>
      </w:r>
    </w:p>
    <w:p w:rsidR="00207770" w:rsidRDefault="00096AA8" w:rsidP="00207770">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00207770" w:rsidRPr="00207770">
        <w:rPr>
          <w:rFonts w:ascii="Sylfaen" w:hAnsi="Sylfaen"/>
          <w:lang w:val="hy-AM"/>
        </w:rPr>
        <w:t xml:space="preserve">PD </w:t>
      </w:r>
      <w:r w:rsidR="00066CC6" w:rsidRPr="00066CC6">
        <w:rPr>
          <w:rFonts w:ascii="Sylfaen" w:hAnsi="Sylfaen"/>
          <w:lang w:val="hy-AM"/>
        </w:rPr>
        <w:t>Գործակցի Հաշվումը</w:t>
      </w:r>
      <w:r w:rsidR="00207770" w:rsidRPr="00207770">
        <w:rPr>
          <w:rFonts w:ascii="Sylfaen" w:hAnsi="Sylfaen"/>
          <w:lang w:val="hy-AM"/>
        </w:rPr>
        <w:t>, Մեքենայական Ուսուցումը և Լոգիստիկ Ռեգրեսիան</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00066CC6" w:rsidRPr="00066CC6">
        <w:rPr>
          <w:rFonts w:ascii="Sylfaen" w:hAnsi="Sylfaen"/>
          <w:lang w:val="hy-AM"/>
        </w:rPr>
        <w:t>EAD Գործակցի Հաշվումը</w:t>
      </w:r>
    </w:p>
    <w:p w:rsidR="00066CC6" w:rsidRDefault="00096AA8" w:rsidP="00066CC6">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00066CC6" w:rsidRPr="00066CC6">
        <w:rPr>
          <w:rFonts w:ascii="Sylfaen" w:hAnsi="Sylfaen"/>
          <w:lang w:val="hy-AM"/>
        </w:rPr>
        <w:t xml:space="preserve">LGD Գործակցի Հաշվումը և ECL Գործակցի Բանաձևը </w:t>
      </w:r>
    </w:p>
    <w:p w:rsidR="001C5916" w:rsidRDefault="001C5916" w:rsidP="00066CC6">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Գլուխ 5: ECL ԳՈՐԾԱԿՑԻ ՀԱՇՎՄԱՆ ԱԼԳՈՐԻԹՄԸ MICROSOFT AZURE ԱՄՊԱՅԻՆ ՏԵԽՆՈԼՈԳԻԱՆԵՐԻ ՄԻՋՈՑՈՎ</w:t>
      </w:r>
    </w:p>
    <w:p w:rsidR="00207770" w:rsidRPr="00F264B1" w:rsidRDefault="00207770" w:rsidP="001C5916">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sectPr w:rsidR="00207770" w:rsidRPr="00F264B1" w:rsidSect="00910AE1">
      <w:footerReference w:type="default" r:id="rId10"/>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61F6" w:rsidRDefault="004761F6" w:rsidP="00165C31">
      <w:pPr>
        <w:spacing w:after="0" w:line="240" w:lineRule="auto"/>
      </w:pPr>
      <w:r>
        <w:separator/>
      </w:r>
    </w:p>
  </w:endnote>
  <w:endnote w:type="continuationSeparator" w:id="0">
    <w:p w:rsidR="004761F6" w:rsidRDefault="004761F6"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ylfaen">
    <w:panose1 w:val="010A0502050306030303"/>
    <w:charset w:val="CC"/>
    <w:family w:val="roman"/>
    <w:pitch w:val="variable"/>
    <w:sig w:usb0="040006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Helvetica Neue">
    <w:altName w:val="Corbel"/>
    <w:charset w:val="00"/>
    <w:family w:val="auto"/>
    <w:pitch w:val="variable"/>
    <w:sig w:usb0="00000003" w:usb1="500079DB" w:usb2="00000010" w:usb3="00000000" w:csb0="00000001"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A31C2E" w:rsidRDefault="00A31C2E">
        <w:pPr>
          <w:pStyle w:val="Footer"/>
          <w:jc w:val="center"/>
        </w:pPr>
        <w:r>
          <w:fldChar w:fldCharType="begin"/>
        </w:r>
        <w:r>
          <w:instrText xml:space="preserve"> PAGE   \* MERGEFORMAT </w:instrText>
        </w:r>
        <w:r>
          <w:fldChar w:fldCharType="separate"/>
        </w:r>
        <w:r w:rsidR="00E56028">
          <w:rPr>
            <w:noProof/>
          </w:rPr>
          <w:t>44</w:t>
        </w:r>
        <w:r>
          <w:rPr>
            <w:noProof/>
          </w:rPr>
          <w:fldChar w:fldCharType="end"/>
        </w:r>
      </w:p>
    </w:sdtContent>
  </w:sdt>
  <w:p w:rsidR="00A31C2E" w:rsidRDefault="00A31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61F6" w:rsidRDefault="004761F6" w:rsidP="00165C31">
      <w:pPr>
        <w:spacing w:after="0" w:line="240" w:lineRule="auto"/>
      </w:pPr>
      <w:r>
        <w:separator/>
      </w:r>
    </w:p>
  </w:footnote>
  <w:footnote w:type="continuationSeparator" w:id="0">
    <w:p w:rsidR="004761F6" w:rsidRDefault="004761F6" w:rsidP="00165C31">
      <w:pPr>
        <w:spacing w:after="0" w:line="240" w:lineRule="auto"/>
      </w:pPr>
      <w:r>
        <w:continuationSeparator/>
      </w:r>
    </w:p>
  </w:footnote>
  <w:footnote w:id="1">
    <w:p w:rsidR="00A31C2E" w:rsidRDefault="00A31C2E" w:rsidP="00A43AC8">
      <w:pPr>
        <w:pStyle w:val="FootnoteText"/>
        <w:rPr>
          <w:lang w:val="hy-AM"/>
        </w:rPr>
      </w:pPr>
      <w:r>
        <w:rPr>
          <w:rStyle w:val="FootnoteReference"/>
        </w:rPr>
        <w:footnoteRef/>
      </w:r>
      <w:hyperlink r:id="rId1" w:history="1">
        <w:r>
          <w:rPr>
            <w:rStyle w:val="Hyperlink"/>
          </w:rPr>
          <w:t>https://zhanibekov.edu.kz/media/university/faculties/materials/%D0%9B%D0%B5%D0%BA%D1%86%D0%B8%D1%8F_4_1.pdf</w:t>
        </w:r>
      </w:hyperlink>
      <w:r>
        <w:rPr>
          <w:lang w:val="hy-AM"/>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20"/>
  </w:num>
  <w:num w:numId="4">
    <w:abstractNumId w:val="6"/>
  </w:num>
  <w:num w:numId="5">
    <w:abstractNumId w:val="5"/>
  </w:num>
  <w:num w:numId="6">
    <w:abstractNumId w:val="10"/>
  </w:num>
  <w:num w:numId="7">
    <w:abstractNumId w:val="16"/>
  </w:num>
  <w:num w:numId="8">
    <w:abstractNumId w:val="18"/>
  </w:num>
  <w:num w:numId="9">
    <w:abstractNumId w:val="23"/>
  </w:num>
  <w:num w:numId="10">
    <w:abstractNumId w:val="4"/>
  </w:num>
  <w:num w:numId="11">
    <w:abstractNumId w:val="17"/>
  </w:num>
  <w:num w:numId="12">
    <w:abstractNumId w:val="3"/>
  </w:num>
  <w:num w:numId="13">
    <w:abstractNumId w:val="2"/>
  </w:num>
  <w:num w:numId="14">
    <w:abstractNumId w:val="22"/>
  </w:num>
  <w:num w:numId="15">
    <w:abstractNumId w:val="8"/>
  </w:num>
  <w:num w:numId="16">
    <w:abstractNumId w:val="7"/>
  </w:num>
  <w:num w:numId="17">
    <w:abstractNumId w:val="19"/>
  </w:num>
  <w:num w:numId="18">
    <w:abstractNumId w:val="14"/>
  </w:num>
  <w:num w:numId="19">
    <w:abstractNumId w:val="1"/>
  </w:num>
  <w:num w:numId="20">
    <w:abstractNumId w:val="9"/>
  </w:num>
  <w:num w:numId="21">
    <w:abstractNumId w:val="15"/>
  </w:num>
  <w:num w:numId="22">
    <w:abstractNumId w:val="21"/>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54CEF"/>
    <w:rsid w:val="00066CC6"/>
    <w:rsid w:val="00096AA8"/>
    <w:rsid w:val="000B6127"/>
    <w:rsid w:val="00130BE9"/>
    <w:rsid w:val="0014112B"/>
    <w:rsid w:val="001603A7"/>
    <w:rsid w:val="001639BA"/>
    <w:rsid w:val="00165C31"/>
    <w:rsid w:val="001A330B"/>
    <w:rsid w:val="001C5916"/>
    <w:rsid w:val="00207770"/>
    <w:rsid w:val="00264437"/>
    <w:rsid w:val="002B0721"/>
    <w:rsid w:val="002C7D6B"/>
    <w:rsid w:val="00337056"/>
    <w:rsid w:val="00363802"/>
    <w:rsid w:val="0036674C"/>
    <w:rsid w:val="00380089"/>
    <w:rsid w:val="003A20F5"/>
    <w:rsid w:val="003A42A0"/>
    <w:rsid w:val="003B7224"/>
    <w:rsid w:val="003C26B1"/>
    <w:rsid w:val="003D252B"/>
    <w:rsid w:val="003D3CE4"/>
    <w:rsid w:val="00430327"/>
    <w:rsid w:val="004761F6"/>
    <w:rsid w:val="00497A81"/>
    <w:rsid w:val="005401AC"/>
    <w:rsid w:val="005A0C56"/>
    <w:rsid w:val="005A721E"/>
    <w:rsid w:val="005B40E2"/>
    <w:rsid w:val="005C3C63"/>
    <w:rsid w:val="00636C31"/>
    <w:rsid w:val="006758AD"/>
    <w:rsid w:val="006814A7"/>
    <w:rsid w:val="00681ACE"/>
    <w:rsid w:val="006847A4"/>
    <w:rsid w:val="006D3815"/>
    <w:rsid w:val="006D4EA8"/>
    <w:rsid w:val="006F2AF3"/>
    <w:rsid w:val="00713F19"/>
    <w:rsid w:val="00717D21"/>
    <w:rsid w:val="0072237D"/>
    <w:rsid w:val="00723DE4"/>
    <w:rsid w:val="00747E7E"/>
    <w:rsid w:val="00761669"/>
    <w:rsid w:val="008112E4"/>
    <w:rsid w:val="00823360"/>
    <w:rsid w:val="00871015"/>
    <w:rsid w:val="00892921"/>
    <w:rsid w:val="008B2C66"/>
    <w:rsid w:val="008E7850"/>
    <w:rsid w:val="00900BE8"/>
    <w:rsid w:val="00910AE1"/>
    <w:rsid w:val="00945121"/>
    <w:rsid w:val="00961CE8"/>
    <w:rsid w:val="009670D4"/>
    <w:rsid w:val="009700D2"/>
    <w:rsid w:val="0099103E"/>
    <w:rsid w:val="009B744C"/>
    <w:rsid w:val="00A31C2E"/>
    <w:rsid w:val="00A43AC8"/>
    <w:rsid w:val="00A60080"/>
    <w:rsid w:val="00A600D3"/>
    <w:rsid w:val="00A65E20"/>
    <w:rsid w:val="00A74616"/>
    <w:rsid w:val="00A75070"/>
    <w:rsid w:val="00AC3920"/>
    <w:rsid w:val="00AF4B92"/>
    <w:rsid w:val="00B42BC8"/>
    <w:rsid w:val="00B516BE"/>
    <w:rsid w:val="00B669BC"/>
    <w:rsid w:val="00B93FDB"/>
    <w:rsid w:val="00B97B2E"/>
    <w:rsid w:val="00BA52C2"/>
    <w:rsid w:val="00BC7A4D"/>
    <w:rsid w:val="00C00DD2"/>
    <w:rsid w:val="00C05DAC"/>
    <w:rsid w:val="00C61DDE"/>
    <w:rsid w:val="00C66EF6"/>
    <w:rsid w:val="00CD110A"/>
    <w:rsid w:val="00D53EDD"/>
    <w:rsid w:val="00D67DCF"/>
    <w:rsid w:val="00D729B8"/>
    <w:rsid w:val="00D934C7"/>
    <w:rsid w:val="00DC21D0"/>
    <w:rsid w:val="00E56028"/>
    <w:rsid w:val="00E7443D"/>
    <w:rsid w:val="00EA5940"/>
    <w:rsid w:val="00ED0B39"/>
    <w:rsid w:val="00ED192A"/>
    <w:rsid w:val="00F01692"/>
    <w:rsid w:val="00F03D84"/>
    <w:rsid w:val="00F264B1"/>
    <w:rsid w:val="00F278EE"/>
    <w:rsid w:val="00F43356"/>
    <w:rsid w:val="00F53056"/>
    <w:rsid w:val="00F8594D"/>
    <w:rsid w:val="00FB0C36"/>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1859F"/>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674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zhanibekov.edu.kz/media/university/faculties/materials/%D0%9B%D0%B5%D0%BA%D1%86%D0%B8%D1%8F_4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D708E-E5EB-41C9-B51E-DADEA0439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46</Pages>
  <Words>12351</Words>
  <Characters>70402</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2026-03-03T21:38:00Z</dcterms:created>
  <dcterms:modified xsi:type="dcterms:W3CDTF">2026-03-04T18:29:00Z</dcterms:modified>
</cp:coreProperties>
</file>