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i w:val="0"/>
          <w:sz w:val="40"/>
        </w:rPr>
        <w:t>陈浩然 / Hao-Ran Chen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sz w:val="25"/>
        </w:rPr>
        <w:t>策略与财务分析经理 / Strategy &amp; FP&amp;A Manager</w:t>
      </w:r>
    </w:p>
    <w:p>
      <w:pPr>
        <w:spacing w:before="40" w:after="40" w:line="276" w:lineRule="auto"/>
      </w:pPr>
      <w:r>
        <w:rPr>
          <w:rFonts w:ascii="Calibri" w:hAnsi="Calibri" w:eastAsia="Microsoft YaHei"/>
          <w:b/>
          <w:i w:val="0"/>
          <w:sz w:val="21"/>
        </w:rPr>
        <w:t xml:space="preserve">性别 / Gender: </w:t>
      </w:r>
      <w:r>
        <w:rPr>
          <w:rFonts w:ascii="Calibri" w:hAnsi="Calibri" w:eastAsia="Microsoft YaHei"/>
          <w:b w:val="0"/>
          <w:i w:val="0"/>
          <w:sz w:val="21"/>
        </w:rPr>
        <w:t>男 / Male</w:t>
      </w:r>
      <w:r>
        <w:t xml:space="preserve">    </w:t>
      </w:r>
      <w:r>
        <w:rPr>
          <w:rFonts w:ascii="Calibri" w:hAnsi="Calibri" w:eastAsia="Microsoft YaHei"/>
          <w:b/>
          <w:i w:val="0"/>
          <w:sz w:val="21"/>
        </w:rPr>
        <w:t xml:space="preserve">年龄 / Age: </w:t>
      </w:r>
      <w:r>
        <w:rPr>
          <w:rFonts w:ascii="Calibri" w:hAnsi="Calibri" w:eastAsia="Microsoft YaHei"/>
          <w:b w:val="0"/>
          <w:i w:val="0"/>
          <w:sz w:val="21"/>
        </w:rPr>
        <w:t>32</w:t>
      </w:r>
      <w:r>
        <w:t xml:space="preserve">    </w:t>
      </w:r>
      <w:r>
        <w:rPr>
          <w:rFonts w:ascii="Calibri" w:hAnsi="Calibri" w:eastAsia="Microsoft YaHei"/>
          <w:b/>
          <w:i w:val="0"/>
          <w:sz w:val="21"/>
        </w:rPr>
        <w:t xml:space="preserve">所在地 / Location: </w:t>
      </w:r>
      <w:r>
        <w:rPr>
          <w:rFonts w:ascii="Calibri" w:hAnsi="Calibri" w:eastAsia="Microsoft YaHei"/>
          <w:b w:val="0"/>
          <w:i w:val="0"/>
          <w:sz w:val="21"/>
        </w:rPr>
        <w:t>台北 / Taipei, Taiwan</w:t>
      </w:r>
    </w:p>
    <w:p>
      <w:pPr>
        <w:spacing w:before="40" w:after="40" w:line="276" w:lineRule="auto"/>
      </w:pPr>
      <w:r>
        <w:rPr>
          <w:rFonts w:ascii="Calibri" w:hAnsi="Calibri" w:eastAsia="Microsoft YaHei"/>
          <w:b/>
          <w:i w:val="0"/>
          <w:sz w:val="21"/>
        </w:rPr>
        <w:t xml:space="preserve">电话 / Phone: </w:t>
      </w:r>
      <w:r>
        <w:rPr>
          <w:rFonts w:ascii="Calibri" w:hAnsi="Calibri" w:eastAsia="Microsoft YaHei"/>
          <w:b w:val="0"/>
          <w:i w:val="0"/>
          <w:sz w:val="21"/>
        </w:rPr>
        <w:t>+886 912-345-678</w:t>
      </w:r>
      <w:r>
        <w:t xml:space="preserve">    </w:t>
      </w:r>
      <w:r>
        <w:rPr>
          <w:rFonts w:ascii="Calibri" w:hAnsi="Calibri" w:eastAsia="Microsoft YaHei"/>
          <w:b/>
          <w:i w:val="0"/>
          <w:sz w:val="21"/>
        </w:rPr>
        <w:t xml:space="preserve">邮箱 / Email: </w:t>
      </w:r>
      <w:r>
        <w:rPr>
          <w:rFonts w:ascii="Calibri" w:hAnsi="Calibri" w:eastAsia="Microsoft YaHei"/>
          <w:b w:val="0"/>
          <w:i w:val="0"/>
          <w:sz w:val="21"/>
        </w:rPr>
        <w:t>haoran.chen@example.com</w:t>
      </w:r>
    </w:p>
    <w:p>
      <w:pPr>
        <w:spacing w:before="40" w:after="40" w:line="276" w:lineRule="auto"/>
      </w:pPr>
      <w:r>
        <w:rPr>
          <w:rFonts w:ascii="Calibri" w:hAnsi="Calibri" w:eastAsia="Microsoft YaHei"/>
          <w:b/>
          <w:i w:val="0"/>
          <w:sz w:val="21"/>
        </w:rPr>
        <w:t xml:space="preserve">LinkedIn: </w:t>
      </w:r>
      <w:r>
        <w:rPr>
          <w:rFonts w:ascii="Calibri" w:hAnsi="Calibri" w:eastAsia="Microsoft YaHei"/>
          <w:b w:val="0"/>
          <w:i w:val="0"/>
          <w:sz w:val="21"/>
        </w:rPr>
        <w:t>linkedin.com/in/haoranchen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职业概要 / Professional Summary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7+ 年金融与咨询背景，专注于企业战略、预算管理与经营分析（FP&amp;A），擅长将复杂数据转化为可执行的商业决策。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Led cross-functional teams to deliver profitability improvement, cost optimization, and KPI governance across APAC subsidiaries.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熟练使用 Excel/Power BI/SQL，能与数据团队协作构建报表与自动化分析流程；沟通风格清晰、结果导向。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工作经历 / Work Experience</w:t>
      </w:r>
    </w:p>
    <w:p>
      <w:pPr>
        <w:spacing w:before="120" w:after="40"/>
      </w:pPr>
      <w:r>
        <w:rPr>
          <w:rFonts w:ascii="Calibri" w:hAnsi="Calibri" w:eastAsia="Microsoft YaHei"/>
          <w:b/>
          <w:i w:val="0"/>
          <w:sz w:val="23"/>
        </w:rPr>
        <w:t>星河资本 / Stellar Capital  |  财务与战略经理 / Finance &amp; Strategy Manager</w:t>
      </w:r>
    </w:p>
    <w:p>
      <w:pPr>
        <w:spacing w:after="40"/>
      </w:pPr>
      <w:r>
        <w:rPr>
          <w:rFonts w:ascii="Calibri" w:hAnsi="Calibri" w:eastAsia="Microsoft YaHei"/>
          <w:b w:val="0"/>
          <w:i/>
          <w:sz w:val="21"/>
        </w:rPr>
        <w:t>台北 / Taipei  •  2022.06 – Present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负责年度预算与滚动预测（Annual Budget &amp; Rolling Forecast），覆盖 5 条业务线；将预测误差从 12% 降至 6%。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搭建经营仪表板（Power BI）与月度经营复盘机制；统一 KPI 口径并推动跨部门执行。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主导成本优化专项（Cost Take-out），通过供应链与人力结构调整，年化节省约 TWD 18M。</w:t>
      </w:r>
    </w:p>
    <w:p>
      <w:pPr>
        <w:spacing w:before="120" w:after="40"/>
      </w:pPr>
      <w:r>
        <w:rPr>
          <w:rFonts w:ascii="Calibri" w:hAnsi="Calibri" w:eastAsia="Microsoft YaHei"/>
          <w:b/>
          <w:i w:val="0"/>
          <w:sz w:val="23"/>
        </w:rPr>
        <w:t>德勤咨询 / Deloitte Consulting  |  高级顾问 / Senior Consultant</w:t>
      </w:r>
    </w:p>
    <w:p>
      <w:pPr>
        <w:spacing w:after="40"/>
      </w:pPr>
      <w:r>
        <w:rPr>
          <w:rFonts w:ascii="Calibri" w:hAnsi="Calibri" w:eastAsia="Microsoft YaHei"/>
          <w:b w:val="0"/>
          <w:i/>
          <w:sz w:val="21"/>
        </w:rPr>
        <w:t>台北 / Taipei  •  2019.03 – 2022.05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为银行与制造客户提供战略规划与运营转型咨询（Strategy &amp; Operating Model）。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主导财务共享中心评估与落地，重塑流程（P2P/O2C/R2R），平均结账周期缩短 2 天。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与 IT 团队协作进行数据集市设计，编写 SQL 指标口径并完成 UAT 与培训。</w:t>
      </w:r>
    </w:p>
    <w:p>
      <w:pPr>
        <w:spacing w:before="120" w:after="40"/>
      </w:pPr>
      <w:r>
        <w:rPr>
          <w:rFonts w:ascii="Calibri" w:hAnsi="Calibri" w:eastAsia="Microsoft YaHei"/>
          <w:b/>
          <w:i w:val="0"/>
          <w:sz w:val="23"/>
        </w:rPr>
        <w:t>国泰世华银行 / Cathay United Bank  |  管理培训生（财务）/ Management Associate (Finance)</w:t>
      </w:r>
    </w:p>
    <w:p>
      <w:pPr>
        <w:spacing w:after="40"/>
      </w:pPr>
      <w:r>
        <w:rPr>
          <w:rFonts w:ascii="Calibri" w:hAnsi="Calibri" w:eastAsia="Microsoft YaHei"/>
          <w:b w:val="0"/>
          <w:i/>
          <w:sz w:val="21"/>
        </w:rPr>
        <w:t>台北 / Taipei  •  2017.07 – 2019.02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参与资本充足率与风险加权资产（RWA）分析，支持监管报送与董事会材料。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建立分行盈利模型（Branch P&amp;L），提升产品定价与资源配置透明度。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协助自动化对账与报表整合，减少每月手工工时约 30%。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教育背景 / Education</w:t>
      </w:r>
    </w:p>
    <w:p>
      <w:pPr>
        <w:spacing w:after="20"/>
      </w:pPr>
      <w:r>
        <w:rPr>
          <w:rFonts w:ascii="Calibri" w:hAnsi="Calibri" w:eastAsia="Microsoft YaHei"/>
          <w:b/>
          <w:i w:val="0"/>
          <w:sz w:val="22"/>
        </w:rPr>
        <w:t>国立台湾大学 / National Taiwan University (NTU)</w:t>
      </w:r>
    </w:p>
    <w:p>
      <w:pPr>
        <w:spacing w:after="40"/>
      </w:pPr>
      <w:r>
        <w:rPr>
          <w:rFonts w:ascii="Calibri" w:hAnsi="Calibri" w:eastAsia="Microsoft YaHei"/>
          <w:b w:val="0"/>
          <w:i w:val="0"/>
          <w:sz w:val="21"/>
        </w:rPr>
        <w:t>MBA，财务与策略 / MBA, Finance &amp; Strategy  •  2015 – 2017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GPA 3.8/4.3；Case Competition Top 3</w:t>
      </w:r>
    </w:p>
    <w:p>
      <w:pPr>
        <w:spacing w:after="20"/>
      </w:pPr>
      <w:r>
        <w:rPr>
          <w:rFonts w:ascii="Calibri" w:hAnsi="Calibri" w:eastAsia="Microsoft YaHei"/>
          <w:b/>
          <w:i w:val="0"/>
          <w:sz w:val="22"/>
        </w:rPr>
        <w:t>国立政治大学 / National Chengchi University (NCCU)</w:t>
      </w:r>
    </w:p>
    <w:p>
      <w:pPr>
        <w:spacing w:after="40"/>
      </w:pPr>
      <w:r>
        <w:rPr>
          <w:rFonts w:ascii="Calibri" w:hAnsi="Calibri" w:eastAsia="Microsoft YaHei"/>
          <w:b w:val="0"/>
          <w:i w:val="0"/>
          <w:sz w:val="21"/>
        </w:rPr>
        <w:t>商学学士，会计学 / BBA, Accounting  •  2011 – 2015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院长名单 / Dean’s List；会计研究助理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专业技能 / Professional Skills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Financial Planning &amp; Analysis (FP&amp;A) / 预算与预测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Corporate Strategy / 企业战略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Business Case Modeling / 商业模型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Power BI &amp; Data Visualization / 数据可视化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Advanced Excel (Power Query) / 高级Excel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SQL (Oracle, PostgreSQL) / SQL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Stakeholder Management / 干系人管理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Process Optimization (Lean) / 流程优化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项目经验 / Project Experience</w:t>
      </w:r>
    </w:p>
    <w:p>
      <w:pPr>
        <w:spacing w:before="80" w:after="20"/>
      </w:pPr>
      <w:r>
        <w:rPr>
          <w:rFonts w:ascii="Calibri" w:hAnsi="Calibri" w:eastAsia="Microsoft YaHei"/>
          <w:b/>
          <w:i w:val="0"/>
          <w:sz w:val="22"/>
        </w:rPr>
        <w:t>集团 KPI 治理与经营仪表板 / KPI Governance &amp; Performance Dashboard  •  2023.01 – 2023.10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定义 30+ 核心指标口径（Revenue, GM, CAC, LTV），制定数据责任矩阵（RACI）。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将月度报表生成时间从 3 天缩短至 6 小时，并提升管理层可视化决策效率。</w:t>
      </w:r>
    </w:p>
    <w:p>
      <w:pPr>
        <w:spacing w:before="80" w:after="20"/>
      </w:pPr>
      <w:r>
        <w:rPr>
          <w:rFonts w:ascii="Calibri" w:hAnsi="Calibri" w:eastAsia="Microsoft YaHei"/>
          <w:b/>
          <w:i w:val="0"/>
          <w:sz w:val="22"/>
        </w:rPr>
        <w:t>成本优化专项 / Cost Optimization Program  •  2022.08 – 2022.12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建立成本基线与机会池，推动 12 项措施落地（vendor renegotiation, org redesign）。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实现年化节省 TWD 18M，且不影响核心交付与合规要求。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证书 / Certifications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CFA Level II Candidate / CFA 二级备考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Microsoft Power BI Data Analyst (PL-300)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语言能力 / Languages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中文 / Mandarin (Native)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English (Fluent, TOEIC 930)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兴趣爱好 / Interests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长跑 / Long-distance running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商业写作 / Business writing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咖啡烘焙 / Coffee roasting</w:t>
      </w:r>
    </w:p>
    <w:p>
      <w:pPr>
        <w:spacing w:before="200" w:after="80" w:line="276" w:lineRule="auto"/>
      </w:pPr>
      <w:r>
        <w:rPr>
          <w:rFonts w:ascii="Calibri" w:hAnsi="Calibri" w:eastAsia="Microsoft YaHei"/>
          <w:b/>
          <w:i w:val="0"/>
          <w:sz w:val="25"/>
        </w:rPr>
        <w:t>推荐人 / References</w:t>
      </w:r>
    </w:p>
    <w:p>
      <w:pPr>
        <w:pStyle w:val="ListBullet"/>
        <w:spacing w:before="0" w:after="0" w:line="276" w:lineRule="auto"/>
      </w:pPr>
      <w:r>
        <w:rPr>
          <w:rFonts w:ascii="Calibri" w:hAnsi="Calibri" w:eastAsia="Microsoft YaHei"/>
          <w:b w:val="0"/>
          <w:i w:val="0"/>
          <w:sz w:val="21"/>
        </w:rPr>
        <w:t>References available upon request / 推荐人可应要求提供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