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TC" w:hAnsi="Noto Sans CJK TC" w:eastAsia="Noto Sans CJK TC"/>
          <w:b/>
          <w:color w:val="1F4E79"/>
          <w:sz w:val="48"/>
        </w:rPr>
        <w:t>醫療 AI 智能體平台與 RAG 應用</w:t>
        <w:br/>
        <w:t>會議報告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color w:val="555555"/>
          <w:sz w:val="22"/>
        </w:rPr>
        <w:t>GPU Server｜開源工作流｜M8M 智能體平台｜Dify 替代評估｜醫療 RAG / Graph RAG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輔助診斷</w:t>
            </w:r>
          </w:p>
        </w:tc>
        <w:tc>
          <w:tcPr>
            <w:tcW w:type="dxa" w:w="2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藥品 AI 助手</w:t>
            </w:r>
          </w:p>
        </w:tc>
        <w:tc>
          <w:tcPr>
            <w:tcW w:type="dxa" w:w="2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乳腺癌 RAG</w:t>
            </w:r>
          </w:p>
        </w:tc>
        <w:tc>
          <w:tcPr>
            <w:tcW w:type="dxa" w:w="2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處方 Warning</w:t>
            </w:r>
          </w:p>
        </w:tc>
        <w:tc>
          <w:tcPr>
            <w:tcW w:type="dxa" w:w="2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Graph RAG</w:t>
            </w:r>
          </w:p>
        </w:tc>
      </w:tr>
    </w:tbl>
    <w:p>
      <w:pPr>
        <w:spacing w:before="560"/>
        <w:jc w:val="center"/>
      </w:pPr>
      <w:r>
        <w:rPr>
          <w:rFonts w:ascii="Noto Sans CJK TC" w:hAnsi="Noto Sans CJK TC" w:eastAsia="Noto Sans CJK TC"/>
          <w:color w:val="222222"/>
          <w:sz w:val="24"/>
        </w:rPr>
        <w:t>會議日期：2026/04/23</w:t>
        <w:br/>
        <w:t>整理版本：美化排版版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EEF5F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F4E79"/>
                <w:sz w:val="22"/>
              </w:rPr>
              <w:t>核心定位</w:t>
            </w:r>
          </w:p>
          <w:p>
            <w:pPr>
              <w:spacing w:before="80"/>
            </w:pPr>
            <w:r>
              <w:rPr>
                <w:rFonts w:ascii="Noto Sans CJK TC" w:hAnsi="Noto Sans CJK TC" w:eastAsia="Noto Sans CJK TC"/>
                <w:color w:val="222222"/>
                <w:sz w:val="21"/>
              </w:rPr>
              <w:t>本報告整理本次醫療健康 AI 智能體交流內容，聚焦醫生輔助診斷、藥品知識庫、藥療助理、乳腺癌 RAG 報告生成、處方 List 檢查及高準確率驗證機制，作為後續方案設計與 Demo 試點的依據。</w:t>
            </w:r>
          </w:p>
        </w:tc>
      </w:tr>
    </w:tbl>
    <w:p>
      <w:pPr>
        <w:spacing w:after="40"/>
      </w:pP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目錄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一、會議背景與總體判斷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二、平台與技術現狀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三、重點案例與業務場景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四、客戶核心需求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五、RAG / Graph RAG 技術重點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六、準確率評估與驗證機制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七、建議落地路線</w:t>
      </w:r>
    </w:p>
    <w:p>
      <w:pPr>
        <w:spacing w:before="0" w:after="4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八、後續待辦事項</w:t>
      </w: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一、會議背景與總體判斷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本次會議主要圍繞醫療健康領域的 AI 智能體平台、RAG 應用、藥品 AI 助手及輔助診斷場景展開。客戶已有 GPU Server 基礎，並曾使用 Dify 進行流程編排，但反饋在醫療場景中靈活性與易用性不足，因此希望評估更適合醫療業務落地的開源工作流及 M8M 智能體平台。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D9EA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F4E79"/>
                <w:sz w:val="22"/>
              </w:rPr>
              <w:t>總體判斷</w:t>
            </w:r>
          </w:p>
          <w:p>
            <w:pPr>
              <w:spacing w:before="80"/>
            </w:pPr>
            <w:r>
              <w:rPr>
                <w:rFonts w:ascii="Noto Sans CJK TC" w:hAnsi="Noto Sans CJK TC" w:eastAsia="Noto Sans CJK TC"/>
                <w:color w:val="222222"/>
                <w:sz w:val="21"/>
              </w:rPr>
              <w:t>客戶關注點不是單純 Chatbot，而是能否安全、準確地接入真實醫療資料，完成知識檢索、處方風險檢查、報告生成、Warning 展示及醫生 / 藥劑師協同驗證。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維度</w:t>
            </w:r>
          </w:p>
        </w:tc>
        <w:tc>
          <w:tcPr>
            <w:tcW w:type="dxa" w:w="7370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整理內容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會議日期</w:t>
            </w:r>
          </w:p>
        </w:tc>
        <w:tc>
          <w:tcPr>
            <w:tcW w:type="dxa" w:w="7370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2026/04/23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涉及角色</w:t>
            </w:r>
          </w:p>
        </w:tc>
        <w:tc>
          <w:tcPr>
            <w:tcW w:type="dxa" w:w="7370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衛生局資訊開發處長、醫療 / 藥劑業務方、技術供應商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技術環境</w:t>
            </w:r>
          </w:p>
        </w:tc>
        <w:tc>
          <w:tcPr>
            <w:tcW w:type="dxa" w:w="7370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GPU Server、NVIDIA GPU、開源模型、RAG、Graph RAG、M8M 智能體平台、Dify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關注方向</w:t>
            </w:r>
          </w:p>
        </w:tc>
        <w:tc>
          <w:tcPr>
            <w:tcW w:type="dxa" w:w="7370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輔助診斷、藥品 AI 助手、藥療助理、乳腺癌 RAG、處方 List 檢查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核心難點</w:t>
            </w:r>
          </w:p>
        </w:tc>
        <w:tc>
          <w:tcPr>
            <w:tcW w:type="dxa" w:w="7370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非結構化 PDF、智能切片、藥物相互作用、Graph RAG、準確率量化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二、平台與技術現狀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4E79"/>
        </w:rPr>
        <w:t>2.1 GPU Server 與開源智能體平台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目前方向是基於 GPU Server 建立醫療 AI 應用能力，結合開源模型、智能體工作流與 RAG 知識庫。Dify 已有實際使用經驗，但客戶認為“不太好用”，後續可評估 M8M 智能體平台在流程編排、權限控制、知識庫調試、插件接入及私有化部署方面的能力。</w:t>
      </w:r>
    </w:p>
    <w:p>
      <w:pPr>
        <w:pStyle w:val="ListBullet"/>
        <w:spacing w:after="60"/>
        <w:ind w:left="397"/>
      </w:pPr>
      <w:r>
        <w:rPr>
          <w:rFonts w:ascii="Noto Sans CJK TC" w:hAnsi="Noto Sans CJK TC" w:eastAsia="Noto Sans CJK TC"/>
          <w:sz w:val="21"/>
        </w:rPr>
        <w:t>建議將平台能力拆分為：模型服務層、工作流編排層、知識庫 / Graph RAG 層、業務應用層。</w:t>
      </w:r>
    </w:p>
    <w:p>
      <w:pPr>
        <w:pStyle w:val="ListBullet"/>
        <w:spacing w:after="60"/>
        <w:ind w:left="397"/>
      </w:pPr>
      <w:r>
        <w:rPr>
          <w:rFonts w:ascii="Noto Sans CJK TC" w:hAnsi="Noto Sans CJK TC" w:eastAsia="Noto Sans CJK TC"/>
          <w:sz w:val="21"/>
        </w:rPr>
        <w:t>醫療資料敏感，平台需支持私有化部署、權限隔離、審計日誌、引用溯源及人工審核。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4E79"/>
        </w:rPr>
        <w:t>2.2 數據中台與資料治理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會議中提到 Fastdata、Foil、Deepexi 等數據中台相關方案。後續需要明確數據中台與 AI 知識庫的分工：數據中台負責資料治理、標準化、主數據與接口；RAG / Graph RAG 負責非結構化知識檢索、語義召回與智能問答。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三、重點案例與業務場景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38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場景說明</w:t>
            </w:r>
          </w:p>
        </w:tc>
        <w:tc>
          <w:tcPr>
            <w:tcW w:type="dxa" w:w="238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關鍵能力</w:t>
            </w:r>
          </w:p>
        </w:tc>
        <w:tc>
          <w:tcPr>
            <w:tcW w:type="dxa" w:w="238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關注點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公眾就醫智能助手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面向市民提供就醫流程、服務指引及常見問題問答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Chatbot、多語種、小語種支持、約 2000 條 Testing Set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覆蓋率、回答準確率、對外口徑一致性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捐血中心智能助手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面向捐血中心提供資格、流程、注意事項等問答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捐血資格問答、流程查詢、注意事項提示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降低人工客服壓力，統一服務口徑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藥品 AI 助手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將藥品類型、訂閱藥劑庫、First DataBank 等資料建成可問答知識庫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藥物過敏、相互作用、禁忌、Warning、處方 List 檢查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非結構化資料治理、Graph RAG、切片準確率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藥療助理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支持法律層面報告、臨床課題研究及麻醉輔助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合規報告、科研資料激活、麻醉用藥輔助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醫生輔助而非自動診斷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香港理工腦部認證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疑似與腦部影像、認知評估或醫學 AI 分析相關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待補充具體資料類型與應用邊界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需確認是否屬科研案例或臨床案例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乳腺癌 RAG 報告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客戶希望以乳腺癌專病作為 RAG 報告生成場景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專病知識庫、報告生成、引用來源、醫生確認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適合作為高價值 Demo 試點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四、客戶核心需求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4E79"/>
        </w:rPr>
        <w:t>4.1 輔助診斷：給醫生使用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輔助診斷場景應明確定位為“醫生輔助工具”，用於協助醫生快速查找資料、整理病歷與檢查報告、生成初步分析或科研材料，不應直接替代醫生做診斷結論。</w:t>
      </w:r>
    </w:p>
    <w:p>
      <w:pPr>
        <w:pStyle w:val="ListBullet"/>
        <w:spacing w:after="60"/>
        <w:ind w:left="397"/>
      </w:pPr>
      <w:r>
        <w:rPr>
          <w:rFonts w:ascii="Noto Sans CJK TC" w:hAnsi="Noto Sans CJK TC" w:eastAsia="Noto Sans CJK TC"/>
          <w:sz w:val="21"/>
        </w:rPr>
        <w:t>支持病歷、檢查報告、影像描述、歷史案例等資料查詢。</w:t>
      </w:r>
    </w:p>
    <w:p>
      <w:pPr>
        <w:pStyle w:val="ListBullet"/>
        <w:spacing w:after="60"/>
        <w:ind w:left="397"/>
      </w:pPr>
      <w:r>
        <w:rPr>
          <w:rFonts w:ascii="Noto Sans CJK TC" w:hAnsi="Noto Sans CJK TC" w:eastAsia="Noto Sans CJK TC"/>
          <w:sz w:val="21"/>
        </w:rPr>
        <w:t>支持臨床醫師課題研究，激活過往沉澱的圖片與報告資料。</w:t>
      </w:r>
    </w:p>
    <w:p>
      <w:pPr>
        <w:pStyle w:val="ListBullet"/>
        <w:spacing w:after="60"/>
        <w:ind w:left="397"/>
      </w:pPr>
      <w:r>
        <w:rPr>
          <w:rFonts w:ascii="Noto Sans CJK TC" w:hAnsi="Noto Sans CJK TC" w:eastAsia="Noto Sans CJK TC"/>
          <w:sz w:val="21"/>
        </w:rPr>
        <w:t>輸出結果需可追溯、可引用、可由醫生確認。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1F4E79"/>
        </w:rPr>
        <w:t>4.2 處方 List 檢查與 Warning 展示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處方 List 檢查是藥品 AI 助手的重要場景。系統需要根據患者用藥、過敏史、藥物相互作用、禁忌症等資料生成 Warning。醫生可基於臨床判斷 pass warning，但藥劑師端必須完整展示所有 warning，不能被模型簡化或隱藏。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02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使用邏輯</w:t>
            </w:r>
          </w:p>
        </w:tc>
        <w:tc>
          <w:tcPr>
            <w:tcW w:type="dxa" w:w="3969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系統要求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醫生</w:t>
            </w:r>
          </w:p>
        </w:tc>
        <w:tc>
          <w:tcPr>
            <w:tcW w:type="dxa" w:w="3402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可查看 Warning，並基於臨床判斷 pass warning</w:t>
            </w:r>
          </w:p>
        </w:tc>
        <w:tc>
          <w:tcPr>
            <w:tcW w:type="dxa" w:w="396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保留 pass 原因與審查記錄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藥劑師</w:t>
            </w:r>
          </w:p>
        </w:tc>
        <w:tc>
          <w:tcPr>
            <w:tcW w:type="dxa" w:w="3402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必須完整查看所有 Warning</w:t>
            </w:r>
          </w:p>
        </w:tc>
        <w:tc>
          <w:tcPr>
            <w:tcW w:type="dxa" w:w="3969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完整展示，不得漏報或被模型摘要隱藏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系統</w:t>
            </w:r>
          </w:p>
        </w:tc>
        <w:tc>
          <w:tcPr>
            <w:tcW w:type="dxa" w:w="3402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負責檢查處方 List、過敏、相互作用與禁忌</w:t>
            </w:r>
          </w:p>
        </w:tc>
        <w:tc>
          <w:tcPr>
            <w:tcW w:type="dxa" w:w="396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所有 Warning 需具備來源、級別、時間與處理狀態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/>
          <w:b/>
          <w:color w:val="1F4E79"/>
        </w:rPr>
        <w:t>4.3 藥品資料庫與 First DataBank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客戶已有藥品類型、訂閱資料庫、世界性藥劑庫，以及目前局方使用的 First DataBank。難點在於如何將藥物過敏、相互作用、禁忌、人群限制、處方規則等結構化為可計算、可檢索、可追溯的 Graph RAG 知識網絡。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五、RAG / Graph RAG 技術重點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技術方向</w:t>
            </w:r>
          </w:p>
        </w:tc>
        <w:tc>
          <w:tcPr>
            <w:tcW w:type="dxa" w:w="2835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適用內容</w:t>
            </w:r>
          </w:p>
        </w:tc>
        <w:tc>
          <w:tcPr>
            <w:tcW w:type="dxa" w:w="2268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主要價值</w:t>
            </w:r>
          </w:p>
        </w:tc>
        <w:tc>
          <w:tcPr>
            <w:tcW w:type="dxa" w:w="2268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風險控制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普通 RAG</w:t>
            </w:r>
          </w:p>
        </w:tc>
        <w:tc>
          <w:tcPr>
            <w:tcW w:type="dxa" w:w="2835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指南、制度、PDF、藥品說明書、問答資料</w:t>
            </w:r>
          </w:p>
        </w:tc>
        <w:tc>
          <w:tcPr>
            <w:tcW w:type="dxa" w:w="226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快速建設知識問答與報告生成能力</w:t>
            </w:r>
          </w:p>
        </w:tc>
        <w:tc>
          <w:tcPr>
            <w:tcW w:type="dxa" w:w="226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必須保留引用來源，回答不可超出依據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Graph RAG</w:t>
            </w:r>
          </w:p>
        </w:tc>
        <w:tc>
          <w:tcPr>
            <w:tcW w:type="dxa" w:w="2835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藥品、成分、疾病、患者、處方、Warning 之間的關係</w:t>
            </w:r>
          </w:p>
        </w:tc>
        <w:tc>
          <w:tcPr>
            <w:tcW w:type="dxa" w:w="226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處理藥物相互作用、過敏、禁忌與風險關聯</w:t>
            </w:r>
          </w:p>
        </w:tc>
        <w:tc>
          <w:tcPr>
            <w:tcW w:type="dxa" w:w="226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圖譜規則需人工審核，不可完全依賴模型抽取</w:t>
            </w:r>
          </w:p>
        </w:tc>
      </w:tr>
      <w:tr>
        <w:tc>
          <w:tcPr>
            <w:tcW w:type="dxa" w:w="170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智能切片</w:t>
            </w:r>
          </w:p>
        </w:tc>
        <w:tc>
          <w:tcPr>
            <w:tcW w:type="dxa" w:w="2835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20 年 PDF、表格、圖片文字、指南章節</w:t>
            </w:r>
          </w:p>
        </w:tc>
        <w:tc>
          <w:tcPr>
            <w:tcW w:type="dxa" w:w="226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提升召回準確率與引用粒度</w:t>
            </w:r>
          </w:p>
        </w:tc>
        <w:tc>
          <w:tcPr>
            <w:tcW w:type="dxa" w:w="226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需建立切片質檢與人工抽樣校驗</w:t>
            </w:r>
          </w:p>
        </w:tc>
      </w:tr>
      <w:tr>
        <w:tc>
          <w:tcPr>
            <w:tcW w:type="dxa" w:w="170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智能體工作流</w:t>
            </w:r>
          </w:p>
        </w:tc>
        <w:tc>
          <w:tcPr>
            <w:tcW w:type="dxa" w:w="2835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報告生成、處方審核、科研檢索、問答流程</w:t>
            </w:r>
          </w:p>
        </w:tc>
        <w:tc>
          <w:tcPr>
            <w:tcW w:type="dxa" w:w="226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將多步流程標準化、自動化</w:t>
            </w:r>
          </w:p>
        </w:tc>
        <w:tc>
          <w:tcPr>
            <w:tcW w:type="dxa" w:w="226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每個關鍵節點需有人工確認或審批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030A0"/>
          <w:left w:val="single" w:sz="8" w:space="0" w:color="7030A0"/>
          <w:bottom w:val="single" w:sz="8" w:space="0" w:color="7030A0"/>
          <w:right w:val="single" w:sz="8" w:space="0" w:color="7030A0"/>
          <w:insideH w:val="single" w:sz="8" w:space="0" w:color="7030A0"/>
          <w:insideV w:val="single" w:sz="8" w:space="0" w:color="7030A0"/>
        </w:tblBorders>
      </w:tblPr>
      <w:tblGrid>
        <w:gridCol w:w="10200"/>
      </w:tblGrid>
      <w:tr>
        <w:tc>
          <w:tcPr>
            <w:tcW w:type="dxa" w:w="10200"/>
            <w:shd w:fill="E4DFE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7030A0"/>
                <w:sz w:val="22"/>
              </w:rPr>
              <w:t>Graph RAG 建議</w:t>
            </w:r>
          </w:p>
          <w:p>
            <w:pPr>
              <w:spacing w:before="80"/>
            </w:pPr>
            <w:r>
              <w:rPr>
                <w:rFonts w:ascii="Noto Sans CJK TC" w:hAnsi="Noto Sans CJK TC" w:eastAsia="Noto Sans CJK TC"/>
                <w:color w:val="222222"/>
                <w:sz w:val="21"/>
              </w:rPr>
              <w:t>藥品 AI 助手不宜只做文本 RAG。藥物相互作用、過敏、禁忌、適應症和 Warning 屬於強關係型知識，建議建立“藥品—成分—疾病—患者—處方—Warning”的圖譜模型，再由 RAG 負責文獻依據與說明生成。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六、準確率評估與驗證機制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客戶關注高精確部分，甚至希望達到接近 100%。建議不要直接承諾“模型 100% 準確”，而是將準確率拆解為可衡量、可驗證、可逐步提升的指標。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3400"/>
        <w:gridCol w:w="3400"/>
        <w:gridCol w:w="3400"/>
      </w:tblGrid>
      <w:tr>
        <w:tc>
          <w:tcPr>
            <w:tcW w:type="dxa" w:w="1984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評估指標</w:t>
            </w:r>
          </w:p>
        </w:tc>
        <w:tc>
          <w:tcPr>
            <w:tcW w:type="dxa" w:w="3402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定義</w:t>
            </w:r>
          </w:p>
        </w:tc>
        <w:tc>
          <w:tcPr>
            <w:tcW w:type="dxa" w:w="3685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驗證方式</w:t>
            </w:r>
          </w:p>
        </w:tc>
      </w:tr>
      <w:tr>
        <w:tc>
          <w:tcPr>
            <w:tcW w:type="dxa" w:w="198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知識庫覆蓋率</w:t>
            </w:r>
          </w:p>
        </w:tc>
        <w:tc>
          <w:tcPr>
            <w:tcW w:type="dxa" w:w="3402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測試問題所需知識點是否已存在於知識庫</w:t>
            </w:r>
          </w:p>
        </w:tc>
        <w:tc>
          <w:tcPr>
            <w:tcW w:type="dxa" w:w="3685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建立標準問題集與來源文件對照表</w:t>
            </w:r>
          </w:p>
        </w:tc>
      </w:tr>
      <w:tr>
        <w:tc>
          <w:tcPr>
            <w:tcW w:type="dxa" w:w="198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檢索召回率</w:t>
            </w:r>
          </w:p>
        </w:tc>
        <w:tc>
          <w:tcPr>
            <w:tcW w:type="dxa" w:w="3402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Top-K 檢索結果是否包含正確來源切片</w:t>
            </w:r>
          </w:p>
        </w:tc>
        <w:tc>
          <w:tcPr>
            <w:tcW w:type="dxa" w:w="3685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對約 2000 條 testing set 做召回評估</w:t>
            </w:r>
          </w:p>
        </w:tc>
      </w:tr>
      <w:tr>
        <w:tc>
          <w:tcPr>
            <w:tcW w:type="dxa" w:w="198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答案準確率</w:t>
            </w:r>
          </w:p>
        </w:tc>
        <w:tc>
          <w:tcPr>
            <w:tcW w:type="dxa" w:w="3402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生成內容是否符合來源文件，是否有幻覺</w:t>
            </w:r>
          </w:p>
        </w:tc>
        <w:tc>
          <w:tcPr>
            <w:tcW w:type="dxa" w:w="3685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醫生 / 藥劑師人工審核</w:t>
            </w:r>
          </w:p>
        </w:tc>
      </w:tr>
      <w:tr>
        <w:tc>
          <w:tcPr>
            <w:tcW w:type="dxa" w:w="198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Warning 準確率</w:t>
            </w:r>
          </w:p>
        </w:tc>
        <w:tc>
          <w:tcPr>
            <w:tcW w:type="dxa" w:w="3402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是否漏報或誤報相互作用、過敏、禁忌</w:t>
            </w:r>
          </w:p>
        </w:tc>
        <w:tc>
          <w:tcPr>
            <w:tcW w:type="dxa" w:w="3685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與規則庫 / First DataBank / 專家標註比對</w:t>
            </w:r>
          </w:p>
        </w:tc>
      </w:tr>
      <w:tr>
        <w:tc>
          <w:tcPr>
            <w:tcW w:type="dxa" w:w="198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人工確認通過率</w:t>
            </w:r>
          </w:p>
        </w:tc>
        <w:tc>
          <w:tcPr>
            <w:tcW w:type="dxa" w:w="3402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User 層確認後可直接使用的比例</w:t>
            </w:r>
          </w:p>
        </w:tc>
        <w:tc>
          <w:tcPr>
            <w:tcW w:type="dxa" w:w="3685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建立確認、修訂、退回和錯誤分類流程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65911"/>
          <w:left w:val="single" w:sz="8" w:space="0" w:color="C65911"/>
          <w:bottom w:val="single" w:sz="8" w:space="0" w:color="C65911"/>
          <w:right w:val="single" w:sz="8" w:space="0" w:color="C65911"/>
          <w:insideH w:val="single" w:sz="8" w:space="0" w:color="C65911"/>
          <w:insideV w:val="single" w:sz="8" w:space="0" w:color="C65911"/>
        </w:tblBorders>
      </w:tblPr>
      <w:tblGrid>
        <w:gridCol w:w="10200"/>
      </w:tblGrid>
      <w:tr>
        <w:tc>
          <w:tcPr>
            <w:tcW w:type="dxa" w:w="10200"/>
            <w:shd w:fill="FCE4D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C65911"/>
                <w:sz w:val="22"/>
              </w:rPr>
              <w:t>準確率口徑建議</w:t>
            </w:r>
          </w:p>
          <w:p>
            <w:pPr>
              <w:spacing w:before="80"/>
            </w:pPr>
            <w:r>
              <w:rPr>
                <w:rFonts w:ascii="Noto Sans CJK TC" w:hAnsi="Noto Sans CJK TC" w:eastAsia="Noto Sans CJK TC"/>
                <w:color w:val="222222"/>
                <w:sz w:val="21"/>
              </w:rPr>
              <w:t>對外建議使用“可驗證準確率”“人工確認通過率”“引用命中率”“Warning 漏報率 / 誤報率”等指標，不建議承諾無條件 100% 準確。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七、建議落地路線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4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3118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2381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輸出成果</w:t>
            </w:r>
          </w:p>
        </w:tc>
      </w:tr>
      <w:tr>
        <w:tc>
          <w:tcPr>
            <w:tcW w:type="dxa" w:w="181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第一階段：場景收斂</w:t>
            </w:r>
          </w:p>
        </w:tc>
        <w:tc>
          <w:tcPr>
            <w:tcW w:type="dxa" w:w="204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選定 1–2 個可驗證試點</w:t>
            </w:r>
          </w:p>
        </w:tc>
        <w:tc>
          <w:tcPr>
            <w:tcW w:type="dxa" w:w="311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建議優先選藥品 AI 助手 / 處方 List 檢查，或乳腺癌 RAG 報告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試點場景範圍、數據清單、評估指標</w:t>
            </w:r>
          </w:p>
        </w:tc>
      </w:tr>
      <w:tr>
        <w:tc>
          <w:tcPr>
            <w:tcW w:type="dxa" w:w="181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第二階段：資料治理</w:t>
            </w:r>
          </w:p>
        </w:tc>
        <w:tc>
          <w:tcPr>
            <w:tcW w:type="dxa" w:w="204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完成樣本資料接入與清洗</w:t>
            </w:r>
          </w:p>
        </w:tc>
        <w:tc>
          <w:tcPr>
            <w:tcW w:type="dxa" w:w="311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整理 PDF、藥品庫、處方資料、First DataBank 映射與切片規則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知識庫樣本、切片規則、來源追溯</w:t>
            </w:r>
          </w:p>
        </w:tc>
      </w:tr>
      <w:tr>
        <w:tc>
          <w:tcPr>
            <w:tcW w:type="dxa" w:w="181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第三階段：Demo 建設</w:t>
            </w:r>
          </w:p>
        </w:tc>
        <w:tc>
          <w:tcPr>
            <w:tcW w:type="dxa" w:w="204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搭建可演示工作流</w:t>
            </w:r>
          </w:p>
        </w:tc>
        <w:tc>
          <w:tcPr>
            <w:tcW w:type="dxa" w:w="311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使用 M8M / 開源工作流、RAG、Graph RAG、模型服務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問答 Demo、報告 Demo、Warning Demo</w:t>
            </w:r>
          </w:p>
        </w:tc>
      </w:tr>
      <w:tr>
        <w:tc>
          <w:tcPr>
            <w:tcW w:type="dxa" w:w="181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第四階段：測試驗證</w:t>
            </w:r>
          </w:p>
        </w:tc>
        <w:tc>
          <w:tcPr>
            <w:tcW w:type="dxa" w:w="204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建立準確率與人工驗證機制</w:t>
            </w:r>
          </w:p>
        </w:tc>
        <w:tc>
          <w:tcPr>
            <w:tcW w:type="dxa" w:w="3118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使用約 2000 條 testing set 或業務樣本進行測試</w:t>
            </w:r>
          </w:p>
        </w:tc>
        <w:tc>
          <w:tcPr>
            <w:tcW w:type="dxa" w:w="2381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測試報告、錯誤分類、改進清單</w:t>
            </w:r>
          </w:p>
        </w:tc>
      </w:tr>
      <w:tr>
        <w:tc>
          <w:tcPr>
            <w:tcW w:type="dxa" w:w="181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第五階段：擴展落地</w:t>
            </w:r>
          </w:p>
        </w:tc>
        <w:tc>
          <w:tcPr>
            <w:tcW w:type="dxa" w:w="204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由單場景擴展到多場景</w:t>
            </w:r>
          </w:p>
        </w:tc>
        <w:tc>
          <w:tcPr>
            <w:tcW w:type="dxa" w:w="3118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擴充病種、藥品、角色權限、審計與平台管理能力</w:t>
            </w:r>
          </w:p>
        </w:tc>
        <w:tc>
          <w:tcPr>
            <w:tcW w:type="dxa" w:w="2381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醫療 AI 智能體平台初版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八、後續待辦事項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序號</w:t>
            </w:r>
          </w:p>
        </w:tc>
        <w:tc>
          <w:tcPr>
            <w:tcW w:type="dxa" w:w="2324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待辦事項</w:t>
            </w:r>
          </w:p>
        </w:tc>
        <w:tc>
          <w:tcPr>
            <w:tcW w:type="dxa" w:w="4649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134"/>
            <w:shd w:fill="1F4E79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優先級</w:t>
            </w:r>
          </w:p>
        </w:tc>
      </w:tr>
      <w:tr>
        <w:tc>
          <w:tcPr>
            <w:tcW w:type="dxa" w:w="737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32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確認優先試點場景</w:t>
            </w:r>
          </w:p>
        </w:tc>
        <w:tc>
          <w:tcPr>
            <w:tcW w:type="dxa" w:w="464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建議在“藥品 AI 助手 / 處方 List 檢查”與“乳腺癌 RAG 報告”中選一個先做 Demo</w:t>
            </w:r>
          </w:p>
        </w:tc>
        <w:tc>
          <w:tcPr>
            <w:tcW w:type="dxa" w:w="113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737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32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梳理資料來源</w:t>
            </w:r>
          </w:p>
        </w:tc>
        <w:tc>
          <w:tcPr>
            <w:tcW w:type="dxa" w:w="4649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確認 20 年 PDF、First DataBank、世界藥劑庫、處方資料、圖片資料的可用性</w:t>
            </w:r>
          </w:p>
        </w:tc>
        <w:tc>
          <w:tcPr>
            <w:tcW w:type="dxa" w:w="113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737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32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設計智能切片方案</w:t>
            </w:r>
          </w:p>
        </w:tc>
        <w:tc>
          <w:tcPr>
            <w:tcW w:type="dxa" w:w="464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針對 PDF、表格、指南、藥品說明書和圖片資料制定切片規則</w:t>
            </w:r>
          </w:p>
        </w:tc>
        <w:tc>
          <w:tcPr>
            <w:tcW w:type="dxa" w:w="113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737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32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設計 Graph RAG 模型</w:t>
            </w:r>
          </w:p>
        </w:tc>
        <w:tc>
          <w:tcPr>
            <w:tcW w:type="dxa" w:w="4649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定義藥品、成分、疾病、患者、處方、Warning 等實體和關係</w:t>
            </w:r>
          </w:p>
        </w:tc>
        <w:tc>
          <w:tcPr>
            <w:tcW w:type="dxa" w:w="113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737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32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建立測試集與標準答案</w:t>
            </w:r>
          </w:p>
        </w:tc>
        <w:tc>
          <w:tcPr>
            <w:tcW w:type="dxa" w:w="464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可參考約 2000 條 testing set，由 user 層和專家共同確認</w:t>
            </w:r>
          </w:p>
        </w:tc>
        <w:tc>
          <w:tcPr>
            <w:tcW w:type="dxa" w:w="113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737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32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評估 M8M 與 Dify 差異</w:t>
            </w:r>
          </w:p>
        </w:tc>
        <w:tc>
          <w:tcPr>
            <w:tcW w:type="dxa" w:w="4649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對比流程編排、權限、知識庫調試、插件和私有化部署能力</w:t>
            </w:r>
          </w:p>
        </w:tc>
        <w:tc>
          <w:tcPr>
            <w:tcW w:type="dxa" w:w="113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中</w:t>
            </w:r>
          </w:p>
        </w:tc>
      </w:tr>
      <w:tr>
        <w:tc>
          <w:tcPr>
            <w:tcW w:type="dxa" w:w="737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32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形成 GPU Server 部署建議</w:t>
            </w:r>
          </w:p>
        </w:tc>
        <w:tc>
          <w:tcPr>
            <w:tcW w:type="dxa" w:w="4649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補充模型選型、N 卡配置、併發、成本和維護方案</w:t>
            </w:r>
          </w:p>
        </w:tc>
        <w:tc>
          <w:tcPr>
            <w:tcW w:type="dxa" w:w="1134"/>
            <w:shd w:fill="FFFFFF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中</w:t>
            </w:r>
          </w:p>
        </w:tc>
      </w:tr>
      <w:tr>
        <w:tc>
          <w:tcPr>
            <w:tcW w:type="dxa" w:w="737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32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明確醫生 / 藥劑師流程</w:t>
            </w:r>
          </w:p>
        </w:tc>
        <w:tc>
          <w:tcPr>
            <w:tcW w:type="dxa" w:w="4649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醫生可 pass warning，藥劑師必須完整查看所有 warning</w:t>
            </w:r>
          </w:p>
        </w:tc>
        <w:tc>
          <w:tcPr>
            <w:tcW w:type="dxa" w:w="1134"/>
            <w:shd w:fill="F2F6FA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/>
          <w:b/>
          <w:color w:val="1F4E79"/>
        </w:rPr>
        <w:t>結論</w:t>
      </w:r>
    </w:p>
    <w:p>
      <w:pPr>
        <w:spacing w:before="0" w:after="120" w:line="283" w:lineRule="auto"/>
      </w:pPr>
      <w:r>
        <w:rPr>
          <w:rFonts w:ascii="Noto Sans CJK TC" w:hAnsi="Noto Sans CJK TC" w:eastAsia="Noto Sans CJK TC"/>
          <w:color w:val="222222"/>
          <w:sz w:val="21"/>
        </w:rPr>
        <w:t>本次會議顯示，客戶對醫療 AI 的需求已從“智能問答”升級到“可驗證、可追溯、可融入醫療流程”的智能體平台能力。建議後續以藥品 AI 助手或乳腺癌 RAG 報告作為切入點，先做小範圍高質量 Demo，再逐步擴展到完整的醫療 AI 智能體平台。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200"/>
      </w:tblGrid>
      <w:tr>
        <w:tc>
          <w:tcPr>
            <w:tcW w:type="dxa" w:w="10200"/>
            <w:shd w:fill="E2F0D9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548235"/>
                <w:sz w:val="22"/>
              </w:rPr>
              <w:t>建議下一步</w:t>
            </w:r>
          </w:p>
          <w:p>
            <w:pPr>
              <w:spacing w:before="80"/>
            </w:pPr>
            <w:r>
              <w:rPr>
                <w:rFonts w:ascii="Noto Sans CJK TC" w:hAnsi="Noto Sans CJK TC" w:eastAsia="Noto Sans CJK TC"/>
                <w:color w:val="222222"/>
                <w:sz w:val="21"/>
              </w:rPr>
              <w:t>先選定一個高價值、資料可控、容易驗證的試點場景；同步建立資料清單、測試集、準確率指標與人工審核流程，避免只做展示型 Chatbot。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F7F7F"/>
        <w:sz w:val="17"/>
      </w:rPr>
      <w:t>內部討論稿｜2026/04/23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F7F7F"/>
        <w:sz w:val="17"/>
      </w:rPr>
      <w:t>醫療 AI 智能體平台與 RAG 應用會議報告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24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