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MARCH CONTABILIDADE E ASSESSORIA TRIBUTARIA</w:t>
      </w:r>
    </w:p>
    <w:p>
      <w:pPr>
        <w:spacing w:after="480"/>
        <w:jc w:val="center"/>
      </w:pPr>
      <w:r>
        <w:rPr>
          <w:rFonts w:ascii="Arial" w:hAnsi="Arial"/>
          <w:i/>
          <w:sz w:val="20"/>
        </w:rPr>
        <w:t>Auditoria Tecnica de Ferramentas de Terceiros</w:t>
      </w:r>
    </w:p>
    <w:p>
      <w:pPr>
        <w:spacing w:after="360"/>
        <w:jc w:val="center"/>
      </w:pPr>
      <w:r>
        <w:rPr>
          <w:rFonts w:ascii="Arial" w:hAnsi="Arial"/>
          <w:b/>
          <w:sz w:val="28"/>
        </w:rPr>
        <w:t>RELATORIO DE AUDITORIA</w:t>
        <w:br/>
        <w:t>Pacote 57 Agents Advocacia e 57 Agents Contabilidade</w:t>
        <w:br/>
        <w:t>Fornecedor: ASV Digital / Bravy</w:t>
      </w:r>
    </w:p>
    <w:p>
      <w:pPr>
        <w:spacing w:after="120" w:line="360" w:lineRule="auto"/>
        <w:jc w:val="right"/>
      </w:pPr>
      <w:r>
        <w:rPr>
          <w:rFonts w:ascii="Arial" w:hAnsi="Arial"/>
          <w:b w:val="0"/>
          <w:sz w:val="20"/>
        </w:rPr>
        <w:t>Data: 09/08/2026</w:t>
      </w:r>
    </w:p>
    <w:p>
      <w:pPr>
        <w:spacing w:after="360" w:line="360" w:lineRule="auto"/>
        <w:jc w:val="right"/>
      </w:pPr>
      <w:r>
        <w:rPr>
          <w:rFonts w:ascii="Arial" w:hAnsi="Arial"/>
          <w:b w:val="0"/>
          <w:sz w:val="20"/>
        </w:rPr>
        <w:t>Responsavel: Higor Noleto - Diretor Tecnico</w:t>
      </w:r>
    </w:p>
    <w:p>
      <w:pPr>
        <w:spacing w:before="240" w:after="120"/>
        <w:jc w:val="left"/>
      </w:pPr>
      <w:r>
        <w:rPr>
          <w:rFonts w:ascii="Arial" w:hAnsi="Arial"/>
          <w:b/>
          <w:sz w:val="28"/>
        </w:rPr>
        <w:t>1. OBJETIVO E ESCOPO</w:t>
      </w:r>
    </w:p>
    <w:p>
      <w:pPr>
        <w:spacing w:after="120" w:line="360" w:lineRule="auto"/>
      </w:pPr>
      <w:r>
        <w:rPr>
          <w:rFonts w:ascii="Arial" w:hAnsi="Arial"/>
          <w:b w:val="0"/>
          <w:sz w:val="22"/>
        </w:rPr>
        <w:t>Este relatorio consolida a auditoria tecnica dos pacotes 57 Agents Advocacia e 57 Agents Contabilidade, comercializados por ASV Digital sob a marca Bravy e adquiridos por este escritorio. O objetivo e triplo: (i) identificar toda vinculacao operacional e comercial entre os agentes e o revendedor, (ii) avaliar risco de dependencia externa, telemetria e vazamento de dados de clientes, e (iii) recomendar o aproveitamento util na rotina da March Contabilidade em complemento a Plataforma Contabil ja em uso.</w:t>
      </w:r>
    </w:p>
    <w:p>
      <w:pPr>
        <w:spacing w:before="240" w:after="120"/>
        <w:jc w:val="left"/>
      </w:pPr>
      <w:r>
        <w:rPr>
          <w:rFonts w:ascii="Arial" w:hAnsi="Arial"/>
          <w:b/>
          <w:sz w:val="28"/>
        </w:rPr>
        <w:t>2. IDENTIFICACAO DO FORNECEDOR E LICENCA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7130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2"/>
            <w:shd w:val="clear" w:color="auto" w:fill="17130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Fornecedor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ASV Digital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Marca comercial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Bravy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Canal de suporte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produtos@asv.digital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Catalogo publico Advocacia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github.com/asv-digital/agents-advogados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Catalogo publico Contabilidade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github.com/asv-digital/agents-contabilidade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Modelo de distribuicao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Arquivos .zip por agente, cada um contendo um prompt .md + guia de instalacao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Licenca declarada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Uso permitido para clientes ASV Digital / Bravy. Nao redistribuir sem autorizacao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Modelo tecnico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Subagentes do Claude Code — executam localmente na maquina do assinante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Contagem total</w:t>
            </w:r>
          </w:p>
        </w:tc>
        <w:tc>
          <w:tcPr>
            <w:tcW w:type="dxa" w:w="4702"/>
          </w:tcPr>
          <w:p>
            <w:r/>
            <w:r>
              <w:rPr>
                <w:rFonts w:ascii="Arial" w:hAnsi="Arial"/>
                <w:sz w:val="20"/>
              </w:rPr>
              <w:t>114 agentes: 57 na area juridica e 57 na area contabil</w:t>
            </w:r>
          </w:p>
        </w:tc>
      </w:tr>
    </w:tbl>
    <w:p>
      <w:pPr>
        <w:spacing w:before="240" w:after="120"/>
        <w:jc w:val="left"/>
      </w:pPr>
      <w:r>
        <w:rPr>
          <w:rFonts w:ascii="Arial" w:hAnsi="Arial"/>
          <w:b/>
          <w:sz w:val="28"/>
        </w:rPr>
        <w:t>3. METODOLOGIA DA AUDITORIA</w:t>
      </w:r>
    </w:p>
    <w:p>
      <w:pPr>
        <w:spacing w:after="120" w:line="360" w:lineRule="auto"/>
      </w:pPr>
      <w:r>
        <w:rPr>
          <w:rFonts w:ascii="Arial" w:hAnsi="Arial"/>
          <w:b w:val="0"/>
          <w:sz w:val="22"/>
        </w:rPr>
        <w:t>A analise combinou tres tecnicas complementares aplicadas ao conteudo integral dos 114 prompts:</w:t>
      </w:r>
    </w:p>
    <w:p>
      <w:pPr>
        <w:spacing w:after="60" w:line="312" w:lineRule="auto"/>
        <w:ind w:left="567"/>
      </w:pPr>
      <w:r>
        <w:rPr>
          <w:rFonts w:ascii="Arial" w:hAnsi="Arial"/>
          <w:sz w:val="22"/>
        </w:rPr>
        <w:t>- Sweep programatico com grep para mapear URLs externas, chamadas de rede (curl, wget, requests), instalacao de pacotes, escrita em paths sensiveis, envio de variaveis de ambiente e envio de dados por e-mail (SMTP).</w:t>
      </w:r>
    </w:p>
    <w:p>
      <w:pPr>
        <w:spacing w:after="60" w:line="312" w:lineRule="auto"/>
        <w:ind w:left="567"/>
      </w:pPr>
      <w:r>
        <w:rPr>
          <w:rFonts w:ascii="Arial" w:hAnsi="Arial"/>
          <w:sz w:val="22"/>
        </w:rPr>
        <w:t>- Inspecao do frontmatter YAML de cada agente para catalogar ferramentas (tools) autorizadas, modelo de linguagem exigido e permissoes solicitadas.</w:t>
      </w:r>
    </w:p>
    <w:p>
      <w:pPr>
        <w:spacing w:after="60" w:line="312" w:lineRule="auto"/>
        <w:ind w:left="567"/>
      </w:pPr>
      <w:r>
        <w:rPr>
          <w:rFonts w:ascii="Arial" w:hAnsi="Arial"/>
          <w:sz w:val="22"/>
        </w:rPr>
        <w:t>- Leitura amostral do conteudo integral dos prompts em blocos representativos das categorias criticas (conciliacao bancaria, ECF/ECD, DCTFWeb, monitor DJEN) para verificar cross-reference com a Plataforma Contabil da March.</w:t>
      </w:r>
    </w:p>
    <w:p>
      <w:pPr>
        <w:spacing w:before="240" w:after="120"/>
        <w:jc w:val="left"/>
      </w:pPr>
      <w:r>
        <w:rPr>
          <w:rFonts w:ascii="Arial" w:hAnsi="Arial"/>
          <w:b/>
          <w:sz w:val="28"/>
        </w:rPr>
        <w:t>4. AUDITORIA DE VINCULOS COM O REVENDEDOR</w:t>
      </w:r>
    </w:p>
    <w:p>
      <w:pPr>
        <w:spacing w:before="240" w:after="120"/>
      </w:pPr>
      <w:r>
        <w:rPr>
          <w:rFonts w:ascii="Arial" w:hAnsi="Arial"/>
          <w:b/>
          <w:sz w:val="24"/>
        </w:rPr>
        <w:t>4.1. Vinculos textuais encontrados dentro dos artefatos</w:t>
      </w:r>
    </w:p>
    <w:p>
      <w:pPr>
        <w:spacing w:after="120" w:line="360" w:lineRule="auto"/>
      </w:pPr>
      <w:r>
        <w:rPr>
          <w:rFonts w:ascii="Arial" w:hAnsi="Arial"/>
          <w:b w:val="0"/>
          <w:sz w:val="22"/>
        </w:rPr>
        <w:t>A varredura no conteudo dos 114 prompts identificou apenas 4 pontos textuais que vinculam o material ao revendedor. Todos sao passivos (nao afetam execucao ou trafego de dados). Nenhum callback, autenticacao ou sinalizacao remota foi encontrado.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7130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Local</w:t>
            </w:r>
          </w:p>
        </w:tc>
        <w:tc>
          <w:tcPr>
            <w:tcW w:type="dxa" w:w="3135"/>
            <w:shd w:val="clear" w:color="auto" w:fill="17130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Conteudo</w:t>
            </w:r>
          </w:p>
        </w:tc>
        <w:tc>
          <w:tcPr>
            <w:tcW w:type="dxa" w:w="3135"/>
            <w:shd w:val="clear" w:color="auto" w:fill="17130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README de ambos os pacotes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Clausula de licenca: uso permitido para clientes ASV Digital / Bravy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Contratual — nao afeta operacao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COMO-INSTALAR.md de cada agente (114 arquivos)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Link do catalogo no GitHub e e-mail produtos@asv.digital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Documentacao — texto estatico, nao executavel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02-lembrete-prazo (advocacia), linha 140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Assinatura PRODID: Bravy Advocacia embutida em arquivo iCalendar gerado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Cada arquivo .ics gerado carrega essa marca no cabecalho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01-apuracao-simples-nacional (contabilidade), linha 192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Frase motivacional dentro do prompt: Cliente da Bravy nao recebe meio-trabalho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Reforca marca no comportamento do modelo, sem efeito tecnico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sz w:val="24"/>
        </w:rPr>
        <w:t>4.2. Chamadas de rede identificadas</w:t>
      </w:r>
    </w:p>
    <w:p>
      <w:pPr>
        <w:spacing w:after="120" w:line="360" w:lineRule="auto"/>
      </w:pPr>
      <w:r>
        <w:rPr>
          <w:rFonts w:ascii="Arial" w:hAnsi="Arial"/>
          <w:b w:val="0"/>
          <w:sz w:val="22"/>
        </w:rPr>
        <w:t>A busca por comandos curl e wget nos 114 prompts retornou apenas 2 URLs, ambas de servicos oficiais e publicos do Conselho Nacional de Justica:</w:t>
      </w:r>
    </w:p>
    <w:p>
      <w:pPr>
        <w:spacing w:after="60" w:line="312" w:lineRule="auto"/>
        <w:ind w:left="567"/>
      </w:pPr>
      <w:r>
        <w:rPr>
          <w:rFonts w:ascii="Arial" w:hAnsi="Arial"/>
          <w:sz w:val="22"/>
        </w:rPr>
        <w:t>- https://comunicaapi.pje.jus.br/api/v1/comunicacao — API publica de comunicacoes processuais do CNJ, usada pelo agente 01-monitor-dje-djen.</w:t>
      </w:r>
    </w:p>
    <w:p>
      <w:pPr>
        <w:spacing w:after="60" w:line="312" w:lineRule="auto"/>
        <w:ind w:left="567"/>
      </w:pPr>
      <w:r>
        <w:rPr>
          <w:rFonts w:ascii="Arial" w:hAnsi="Arial"/>
          <w:sz w:val="22"/>
        </w:rPr>
        <w:t>- https://api-publica.datajud.cnj.jus.br/api_publica_tjsp/_search — API publica DataJud do CNJ, usada pelo agente 03-andamento-processual.</w:t>
      </w:r>
    </w:p>
    <w:p>
      <w:pPr>
        <w:spacing w:after="120" w:line="360" w:lineRule="auto"/>
      </w:pPr>
      <w:r>
        <w:rPr>
          <w:rFonts w:ascii="Arial" w:hAnsi="Arial"/>
          <w:b w:val="0"/>
          <w:sz w:val="22"/>
        </w:rPr>
        <w:t>Nenhuma chamada foi identificada para endpoints proprietarios do fornecedor. Nao ha SMTP, webhooks, envio de variaveis de ambiente, POST de dados a servidores externos ou instalacao remota de pacotes.</w:t>
      </w:r>
    </w:p>
    <w:p>
      <w:pPr>
        <w:spacing w:before="240" w:after="120"/>
      </w:pPr>
      <w:r>
        <w:rPr>
          <w:rFonts w:ascii="Arial" w:hAnsi="Arial"/>
          <w:b/>
          <w:sz w:val="24"/>
        </w:rPr>
        <w:t>4.3. Ferramentas (tools) autorizadas por cada agente</w:t>
      </w:r>
    </w:p>
    <w:p>
      <w:pPr>
        <w:spacing w:after="120" w:line="360" w:lineRule="auto"/>
      </w:pPr>
      <w:r>
        <w:rPr>
          <w:rFonts w:ascii="Arial" w:hAnsi="Arial"/>
          <w:b w:val="0"/>
          <w:sz w:val="22"/>
        </w:rPr>
        <w:t>A totalidade dos 114 agentes declara o mesmo conjunto minimo de ferramentas no frontmatter: Read, Grep, Bash, Edit, Write. Nenhum agente exige WebSearch, WebFetch, MCP proprietario ou qualquer outra ferramenta que permita envio automatico de dados a terceiros sem que o operador libere explicitamente via shell. Tecnicamente, o modelo pode ser controlado por bloqueio de permissoes do proprio Claude Code caso deseje-se restringir o alcance de qualquer agente.</w:t>
      </w:r>
    </w:p>
    <w:p>
      <w:pPr>
        <w:spacing w:before="240" w:after="120"/>
      </w:pPr>
      <w:r>
        <w:rPr>
          <w:rFonts w:ascii="Arial" w:hAnsi="Arial"/>
          <w:b/>
          <w:sz w:val="24"/>
        </w:rPr>
        <w:t>4.4. Dependencia de infraestrutura do fornecedor</w:t>
      </w:r>
    </w:p>
    <w:p>
      <w:pPr>
        <w:spacing w:after="120" w:line="360" w:lineRule="auto"/>
      </w:pPr>
      <w:r>
        <w:rPr>
          <w:rFonts w:ascii="Arial" w:hAnsi="Arial"/>
          <w:b w:val="0"/>
          <w:sz w:val="22"/>
        </w:rPr>
        <w:t>Nao foi identificada dependencia operacional do fornecedor. Os agentes rodam integralmente no ambiente local do assinante, sob a conta Claude do proprio usuario. A ASV Digital nao intermedia execucao, nao processa dados dos clientes atendidos pela March e nao possui canal tecnico ativo com o ambiente do escritorio. A relacao pos-venda se limita a suporte via e-mail e atualizacoes publicadas no catalogo GitHub.</w:t>
      </w:r>
    </w:p>
    <w:p>
      <w:pPr>
        <w:spacing w:before="240" w:after="120"/>
        <w:jc w:val="left"/>
      </w:pPr>
      <w:r>
        <w:rPr>
          <w:rFonts w:ascii="Arial" w:hAnsi="Arial"/>
          <w:b/>
          <w:sz w:val="28"/>
        </w:rPr>
        <w:t>5. ARQUITETURA E FUNCIONAMENTO</w:t>
      </w:r>
    </w:p>
    <w:p>
      <w:pPr>
        <w:spacing w:after="120" w:line="360" w:lineRule="auto"/>
      </w:pPr>
      <w:r>
        <w:rPr>
          <w:rFonts w:ascii="Arial" w:hAnsi="Arial"/>
          <w:b w:val="0"/>
          <w:sz w:val="22"/>
        </w:rPr>
        <w:t>Cada agente e um arquivo Markdown de aproximadamente 1.192 palavras em media (total consolidado de 135.975 palavras nos 114 arquivos). O arquivo contem um cabecalho YAML declarando nome, descricao, ferramentas autorizadas e modelo recomendado, seguido do prompt operacional propriamente dito. Todos os agentes recomendam o modelo Claude Sonnet.</w:t>
      </w:r>
    </w:p>
    <w:p>
      <w:pPr>
        <w:spacing w:after="120" w:line="360" w:lineRule="auto"/>
      </w:pPr>
      <w:r>
        <w:rPr>
          <w:rFonts w:ascii="Arial" w:hAnsi="Arial"/>
          <w:b w:val="0"/>
          <w:sz w:val="22"/>
        </w:rPr>
        <w:t>Instalacao consiste em copiar o arquivo .md para o diretorio .claude/agents/ do projeto ou do usuario global. Nao ha executavel, dll, binario ou script auto-executavel. O material e integralmente texto lido pelo Claude Code no momento de invocacao do subagente correspondente.</w:t>
      </w:r>
    </w:p>
    <w:p>
      <w:pPr>
        <w:spacing w:before="240" w:after="120"/>
        <w:jc w:val="left"/>
      </w:pPr>
      <w:r>
        <w:rPr>
          <w:rFonts w:ascii="Arial" w:hAnsi="Arial"/>
          <w:b/>
          <w:sz w:val="28"/>
        </w:rPr>
        <w:t>6. CATALOGO E APLICABILIDADE NA ROTINA MARCH</w:t>
      </w:r>
    </w:p>
    <w:p>
      <w:pPr>
        <w:spacing w:before="240" w:after="120"/>
      </w:pPr>
      <w:r>
        <w:rPr>
          <w:rFonts w:ascii="Arial" w:hAnsi="Arial"/>
          <w:b/>
          <w:sz w:val="24"/>
        </w:rPr>
        <w:t>6.1. 57 Agents Contabilidade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7130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3135"/>
            <w:shd w:val="clear" w:color="auto" w:fill="17130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Agentes</w:t>
            </w:r>
          </w:p>
        </w:tc>
        <w:tc>
          <w:tcPr>
            <w:tcW w:type="dxa" w:w="3135"/>
            <w:shd w:val="clear" w:color="auto" w:fill="17130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Sobreposicao com Plataforma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Apuracao e tributario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Parcial — Plataforma cobre PIS/COFINS, IRPJ/CSLL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Obrigacoes acessorias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Parcial — Plataforma cobre DCTFWeb, ECD, SPED-Contribuicoes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Folha e departamento pessoal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Nenhuma — Plataforma nao cobre folha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Conciliacao e financeiro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Parcial — Plataforma cobre conciliacao Dominio x ECD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Atendimento ao cliente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Nenhuma — nao coberto pela Plataforma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Operacao interna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Parcial — Plataforma tem lembrete de obrigacoes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Especializacoes por area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Diversas — analise caso a caso (MEI, IPI, IRPF, etc.)</w:t>
            </w:r>
          </w:p>
        </w:tc>
      </w:tr>
    </w:tbl>
    <w:p>
      <w:pPr>
        <w:spacing w:before="240" w:after="120"/>
      </w:pPr>
      <w:r>
        <w:rPr>
          <w:rFonts w:ascii="Arial" w:hAnsi="Arial"/>
          <w:b/>
          <w:sz w:val="24"/>
        </w:rPr>
        <w:t>6.2. 57 Agents Advocacia</w:t>
      </w:r>
    </w:p>
    <w:p>
      <w:pPr>
        <w:spacing w:after="120" w:line="360" w:lineRule="auto"/>
      </w:pPr>
      <w:r>
        <w:rPr>
          <w:rFonts w:ascii="Arial" w:hAnsi="Arial"/>
          <w:b w:val="0"/>
          <w:sz w:val="22"/>
        </w:rPr>
        <w:t>Pacote inteiro nao possui sobreposicao com a Plataforma Contabil da March, voltada a rotinas de escritorio de advocacia. Aplicabilidade direta apenas se a March vier a oferecer atendimento a clientes advogados ou expandir para o segmento juridico.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7130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3135"/>
            <w:shd w:val="clear" w:color="auto" w:fill="17130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Agentes</w:t>
            </w:r>
          </w:p>
        </w:tc>
        <w:tc>
          <w:tcPr>
            <w:tcW w:type="dxa" w:w="3135"/>
            <w:shd w:val="clear" w:color="auto" w:fill="17130D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Prazos e acompanhamento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Uteis para departamento juridico interno se houver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Peticoes e documentos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Aplicavel apenas em contexto juridico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Pesquisa juridica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Uteis para consultoria juridica pontual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Atendimento ao cliente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Aplicavel apenas em escritorio de advocacia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Contratos e compliance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Parcialmente aplicavel — revisao de contratos e LGPD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Operacao do escritorio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Analogo a Contabilidade — parcialmente reutilizavel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Pecas por area do direito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Aplicavel apenas em escritorio de advocacia</w:t>
            </w:r>
          </w:p>
        </w:tc>
      </w:tr>
    </w:tbl>
    <w:p>
      <w:pPr>
        <w:spacing w:before="240" w:after="120"/>
        <w:jc w:val="left"/>
      </w:pPr>
      <w:r>
        <w:rPr>
          <w:rFonts w:ascii="Arial" w:hAnsi="Arial"/>
          <w:b/>
          <w:sz w:val="28"/>
        </w:rPr>
        <w:t>7. RISCOS E RECOMENDACOES</w:t>
      </w:r>
    </w:p>
    <w:p>
      <w:pPr>
        <w:spacing w:before="240" w:after="120"/>
      </w:pPr>
      <w:r>
        <w:rPr>
          <w:rFonts w:ascii="Arial" w:hAnsi="Arial"/>
          <w:b/>
          <w:sz w:val="24"/>
        </w:rPr>
        <w:t>7.1. Riscos identificados</w:t>
      </w:r>
    </w:p>
    <w:p>
      <w:pPr>
        <w:spacing w:after="60" w:line="312" w:lineRule="auto"/>
        <w:ind w:left="567"/>
      </w:pPr>
      <w:r>
        <w:rPr>
          <w:rFonts w:ascii="Arial" w:hAnsi="Arial"/>
          <w:sz w:val="22"/>
        </w:rPr>
        <w:t>- Risco de vazamento de dados por terceiros: NAO IDENTIFICADO. Os agentes nao enviam informacao a servidores do fornecedor.</w:t>
      </w:r>
    </w:p>
    <w:p>
      <w:pPr>
        <w:spacing w:after="60" w:line="312" w:lineRule="auto"/>
        <w:ind w:left="567"/>
      </w:pPr>
      <w:r>
        <w:rPr>
          <w:rFonts w:ascii="Arial" w:hAnsi="Arial"/>
          <w:sz w:val="22"/>
        </w:rPr>
        <w:t>- Risco de dependencia operacional: BAIXO. O material e passivo (arquivos .md) e continuara funcional mesmo se o fornecedor descontinuar o produto.</w:t>
      </w:r>
    </w:p>
    <w:p>
      <w:pPr>
        <w:spacing w:after="60" w:line="312" w:lineRule="auto"/>
        <w:ind w:left="567"/>
      </w:pPr>
      <w:r>
        <w:rPr>
          <w:rFonts w:ascii="Arial" w:hAnsi="Arial"/>
          <w:sz w:val="22"/>
        </w:rPr>
        <w:t>- Risco de execucao indevida de rede: MITIGAVEL. As duas chamadas HTTP existentes vao para APIs publicas do CNJ; qualquer inclusao futura deve passar pela aprovacao de comando Bash no Claude Code.</w:t>
      </w:r>
    </w:p>
    <w:p>
      <w:pPr>
        <w:spacing w:after="60" w:line="312" w:lineRule="auto"/>
        <w:ind w:left="567"/>
      </w:pPr>
      <w:r>
        <w:rPr>
          <w:rFonts w:ascii="Arial" w:hAnsi="Arial"/>
          <w:sz w:val="22"/>
        </w:rPr>
        <w:t>- Risco reputacional: BAIXO. A unica marca embutida em artefato de saida e no cabecalho PRODID de arquivos iCalendar, campo tecnico invisivel para o cliente final salvo inspecao do arquivo.</w:t>
      </w:r>
    </w:p>
    <w:p>
      <w:pPr>
        <w:spacing w:after="60" w:line="312" w:lineRule="auto"/>
        <w:ind w:left="567"/>
      </w:pPr>
      <w:r>
        <w:rPr>
          <w:rFonts w:ascii="Arial" w:hAnsi="Arial"/>
          <w:sz w:val="22"/>
        </w:rPr>
        <w:t>- Risco de conformidade: NULO. Nao ha coleta de dados, cookies, tracking ou logging remoto.</w:t>
      </w:r>
    </w:p>
    <w:p>
      <w:pPr>
        <w:spacing w:before="240" w:after="120"/>
      </w:pPr>
      <w:r>
        <w:rPr>
          <w:rFonts w:ascii="Arial" w:hAnsi="Arial"/>
          <w:b/>
          <w:sz w:val="24"/>
        </w:rPr>
        <w:t>7.2. Recomendacoes de uso na March Contabilidade</w:t>
      </w:r>
    </w:p>
    <w:p>
      <w:pPr>
        <w:spacing w:after="60" w:line="312" w:lineRule="auto"/>
        <w:ind w:left="567"/>
      </w:pPr>
      <w:r>
        <w:rPr>
          <w:rFonts w:ascii="Arial" w:hAnsi="Arial"/>
          <w:sz w:val="22"/>
        </w:rPr>
        <w:t>- Instalar seletivamente. Nao carregar os 114 agentes globalmente. Priorizar, no pacote Contabilidade, os agentes que preenchem lacunas da Plataforma: Folha e DP (05 agentes), Atendimento (04 agentes), Consultoria e IRPF PF (especializacoes 44 a 51).</w:t>
      </w:r>
    </w:p>
    <w:p>
      <w:pPr>
        <w:spacing w:after="60" w:line="312" w:lineRule="auto"/>
        <w:ind w:left="567"/>
      </w:pPr>
      <w:r>
        <w:rPr>
          <w:rFonts w:ascii="Arial" w:hAnsi="Arial"/>
          <w:sz w:val="22"/>
        </w:rPr>
        <w:t>- Nao substituir modulos da Plataforma. Onde houver sobreposicao (conciliacao Dominio x ECD, PIS/COFINS, DCTFWeb, ECF/ECD, SPED-Contribuicoes), manter a Plataforma como fonte de verdade e usar os agentes apenas em consultas pontuais.</w:t>
      </w:r>
    </w:p>
    <w:p>
      <w:pPr>
        <w:spacing w:after="60" w:line="312" w:lineRule="auto"/>
        <w:ind w:left="567"/>
      </w:pPr>
      <w:r>
        <w:rPr>
          <w:rFonts w:ascii="Arial" w:hAnsi="Arial"/>
          <w:sz w:val="22"/>
        </w:rPr>
        <w:t>- Remover, antes de qualquer envio ao cliente, referencias residuais a Bravy no cabecalho de arquivos iCalendar (agente 02-lembrete-prazo) e o texto motivacional do agente 01-apuracao-simples-nacional, caso saidas do agente sejam encaminhadas literalmente sem revisao.</w:t>
      </w:r>
    </w:p>
    <w:p>
      <w:pPr>
        <w:spacing w:after="60" w:line="312" w:lineRule="auto"/>
        <w:ind w:left="567"/>
      </w:pPr>
      <w:r>
        <w:rPr>
          <w:rFonts w:ascii="Arial" w:hAnsi="Arial"/>
          <w:sz w:val="22"/>
        </w:rPr>
        <w:t>- Documentar internamente que a analise gerada por qualquer agente e rascunho e exige revisao do contador responsavel — o proprio material do fornecedor traz essa ressalva no README.</w:t>
      </w:r>
    </w:p>
    <w:p>
      <w:pPr>
        <w:spacing w:after="60" w:line="312" w:lineRule="auto"/>
        <w:ind w:left="567"/>
      </w:pPr>
      <w:r>
        <w:rPr>
          <w:rFonts w:ascii="Arial" w:hAnsi="Arial"/>
          <w:sz w:val="22"/>
        </w:rPr>
        <w:t>- Reavaliar necessidade do pacote 57 Agents Advocacia, cuja aplicabilidade direta na rotina contabil da March e nula.</w:t>
      </w:r>
    </w:p>
    <w:p>
      <w:pPr>
        <w:spacing w:before="240" w:after="120"/>
        <w:jc w:val="left"/>
      </w:pPr>
      <w:r>
        <w:rPr>
          <w:rFonts w:ascii="Arial" w:hAnsi="Arial"/>
          <w:b/>
          <w:sz w:val="28"/>
        </w:rPr>
        <w:t>8. CONCLUSAO</w:t>
      </w:r>
    </w:p>
    <w:p>
      <w:pPr>
        <w:spacing w:after="120" w:line="360" w:lineRule="auto"/>
      </w:pPr>
      <w:r>
        <w:rPr>
          <w:rFonts w:ascii="Arial" w:hAnsi="Arial"/>
          <w:b w:val="0"/>
          <w:sz w:val="22"/>
        </w:rPr>
        <w:t>O material adquirido e tecnicamente limpo do ponto de vista de auditoria de seguranca: nao ha telemetria, callbacks, dependencia de infraestrutura do fornecedor ou coleta de dados dos clientes atendidos pela March. Os vinculos textuais com a marca Bravy sao restritos a documentacao e a dois pontos menores dentro dos prompts, todos sem efeito operacional relevante.</w:t>
      </w:r>
    </w:p>
    <w:p>
      <w:pPr>
        <w:spacing w:after="120" w:line="360" w:lineRule="auto"/>
      </w:pPr>
      <w:r>
        <w:rPr>
          <w:rFonts w:ascii="Arial" w:hAnsi="Arial"/>
          <w:b w:val="0"/>
          <w:sz w:val="22"/>
        </w:rPr>
        <w:t>O pacote de Contabilidade oferece complemento util a Plataforma Contabil em areas nao cobertas (folha, atendimento, atividades juridicas pessoais como IRPF e questoes societarias). O pacote de Advocacia nao tem aplicabilidade direta na rotina contabil, salvo expansao futura de escopo do escritorio. Recomenda-se instalacao seletiva e documentacao interna de fluxos hibridos (Plataforma como fonte de verdade, agentes como assistentes especializados em rotinas nao automatizadas).</w:t>
      </w:r>
    </w:p>
    <w:p>
      <w:pPr>
        <w:spacing w:after="480" w:line="360" w:lineRule="auto"/>
      </w:pPr>
      <w:r>
        <w:rPr>
          <w:rFonts w:ascii="Arial" w:hAnsi="Arial"/>
          <w:b w:val="0"/>
          <w:sz w:val="22"/>
        </w:rPr>
      </w:r>
    </w:p>
    <w:p>
      <w:pPr>
        <w:spacing w:after="120" w:line="360" w:lineRule="auto"/>
        <w:jc w:val="center"/>
      </w:pPr>
      <w:r>
        <w:rPr>
          <w:rFonts w:ascii="Arial" w:hAnsi="Arial"/>
          <w:b w:val="0"/>
          <w:sz w:val="22"/>
        </w:rPr>
        <w:t>___________________________________________</w:t>
      </w:r>
    </w:p>
    <w:p>
      <w:pPr>
        <w:spacing w:after="120" w:line="360" w:lineRule="auto"/>
        <w:jc w:val="center"/>
      </w:pPr>
      <w:r>
        <w:rPr>
          <w:rFonts w:ascii="Arial" w:hAnsi="Arial"/>
          <w:b/>
          <w:sz w:val="22"/>
        </w:rPr>
        <w:t>Higor Noleto</w:t>
      </w:r>
    </w:p>
    <w:p>
      <w:pPr>
        <w:spacing w:after="120" w:line="360" w:lineRule="auto"/>
        <w:jc w:val="center"/>
      </w:pPr>
      <w:r>
        <w:rPr>
          <w:rFonts w:ascii="Arial" w:hAnsi="Arial"/>
          <w:b w:val="0"/>
          <w:sz w:val="22"/>
        </w:rPr>
        <w:t>Diretor Tecnico - March Contabilidade</w:t>
      </w:r>
    </w:p>
    <w:p>
      <w:pPr>
        <w:spacing w:after="120" w:line="360" w:lineRule="auto"/>
        <w:jc w:val="center"/>
      </w:pPr>
      <w:r>
        <w:rPr>
          <w:rFonts w:ascii="Arial" w:hAnsi="Arial"/>
          <w:b w:val="0"/>
          <w:sz w:val="22"/>
        </w:rPr>
        <w:t>Palmas / TO, 09 de agosto de 2026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