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闪烁光视觉搜索任务的ERP分析报告</w:t>
      </w:r>
    </w:p>
    <w:p>
      <w:pPr>
        <w:jc w:val="center"/>
      </w:pPr>
      <w:r>
        <w:rPr>
          <w:rFonts w:ascii="Times New Roman" w:hAnsi="Times New Roman" w:eastAsia="宋体"/>
          <w:color w:val="646464"/>
          <w:sz w:val="28"/>
        </w:rPr>
        <w:t>方法、结果与图注</w:t>
      </w:r>
    </w:p>
    <w:p/>
    <w:p>
      <w:pPr>
        <w:pStyle w:val="Heading1"/>
      </w:pPr>
      <w:r>
        <w:t>1 方法</w:t>
      </w:r>
    </w:p>
    <w:p>
      <w:pPr>
        <w:pStyle w:val="Heading2"/>
      </w:pPr>
      <w:r>
        <w:t>1.1 被试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本研究共招募10名被试参与实验。所有被试视力或矫正视力正常，无神经或精神疾病史。实验前所有被试签署知情同意书。</w:t>
      </w:r>
    </w:p>
    <w:p>
      <w:pPr>
        <w:pStyle w:val="Heading2"/>
      </w:pPr>
      <w:r>
        <w:t>1.2 实验设计与刺激材料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本实验采用单因素三水平被试内设计，自变量为刺激类型（A刺激、B刺激、C刺激），分别以事件标记11、21、31进行编码。实验任务为闪烁光条件下的视觉搜索任务。每个试次（trial）的流程为：首先呈现刺激类型线索（标记11/21/31），随后呈现视觉搜索画面，其中有目标存在的试次以标记41编码，无目标存在的试次以标记42编码。被试需判断搜索画面中是否存在目标并做出按键反应，反应正确以标记12编码，反应错误以标记22编码，无反应以标记32编码。</w:t>
      </w:r>
    </w:p>
    <w:p>
      <w:pPr>
        <w:pStyle w:val="Heading2"/>
      </w:pPr>
      <w:r>
        <w:t>1.3 脑电记录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使用脑电采集系统连续记录头皮脑电信号（EEG），电极布置依照国际10-20系统扩展的电极位置，共59个有效记录通道。记录过程中以在线参考电极为参考，接地电极放置于前额。采集过程中阻抗保持在5 kΩ以下。</w:t>
      </w:r>
    </w:p>
    <w:p>
      <w:pPr>
        <w:pStyle w:val="Heading2"/>
      </w:pPr>
      <w:r>
        <w:t>1.4 脑电预处理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离线分析使用MATLAB 2023及EEGLAB工具箱进行。预处理步骤包括：（1）带通滤波；（2）坏导插值；（3）重参考（如全脑平均参考）；（4）独立成分分析（ICA）去除眼电、肌电等伪迹成分；（5）以每个事件标记为锁时点进行分段（epoching）。预处理完成后，数据以EEGLAB的.set格式保存，每个被试的数据文件包含约950~1600个分段（epoch），涵盖所有事件类型。</w:t>
      </w:r>
    </w:p>
    <w:p>
      <w:pPr>
        <w:pStyle w:val="Heading2"/>
      </w:pPr>
      <w:r>
        <w:t>1.5 事件相关电位（ERP）分析</w:t>
      </w:r>
    </w:p>
    <w:p>
      <w:pPr>
        <w:pStyle w:val="Heading3"/>
      </w:pPr>
      <w:r>
        <w:t>1.5.1 条件提取与试次序列识别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由于预处理阶段以所有事件类型为锁时点进行了分段，本研究采用基于epoch时间顺序的条件识别策略：对于每个以标记41（有目标）或42（无目标）为锁时点的epoch，首先在该epoch的事件列表中查找潜伏期大于0的反应标记（12/22/32）以确定反应类型；其次，按epoch时间顺序向前回溯，查找前序epoch的锁时事件中最近的刺激类型标记（11/21/31），以确定当前试次的刺激条件。通过上述策略，每个有效epoch被分配一个条件编码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最终提取的实验条件如下：</w:t>
      </w:r>
    </w:p>
    <w:p>
      <w:pPr>
        <w:ind w:firstLine="420"/>
      </w:pPr>
      <w:r>
        <w:rPr>
          <w:rFonts w:ascii="Times New Roman" w:hAnsi="Times New Roman" w:eastAsia="宋体"/>
          <w:b/>
          <w:i w:val="0"/>
        </w:rPr>
        <w:t>有目标条件（事件41）：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条件1：A刺激 + 有目标 + 正确反应（编码101）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条件2：B刺激 + 有目标 + 正确反应（编码201）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条件3：C刺激 + 有目标 + 正确反应（编码301）</w:t>
      </w:r>
    </w:p>
    <w:p>
      <w:pPr>
        <w:ind w:firstLine="420"/>
      </w:pPr>
      <w:r>
        <w:rPr>
          <w:rFonts w:ascii="Times New Roman" w:hAnsi="Times New Roman" w:eastAsia="宋体"/>
          <w:b/>
          <w:i w:val="0"/>
        </w:rPr>
        <w:t>无目标条件（事件42）：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条件4：A刺激 + 无目标 + 正确反应（编码1101）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条件5：B刺激 + 无目标 + 正确反应（编码1201）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条件6：C刺激 + 无目标 + 正确反应（编码1301）</w:t>
      </w:r>
    </w:p>
    <w:p>
      <w:pPr>
        <w:pStyle w:val="Heading3"/>
      </w:pPr>
      <w:r>
        <w:t>1.5.2 ERP平均与低通滤波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以搜索画面出现时刻（标记41或42）作为时间零点，分析窗口为刺激前100 ms至刺激后800 ms（−100~800 ms）。以刺激前100 ms（−100~0 ms）作为基线进行基线校正。对每个被试，分别对各条件下的有效epoch进行叠加平均，得到个体水平的ERP波形。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为去除平均波形中的高频噪声并使ERP成分更加清晰，对叠加平均后的波形施加4阶Butterworth低通滤波（截止频率30 Hz），采用零相位滤波方式（MATLAB filtfilt函数），以避免滤波引入的相位延迟对ERP成分潜伏期的影响。</w:t>
      </w:r>
    </w:p>
    <w:p>
      <w:pPr>
        <w:pStyle w:val="Heading3"/>
      </w:pPr>
      <w:r>
        <w:t>1.5.3 SSVEP减法：目标诱发ERP的提取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由于本实验采用闪烁光范式，被试在有目标和无目标条件下均受到稳态视觉诱发电位（Steady-State Visually Evoked Potential, SSVEP）的影响。为消除SSVEP干扰并提取纯粹由目标图像诱发的ERP成分，采用减法策略：对每个被试、每种刺激条件、每个电极和每个时间点，将无目标条件的平均ERP波形从有目标条件的平均ERP波形中减去：</w:t>
      </w:r>
    </w:p>
    <w:p>
      <w:pPr>
        <w:jc w:val="center"/>
      </w:pPr>
      <w:r>
        <w:rPr>
          <w:rFonts w:ascii="Times New Roman" w:hAnsi="Times New Roman" w:eastAsia="宋体"/>
          <w:b w:val="0"/>
          <w:i/>
        </w:rPr>
        <w:t>目标诱发ERP = ERP（有目标, 正确） − ERP（无目标, 正确）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该方法基于以下假设：SSVEP成分在有目标和无目标条件中是相同的（因为闪烁光刺激参数一致），而目标图像诱发的ERP成分（如N2pc、P3等）仅在有目标条件中出现。因此，差值波形即反映了目标加工的纯粹神经活动。</w:t>
      </w:r>
    </w:p>
    <w:p>
      <w:pPr>
        <w:pStyle w:val="Heading3"/>
      </w:pPr>
      <w:r>
        <w:t>1.5.4 感兴趣电极与ERP成分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选取以下6个感兴趣电极进行分析：Fz（额中线）、Cz（中央中线）、Pz（顶中线）、Oz（枕中线）、PO7（左侧顶枕区）、PO8（右侧顶枕区）。重点分析的ERP成分及其时间窗口如下：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P1成分：80~130 ms，峰值约100 ms，反映早期视觉加工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N1成分：130~200 ms，峰值约170 ms，反映注意选择的早期阶段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N2成分：150~350 ms，峰值约250 ms，反映认知控制和注意分配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• P3成分：250~600 ms，峰值约400 ms，反映目标检测和工作记忆更新</w:t>
      </w:r>
    </w:p>
    <w:p>
      <w:pPr>
        <w:pStyle w:val="Heading3"/>
      </w:pPr>
      <w:r>
        <w:t>1.5.5 峰值与平均振幅测量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N2成分的峰值振幅定义为150~350 ms时间窗内的最小值（负波峰），P3成分的峰值振幅定义为250~600 ms时间窗内的最大值（正波峰），相应的峰值潜伏期为该极值对应的时间点。此外，为提高测量的稳健性，还计算了N2（250±50 ms，即200~300 ms）和P3（400±100 ms，即300~500 ms）时间窗口内的平均振幅，用于后续统计分析。</w:t>
      </w:r>
    </w:p>
    <w:p>
      <w:pPr>
        <w:pStyle w:val="Heading3"/>
      </w:pPr>
      <w:r>
        <w:t>1.5.6 统计分析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对三种刺激条件（A、B、C）间的ERP差异进行单因素重复测量方差分析（repeated-measures ANOVA）。此外，为探索条件效应的时间动态特征，对各感兴趣电极的每个时间点分别进行逐时间点重复测量方差分析（point-by-point repeated-measures ANOVA），并采用错误发现率（False Discovery Rate, FDR）方法对多重比较进行校正（α = .05）。</w:t>
      </w:r>
    </w:p>
    <w:p>
      <w:pPr>
        <w:pStyle w:val="Heading1"/>
      </w:pPr>
      <w:r>
        <w:t>2 结果</w:t>
      </w:r>
    </w:p>
    <w:p>
      <w:pPr>
        <w:pStyle w:val="Heading2"/>
      </w:pPr>
      <w:r>
        <w:t>2.1 行为数据概况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10名被试均完成了实验任务。在有目标条件下，各被试的正确反应试次数分布如下：A刺激条件平均约43个epoch（范围：36~51），B刺激条件平均约38个epoch（范围：25~67），C刺激条件平均约38个epoch（范围：22~62）。少量试次因预处理中的伪迹剔除或条件识别失败而被排除。</w:t>
      </w:r>
    </w:p>
    <w:p>
      <w:pPr>
        <w:pStyle w:val="Heading2"/>
      </w:pPr>
      <w:r>
        <w:t>2.2 原始ERP波形（有目标条件）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图1展示了三种刺激条件（A、B、C）在6个感兴趣电极上的组平均ERP波形。在所有电极上均可观察到典型的视觉ERP成分序列：刺激后约100 ms出现P1正波，约170 ms出现N1负波，约200~300 ms出现N2负波，约300~500 ms出现P3正波。在枕区和顶枕区电极（Oz、PO7、PO8）上，早期成分（P1、N1）较为突出；在中线电极（Cz、Pz）上，晚期成分（N2、P3）的条件间差异更为明显。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图1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三种刺激条件组平均ERP波形（正确反应）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各子图分别对应一个感兴趣电极（Fz、Cz、Pz、Oz、PO7、PO8），蓝线代表A刺激条件，绿线代表B刺激条件，红线代表C刺激条件。波形为10名被试的组平均结果，经30 Hz低通滤波平滑处理。x轴为相对于搜索画面出现（标记41）的时间（ms），y轴为振幅（μV），负极朝上。</w:t>
      </w:r>
    </w:p>
    <w:p>
      <w:pPr>
        <w:pStyle w:val="Heading2"/>
      </w:pPr>
      <w:r>
        <w:t>2.3 正确与错误反应的ERP对比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2展示了正确反应与错误反应条件下的ERP波形对比。在多个电极上，正确反应条件（实线）与错误反应条件（虚线）在N2和P3成分的振幅上存在差异，提示认知加工过程中正确与错误试次间的神经活动差异。但由于错误反应的试次数较少（平均每条件约5~15个epoch），错误条件的波形信噪比较低，后续统计分析主要聚焦于正确反应条件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图2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正确反应与错误反应的ERP波形对比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各子图分别对应一个感兴趣电极。实线代表正确反应条件，虚线代表错误反应条件，颜色编码与图1一致（蓝=A，绿=B，红=C）。波形为10名被试的组平均结果，经30 Hz低通滤波。y轴负极朝上。</w:t>
      </w:r>
    </w:p>
    <w:p>
      <w:pPr>
        <w:pStyle w:val="Heading2"/>
      </w:pPr>
      <w:r>
        <w:t>2.4 条件间差异波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图3展示了条件间差异波（B−A和C−A），用于直观反映刺激条件间的ERP差异。差异波在特定时间窗口偏离零线，提示相应时段内不同刺激条件诱发了不同强度的神经加工。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图3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条件间差异波（B−A和C−A）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各子图分别对应一个感兴趣电极。绿线代表B条件减去A条件的差异波，红线代表C条件减去A条件的差异波。差异波偏离零线表明两种条件间ERP存在差异。波形为组平均结果，经30 Hz低通滤波。y轴负极朝上。</w:t>
      </w:r>
    </w:p>
    <w:p>
      <w:pPr>
        <w:pStyle w:val="Heading2"/>
      </w:pPr>
      <w:r>
        <w:t>2.5 ERP成分地形图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图4~6展示了关键ERP成分在不同时间窗口的头皮电压分布地形图。P1成分（100 ms）主要分布于枕区，N1成分（170 ms）分布于枕区和顶枕区，符合视觉早期加工的典型分布特征。N2成分（250 ms）的负波活动分布较广，在额中区和中央区较为显著。P3成分（400 ms）的正波活动主要集中在顶区和中央顶区，与目标检测和注意分配的经典分布一致。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图5和图6分别展示了三种刺激条件在N2和P3时间窗口内的平均地形图，可观察到不同刺激条件在这些成分上的空间分布差异。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图4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各ERP成分总平均地形图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从左至右依次为P1（100 ms）、N1（170 ms）、N2（250 ms）、P3（400 ms）时间点的头皮电压分布。地形图为三种正确反应条件和10名被试的总平均。颜色表示电压值（μV），暖色代表正值，冷色代表负值。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图5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各条件N2时间窗口平均地形图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从左至右分别为A、B、C三种刺激条件在N2时间窗口（250±50 ms，即200~300 ms）内的平均头皮电压分布。数据为10名被试的组平均。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图6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各条件P3时间窗口平均地形图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从左至右分别为A、B、C三种刺激条件在P3时间窗口（400±100 ms，即300~500 ms）内的平均头皮电压分布。数据为10名被试的组平均。</w:t>
      </w:r>
    </w:p>
    <w:p>
      <w:pPr>
        <w:pStyle w:val="Heading2"/>
      </w:pPr>
      <w:r>
        <w:t>2.6 N2和P3振幅的条件间比较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图7和图8分别展示了各电极上N2和P3平均振幅的柱状图。对于N2成分（200~300 ms平均振幅），在Cz电极上，A条件振幅约为−2.50 μV，B条件约为−3.31 μV，C条件约为−2.70 μV。对于P3成分（300~500 ms平均振幅），A条件在多数电极上的P3振幅略大于B和C条件。各电极的详细数值见导出的CSV文件。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图7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各电极N2平均振幅柱状图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每个子图对应一个感兴趣电极，三个柱分别代表A（蓝）、B（绿）、C（红）刺激条件在N2时间窗口（250±50 ms）内的平均振幅。误差线表示标准误（SE）。数据为10名被试的组平均。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图8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各电极P3平均振幅柱状图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每个子图对应一个感兴趣电极，三个柱分别代表A（蓝）、B（绿）、C（红）刺激条件在P3时间窗口（400±100 ms）内的平均振幅。误差线表示标准误（SE）。数据为10名被试的组平均。</w:t>
      </w:r>
    </w:p>
    <w:p>
      <w:pPr>
        <w:pStyle w:val="Heading2"/>
      </w:pPr>
      <w:r>
        <w:t>2.7 逐时间点方差分析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图9展示了各电极上逐时间点单因素重复测量方差分析的结果。上排为三种条件的组平均波形，下排为对应的p值曲线。灰色虚线标示未校正的显著性阈值（p = .05），红色实线标示FDR校正后的显著性阈值。p值曲线低于FDR阈值的时间区段内，三种刺激条件间的ERP振幅存在统计学显著差异。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图9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逐时间点重复测量方差分析结果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上排各子图为三种刺激条件（A=蓝，B=绿，C=红）在各电极上的组平均ERP波形。下排各子图为对应电极上逐时间点单因素重复测量方差分析的p值曲线。灰色虚线 = p = .05（未校正），红色实线 = FDR校正阈值。p值低于红线的时间段表示三种条件间差异达到FDR校正后的显著性水平。分析基于经30 Hz低通滤波后的数据。</w:t>
      </w:r>
    </w:p>
    <w:p>
      <w:pPr>
        <w:pStyle w:val="Heading2"/>
      </w:pPr>
      <w:r>
        <w:t>2.8 SSVEP减法：目标诱发ERP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为消除闪烁光引起的稳态视觉诱发电位（SSVEP）干扰，将无目标条件的ERP从有目标条件的ERP中减去，得到目标诱发的纯ERP波形。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10展示了SSVEP消除后的目标诱发ERP波形。与图1的原始波形相比，差值波形中SSVEP相关的周期性振荡被显著抑制，目标特异性的ERP成分更加清晰。在顶枕区电极（PO7、PO8）上可更清晰地观察到N2pc等目标选择相关成分，在中线电极（Cz、Pz）上P3成分更加突出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图10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目标诱发ERP波形（SSVEP已消除）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各子图分别对应一个感兴趣电极。波形为有目标条件正确试次的ERP减去无目标条件正确试次的ERP后的差值波形。蓝线=A条件，绿线=B条件，红线=C条件。该减法消除了有目标和无目标条件中共有的SSVEP成分，保留了目标特异性的ERP活动。波形为10名被试的组平均结果，经30 Hz低通滤波。y轴负极朝上。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图11将有目标、无目标和差值（目标诱发ERP）三条波形叠加在同一图中，直观展示了SSVEP减法的效果。可以看到有目标和无目标条件的波形在早期（0~150 ms）较为接近（因为SSVEP成分在两个条件中基本一致），而在150 ms之后出现分离，差值波形（黑线）反映了目标加工引起的额外神经活动。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图11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有目标、无目标与目标诱发ERP的对比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各子图分别对应一个感兴趣电极（所有刺激条件合并平均）。红线=有目标条件ERP，蓝线=无目标条件ERP，黑色粗线=差值（目标诱发ERP = 有目标 − 无目标）。波形为10名被试的组平均结果。y轴负极朝上。两条件在早期阶段波形接近，说明SSVEP成分在有/无目标条件中基本一致，减法策略有效。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</w:rPr>
        <w:t>图12展示了目标诱发ERP在P1、N1、N2、P3各时间点的头皮地形图，反映了消除SSVEP后目标加工相关神经活动的空间分布特征。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i/>
          <w:sz w:val="24"/>
        </w:rPr>
        <w:t>图12</w:t>
      </w:r>
      <w:r>
        <w:t xml:space="preserve"> </w:t>
      </w:r>
      <w:r>
        <w:rPr>
          <w:rFonts w:ascii="Times New Roman" w:hAnsi="Times New Roman" w:eastAsia="宋体"/>
          <w:i/>
          <w:sz w:val="24"/>
        </w:rPr>
        <w:t>目标诱发ERP地形图（SSVEP消除后）</w:t>
      </w:r>
    </w:p>
    <w:p>
      <w:pPr>
        <w:ind w:firstLine="420"/>
      </w:pPr>
      <w:r>
        <w:rPr>
          <w:rFonts w:ascii="Times New Roman" w:hAnsi="Times New Roman" w:eastAsia="宋体"/>
          <w:sz w:val="20"/>
        </w:rPr>
        <w:t>从左至右依次为P1（100 ms）、N1（170 ms）、N2（250 ms）、P3（400 ms）时间点的目标诱发ERP（有目标−无目标）头皮电压分布。数据为三种条件和10名被试的总平均。颜色表示差值电压（μV）。</w:t>
      </w:r>
    </w:p>
    <w:p>
      <w:pPr>
        <w:pStyle w:val="Heading1"/>
      </w:pPr>
      <w:r>
        <w:t>附录：分析参数汇总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设置值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被试数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分析时间窗口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−100 ~ 800 ms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基线校正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−100 ~ 0 ms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低通滤波截止频率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30 Hz（4阶Butterworth，零相位）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感兴趣电极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Fz, Cz, Pz, Oz, PO7, PO8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N2搜索窗口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150 ~ 350 ms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P3搜索窗口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250 ~ 600 ms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N2平均振幅窗口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200 ~ 300 ms（250 ± 50 ms）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P3平均振幅窗口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300 ~ 500 ms（400 ± 100 ms）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统计方法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单因素重复测量ANOVA + FDR校正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SSVEP消除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有目标ERP − 无目标ERP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分析工具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MATLAB 2023 + EEGLAB 2023.1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