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40" w:line="300" w:lineRule="auto"/>
        <w:jc w:val="center"/>
      </w:pPr>
      <w:r>
        <w:rPr>
          <w:rFonts w:ascii="Aptos" w:hAnsi="Aptos" w:eastAsia="Microsoft YaHei"/>
          <w:b/>
          <w:i w:val="0"/>
          <w:color w:val="9A6B16"/>
          <w:sz w:val="20"/>
        </w:rPr>
        <w:t>技术参考指南</w:t>
      </w:r>
    </w:p>
    <w:p>
      <w:pPr>
        <w:keepNext w:val="0"/>
        <w:spacing w:before="0" w:after="160" w:line="300" w:lineRule="auto"/>
        <w:jc w:val="center"/>
      </w:pPr>
      <w:r>
        <w:rPr>
          <w:rFonts w:ascii="Aptos" w:hAnsi="Aptos" w:eastAsia="Microsoft YaHei"/>
          <w:b/>
          <w:i w:val="0"/>
          <w:color w:val="17365D"/>
          <w:sz w:val="52"/>
        </w:rPr>
        <w:t>YOLO-CXR 核心模块资料汇总</w:t>
      </w:r>
    </w:p>
    <w:p>
      <w:pPr>
        <w:keepNext w:val="0"/>
        <w:spacing w:before="0" w:after="360" w:line="300" w:lineRule="auto"/>
        <w:jc w:val="center"/>
      </w:pPr>
      <w:r>
        <w:rPr>
          <w:rFonts w:ascii="Aptos" w:hAnsi="Aptos" w:eastAsia="Microsoft YaHei"/>
          <w:b w:val="0"/>
          <w:i w:val="0"/>
          <w:color w:val="2E74B5"/>
          <w:sz w:val="26"/>
        </w:rPr>
        <w:t>YOLOv8s baseline · RefConv · ECA / ELA / ECLA · SFF · P2检测头</w:t>
      </w:r>
    </w:p>
    <w:p>
      <w:pPr>
        <w:keepNext w:val="0"/>
        <w:spacing w:before="0" w:after="480" w:line="300" w:lineRule="auto"/>
        <w:jc w:val="center"/>
      </w:pPr>
      <w:r>
        <w:rPr>
          <w:rFonts w:ascii="Aptos" w:hAnsi="Aptos" w:eastAsia="Microsoft YaHei"/>
          <w:b w:val="0"/>
          <w:i/>
          <w:color w:val="5B6573"/>
          <w:sz w:val="20"/>
        </w:rPr>
        <w:t>依据 YOLO-CXR 原论文、相关模块论文与官方代码资料整理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核心关系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RefConv负责增强骨干卷积特征表达；ECLA负责同时突出关键通道和病灶空间位置；SFF负责用深层语义选择性筛选浅层高分辨率细节。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1. 文档范围与证据边界</w:t>
      </w: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本文件合并任务A09-A13的模块与基线资料。每一部分分别说明原始来源、核心结构、YOLO-CXR中的使用方式、论文报告结果和复现缺口。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“原始模块”指相关论文或官方实现提出的通用方法。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“YOLO-CXR中的使用”指Hao等人在胸片多病灶检测网络中的具体组合和改造。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论文没有随文公开完整训练代码，因此结构图和公式足以解释思想，但不足以无歧义还原全部层参数。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2. 三个模块的整体分工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050"/>
        <w:gridCol w:w="2650"/>
        <w:gridCol w:w="3160"/>
      </w:tblGrid>
      <w:tr>
        <w:tc>
          <w:tcPr>
            <w:tcW w:type="dxa" w:w="15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type="dxa" w:w="205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主要处理位置</w:t>
            </w:r>
          </w:p>
        </w:tc>
        <w:tc>
          <w:tcPr>
            <w:tcW w:type="dxa" w:w="265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解决的问题</w:t>
            </w:r>
          </w:p>
        </w:tc>
        <w:tc>
          <w:tcPr>
            <w:tcW w:type="dxa" w:w="316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论文内结果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RefConv</w:t>
            </w:r>
          </w:p>
        </w:tc>
        <w:tc>
          <w:tcPr>
            <w:tcW w:type="dxa" w:w="20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Backbone下采样卷积</w:t>
            </w:r>
          </w:p>
        </w:tc>
        <w:tc>
          <w:tcPr>
            <w:tcW w:type="dxa" w:w="26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卷积核通道特征相似、表达冗余</w:t>
            </w:r>
          </w:p>
        </w:tc>
        <w:tc>
          <w:tcPr>
            <w:tcW w:type="dxa" w:w="316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单独：0.319 / 0.157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ECLA</w:t>
            </w:r>
          </w:p>
        </w:tc>
        <w:tc>
          <w:tcPr>
            <w:tcW w:type="dxa" w:w="20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多尺度特征图注意力</w:t>
            </w:r>
          </w:p>
        </w:tc>
        <w:tc>
          <w:tcPr>
            <w:tcW w:type="dxa" w:w="26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只做通道压缩可能丢失病灶位置</w:t>
            </w:r>
          </w:p>
        </w:tc>
        <w:tc>
          <w:tcPr>
            <w:tcW w:type="dxa" w:w="316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单独：0.320 / 0.161</w:t>
            </w:r>
          </w:p>
        </w:tc>
      </w:tr>
      <w:tr>
        <w:tc>
          <w:tcPr>
            <w:tcW w:type="dxa" w:w="150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SFF</w:t>
            </w:r>
          </w:p>
        </w:tc>
        <w:tc>
          <w:tcPr>
            <w:tcW w:type="dxa" w:w="20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Neck深浅层融合</w:t>
            </w:r>
          </w:p>
        </w:tc>
        <w:tc>
          <w:tcPr>
            <w:tcW w:type="dxa" w:w="265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浅层细节丰富但冗余；小病灶易消失</w:t>
            </w:r>
          </w:p>
        </w:tc>
        <w:tc>
          <w:tcPr>
            <w:tcW w:type="dxa" w:w="3160"/>
            <w:vAlign w:val="center"/>
            <w:shd w:fill="FFFFFF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小病灶头+SFF：0.322 / 0.162</w:t>
            </w:r>
          </w:p>
        </w:tc>
      </w:tr>
    </w:tbl>
    <w:p>
      <w:pPr>
        <w:keepNext w:val="0"/>
        <w:spacing w:before="0" w:after="160" w:line="300" w:lineRule="auto"/>
      </w:pPr>
      <w:r>
        <w:rPr>
          <w:rFonts w:ascii="Aptos" w:hAnsi="Aptos" w:eastAsia="Microsoft YaHei"/>
          <w:b w:val="0"/>
          <w:i/>
          <w:color w:val="5B6573"/>
          <w:sz w:val="17"/>
        </w:rPr>
        <w:t>指标顺序均为 mAP@0.5 / mAP@[0.5:0.95]；数据来自YOLO-CXR论文Table 5。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3. RefConv：重参数化重聚焦卷积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3.1 来源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原论文：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Cai et al., RefConv: Re-parameterized Refocusing Convolution for Powerful ConvNets </w:t>
      </w:r>
      <w:hyperlink r:id="rId11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YOLO-CXR定位：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Section III-B，公式(1)-(3)，Figure 2 </w:t>
      </w:r>
      <w:hyperlink r:id="rId1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3.2 核心思想</w:t>
      </w: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普通卷积直接学习每个卷积核。RefConv额外学习一个Refocusing Transformation，让一个卷积核通道能够利用其他卷积核通道中已经编码的参数信息，从而降低通道冗余并学习更有差异的特征。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论文公式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Wₜ = Wₒ * Wᵣ + Wᵦ，其中Wₒ为原始卷积权重，Wᵣ为可学习重聚焦权重，Wₜ为最终用于卷积的变换后权重。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训练时优化Wᵣ；推理前可把变换后的Wₜ合并为普通卷积权重。因此“无额外推理成本”指RefConv层可重参数化，并不代表含ECLA、SFF和额外检测头的完整YOLO-CXR没有额外成本。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3.3 在YOLO-CXR中的位置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68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cxr_overall_and_refcon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Aptos" w:hAnsi="Aptos" w:eastAsia="Microsoft YaHei"/>
          <w:b w:val="0"/>
          <w:i/>
          <w:color w:val="5B6573"/>
          <w:sz w:val="18"/>
        </w:rPr>
        <w:t>图1  YOLO-CXR整体结构；骨干网络中的普通下采样卷积被RefConv替换。来源：YOLO-CXR Figure 2。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Figure 2中RefConv的卷积核大小标为K=3。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替换对象是骨干网络的普通下采样卷积，不是模型内所有卷积层。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单独加入RefConv：mAP50由0.306升至0.319；严格mAP由0.150升至0.157。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4. ECA、ELA与ECLA：通道和空间注意力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4.1 来源与关系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ECA论文：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Wang et al., ECA-Net: Efficient Channel Attention for Deep Convolutional Neural Networks </w:t>
      </w:r>
      <w:hyperlink r:id="rId14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ECA官方代码：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BangguWu/ECANet </w:t>
      </w:r>
      <w:hyperlink r:id="rId15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ELA论文：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Xu &amp; Wan, ELA: Efficient Local Attention for Deep Convolutional Neural Networks </w:t>
      </w:r>
      <w:hyperlink r:id="rId16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ELA官方代码：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Xuwei86/ELA_Code </w:t>
      </w:r>
      <w:hyperlink r:id="rId17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ECLA来源：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YOLO-CXR本文提出，Section III-C、Figure 5、公式(4)-(7) </w:t>
      </w:r>
      <w:hyperlink r:id="rId1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ECA回答“哪些通道重要”；ELA回答“特征在水平和垂直方向的什么位置重要”；ECLA把两者组合成通道与局部空间注意力。ECLA应以YOLO-CXR给出的结构为准，不能直接把ECA或ELA代码原样替换。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4.2 ECLA结构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26604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la_structure_figure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660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Aptos" w:hAnsi="Aptos" w:eastAsia="Microsoft YaHei"/>
          <w:b w:val="0"/>
          <w:i/>
          <w:color w:val="5B6573"/>
          <w:sz w:val="18"/>
        </w:rPr>
        <w:t>图2  ECLA结构：左侧为通道注意力，右侧为水平/垂直局部空间注意力。来源：YOLO-CXR Figure 5。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4.3 通道分支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对输入特征执行全局平均池化（GAP），得到每个通道的全局描述。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用共享的一维卷积进行局部跨通道交互，避免SE式大幅降维。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经过Sigmoid得到0-1权重，并与原始特征逐通道相乘。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动态卷积核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k = |log₂(C)/γ + b/γ|odd，论文设置γ=2、b=1；|·|odd表示取满足规则的奇数核大小。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4.4 空间分支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分别沿水平与垂直方向做Strip Pooling，保留一维坐标信息。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两个方向分别经过Conv1D、GroupNorm和Sigmoid，得到S_H和S_V。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将水平权重、垂直权重与通道增强特征逐元素相乘。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空间公式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S_H = Sigmoid(GN(Conv1D(SP_H(M_c))))；S_V = Sigmoid(GN(Conv1D(SP_V(M_c))))。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单独ECLA达到0.320/0.161；ECLA+SFF达到0.334/0.166。RefConv+ECLA的严格mAP为0.158，低于单独ECLA的0.161，说明模块效果并非简单相加。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5. SFF：选择性特征融合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5.1 来源边界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YOLO-CXR定位：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Section III-D、Figure 6、公式(8)-(9) </w:t>
      </w:r>
      <w:hyperlink r:id="rId1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YOLO-CXR把SFF与参考文献[10]关联，但本文给出了适用于该网络的具体结构。不同论文中可能存在同名SFF，复现时必须以YOLO-CXR的Figure 6和公式为准。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5.2 为什么不能直接融合浅层特征</w:t>
      </w: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浅层特征分辨率高，保留小病灶边缘和位置，但也包含肋骨纹理、器官轮廓及噪声。深层特征语义强，却分辨率低。SFF的目标是让深层语义产生通道权重，选择浅层中真正与病灶有关的细节。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83280" cy="46589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f_structure_figure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4658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Aptos" w:hAnsi="Aptos" w:eastAsia="Microsoft YaHei"/>
          <w:b w:val="0"/>
          <w:i/>
          <w:color w:val="5B6573"/>
          <w:sz w:val="18"/>
        </w:rPr>
        <w:t>图3  SFF结构：深层特征经转置卷积和双线性插值对齐，再生成通道注意力筛选浅层特征。来源：YOLO-CXR Figure 6。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5.3 计算过程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输入浅层高分辨率特征M_low和深层低分辨率特征M_high。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对M_high使用kernel=3、stride=2的转置卷积上采样。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再使用双线性插值，使深浅层空间尺寸完全一致。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由对齐后的深层特征生成通道注意力CA(M_b)，筛选M_low。</w:t>
      </w:r>
    </w:p>
    <w:p>
      <w:pPr>
        <w:pStyle w:val="ListNumber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把筛选后的浅层特征与上采样深层特征相加，得到M_out。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融合公式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M_b = BI(TConv(M_high))；M_out = M_low × CA(M_b) + M_b。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论文示例尺寸：M_low为128×160×160，M_high为256×80×80，输出M_out为128×160×160。小病灶头+SFF单独达到0.322/0.162，是三个单独改进中最高结果。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6. P2小目标检测头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6.1 P2的来源与含义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基础来源：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Lin et al., Feature Pyramid Networks for Object Detection, CVPR 2017 </w:t>
      </w:r>
      <w:hyperlink r:id="rId20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Ultralytics结构参考：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官方yolov8-p2.yaml：P2/4至P5/32四尺度检测 </w:t>
      </w:r>
      <w:hyperlink r:id="rId21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YOLO-CXR定位：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Section III-D与Figure 2：small-lesion detection head </w:t>
      </w:r>
      <w:hyperlink r:id="rId1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P2不是一种新的损失函数，而是特征金字塔的高分辨率层级名称。P2/4表示相对输入图像的步长为4：当输入为640×640时，P2特征图约为160×160；P3/8约为80×80，P4/16约为40×40，P5/32约为20×20。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为什么有利于小病灶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病灶在高分辨率P2上占据更多网格位置，边缘和坐标信息不容易因连续下采样而消失；代价是计算量、显存和浅层噪声可能增加。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6.2 YOLO-CXR如何使用P2</w:t>
      </w:r>
    </w:p>
    <w:p>
      <w:pPr>
        <w:keepNext/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15000" cy="3776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cxr_overall_and_refcon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776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160" w:line="300" w:lineRule="auto"/>
        <w:jc w:val="center"/>
      </w:pPr>
      <w:r>
        <w:rPr>
          <w:rFonts w:ascii="Aptos" w:hAnsi="Aptos" w:eastAsia="Microsoft YaHei"/>
          <w:b w:val="0"/>
          <w:i/>
          <w:color w:val="5B6573"/>
          <w:sz w:val="18"/>
        </w:rPr>
        <w:t>图4  YOLO-CXR在第一个高分辨率C2f×3之后增加小病灶检测头，并形成四尺度检测。来源：YOLO-CXR Figure 2。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论文正文称其为small-lesion detection head；按特征步长可解释为P2/4检测分支。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该分支不是直接读取未经筛选的浅层特征，而是结合SFF进行深浅层选择性融合。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小病灶头+SFF作为一个联合消融项：mAP50为0.322，mAP50-95为0.162。论文没有把P2头与SFF拆开单独消融。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6.3 官方P2代码与论文结构的区别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6F8FA"/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1F2937"/>
                <w:sz w:val="17"/>
              </w:rPr>
              <w:t># Ultralytics yolov8-p2.yaml（结构要点）</w:t>
              <w:br/>
              <w:t>- [-1, 3, C2f, [128]]          # P2/4-xsmall</w:t>
              <w:br/>
              <w:t>- [[18, 21, 24, 27], 1, Detect, [nc]]  # Detect(P2,P3,P4,P5)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这段官方配置证明YOLOv8可以采用P2-P5四尺度检测，但它不是YOLO-CXR源码。YOLO-CXR还包含RefConv、ECLA、SFF及论文自己的连接关系；若仅复制官方yolov8-p2.yaml，不能称为复现YOLO-CXR。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7. YOLOv8s baseline与论文改动位置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7.1 原始baseline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官方结构：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Ultralytics yolov8.yaml </w:t>
      </w:r>
      <w:hyperlink r:id="rId2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官方模型说明：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Ultralytics YOLOv8 documentation </w:t>
      </w:r>
      <w:hyperlink r:id="rId23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keepNext w:val="0"/>
        <w:spacing w:before="0" w:after="12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YOLO-CXR论文选择YOLOv8s作为baseline。标准检测配置由Backbone、Neck和Detect Head组成：Backbone使用Conv、C2f和SPPF提取特征；Neck通过上采样、Concat与C2f融合多尺度特征；Head在P3/8、P4/16、P5/32三个尺度上检测。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s规模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官方当前yolov8.yaml中的s缩放系数为depth=0.33、width=0.50、max_channels=1024；配置文件注明约129层、11.17M参数和28.8 GFLOPs。版本更新可能改变统计值，复现必须锁定Ultralytics版本与commit。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74B5"/>
          <w:sz w:val="26"/>
        </w:rPr>
        <w:t>7.2 从YOLOv8s到YOLO-CXR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2450"/>
        <w:gridCol w:w="2550"/>
        <w:gridCol w:w="2610"/>
      </w:tblGrid>
      <w:tr>
        <w:tc>
          <w:tcPr>
            <w:tcW w:type="dxa" w:w="175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位置</w:t>
            </w:r>
          </w:p>
        </w:tc>
        <w:tc>
          <w:tcPr>
            <w:tcW w:type="dxa" w:w="245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YOLOv8s</w:t>
            </w:r>
          </w:p>
        </w:tc>
        <w:tc>
          <w:tcPr>
            <w:tcW w:type="dxa" w:w="255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YOLO-CXR改动</w:t>
            </w:r>
          </w:p>
        </w:tc>
        <w:tc>
          <w:tcPr>
            <w:tcW w:type="dxa" w:w="261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17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Backbone下采样</w:t>
            </w:r>
          </w:p>
        </w:tc>
        <w:tc>
          <w:tcPr>
            <w:tcW w:type="dxa" w:w="24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普通Conv</w:t>
            </w:r>
          </w:p>
        </w:tc>
        <w:tc>
          <w:tcPr>
            <w:tcW w:type="dxa" w:w="25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替换为RefConv</w:t>
            </w:r>
          </w:p>
        </w:tc>
        <w:tc>
          <w:tcPr>
            <w:tcW w:type="dxa" w:w="261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增强病灶特征表达</w:t>
            </w:r>
          </w:p>
        </w:tc>
      </w:tr>
      <w:tr>
        <w:tc>
          <w:tcPr>
            <w:tcW w:type="dxa" w:w="17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注意力</w:t>
            </w:r>
          </w:p>
        </w:tc>
        <w:tc>
          <w:tcPr>
            <w:tcW w:type="dxa" w:w="24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无ECLA</w:t>
            </w:r>
          </w:p>
        </w:tc>
        <w:tc>
          <w:tcPr>
            <w:tcW w:type="dxa" w:w="25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加入ECLA</w:t>
            </w:r>
          </w:p>
        </w:tc>
        <w:tc>
          <w:tcPr>
            <w:tcW w:type="dxa" w:w="261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保留通道与空间位置</w:t>
            </w:r>
          </w:p>
        </w:tc>
      </w:tr>
      <w:tr>
        <w:tc>
          <w:tcPr>
            <w:tcW w:type="dxa" w:w="17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Neck融合</w:t>
            </w:r>
          </w:p>
        </w:tc>
        <w:tc>
          <w:tcPr>
            <w:tcW w:type="dxa" w:w="24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常规上采样+Concat</w:t>
            </w:r>
          </w:p>
        </w:tc>
        <w:tc>
          <w:tcPr>
            <w:tcW w:type="dxa" w:w="255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加入SFF</w:t>
            </w:r>
          </w:p>
        </w:tc>
        <w:tc>
          <w:tcPr>
            <w:tcW w:type="dxa" w:w="261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筛选浅层冗余细节</w:t>
            </w:r>
          </w:p>
        </w:tc>
      </w:tr>
      <w:tr>
        <w:tc>
          <w:tcPr>
            <w:tcW w:type="dxa" w:w="17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检测尺度</w:t>
            </w:r>
          </w:p>
        </w:tc>
        <w:tc>
          <w:tcPr>
            <w:tcW w:type="dxa" w:w="24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P3、P4、P5</w:t>
            </w:r>
          </w:p>
        </w:tc>
        <w:tc>
          <w:tcPr>
            <w:tcW w:type="dxa" w:w="255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增加P2小病灶头</w:t>
            </w:r>
          </w:p>
        </w:tc>
        <w:tc>
          <w:tcPr>
            <w:tcW w:type="dxa" w:w="261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8"/>
              </w:rPr>
              <w:t>保留小病灶高分辨率信息</w:t>
            </w:r>
          </w:p>
        </w:tc>
      </w:tr>
    </w:tbl>
    <w:p>
      <w:pPr>
        <w:keepNext w:val="0"/>
        <w:spacing w:before="0" w:after="160" w:line="300" w:lineRule="auto"/>
      </w:pPr>
      <w:r>
        <w:rPr>
          <w:rFonts w:ascii="Aptos" w:hAnsi="Aptos" w:eastAsia="Microsoft YaHei"/>
          <w:b w:val="0"/>
          <w:i/>
          <w:color w:val="5B6573"/>
          <w:sz w:val="17"/>
        </w:rPr>
        <w:t>baseline的0.306/0.150与后续消融结果均来自YOLO-CXR论文Table 5，不是本文重新运行Ultralytics代码得到的结果。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8. 组合后的YOLO-CXR与消融结果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900"/>
        <w:gridCol w:w="900"/>
        <w:gridCol w:w="1400"/>
        <w:gridCol w:w="1600"/>
        <w:gridCol w:w="3060"/>
      </w:tblGrid>
      <w:tr>
        <w:tc>
          <w:tcPr>
            <w:tcW w:type="dxa" w:w="15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实验</w:t>
            </w:r>
          </w:p>
        </w:tc>
        <w:tc>
          <w:tcPr>
            <w:tcW w:type="dxa" w:w="9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RefConv</w:t>
            </w:r>
          </w:p>
        </w:tc>
        <w:tc>
          <w:tcPr>
            <w:tcW w:type="dxa" w:w="9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ECLA</w:t>
            </w:r>
          </w:p>
        </w:tc>
        <w:tc>
          <w:tcPr>
            <w:tcW w:type="dxa" w:w="14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小病灶头+SFF</w:t>
            </w:r>
          </w:p>
        </w:tc>
        <w:tc>
          <w:tcPr>
            <w:tcW w:type="dxa" w:w="16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mAP50 / 50-95</w:t>
            </w:r>
          </w:p>
        </w:tc>
        <w:tc>
          <w:tcPr>
            <w:tcW w:type="dxa" w:w="306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相对baseline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Baseline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0.306 / 0.150</w:t>
            </w:r>
          </w:p>
        </w:tc>
        <w:tc>
          <w:tcPr>
            <w:tcW w:type="dxa" w:w="306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-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A1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0.319 / 0.157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+0.013 / +0.007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A2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0.320 / 0.161</w:t>
            </w:r>
          </w:p>
        </w:tc>
        <w:tc>
          <w:tcPr>
            <w:tcW w:type="dxa" w:w="306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+0.014 / +0.011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A3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0.322 / 0.162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+0.016 / +0.012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A4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0.326 / 0.158</w:t>
            </w:r>
          </w:p>
        </w:tc>
        <w:tc>
          <w:tcPr>
            <w:tcW w:type="dxa" w:w="306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+0.020 / +0.008</w:t>
            </w:r>
          </w:p>
        </w:tc>
      </w:tr>
      <w:tr>
        <w:tc>
          <w:tcPr>
            <w:tcW w:type="dxa" w:w="15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A5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否</w:t>
            </w:r>
          </w:p>
        </w:tc>
        <w:tc>
          <w:tcPr>
            <w:tcW w:type="dxa" w:w="9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4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60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0.334 / 0.166</w:t>
            </w:r>
          </w:p>
        </w:tc>
        <w:tc>
          <w:tcPr>
            <w:tcW w:type="dxa" w:w="3060"/>
            <w:vAlign w:val="center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+0.028 / +0.016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YOLO-CXR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9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4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是</w:t>
            </w:r>
          </w:p>
        </w:tc>
        <w:tc>
          <w:tcPr>
            <w:tcW w:type="dxa" w:w="160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0.338 / 0.167</w:t>
            </w:r>
          </w:p>
        </w:tc>
        <w:tc>
          <w:tcPr>
            <w:tcW w:type="dxa" w:w="3060"/>
            <w:vAlign w:val="center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+0.032 / +0.017</w:t>
            </w:r>
          </w:p>
        </w:tc>
      </w:tr>
    </w:tbl>
    <w:p>
      <w:pPr>
        <w:keepNext w:val="0"/>
        <w:spacing w:before="0" w:after="160" w:line="300" w:lineRule="auto"/>
      </w:pPr>
      <w:r>
        <w:rPr>
          <w:rFonts w:ascii="Aptos" w:hAnsi="Aptos" w:eastAsia="Microsoft YaHei"/>
          <w:b w:val="0"/>
          <w:i/>
          <w:color w:val="5B6573"/>
          <w:sz w:val="17"/>
        </w:rPr>
        <w:t>原始mAP数据来自作者Table 5；“相对baseline”列为按作者结果做的绝对差值，不是重新训练所得。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综合判断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独立贡献大致为：小病灶头+SFF ≈ ECLA &gt; RefConv。完整模型最好，但ECLA+SFF已经非常接近完整模型，RefConv在该组合上的边际增益为+0.004 mAP50和+0.001严格mAP。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9. 代码与文档审核结果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after="40"/>
            </w:pPr>
            <w:r>
              <w:rPr>
                <w:rFonts w:ascii="Aptos" w:hAnsi="Aptos" w:eastAsia="Microsoft YaHei"/>
                <w:b/>
                <w:i w:val="0"/>
                <w:color w:val="17365D"/>
                <w:sz w:val="21"/>
              </w:rPr>
              <w:t xml:space="preserve">审核结论  </w:t>
            </w:r>
            <w:r>
              <w:rPr>
                <w:rFonts w:ascii="Aptos" w:hAnsi="Aptos" w:eastAsia="Microsoft YaHei"/>
                <w:b w:val="0"/>
                <w:i w:val="0"/>
                <w:color w:val="1F2937"/>
                <w:sz w:val="21"/>
              </w:rPr>
              <w:t>现有文档中的主要公式、消融数值和模块关系与YOLO-CXR原文一致；新增P2与YOLOv8s内容已用Ultralytics官方YAML和FPN论文交叉核对。文档提供的是结构参考与伪代码，不是可直接运行的完整YOLO-CXR实现。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4300"/>
        <w:gridCol w:w="2760"/>
      </w:tblGrid>
      <w:tr>
        <w:tc>
          <w:tcPr>
            <w:tcW w:type="dxa" w:w="23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审核项</w:t>
            </w:r>
          </w:p>
        </w:tc>
        <w:tc>
          <w:tcPr>
            <w:tcW w:type="dxa" w:w="430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结论</w:t>
            </w:r>
          </w:p>
        </w:tc>
        <w:tc>
          <w:tcPr>
            <w:tcW w:type="dxa" w:w="2760"/>
            <w:shd w:fill="17365D"/>
          </w:tcPr>
          <w:p>
            <w:r>
              <w:rPr>
                <w:rFonts w:ascii="Aptos" w:hAnsi="Aptos" w:eastAsia="Microsoft YaHei"/>
                <w:b/>
                <w:i w:val="0"/>
                <w:color w:val="FFFFFF"/>
                <w:sz w:val="18"/>
              </w:rPr>
              <w:t>处理/风险</w:t>
            </w:r>
          </w:p>
        </w:tc>
      </w:tr>
      <w:tr>
        <w:tc>
          <w:tcPr>
            <w:tcW w:type="dxa" w:w="2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YOLOv8输出尺度</w:t>
            </w:r>
          </w:p>
        </w:tc>
        <w:tc>
          <w:tcPr>
            <w:tcW w:type="dxa" w:w="4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官方标准配置为P3/8-P5/32</w:t>
            </w:r>
          </w:p>
        </w:tc>
        <w:tc>
          <w:tcPr>
            <w:tcW w:type="dxa" w:w="276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已核对yolov8.yaml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P2结构</w:t>
            </w:r>
          </w:p>
        </w:tc>
        <w:tc>
          <w:tcPr>
            <w:tcW w:type="dxa" w:w="4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官方P2配置为P2/4-P5/32，Detect四尺度</w:t>
            </w:r>
          </w:p>
        </w:tc>
        <w:tc>
          <w:tcPr>
            <w:tcW w:type="dxa" w:w="276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已核对yolov8-p2.yaml</w:t>
            </w:r>
          </w:p>
        </w:tc>
      </w:tr>
      <w:tr>
        <w:tc>
          <w:tcPr>
            <w:tcW w:type="dxa" w:w="2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P2与YOLO-CXR等价性</w:t>
            </w:r>
          </w:p>
        </w:tc>
        <w:tc>
          <w:tcPr>
            <w:tcW w:type="dxa" w:w="4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不等价；官方P2 YAML不含RefConv/ECLA/SFF</w:t>
            </w:r>
          </w:p>
        </w:tc>
        <w:tc>
          <w:tcPr>
            <w:tcW w:type="dxa" w:w="276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文档已明确限制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ECA代码</w:t>
            </w:r>
          </w:p>
        </w:tc>
        <w:tc>
          <w:tcPr>
            <w:tcW w:type="dxa" w:w="4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官方eca_module.py接受外部k_size，模块内部不计算自适应k</w:t>
            </w:r>
          </w:p>
        </w:tc>
        <w:tc>
          <w:tcPr>
            <w:tcW w:type="dxa" w:w="276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YOLO-CXR应按其公式由C计算k</w:t>
            </w:r>
          </w:p>
        </w:tc>
      </w:tr>
      <w:tr>
        <w:tc>
          <w:tcPr>
            <w:tcW w:type="dxa" w:w="2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ELA与ECLA</w:t>
            </w:r>
          </w:p>
        </w:tc>
        <w:tc>
          <w:tcPr>
            <w:tcW w:type="dxa" w:w="4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ELA代码只能参考空间分支；ECLA为YOLO-CXR组合结构</w:t>
            </w:r>
          </w:p>
        </w:tc>
        <w:tc>
          <w:tcPr>
            <w:tcW w:type="dxa" w:w="276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不能直接原样替换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SFF代码</w:t>
            </w:r>
          </w:p>
        </w:tc>
        <w:tc>
          <w:tcPr>
            <w:tcW w:type="dxa" w:w="4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论文给结构与公式，但未提供完整可运行源码</w:t>
            </w:r>
          </w:p>
        </w:tc>
        <w:tc>
          <w:tcPr>
            <w:tcW w:type="dxa" w:w="276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通道数、归一化和插值参数需自行核验</w:t>
            </w:r>
          </w:p>
        </w:tc>
      </w:tr>
      <w:tr>
        <w:tc>
          <w:tcPr>
            <w:tcW w:type="dxa" w:w="2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RefConv代码</w:t>
            </w:r>
          </w:p>
        </w:tc>
        <w:tc>
          <w:tcPr>
            <w:tcW w:type="dxa" w:w="430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文档仅保存论文公式与结构位置</w:t>
            </w:r>
          </w:p>
        </w:tc>
        <w:tc>
          <w:tcPr>
            <w:tcW w:type="dxa" w:w="2760"/>
            <w:shd w:fill="E8EEF5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实际部署需验证训练/推理权重重参数化</w:t>
            </w:r>
          </w:p>
        </w:tc>
      </w:tr>
      <w:tr>
        <w:tc>
          <w:tcPr>
            <w:tcW w:type="dxa" w:w="2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消融数据</w:t>
            </w:r>
          </w:p>
        </w:tc>
        <w:tc>
          <w:tcPr>
            <w:tcW w:type="dxa" w:w="430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作者Table 5原始值；差值列为算术计算</w:t>
            </w:r>
          </w:p>
        </w:tc>
        <w:tc>
          <w:tcPr>
            <w:tcW w:type="dxa" w:w="2760"/>
          </w:tcPr>
          <w:p>
            <w:r>
              <w:rPr>
                <w:rFonts w:ascii="Aptos" w:hAnsi="Aptos" w:eastAsia="Microsoft YaHei"/>
                <w:b w:val="0"/>
                <w:i w:val="0"/>
                <w:color w:val="1F2937"/>
                <w:sz w:val="17"/>
              </w:rPr>
              <w:t>不得写成本项目复现实验结果</w:t>
            </w:r>
          </w:p>
        </w:tc>
      </w:tr>
    </w:tbl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10. 复现检查清单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固定Ultralytics/YOLOv8代码版本，保存完整模型YAML。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明确RefConv替换的具体层，并验证训练态到推理态的权重合并。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按Figure 5实现ECLA，记录γ=2、b=1和GroupNorm配置。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按Figure 6核对SFF的转置卷积、双线性插值、通道数和尺寸。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确认P2检测头形成P2-P5四个输出尺度。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分别复现baseline、单模块、组合与完整模型，不能只训练完整模型。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保存随机种子、数据划分、WBF参数、best.pt和last.pt。</w:t>
      </w:r>
    </w:p>
    <w:p>
      <w:pPr>
        <w:pStyle w:val="ListBullet"/>
        <w:spacing w:after="80" w:line="300" w:lineRule="auto"/>
      </w:pPr>
      <w:r>
        <w:rPr>
          <w:rFonts w:ascii="Aptos" w:hAnsi="Aptos" w:eastAsia="Microsoft YaHei"/>
          <w:b w:val="0"/>
          <w:i w:val="0"/>
          <w:color w:val="1F2937"/>
          <w:sz w:val="21"/>
        </w:rPr>
        <w:t>报告参数量、FLOPs、显存、FPS或单张推理时间，补足原论文复杂度证据。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2E74B5"/>
          <w:sz w:val="32"/>
        </w:rPr>
        <w:t>11. 参考文献与链接</w:t>
      </w:r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YOLO-CXR：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Hao et al., IEEE Access, 2024 </w:t>
      </w:r>
      <w:hyperlink r:id="rId1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RefConv：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Cai et al., 2023 </w:t>
      </w:r>
      <w:hyperlink r:id="rId11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ECA-Net：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Wang et al., CVPR 2020 </w:t>
      </w:r>
      <w:hyperlink r:id="rId14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ELA：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Xu &amp; Wan, 2024 </w:t>
      </w:r>
      <w:hyperlink r:id="rId16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FPN：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Lin et al., CVPR 2017 </w:t>
      </w:r>
      <w:hyperlink r:id="rId20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YOLOv8标准配置：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Ultralytics yolov8.yaml </w:t>
      </w:r>
      <w:hyperlink r:id="rId22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p>
      <w:pPr>
        <w:spacing w:after="80"/>
        <w:ind w:left="259"/>
      </w:pPr>
      <w:r>
        <w:rPr>
          <w:rFonts w:ascii="Aptos" w:hAnsi="Aptos" w:eastAsia="Microsoft YaHei"/>
          <w:b/>
          <w:i w:val="0"/>
          <w:color w:val="5B6573"/>
          <w:sz w:val="19"/>
        </w:rPr>
        <w:t>YOLOv8 P2配置：</w:t>
      </w:r>
      <w:r>
        <w:rPr>
          <w:rFonts w:ascii="Aptos" w:hAnsi="Aptos" w:eastAsia="Microsoft YaHei"/>
          <w:b w:val="0"/>
          <w:i w:val="0"/>
          <w:color w:val="5B6573"/>
          <w:sz w:val="19"/>
        </w:rPr>
        <w:t xml:space="preserve">Ultralytics yolov8-p2.yaml </w:t>
      </w:r>
      <w:hyperlink r:id="rId21">
        <w:r>
          <w:rPr>
            <w:color w:val="2E74B5"/>
            <w:u w:val="single"/>
            <w:rFonts w:eastAsia="Microsoft YaHei" w:ascii="Aptos" w:hAnsi="Aptos"/>
          </w:rPr>
          <w:t>[链接]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i w:val="0"/>
        <w:color w:val="5B6573"/>
        <w:sz w:val="16"/>
      </w:rPr>
      <w:t>模块资料汇总 ·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 w:val="0"/>
        <w:i w:val="0"/>
        <w:color w:val="5B6573"/>
        <w:sz w:val="17"/>
      </w:rPr>
      <w:t>YOLO-CXR · 核心模块资料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arxiv.org/abs/2310.10563" TargetMode="External"/><Relationship Id="rId12" Type="http://schemas.openxmlformats.org/officeDocument/2006/relationships/hyperlink" Target="https://doi.org/10.1109/ACCESS.2024.3482102" TargetMode="External"/><Relationship Id="rId13" Type="http://schemas.openxmlformats.org/officeDocument/2006/relationships/image" Target="media/image1.png"/><Relationship Id="rId14" Type="http://schemas.openxmlformats.org/officeDocument/2006/relationships/hyperlink" Target="https://arxiv.org/abs/1910.03151" TargetMode="External"/><Relationship Id="rId15" Type="http://schemas.openxmlformats.org/officeDocument/2006/relationships/hyperlink" Target="https://github.com/BangguWu/ECANet" TargetMode="External"/><Relationship Id="rId16" Type="http://schemas.openxmlformats.org/officeDocument/2006/relationships/hyperlink" Target="https://arxiv.org/abs/2403.01123" TargetMode="External"/><Relationship Id="rId17" Type="http://schemas.openxmlformats.org/officeDocument/2006/relationships/hyperlink" Target="https://github.com/Xuwei86/ELA_Code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yperlink" Target="https://openaccess.thecvf.com/content_cvpr_2017/html/Lin_Feature_Pyramid_Networks_CVPR_2017_paper.html" TargetMode="External"/><Relationship Id="rId21" Type="http://schemas.openxmlformats.org/officeDocument/2006/relationships/hyperlink" Target="https://github.com/ultralytics/ultralytics/blob/main/ultralytics/cfg/models/v8/yolov8-p2.yaml" TargetMode="External"/><Relationship Id="rId22" Type="http://schemas.openxmlformats.org/officeDocument/2006/relationships/hyperlink" Target="https://github.com/ultralytics/ultralytics/blob/main/ultralytics/cfg/models/v8/yolov8.yaml" TargetMode="External"/><Relationship Id="rId23" Type="http://schemas.openxmlformats.org/officeDocument/2006/relationships/hyperlink" Target="https://docs.ultralytics.com/models/yolov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YOLO-CXR核心模块资料汇总</dc:title>
  <dc:subject>RefConv、ECA/ELA/ECLA与SFF资料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