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56"/>
          <w:szCs w:val="56"/>
        </w:rPr>
        <w:t xml:space="preserve">AI Career Copilot</w:t>
      </w:r>
    </w:p>
    <w:p>
      <w:pPr>
        <w:spacing w:after="300"/>
      </w:pPr>
      <w:r>
        <w:rPr>
          <w:i/>
          <w:iCs/>
          <w:color w:val="595959"/>
          <w:sz w:val="26"/>
          <w:szCs w:val="26"/>
        </w:rPr>
        <w:t xml:space="preserve">Product Requirements Document (PRD) — v1.0</w:t>
      </w:r>
    </w:p>
    <w:p>
      <w:pPr>
        <w:pStyle w:val="Heading1"/>
        <w:pBdr>
          <w:bottom w:val="single" w:color="2E74B5" w:sz="6"/>
        </w:pBdr>
        <w:spacing w:after="160" w:before="360"/>
      </w:pPr>
      <w:r>
        <w:rPr>
          <w:b/>
          <w:bCs/>
          <w:color w:val="1F3864"/>
        </w:rPr>
        <w:t xml:space="preserve">1. Product Vision</w:t>
      </w:r>
    </w:p>
    <w:p>
      <w:pPr>
        <w:spacing w:after="120"/>
      </w:pPr>
      <w:r>
        <w:t xml:space="preserve">AI Career Copilot helps engineering students and fresh graduates cut through fragmented career advice by turning their resume and target role into a personalized skill-gap analysis and a 12-week actionable roadmap — replacing generic content-browsing with a single, trustworthy "what should I do this week" answer.</w:t>
      </w:r>
    </w:p>
    <w:p>
      <w:pPr>
        <w:pStyle w:val="Heading1"/>
        <w:pBdr>
          <w:bottom w:val="single" w:color="2E74B5" w:sz="6"/>
        </w:pBdr>
        <w:spacing w:after="160" w:before="360"/>
      </w:pPr>
      <w:r>
        <w:rPr>
          <w:b/>
          <w:bCs/>
          <w:color w:val="1F3864"/>
        </w:rPr>
        <w:t xml:space="preserve">2. Problem</w:t>
      </w:r>
    </w:p>
    <w:p>
      <w:pPr>
        <w:spacing w:after="120"/>
      </w:pPr>
      <w:r>
        <w:t xml:space="preserve">Learners have access to unlimited content (YouTube, Coursera, LinkedIn, ChatGPT, roadmap sites) but no reliable way to prioritize it against their specific target role and current skill level. This causes decision paralysis and wasted preparation time.</w:t>
      </w:r>
    </w:p>
    <w:p>
      <w:pPr>
        <w:pStyle w:val="Heading1"/>
        <w:pBdr>
          <w:bottom w:val="single" w:color="2E74B5" w:sz="6"/>
        </w:pBdr>
        <w:spacing w:after="160" w:before="360"/>
      </w:pPr>
      <w:r>
        <w:rPr>
          <w:b/>
          <w:bCs/>
          <w:color w:val="1F3864"/>
        </w:rPr>
        <w:t xml:space="preserve">3. Target Users</w:t>
      </w:r>
    </w:p>
    <w:p>
      <w:pPr>
        <w:pStyle w:val="ListParagraph"/>
        <w:numPr>
          <w:ilvl w:val="0"/>
          <w:numId w:val="2"/>
        </w:numPr>
        <w:spacing w:after="60"/>
      </w:pPr>
      <w:r>
        <w:t xml:space="preserve">Final-year engineering students preparing for their first job</w:t>
      </w:r>
    </w:p>
    <w:p>
      <w:pPr>
        <w:pStyle w:val="ListParagraph"/>
        <w:numPr>
          <w:ilvl w:val="0"/>
          <w:numId w:val="2"/>
        </w:numPr>
        <w:spacing w:after="60"/>
      </w:pPr>
      <w:r>
        <w:t xml:space="preserve">Fresh graduates (0–12 months) actively job-hunting</w:t>
      </w:r>
    </w:p>
    <w:p>
      <w:pPr>
        <w:pStyle w:val="ListParagraph"/>
        <w:numPr>
          <w:ilvl w:val="0"/>
          <w:numId w:val="2"/>
        </w:numPr>
        <w:spacing w:after="60"/>
      </w:pPr>
      <w:r>
        <w:t xml:space="preserve">Working professionals switching roles (e.g., SWE → PM)</w:t>
      </w:r>
    </w:p>
    <w:p>
      <w:pPr>
        <w:pStyle w:val="Heading1"/>
        <w:pBdr>
          <w:bottom w:val="single" w:color="2E74B5" w:sz="6"/>
        </w:pBdr>
        <w:spacing w:after="160" w:before="360"/>
      </w:pPr>
      <w:r>
        <w:rPr>
          <w:b/>
          <w:bCs/>
          <w:color w:val="1F3864"/>
        </w:rPr>
        <w:t xml:space="preserve">4. User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22"/>
        <w:gridCol w:w="34"/>
        <w:gridCol w:w="34"/>
      </w:tblGrid>
      <w:tr>
        <w:tc>
          <w:tcPr>
            <w:tcW w:type="pct" w:w="0.1%"/>
            <w:shd w:fill="DCE6F1" w:val="clear"/>
            <w:tcMar>
              <w:top w:type="dxa" w:w="90"/>
              <w:left w:type="dxa" w:w="110"/>
              <w:bottom w:type="dxa" w:w="90"/>
              <w:right w:type="dxa" w:w="110"/>
            </w:tcMar>
          </w:tcPr>
          <w:p>
            <w:r>
              <w:rPr>
                <w:b/>
                <w:bCs/>
                <w:color w:val="1F3864"/>
              </w:rPr>
              <w:t xml:space="preserve">ID</w:t>
            </w:r>
          </w:p>
        </w:tc>
        <w:tc>
          <w:tcPr>
            <w:tcW w:type="pct" w:w="0.22%"/>
            <w:shd w:fill="DCE6F1" w:val="clear"/>
            <w:tcMar>
              <w:top w:type="dxa" w:w="90"/>
              <w:left w:type="dxa" w:w="110"/>
              <w:bottom w:type="dxa" w:w="90"/>
              <w:right w:type="dxa" w:w="110"/>
            </w:tcMar>
          </w:tcPr>
          <w:p>
            <w:r>
              <w:rPr>
                <w:b/>
                <w:bCs/>
                <w:color w:val="1F3864"/>
              </w:rPr>
              <w:t xml:space="preserve">As a...</w:t>
            </w:r>
          </w:p>
        </w:tc>
        <w:tc>
          <w:tcPr>
            <w:tcW w:type="pct" w:w="0.34%"/>
            <w:shd w:fill="DCE6F1" w:val="clear"/>
            <w:tcMar>
              <w:top w:type="dxa" w:w="90"/>
              <w:left w:type="dxa" w:w="110"/>
              <w:bottom w:type="dxa" w:w="90"/>
              <w:right w:type="dxa" w:w="110"/>
            </w:tcMar>
          </w:tcPr>
          <w:p>
            <w:r>
              <w:rPr>
                <w:b/>
                <w:bCs/>
                <w:color w:val="1F3864"/>
              </w:rPr>
              <w:t xml:space="preserve">I want to...</w:t>
            </w:r>
          </w:p>
        </w:tc>
        <w:tc>
          <w:tcPr>
            <w:tcW w:type="pct" w:w="0.34%"/>
            <w:shd w:fill="DCE6F1" w:val="clear"/>
            <w:tcMar>
              <w:top w:type="dxa" w:w="90"/>
              <w:left w:type="dxa" w:w="110"/>
              <w:bottom w:type="dxa" w:w="90"/>
              <w:right w:type="dxa" w:w="110"/>
            </w:tcMar>
          </w:tcPr>
          <w:p>
            <w:r>
              <w:rPr>
                <w:b/>
                <w:bCs/>
                <w:color w:val="1F3864"/>
              </w:rPr>
              <w:t xml:space="preserve">So that...</w:t>
            </w:r>
          </w:p>
        </w:tc>
      </w:tr>
      <w:tr>
        <w:tc>
          <w:tcPr>
            <w:tcW w:type="pct" w:w="0.1%"/>
            <w:tcMar>
              <w:top w:type="dxa" w:w="90"/>
              <w:left w:type="dxa" w:w="110"/>
              <w:bottom w:type="dxa" w:w="90"/>
              <w:right w:type="dxa" w:w="110"/>
            </w:tcMar>
          </w:tcPr>
          <w:p>
            <w:r>
              <w:rPr>
                <w:b w:val="false"/>
                <w:bCs w:val="false"/>
                <w:color w:val="000000"/>
              </w:rPr>
              <w:t xml:space="preserve">US-1</w:t>
            </w:r>
          </w:p>
        </w:tc>
        <w:tc>
          <w:tcPr>
            <w:tcW w:type="pct" w:w="0.22%"/>
            <w:tcMar>
              <w:top w:type="dxa" w:w="90"/>
              <w:left w:type="dxa" w:w="110"/>
              <w:bottom w:type="dxa" w:w="90"/>
              <w:right w:type="dxa" w:w="110"/>
            </w:tcMar>
          </w:tcPr>
          <w:p>
            <w:r>
              <w:rPr>
                <w:b w:val="false"/>
                <w:bCs w:val="false"/>
                <w:color w:val="000000"/>
              </w:rPr>
              <w:t xml:space="preserve">Final-year student</w:t>
            </w:r>
          </w:p>
        </w:tc>
        <w:tc>
          <w:tcPr>
            <w:tcW w:type="pct" w:w="0.34%"/>
            <w:tcMar>
              <w:top w:type="dxa" w:w="90"/>
              <w:left w:type="dxa" w:w="110"/>
              <w:bottom w:type="dxa" w:w="90"/>
              <w:right w:type="dxa" w:w="110"/>
            </w:tcMar>
          </w:tcPr>
          <w:p>
            <w:r>
              <w:rPr>
                <w:b w:val="false"/>
                <w:bCs w:val="false"/>
                <w:color w:val="000000"/>
              </w:rPr>
              <w:t xml:space="preserve">upload my resume and pick a target role</w:t>
            </w:r>
          </w:p>
        </w:tc>
        <w:tc>
          <w:tcPr>
            <w:tcW w:type="pct" w:w="0.34%"/>
            <w:tcMar>
              <w:top w:type="dxa" w:w="90"/>
              <w:left w:type="dxa" w:w="110"/>
              <w:bottom w:type="dxa" w:w="90"/>
              <w:right w:type="dxa" w:w="110"/>
            </w:tcMar>
          </w:tcPr>
          <w:p>
            <w:r>
              <w:rPr>
                <w:b w:val="false"/>
                <w:bCs w:val="false"/>
                <w:color w:val="000000"/>
              </w:rPr>
              <w:t xml:space="preserve">I can see where I stand vs. what's expected</w:t>
            </w:r>
          </w:p>
        </w:tc>
      </w:tr>
      <w:tr>
        <w:tc>
          <w:tcPr>
            <w:tcW w:type="pct" w:w="0.1%"/>
            <w:tcMar>
              <w:top w:type="dxa" w:w="90"/>
              <w:left w:type="dxa" w:w="110"/>
              <w:bottom w:type="dxa" w:w="90"/>
              <w:right w:type="dxa" w:w="110"/>
            </w:tcMar>
          </w:tcPr>
          <w:p>
            <w:r>
              <w:rPr>
                <w:b w:val="false"/>
                <w:bCs w:val="false"/>
                <w:color w:val="000000"/>
              </w:rPr>
              <w:t xml:space="preserve">US-2</w:t>
            </w:r>
          </w:p>
        </w:tc>
        <w:tc>
          <w:tcPr>
            <w:tcW w:type="pct" w:w="0.22%"/>
            <w:tcMar>
              <w:top w:type="dxa" w:w="90"/>
              <w:left w:type="dxa" w:w="110"/>
              <w:bottom w:type="dxa" w:w="90"/>
              <w:right w:type="dxa" w:w="110"/>
            </w:tcMar>
          </w:tcPr>
          <w:p>
            <w:r>
              <w:rPr>
                <w:b w:val="false"/>
                <w:bCs w:val="false"/>
                <w:color w:val="000000"/>
              </w:rPr>
              <w:t xml:space="preserve">Any user</w:t>
            </w:r>
          </w:p>
        </w:tc>
        <w:tc>
          <w:tcPr>
            <w:tcW w:type="pct" w:w="0.34%"/>
            <w:tcMar>
              <w:top w:type="dxa" w:w="90"/>
              <w:left w:type="dxa" w:w="110"/>
              <w:bottom w:type="dxa" w:w="90"/>
              <w:right w:type="dxa" w:w="110"/>
            </w:tcMar>
          </w:tcPr>
          <w:p>
            <w:r>
              <w:rPr>
                <w:b w:val="false"/>
                <w:bCs w:val="false"/>
                <w:color w:val="000000"/>
              </w:rPr>
              <w:t xml:space="preserve">see a skill-gap breakdown</w:t>
            </w:r>
          </w:p>
        </w:tc>
        <w:tc>
          <w:tcPr>
            <w:tcW w:type="pct" w:w="0.34%"/>
            <w:tcMar>
              <w:top w:type="dxa" w:w="90"/>
              <w:left w:type="dxa" w:w="110"/>
              <w:bottom w:type="dxa" w:w="90"/>
              <w:right w:type="dxa" w:w="110"/>
            </w:tcMar>
          </w:tcPr>
          <w:p>
            <w:r>
              <w:rPr>
                <w:b w:val="false"/>
                <w:bCs w:val="false"/>
                <w:color w:val="000000"/>
              </w:rPr>
              <w:t xml:space="preserve">I know exactly which skills are missing, not just "study more"</w:t>
            </w:r>
          </w:p>
        </w:tc>
      </w:tr>
      <w:tr>
        <w:tc>
          <w:tcPr>
            <w:tcW w:type="pct" w:w="0.1%"/>
            <w:tcMar>
              <w:top w:type="dxa" w:w="90"/>
              <w:left w:type="dxa" w:w="110"/>
              <w:bottom w:type="dxa" w:w="90"/>
              <w:right w:type="dxa" w:w="110"/>
            </w:tcMar>
          </w:tcPr>
          <w:p>
            <w:r>
              <w:rPr>
                <w:b w:val="false"/>
                <w:bCs w:val="false"/>
                <w:color w:val="000000"/>
              </w:rPr>
              <w:t xml:space="preserve">US-3</w:t>
            </w:r>
          </w:p>
        </w:tc>
        <w:tc>
          <w:tcPr>
            <w:tcW w:type="pct" w:w="0.22%"/>
            <w:tcMar>
              <w:top w:type="dxa" w:w="90"/>
              <w:left w:type="dxa" w:w="110"/>
              <w:bottom w:type="dxa" w:w="90"/>
              <w:right w:type="dxa" w:w="110"/>
            </w:tcMar>
          </w:tcPr>
          <w:p>
            <w:r>
              <w:rPr>
                <w:b w:val="false"/>
                <w:bCs w:val="false"/>
                <w:color w:val="000000"/>
              </w:rPr>
              <w:t xml:space="preserve">Any user</w:t>
            </w:r>
          </w:p>
        </w:tc>
        <w:tc>
          <w:tcPr>
            <w:tcW w:type="pct" w:w="0.34%"/>
            <w:tcMar>
              <w:top w:type="dxa" w:w="90"/>
              <w:left w:type="dxa" w:w="110"/>
              <w:bottom w:type="dxa" w:w="90"/>
              <w:right w:type="dxa" w:w="110"/>
            </w:tcMar>
          </w:tcPr>
          <w:p>
            <w:r>
              <w:rPr>
                <w:b w:val="false"/>
                <w:bCs w:val="false"/>
                <w:color w:val="000000"/>
              </w:rPr>
              <w:t xml:space="preserve">get a 12-week roadmap broken into weekly tasks</w:t>
            </w:r>
          </w:p>
        </w:tc>
        <w:tc>
          <w:tcPr>
            <w:tcW w:type="pct" w:w="0.34%"/>
            <w:tcMar>
              <w:top w:type="dxa" w:w="90"/>
              <w:left w:type="dxa" w:w="110"/>
              <w:bottom w:type="dxa" w:w="90"/>
              <w:right w:type="dxa" w:w="110"/>
            </w:tcMar>
          </w:tcPr>
          <w:p>
            <w:r>
              <w:rPr>
                <w:b w:val="false"/>
                <w:bCs w:val="false"/>
                <w:color w:val="000000"/>
              </w:rPr>
              <w:t xml:space="preserve">I have a concrete plan instead of an overwhelming list</w:t>
            </w:r>
          </w:p>
        </w:tc>
      </w:tr>
      <w:tr>
        <w:tc>
          <w:tcPr>
            <w:tcW w:type="pct" w:w="0.1%"/>
            <w:tcMar>
              <w:top w:type="dxa" w:w="90"/>
              <w:left w:type="dxa" w:w="110"/>
              <w:bottom w:type="dxa" w:w="90"/>
              <w:right w:type="dxa" w:w="110"/>
            </w:tcMar>
          </w:tcPr>
          <w:p>
            <w:r>
              <w:rPr>
                <w:b w:val="false"/>
                <w:bCs w:val="false"/>
                <w:color w:val="000000"/>
              </w:rPr>
              <w:t xml:space="preserve">US-4</w:t>
            </w:r>
          </w:p>
        </w:tc>
        <w:tc>
          <w:tcPr>
            <w:tcW w:type="pct" w:w="0.22%"/>
            <w:tcMar>
              <w:top w:type="dxa" w:w="90"/>
              <w:left w:type="dxa" w:w="110"/>
              <w:bottom w:type="dxa" w:w="90"/>
              <w:right w:type="dxa" w:w="110"/>
            </w:tcMar>
          </w:tcPr>
          <w:p>
            <w:r>
              <w:rPr>
                <w:b w:val="false"/>
                <w:bCs w:val="false"/>
                <w:color w:val="000000"/>
              </w:rPr>
              <w:t xml:space="preserve">Any user</w:t>
            </w:r>
          </w:p>
        </w:tc>
        <w:tc>
          <w:tcPr>
            <w:tcW w:type="pct" w:w="0.34%"/>
            <w:tcMar>
              <w:top w:type="dxa" w:w="90"/>
              <w:left w:type="dxa" w:w="110"/>
              <w:bottom w:type="dxa" w:w="90"/>
              <w:right w:type="dxa" w:w="110"/>
            </w:tcMar>
          </w:tcPr>
          <w:p>
            <w:r>
              <w:rPr>
                <w:b w:val="false"/>
                <w:bCs w:val="false"/>
                <w:color w:val="000000"/>
              </w:rPr>
              <w:t xml:space="preserve">mark tasks complete and see my progress</w:t>
            </w:r>
          </w:p>
        </w:tc>
        <w:tc>
          <w:tcPr>
            <w:tcW w:type="pct" w:w="0.34%"/>
            <w:tcMar>
              <w:top w:type="dxa" w:w="90"/>
              <w:left w:type="dxa" w:w="110"/>
              <w:bottom w:type="dxa" w:w="90"/>
              <w:right w:type="dxa" w:w="110"/>
            </w:tcMar>
          </w:tcPr>
          <w:p>
            <w:r>
              <w:rPr>
                <w:b w:val="false"/>
                <w:bCs w:val="false"/>
                <w:color w:val="000000"/>
              </w:rPr>
              <w:t xml:space="preserve">I stay motivated and can prove consistency</w:t>
            </w:r>
          </w:p>
        </w:tc>
      </w:tr>
      <w:tr>
        <w:tc>
          <w:tcPr>
            <w:tcW w:type="pct" w:w="0.1%"/>
            <w:tcMar>
              <w:top w:type="dxa" w:w="90"/>
              <w:left w:type="dxa" w:w="110"/>
              <w:bottom w:type="dxa" w:w="90"/>
              <w:right w:type="dxa" w:w="110"/>
            </w:tcMar>
          </w:tcPr>
          <w:p>
            <w:r>
              <w:rPr>
                <w:b w:val="false"/>
                <w:bCs w:val="false"/>
                <w:color w:val="000000"/>
              </w:rPr>
              <w:t xml:space="preserve">US-5</w:t>
            </w:r>
          </w:p>
        </w:tc>
        <w:tc>
          <w:tcPr>
            <w:tcW w:type="pct" w:w="0.22%"/>
            <w:tcMar>
              <w:top w:type="dxa" w:w="90"/>
              <w:left w:type="dxa" w:w="110"/>
              <w:bottom w:type="dxa" w:w="90"/>
              <w:right w:type="dxa" w:w="110"/>
            </w:tcMar>
          </w:tcPr>
          <w:p>
            <w:r>
              <w:rPr>
                <w:b w:val="false"/>
                <w:bCs w:val="false"/>
                <w:color w:val="000000"/>
              </w:rPr>
              <w:t xml:space="preserve">Any user</w:t>
            </w:r>
          </w:p>
        </w:tc>
        <w:tc>
          <w:tcPr>
            <w:tcW w:type="pct" w:w="0.34%"/>
            <w:tcMar>
              <w:top w:type="dxa" w:w="90"/>
              <w:left w:type="dxa" w:w="110"/>
              <w:bottom w:type="dxa" w:w="90"/>
              <w:right w:type="dxa" w:w="110"/>
            </w:tcMar>
          </w:tcPr>
          <w:p>
            <w:r>
              <w:rPr>
                <w:b w:val="false"/>
                <w:bCs w:val="false"/>
                <w:color w:val="000000"/>
              </w:rPr>
              <w:t xml:space="preserve">ask an AI assistant "what should I do this week?"</w:t>
            </w:r>
          </w:p>
        </w:tc>
        <w:tc>
          <w:tcPr>
            <w:tcW w:type="pct" w:w="0.34%"/>
            <w:tcMar>
              <w:top w:type="dxa" w:w="90"/>
              <w:left w:type="dxa" w:w="110"/>
              <w:bottom w:type="dxa" w:w="90"/>
              <w:right w:type="dxa" w:w="110"/>
            </w:tcMar>
          </w:tcPr>
          <w:p>
            <w:r>
              <w:rPr>
                <w:b w:val="false"/>
                <w:bCs w:val="false"/>
                <w:color w:val="000000"/>
              </w:rPr>
              <w:t xml:space="preserve">I don't have to re-read the whole roadmap to know my next action</w:t>
            </w:r>
          </w:p>
        </w:tc>
      </w:tr>
      <w:tr>
        <w:tc>
          <w:tcPr>
            <w:tcW w:type="pct" w:w="0.1%"/>
            <w:tcMar>
              <w:top w:type="dxa" w:w="90"/>
              <w:left w:type="dxa" w:w="110"/>
              <w:bottom w:type="dxa" w:w="90"/>
              <w:right w:type="dxa" w:w="110"/>
            </w:tcMar>
          </w:tcPr>
          <w:p>
            <w:r>
              <w:rPr>
                <w:b w:val="false"/>
                <w:bCs w:val="false"/>
                <w:color w:val="000000"/>
              </w:rPr>
              <w:t xml:space="preserve">US-6</w:t>
            </w:r>
          </w:p>
        </w:tc>
        <w:tc>
          <w:tcPr>
            <w:tcW w:type="pct" w:w="0.22%"/>
            <w:tcMar>
              <w:top w:type="dxa" w:w="90"/>
              <w:left w:type="dxa" w:w="110"/>
              <w:bottom w:type="dxa" w:w="90"/>
              <w:right w:type="dxa" w:w="110"/>
            </w:tcMar>
          </w:tcPr>
          <w:p>
            <w:r>
              <w:rPr>
                <w:b w:val="false"/>
                <w:bCs w:val="false"/>
                <w:color w:val="000000"/>
              </w:rPr>
              <w:t xml:space="preserve">Working professional</w:t>
            </w:r>
          </w:p>
        </w:tc>
        <w:tc>
          <w:tcPr>
            <w:tcW w:type="pct" w:w="0.34%"/>
            <w:tcMar>
              <w:top w:type="dxa" w:w="90"/>
              <w:left w:type="dxa" w:w="110"/>
              <w:bottom w:type="dxa" w:w="90"/>
              <w:right w:type="dxa" w:w="110"/>
            </w:tcMar>
          </w:tcPr>
          <w:p>
            <w:r>
              <w:rPr>
                <w:b w:val="false"/>
                <w:bCs w:val="false"/>
                <w:color w:val="000000"/>
              </w:rPr>
              <w:t xml:space="preserve">see which of my existing skills are transferable</w:t>
            </w:r>
          </w:p>
        </w:tc>
        <w:tc>
          <w:tcPr>
            <w:tcW w:type="pct" w:w="0.34%"/>
            <w:tcMar>
              <w:top w:type="dxa" w:w="90"/>
              <w:left w:type="dxa" w:w="110"/>
              <w:bottom w:type="dxa" w:w="90"/>
              <w:right w:type="dxa" w:w="110"/>
            </w:tcMar>
          </w:tcPr>
          <w:p>
            <w:r>
              <w:rPr>
                <w:b w:val="false"/>
                <w:bCs w:val="false"/>
                <w:color w:val="000000"/>
              </w:rPr>
              <w:t xml:space="preserve">I don't waste time relearning things I already know</w:t>
            </w:r>
          </w:p>
        </w:tc>
      </w:tr>
    </w:tbl>
    <w:p>
      <w:pPr>
        <w:pStyle w:val="Heading1"/>
        <w:pBdr>
          <w:bottom w:val="single" w:color="2E74B5" w:sz="6"/>
        </w:pBdr>
        <w:spacing w:after="160" w:before="360"/>
      </w:pPr>
      <w:r>
        <w:rPr>
          <w:b/>
          <w:bCs/>
          <w:color w:val="1F3864"/>
        </w:rPr>
        <w:t xml:space="preserve">5. Functional Requirements</w:t>
      </w:r>
    </w:p>
    <w:p>
      <w:pPr>
        <w:pStyle w:val="Heading2"/>
        <w:spacing w:after="100" w:before="220"/>
      </w:pPr>
      <w:r>
        <w:rPr>
          <w:b/>
          <w:bCs/>
          <w:color w:val="2E74B5"/>
        </w:rPr>
        <w:t xml:space="preserve">5.1 Resume &amp; Profile Intake</w:t>
      </w:r>
    </w:p>
    <w:p>
      <w:pPr>
        <w:pStyle w:val="ListParagraph"/>
        <w:numPr>
          <w:ilvl w:val="0"/>
          <w:numId w:val="2"/>
        </w:numPr>
        <w:spacing w:after="60"/>
      </w:pPr>
      <w:r>
        <w:t xml:space="preserve">Accept resume upload (PDF/DOCX) or pasted text</w:t>
      </w:r>
    </w:p>
    <w:p>
      <w:pPr>
        <w:pStyle w:val="ListParagraph"/>
        <w:numPr>
          <w:ilvl w:val="0"/>
          <w:numId w:val="2"/>
        </w:numPr>
        <w:spacing w:after="60"/>
      </w:pPr>
      <w:r>
        <w:t xml:space="preserve">Extract skills, work experience, education, and projects via AI parsing</w:t>
      </w:r>
    </w:p>
    <w:p>
      <w:pPr>
        <w:pStyle w:val="ListParagraph"/>
        <w:numPr>
          <w:ilvl w:val="0"/>
          <w:numId w:val="2"/>
        </w:numPr>
        <w:spacing w:after="60"/>
      </w:pPr>
      <w:r>
        <w:t xml:space="preserve">Allow manual edit/confirmation of extracted fields before analysis runs</w:t>
      </w:r>
    </w:p>
    <w:p>
      <w:pPr>
        <w:pStyle w:val="Heading2"/>
        <w:spacing w:after="100" w:before="220"/>
      </w:pPr>
      <w:r>
        <w:rPr>
          <w:b/>
          <w:bCs/>
          <w:color w:val="2E74B5"/>
        </w:rPr>
        <w:t xml:space="preserve">5.2 Skill-Gap Analysis</w:t>
      </w:r>
    </w:p>
    <w:p>
      <w:pPr>
        <w:pStyle w:val="ListParagraph"/>
        <w:numPr>
          <w:ilvl w:val="0"/>
          <w:numId w:val="2"/>
        </w:numPr>
        <w:spacing w:after="60"/>
      </w:pPr>
      <w:r>
        <w:t xml:space="preserve">Map extracted skills to a target-role skill taxonomy (e.g., PM, SWE, Data, Marketing)</w:t>
      </w:r>
    </w:p>
    <w:p>
      <w:pPr>
        <w:pStyle w:val="ListParagraph"/>
        <w:numPr>
          <w:ilvl w:val="0"/>
          <w:numId w:val="2"/>
        </w:numPr>
        <w:spacing w:after="60"/>
      </w:pPr>
      <w:r>
        <w:t xml:space="preserve">Classify each required skill as: Have / Partial / Missing</w:t>
      </w:r>
    </w:p>
    <w:p>
      <w:pPr>
        <w:pStyle w:val="ListParagraph"/>
        <w:numPr>
          <w:ilvl w:val="0"/>
          <w:numId w:val="2"/>
        </w:numPr>
        <w:spacing w:after="60"/>
      </w:pPr>
      <w:r>
        <w:t xml:space="preserve">Present results as a visual dashboard, not a raw list</w:t>
      </w:r>
    </w:p>
    <w:p>
      <w:pPr>
        <w:pStyle w:val="Heading2"/>
        <w:spacing w:after="100" w:before="220"/>
      </w:pPr>
      <w:r>
        <w:rPr>
          <w:b/>
          <w:bCs/>
          <w:color w:val="2E74B5"/>
        </w:rPr>
        <w:t xml:space="preserve">5.3 Roadmap Generation</w:t>
      </w:r>
    </w:p>
    <w:p>
      <w:pPr>
        <w:pStyle w:val="ListParagraph"/>
        <w:numPr>
          <w:ilvl w:val="0"/>
          <w:numId w:val="2"/>
        </w:numPr>
        <w:spacing w:after="60"/>
      </w:pPr>
      <w:r>
        <w:t xml:space="preserve">Generate a 12-week plan sequenced by skill dependency and priority</w:t>
      </w:r>
    </w:p>
    <w:p>
      <w:pPr>
        <w:pStyle w:val="ListParagraph"/>
        <w:numPr>
          <w:ilvl w:val="0"/>
          <w:numId w:val="2"/>
        </w:numPr>
        <w:spacing w:after="60"/>
      </w:pPr>
      <w:r>
        <w:t xml:space="preserve">Break roadmap into weekly task sets (default 3 prioritized tasks/week — see A/B test)</w:t>
      </w:r>
    </w:p>
    <w:p>
      <w:pPr>
        <w:pStyle w:val="ListParagraph"/>
        <w:numPr>
          <w:ilvl w:val="0"/>
          <w:numId w:val="2"/>
        </w:numPr>
        <w:spacing w:after="60"/>
      </w:pPr>
      <w:r>
        <w:t xml:space="preserve">Allow regeneration if the user changes target role</w:t>
      </w:r>
    </w:p>
    <w:p>
      <w:pPr>
        <w:pStyle w:val="Heading2"/>
        <w:spacing w:after="100" w:before="220"/>
      </w:pPr>
      <w:r>
        <w:rPr>
          <w:b/>
          <w:bCs/>
          <w:color w:val="2E74B5"/>
        </w:rPr>
        <w:t xml:space="preserve">5.4 Progress Tracking</w:t>
      </w:r>
    </w:p>
    <w:p>
      <w:pPr>
        <w:pStyle w:val="ListParagraph"/>
        <w:numPr>
          <w:ilvl w:val="0"/>
          <w:numId w:val="2"/>
        </w:numPr>
        <w:spacing w:after="60"/>
      </w:pPr>
      <w:r>
        <w:t xml:space="preserve">Users can mark tasks complete; system tracks streaks and weekly completion rate</w:t>
      </w:r>
    </w:p>
    <w:p>
      <w:pPr>
        <w:pStyle w:val="ListParagraph"/>
        <w:numPr>
          <w:ilvl w:val="0"/>
          <w:numId w:val="2"/>
        </w:numPr>
        <w:spacing w:after="60"/>
      </w:pPr>
      <w:r>
        <w:t xml:space="preserve">Dashboard shows overall roadmap completion %</w:t>
      </w:r>
    </w:p>
    <w:p>
      <w:pPr>
        <w:pStyle w:val="Heading2"/>
        <w:spacing w:after="100" w:before="220"/>
      </w:pPr>
      <w:r>
        <w:rPr>
          <w:b/>
          <w:bCs/>
          <w:color w:val="2E74B5"/>
        </w:rPr>
        <w:t xml:space="preserve">5.5 AI Career Assistant</w:t>
      </w:r>
    </w:p>
    <w:p>
      <w:pPr>
        <w:pStyle w:val="ListParagraph"/>
        <w:numPr>
          <w:ilvl w:val="0"/>
          <w:numId w:val="2"/>
        </w:numPr>
        <w:spacing w:after="60"/>
      </w:pPr>
      <w:r>
        <w:t xml:space="preserve">Conversational Q&amp;A grounded in the user's own gap analysis and roadmap (e.g., "what should I learn this week?")</w:t>
      </w:r>
    </w:p>
    <w:p>
      <w:pPr>
        <w:pStyle w:val="Heading2"/>
        <w:spacing w:after="100" w:before="220"/>
      </w:pPr>
      <w:r>
        <w:rPr>
          <w:b/>
          <w:bCs/>
          <w:color w:val="2E74B5"/>
        </w:rPr>
        <w:t xml:space="preserve">5.6 Monetization</w:t>
      </w:r>
    </w:p>
    <w:p>
      <w:pPr>
        <w:pStyle w:val="ListParagraph"/>
        <w:numPr>
          <w:ilvl w:val="0"/>
          <w:numId w:val="2"/>
        </w:numPr>
        <w:spacing w:after="60"/>
      </w:pPr>
      <w:r>
        <w:t xml:space="preserve">Free tier: one skill-gap analysis + roadmap preview (first 2 weeks)</w:t>
      </w:r>
    </w:p>
    <w:p>
      <w:pPr>
        <w:pStyle w:val="ListParagraph"/>
        <w:numPr>
          <w:ilvl w:val="0"/>
          <w:numId w:val="2"/>
        </w:numPr>
        <w:spacing w:after="60"/>
      </w:pPr>
      <w:r>
        <w:t xml:space="preserve">Paid tier: full 12-week roadmap, progress tracking, unlimited AI assistant access</w:t>
      </w:r>
    </w:p>
    <w:p>
      <w:pPr>
        <w:pStyle w:val="Heading1"/>
        <w:pBdr>
          <w:bottom w:val="single" w:color="2E74B5" w:sz="6"/>
        </w:pBdr>
        <w:spacing w:after="160" w:before="360"/>
      </w:pPr>
      <w:r>
        <w:rPr>
          <w:b/>
          <w:bCs/>
          <w:color w:val="1F3864"/>
        </w:rPr>
        <w:t xml:space="preserve">6. Non-Functional Requirements</w:t>
      </w:r>
    </w:p>
    <w:p>
      <w:pPr>
        <w:pStyle w:val="ListParagraph"/>
        <w:numPr>
          <w:ilvl w:val="0"/>
          <w:numId w:val="2"/>
        </w:numPr>
        <w:spacing w:after="60"/>
      </w:pPr>
      <w:r>
        <w:t xml:space="preserve">Resume parsing result returned within 15 seconds for a 1–2 page resume</w:t>
      </w:r>
    </w:p>
    <w:p>
      <w:pPr>
        <w:pStyle w:val="ListParagraph"/>
        <w:numPr>
          <w:ilvl w:val="0"/>
          <w:numId w:val="2"/>
        </w:numPr>
        <w:spacing w:after="60"/>
      </w:pPr>
      <w:r>
        <w:t xml:space="preserve">Skill taxonomy must be extensible to new roles without a code change (config-driven)</w:t>
      </w:r>
    </w:p>
    <w:p>
      <w:pPr>
        <w:pStyle w:val="ListParagraph"/>
        <w:numPr>
          <w:ilvl w:val="0"/>
          <w:numId w:val="2"/>
        </w:numPr>
        <w:spacing w:after="60"/>
      </w:pPr>
      <w:r>
        <w:t xml:space="preserve">User resume data encrypted at rest; deletable on request (privacy-by-design)</w:t>
      </w:r>
    </w:p>
    <w:p>
      <w:pPr>
        <w:pStyle w:val="ListParagraph"/>
        <w:numPr>
          <w:ilvl w:val="0"/>
          <w:numId w:val="2"/>
        </w:numPr>
        <w:spacing w:after="60"/>
      </w:pPr>
      <w:r>
        <w:t xml:space="preserve">Mobile-responsive web app; works on a mid-range Android device</w:t>
      </w:r>
    </w:p>
    <w:p>
      <w:pPr>
        <w:pStyle w:val="Heading1"/>
        <w:pBdr>
          <w:bottom w:val="single" w:color="2E74B5" w:sz="6"/>
        </w:pBdr>
        <w:spacing w:after="160" w:before="360"/>
      </w:pPr>
      <w:r>
        <w:rPr>
          <w:b/>
          <w:bCs/>
          <w:color w:val="1F3864"/>
        </w:rPr>
        <w:t xml:space="preserve">7. MVP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
        <w:gridCol w:w="50"/>
      </w:tblGrid>
      <w:tr>
        <w:tc>
          <w:tcPr>
            <w:tcW w:type="pct" w:w="0.5%"/>
            <w:shd w:fill="DCE6F1" w:val="clear"/>
            <w:tcMar>
              <w:top w:type="dxa" w:w="90"/>
              <w:left w:type="dxa" w:w="110"/>
              <w:bottom w:type="dxa" w:w="90"/>
              <w:right w:type="dxa" w:w="110"/>
            </w:tcMar>
          </w:tcPr>
          <w:p>
            <w:r>
              <w:rPr>
                <w:b/>
                <w:bCs/>
                <w:color w:val="1F3864"/>
              </w:rPr>
              <w:t xml:space="preserve">In MVP</w:t>
            </w:r>
          </w:p>
        </w:tc>
        <w:tc>
          <w:tcPr>
            <w:tcW w:type="pct" w:w="0.5%"/>
            <w:shd w:fill="DCE6F1" w:val="clear"/>
            <w:tcMar>
              <w:top w:type="dxa" w:w="90"/>
              <w:left w:type="dxa" w:w="110"/>
              <w:bottom w:type="dxa" w:w="90"/>
              <w:right w:type="dxa" w:w="110"/>
            </w:tcMar>
          </w:tcPr>
          <w:p>
            <w:r>
              <w:rPr>
                <w:b/>
                <w:bCs/>
                <w:color w:val="1F3864"/>
              </w:rPr>
              <w:t xml:space="preserve">Out of MVP (v1 launch)</w:t>
            </w:r>
          </w:p>
        </w:tc>
      </w:tr>
      <w:tr>
        <w:tc>
          <w:tcPr>
            <w:tcW w:type="pct" w:w="0.5%"/>
            <w:tcMar>
              <w:top w:type="dxa" w:w="90"/>
              <w:left w:type="dxa" w:w="110"/>
              <w:bottom w:type="dxa" w:w="90"/>
              <w:right w:type="dxa" w:w="110"/>
            </w:tcMar>
          </w:tcPr>
          <w:p>
            <w:r>
              <w:rPr>
                <w:b w:val="false"/>
                <w:bCs w:val="false"/>
                <w:color w:val="000000"/>
              </w:rPr>
              <w:t xml:space="preserve">Resume upload + AI parsing</w:t>
            </w:r>
          </w:p>
        </w:tc>
        <w:tc>
          <w:tcPr>
            <w:tcW w:type="pct" w:w="0.5%"/>
            <w:tcMar>
              <w:top w:type="dxa" w:w="90"/>
              <w:left w:type="dxa" w:w="110"/>
              <w:bottom w:type="dxa" w:w="90"/>
              <w:right w:type="dxa" w:w="110"/>
            </w:tcMar>
          </w:tcPr>
          <w:p>
            <w:r>
              <w:rPr>
                <w:b w:val="false"/>
                <w:bCs w:val="false"/>
                <w:color w:val="000000"/>
              </w:rPr>
              <w:t xml:space="preserve">Multi-resume version comparison</w:t>
            </w:r>
          </w:p>
        </w:tc>
      </w:tr>
      <w:tr>
        <w:tc>
          <w:tcPr>
            <w:tcW w:type="pct" w:w="0.5%"/>
            <w:tcMar>
              <w:top w:type="dxa" w:w="90"/>
              <w:left w:type="dxa" w:w="110"/>
              <w:bottom w:type="dxa" w:w="90"/>
              <w:right w:type="dxa" w:w="110"/>
            </w:tcMar>
          </w:tcPr>
          <w:p>
            <w:r>
              <w:rPr>
                <w:b w:val="false"/>
                <w:bCs w:val="false"/>
                <w:color w:val="000000"/>
              </w:rPr>
              <w:t xml:space="preserve">Skill-gap analysis for 1 target role at a time (PM first)</w:t>
            </w:r>
          </w:p>
        </w:tc>
        <w:tc>
          <w:tcPr>
            <w:tcW w:type="pct" w:w="0.5%"/>
            <w:tcMar>
              <w:top w:type="dxa" w:w="90"/>
              <w:left w:type="dxa" w:w="110"/>
              <w:bottom w:type="dxa" w:w="90"/>
              <w:right w:type="dxa" w:w="110"/>
            </w:tcMar>
          </w:tcPr>
          <w:p>
            <w:r>
              <w:rPr>
                <w:b w:val="false"/>
                <w:bCs w:val="false"/>
                <w:color w:val="000000"/>
              </w:rPr>
              <w:t xml:space="preserve">Multiple simultaneous target-role tracking</w:t>
            </w:r>
          </w:p>
        </w:tc>
      </w:tr>
      <w:tr>
        <w:tc>
          <w:tcPr>
            <w:tcW w:type="pct" w:w="0.5%"/>
            <w:tcMar>
              <w:top w:type="dxa" w:w="90"/>
              <w:left w:type="dxa" w:w="110"/>
              <w:bottom w:type="dxa" w:w="90"/>
              <w:right w:type="dxa" w:w="110"/>
            </w:tcMar>
          </w:tcPr>
          <w:p>
            <w:r>
              <w:rPr>
                <w:b w:val="false"/>
                <w:bCs w:val="false"/>
                <w:color w:val="000000"/>
              </w:rPr>
              <w:t xml:space="preserve">12-week roadmap generation</w:t>
            </w:r>
          </w:p>
        </w:tc>
        <w:tc>
          <w:tcPr>
            <w:tcW w:type="pct" w:w="0.5%"/>
            <w:tcMar>
              <w:top w:type="dxa" w:w="90"/>
              <w:left w:type="dxa" w:w="110"/>
              <w:bottom w:type="dxa" w:w="90"/>
              <w:right w:type="dxa" w:w="110"/>
            </w:tcMar>
          </w:tcPr>
          <w:p>
            <w:r>
              <w:rPr>
                <w:b w:val="false"/>
                <w:bCs w:val="false"/>
                <w:color w:val="000000"/>
              </w:rPr>
              <w:t xml:space="preserve">Mentorship / community features</w:t>
            </w:r>
          </w:p>
        </w:tc>
      </w:tr>
      <w:tr>
        <w:tc>
          <w:tcPr>
            <w:tcW w:type="pct" w:w="0.5%"/>
            <w:tcMar>
              <w:top w:type="dxa" w:w="90"/>
              <w:left w:type="dxa" w:w="110"/>
              <w:bottom w:type="dxa" w:w="90"/>
              <w:right w:type="dxa" w:w="110"/>
            </w:tcMar>
          </w:tcPr>
          <w:p>
            <w:r>
              <w:rPr>
                <w:b w:val="false"/>
                <w:bCs w:val="false"/>
                <w:color w:val="000000"/>
              </w:rPr>
              <w:t xml:space="preserve">Weekly task view + completion tracking</w:t>
            </w:r>
          </w:p>
        </w:tc>
        <w:tc>
          <w:tcPr>
            <w:tcW w:type="pct" w:w="0.5%"/>
            <w:tcMar>
              <w:top w:type="dxa" w:w="90"/>
              <w:left w:type="dxa" w:w="110"/>
              <w:bottom w:type="dxa" w:w="90"/>
              <w:right w:type="dxa" w:w="110"/>
            </w:tcMar>
          </w:tcPr>
          <w:p>
            <w:r>
              <w:rPr>
                <w:b w:val="false"/>
                <w:bCs w:val="false"/>
                <w:color w:val="000000"/>
              </w:rPr>
              <w:t xml:space="preserve">Job matching / application tracking</w:t>
            </w:r>
          </w:p>
        </w:tc>
      </w:tr>
      <w:tr>
        <w:tc>
          <w:tcPr>
            <w:tcW w:type="pct" w:w="0.5%"/>
            <w:tcMar>
              <w:top w:type="dxa" w:w="90"/>
              <w:left w:type="dxa" w:w="110"/>
              <w:bottom w:type="dxa" w:w="90"/>
              <w:right w:type="dxa" w:w="110"/>
            </w:tcMar>
          </w:tcPr>
          <w:p>
            <w:r>
              <w:rPr>
                <w:b w:val="false"/>
                <w:bCs w:val="false"/>
                <w:color w:val="000000"/>
              </w:rPr>
              <w:t xml:space="preserve">Basic AI assistant (roadmap-grounded Q&amp;A)</w:t>
            </w:r>
          </w:p>
        </w:tc>
        <w:tc>
          <w:tcPr>
            <w:tcW w:type="pct" w:w="0.5%"/>
            <w:tcMar>
              <w:top w:type="dxa" w:w="90"/>
              <w:left w:type="dxa" w:w="110"/>
              <w:bottom w:type="dxa" w:w="90"/>
              <w:right w:type="dxa" w:w="110"/>
            </w:tcMar>
          </w:tcPr>
          <w:p>
            <w:r>
              <w:rPr>
                <w:b w:val="false"/>
                <w:bCs w:val="false"/>
                <w:color w:val="000000"/>
              </w:rPr>
              <w:t xml:space="preserve">Notifications / reminders (push, email)</w:t>
            </w:r>
          </w:p>
        </w:tc>
      </w:tr>
    </w:tbl>
    <w:p>
      <w:pPr>
        <w:pStyle w:val="Heading1"/>
        <w:pBdr>
          <w:bottom w:val="single" w:color="2E74B5" w:sz="6"/>
        </w:pBdr>
        <w:spacing w:after="160" w:before="360"/>
      </w:pPr>
      <w:r>
        <w:rPr>
          <w:b/>
          <w:bCs/>
          <w:color w:val="1F3864"/>
        </w:rPr>
        <w:t xml:space="preserve">8. Out of Scope (v1)</w:t>
      </w:r>
    </w:p>
    <w:p>
      <w:pPr>
        <w:pStyle w:val="ListParagraph"/>
        <w:numPr>
          <w:ilvl w:val="0"/>
          <w:numId w:val="2"/>
        </w:numPr>
        <w:spacing w:after="60"/>
      </w:pPr>
      <w:r>
        <w:t xml:space="preserve">Mentorship marketplace</w:t>
      </w:r>
    </w:p>
    <w:p>
      <w:pPr>
        <w:pStyle w:val="ListParagraph"/>
        <w:numPr>
          <w:ilvl w:val="0"/>
          <w:numId w:val="2"/>
        </w:numPr>
        <w:spacing w:after="60"/>
      </w:pPr>
      <w:r>
        <w:t xml:space="preserve">Community / peer forums</w:t>
      </w:r>
    </w:p>
    <w:p>
      <w:pPr>
        <w:pStyle w:val="ListParagraph"/>
        <w:numPr>
          <w:ilvl w:val="0"/>
          <w:numId w:val="2"/>
        </w:numPr>
        <w:spacing w:after="60"/>
      </w:pPr>
      <w:r>
        <w:t xml:space="preserve">Direct job matching or application submission</w:t>
      </w:r>
    </w:p>
    <w:p>
      <w:pPr>
        <w:pStyle w:val="ListParagraph"/>
        <w:numPr>
          <w:ilvl w:val="0"/>
          <w:numId w:val="2"/>
        </w:numPr>
        <w:spacing w:after="60"/>
      </w:pPr>
      <w:r>
        <w:t xml:space="preserve">Support for non-technical career tracks beyond the initial taxonomy set</w:t>
      </w:r>
    </w:p>
    <w:p>
      <w:pPr>
        <w:pStyle w:val="Heading1"/>
        <w:pBdr>
          <w:bottom w:val="single" w:color="2E74B5" w:sz="6"/>
        </w:pBdr>
        <w:spacing w:after="160" w:before="360"/>
      </w:pPr>
      <w:r>
        <w:rPr>
          <w:b/>
          <w:bCs/>
          <w:color w:val="1F3864"/>
        </w:rPr>
        <w:t xml:space="preserve">9. Success Metrics</w:t>
      </w:r>
    </w:p>
    <w:p>
      <w:pPr>
        <w:spacing w:after="120"/>
      </w:pPr>
      <w:r>
        <w:rPr>
          <w:b w:val="false"/>
          <w:bCs w:val="false"/>
        </w:rPr>
        <w:t xml:space="preserve">North Star Metric: Weekly Active Learners Completing Career Actions (users who complete at least one roadmap task in a given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tcW w:type="pct" w:w="0.3%"/>
            <w:shd w:fill="DCE6F1" w:val="clear"/>
            <w:tcMar>
              <w:top w:type="dxa" w:w="90"/>
              <w:left w:type="dxa" w:w="110"/>
              <w:bottom w:type="dxa" w:w="90"/>
              <w:right w:type="dxa" w:w="110"/>
            </w:tcMar>
          </w:tcPr>
          <w:p>
            <w:r>
              <w:rPr>
                <w:b/>
                <w:bCs/>
                <w:color w:val="1F3864"/>
              </w:rPr>
              <w:t xml:space="preserve">Category</w:t>
            </w:r>
          </w:p>
        </w:tc>
        <w:tc>
          <w:tcPr>
            <w:tcW w:type="pct" w:w="0.7%"/>
            <w:shd w:fill="DCE6F1" w:val="clear"/>
            <w:tcMar>
              <w:top w:type="dxa" w:w="90"/>
              <w:left w:type="dxa" w:w="110"/>
              <w:bottom w:type="dxa" w:w="90"/>
              <w:right w:type="dxa" w:w="110"/>
            </w:tcMar>
          </w:tcPr>
          <w:p>
            <w:r>
              <w:rPr>
                <w:b/>
                <w:bCs/>
                <w:color w:val="1F3864"/>
              </w:rPr>
              <w:t xml:space="preserve">Metric</w:t>
            </w:r>
          </w:p>
        </w:tc>
      </w:tr>
      <w:tr>
        <w:tc>
          <w:tcPr>
            <w:tcW w:type="pct" w:w="0.3%"/>
            <w:tcMar>
              <w:top w:type="dxa" w:w="90"/>
              <w:left w:type="dxa" w:w="110"/>
              <w:bottom w:type="dxa" w:w="90"/>
              <w:right w:type="dxa" w:w="110"/>
            </w:tcMar>
          </w:tcPr>
          <w:p>
            <w:r>
              <w:rPr>
                <w:b w:val="false"/>
                <w:bCs w:val="false"/>
                <w:color w:val="000000"/>
              </w:rPr>
              <w:t xml:space="preserve">Acquisition</w:t>
            </w:r>
          </w:p>
        </w:tc>
        <w:tc>
          <w:tcPr>
            <w:tcW w:type="pct" w:w="0.7%"/>
            <w:tcMar>
              <w:top w:type="dxa" w:w="90"/>
              <w:left w:type="dxa" w:w="110"/>
              <w:bottom w:type="dxa" w:w="90"/>
              <w:right w:type="dxa" w:w="110"/>
            </w:tcMar>
          </w:tcPr>
          <w:p>
            <w:r>
              <w:rPr>
                <w:b w:val="false"/>
                <w:bCs w:val="false"/>
                <w:color w:val="000000"/>
              </w:rPr>
              <w:t xml:space="preserve">Website visitors → signup rate</w:t>
            </w:r>
          </w:p>
        </w:tc>
      </w:tr>
      <w:tr>
        <w:tc>
          <w:tcPr>
            <w:tcW w:type="pct" w:w="0.3%"/>
            <w:tcMar>
              <w:top w:type="dxa" w:w="90"/>
              <w:left w:type="dxa" w:w="110"/>
              <w:bottom w:type="dxa" w:w="90"/>
              <w:right w:type="dxa" w:w="110"/>
            </w:tcMar>
          </w:tcPr>
          <w:p>
            <w:r>
              <w:rPr>
                <w:b w:val="false"/>
                <w:bCs w:val="false"/>
                <w:color w:val="000000"/>
              </w:rPr>
              <w:t xml:space="preserve">Activation</w:t>
            </w:r>
          </w:p>
        </w:tc>
        <w:tc>
          <w:tcPr>
            <w:tcW w:type="pct" w:w="0.7%"/>
            <w:tcMar>
              <w:top w:type="dxa" w:w="90"/>
              <w:left w:type="dxa" w:w="110"/>
              <w:bottom w:type="dxa" w:w="90"/>
              <w:right w:type="dxa" w:w="110"/>
            </w:tcMar>
          </w:tcPr>
          <w:p>
            <w:r>
              <w:rPr>
                <w:b w:val="false"/>
                <w:bCs w:val="false"/>
                <w:color w:val="000000"/>
              </w:rPr>
              <w:t xml:space="preserve">Resume uploaded → assessment completed → roadmap generated</w:t>
            </w:r>
          </w:p>
        </w:tc>
      </w:tr>
      <w:tr>
        <w:tc>
          <w:tcPr>
            <w:tcW w:type="pct" w:w="0.3%"/>
            <w:tcMar>
              <w:top w:type="dxa" w:w="90"/>
              <w:left w:type="dxa" w:w="110"/>
              <w:bottom w:type="dxa" w:w="90"/>
              <w:right w:type="dxa" w:w="110"/>
            </w:tcMar>
          </w:tcPr>
          <w:p>
            <w:r>
              <w:rPr>
                <w:b w:val="false"/>
                <w:bCs w:val="false"/>
                <w:color w:val="000000"/>
              </w:rPr>
              <w:t xml:space="preserve">Engagement</w:t>
            </w:r>
          </w:p>
        </w:tc>
        <w:tc>
          <w:tcPr>
            <w:tcW w:type="pct" w:w="0.7%"/>
            <w:tcMar>
              <w:top w:type="dxa" w:w="90"/>
              <w:left w:type="dxa" w:w="110"/>
              <w:bottom w:type="dxa" w:w="90"/>
              <w:right w:type="dxa" w:w="110"/>
            </w:tcMar>
          </w:tcPr>
          <w:p>
            <w:r>
              <w:rPr>
                <w:b w:val="false"/>
                <w:bCs w:val="false"/>
                <w:color w:val="000000"/>
              </w:rPr>
              <w:t xml:space="preserve">Tasks completed / user / week, sessions / user</w:t>
            </w:r>
          </w:p>
        </w:tc>
      </w:tr>
      <w:tr>
        <w:tc>
          <w:tcPr>
            <w:tcW w:type="pct" w:w="0.3%"/>
            <w:tcMar>
              <w:top w:type="dxa" w:w="90"/>
              <w:left w:type="dxa" w:w="110"/>
              <w:bottom w:type="dxa" w:w="90"/>
              <w:right w:type="dxa" w:w="110"/>
            </w:tcMar>
          </w:tcPr>
          <w:p>
            <w:r>
              <w:rPr>
                <w:b w:val="false"/>
                <w:bCs w:val="false"/>
                <w:color w:val="000000"/>
              </w:rPr>
              <w:t xml:space="preserve">Retention</w:t>
            </w:r>
          </w:p>
        </w:tc>
        <w:tc>
          <w:tcPr>
            <w:tcW w:type="pct" w:w="0.7%"/>
            <w:tcMar>
              <w:top w:type="dxa" w:w="90"/>
              <w:left w:type="dxa" w:w="110"/>
              <w:bottom w:type="dxa" w:w="90"/>
              <w:right w:type="dxa" w:w="110"/>
            </w:tcMar>
          </w:tcPr>
          <w:p>
            <w:r>
              <w:rPr>
                <w:b w:val="false"/>
                <w:bCs w:val="false"/>
                <w:color w:val="000000"/>
              </w:rPr>
              <w:t xml:space="preserve">D7 and D30 active rate</w:t>
            </w:r>
          </w:p>
        </w:tc>
      </w:tr>
      <w:tr>
        <w:tc>
          <w:tcPr>
            <w:tcW w:type="pct" w:w="0.3%"/>
            <w:tcMar>
              <w:top w:type="dxa" w:w="90"/>
              <w:left w:type="dxa" w:w="110"/>
              <w:bottom w:type="dxa" w:w="90"/>
              <w:right w:type="dxa" w:w="110"/>
            </w:tcMar>
          </w:tcPr>
          <w:p>
            <w:r>
              <w:rPr>
                <w:b w:val="false"/>
                <w:bCs w:val="false"/>
                <w:color w:val="000000"/>
              </w:rPr>
              <w:t xml:space="preserve">Monetization</w:t>
            </w:r>
          </w:p>
        </w:tc>
        <w:tc>
          <w:tcPr>
            <w:tcW w:type="pct" w:w="0.7%"/>
            <w:tcMar>
              <w:top w:type="dxa" w:w="90"/>
              <w:left w:type="dxa" w:w="110"/>
              <w:bottom w:type="dxa" w:w="90"/>
              <w:right w:type="dxa" w:w="110"/>
            </w:tcMar>
          </w:tcPr>
          <w:p>
            <w:r>
              <w:rPr>
                <w:b w:val="false"/>
                <w:bCs w:val="false"/>
                <w:color w:val="000000"/>
              </w:rPr>
              <w:t xml:space="preserve">Free → paid conversion, ARPU</w:t>
            </w:r>
          </w:p>
        </w:tc>
      </w:tr>
      <w:tr>
        <w:tc>
          <w:tcPr>
            <w:tcW w:type="pct" w:w="0.3%"/>
            <w:tcMar>
              <w:top w:type="dxa" w:w="90"/>
              <w:left w:type="dxa" w:w="110"/>
              <w:bottom w:type="dxa" w:w="90"/>
              <w:right w:type="dxa" w:w="110"/>
            </w:tcMar>
          </w:tcPr>
          <w:p>
            <w:r>
              <w:rPr>
                <w:b w:val="false"/>
                <w:bCs w:val="false"/>
                <w:color w:val="000000"/>
              </w:rPr>
              <w:t xml:space="preserve">Quality</w:t>
            </w:r>
          </w:p>
        </w:tc>
        <w:tc>
          <w:tcPr>
            <w:tcW w:type="pct" w:w="0.7%"/>
            <w:tcMar>
              <w:top w:type="dxa" w:w="90"/>
              <w:left w:type="dxa" w:w="110"/>
              <w:bottom w:type="dxa" w:w="90"/>
              <w:right w:type="dxa" w:w="110"/>
            </w:tcMar>
          </w:tcPr>
          <w:p>
            <w:r>
              <w:rPr>
                <w:b w:val="false"/>
                <w:bCs w:val="false"/>
                <w:color w:val="000000"/>
              </w:rPr>
              <w:t xml:space="preserve">Roadmap recommendation acceptance rate, task completion rate</w:t>
            </w:r>
          </w:p>
        </w:tc>
      </w:tr>
    </w:tbl>
    <w:p>
      <w:pPr>
        <w:pStyle w:val="Heading1"/>
        <w:pBdr>
          <w:bottom w:val="single" w:color="2E74B5" w:sz="6"/>
        </w:pBdr>
        <w:spacing w:after="160" w:before="360"/>
      </w:pPr>
      <w:r>
        <w:rPr>
          <w:b/>
          <w:bCs/>
          <w:color w:val="1F3864"/>
        </w:rPr>
        <w:t xml:space="preserve">10.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
        <w:gridCol w:w="55"/>
      </w:tblGrid>
      <w:tr>
        <w:tc>
          <w:tcPr>
            <w:tcW w:type="pct" w:w="0.45%"/>
            <w:shd w:fill="DCE6F1" w:val="clear"/>
            <w:tcMar>
              <w:top w:type="dxa" w:w="90"/>
              <w:left w:type="dxa" w:w="110"/>
              <w:bottom w:type="dxa" w:w="90"/>
              <w:right w:type="dxa" w:w="110"/>
            </w:tcMar>
          </w:tcPr>
          <w:p>
            <w:r>
              <w:rPr>
                <w:b/>
                <w:bCs/>
                <w:color w:val="1F3864"/>
              </w:rPr>
              <w:t xml:space="preserve">Risk</w:t>
            </w:r>
          </w:p>
        </w:tc>
        <w:tc>
          <w:tcPr>
            <w:tcW w:type="pct" w:w="0.55%"/>
            <w:shd w:fill="DCE6F1" w:val="clear"/>
            <w:tcMar>
              <w:top w:type="dxa" w:w="90"/>
              <w:left w:type="dxa" w:w="110"/>
              <w:bottom w:type="dxa" w:w="90"/>
              <w:right w:type="dxa" w:w="110"/>
            </w:tcMar>
          </w:tcPr>
          <w:p>
            <w:r>
              <w:rPr>
                <w:b/>
                <w:bCs/>
                <w:color w:val="1F3864"/>
              </w:rPr>
              <w:t xml:space="preserve">Mitigation</w:t>
            </w:r>
          </w:p>
        </w:tc>
      </w:tr>
      <w:tr>
        <w:tc>
          <w:tcPr>
            <w:tcW w:type="pct" w:w="0.45%"/>
            <w:tcMar>
              <w:top w:type="dxa" w:w="90"/>
              <w:left w:type="dxa" w:w="110"/>
              <w:bottom w:type="dxa" w:w="90"/>
              <w:right w:type="dxa" w:w="110"/>
            </w:tcMar>
          </w:tcPr>
          <w:p>
            <w:r>
              <w:rPr>
                <w:b w:val="false"/>
                <w:bCs w:val="false"/>
                <w:color w:val="000000"/>
              </w:rPr>
              <w:t xml:space="preserve">AI-parsed skills are inaccurate, eroding trust</w:t>
            </w:r>
          </w:p>
        </w:tc>
        <w:tc>
          <w:tcPr>
            <w:tcW w:type="pct" w:w="0.55%"/>
            <w:tcMar>
              <w:top w:type="dxa" w:w="90"/>
              <w:left w:type="dxa" w:w="110"/>
              <w:bottom w:type="dxa" w:w="90"/>
              <w:right w:type="dxa" w:w="110"/>
            </w:tcMar>
          </w:tcPr>
          <w:p>
            <w:r>
              <w:rPr>
                <w:b w:val="false"/>
                <w:bCs w:val="false"/>
                <w:color w:val="000000"/>
              </w:rPr>
              <w:t xml:space="preserve">Show extracted data for user confirmation before analysis runs</w:t>
            </w:r>
          </w:p>
        </w:tc>
      </w:tr>
      <w:tr>
        <w:tc>
          <w:tcPr>
            <w:tcW w:type="pct" w:w="0.45%"/>
            <w:tcMar>
              <w:top w:type="dxa" w:w="90"/>
              <w:left w:type="dxa" w:w="110"/>
              <w:bottom w:type="dxa" w:w="90"/>
              <w:right w:type="dxa" w:w="110"/>
            </w:tcMar>
          </w:tcPr>
          <w:p>
            <w:r>
              <w:rPr>
                <w:b w:val="false"/>
                <w:bCs w:val="false"/>
                <w:color w:val="000000"/>
              </w:rPr>
              <w:t xml:space="preserve">Roadmap feels generic despite "personalization" framing</w:t>
            </w:r>
          </w:p>
        </w:tc>
        <w:tc>
          <w:tcPr>
            <w:tcW w:type="pct" w:w="0.55%"/>
            <w:tcMar>
              <w:top w:type="dxa" w:w="90"/>
              <w:left w:type="dxa" w:w="110"/>
              <w:bottom w:type="dxa" w:w="90"/>
              <w:right w:type="dxa" w:w="110"/>
            </w:tcMar>
          </w:tcPr>
          <w:p>
            <w:r>
              <w:rPr>
                <w:b w:val="false"/>
                <w:bCs w:val="false"/>
                <w:color w:val="000000"/>
              </w:rPr>
              <w:t xml:space="preserve">Ground generation in the actual gap analysis output, not a static template</w:t>
            </w:r>
          </w:p>
        </w:tc>
      </w:tr>
      <w:tr>
        <w:tc>
          <w:tcPr>
            <w:tcW w:type="pct" w:w="0.45%"/>
            <w:tcMar>
              <w:top w:type="dxa" w:w="90"/>
              <w:left w:type="dxa" w:w="110"/>
              <w:bottom w:type="dxa" w:w="90"/>
              <w:right w:type="dxa" w:w="110"/>
            </w:tcMar>
          </w:tcPr>
          <w:p>
            <w:r>
              <w:rPr>
                <w:b w:val="false"/>
                <w:bCs w:val="false"/>
                <w:color w:val="000000"/>
              </w:rPr>
              <w:t xml:space="preserve">Users overwhelmed by roadmap length, drop off early</w:t>
            </w:r>
          </w:p>
        </w:tc>
        <w:tc>
          <w:tcPr>
            <w:tcW w:type="pct" w:w="0.55%"/>
            <w:tcMar>
              <w:top w:type="dxa" w:w="90"/>
              <w:left w:type="dxa" w:w="110"/>
              <w:bottom w:type="dxa" w:w="90"/>
              <w:right w:type="dxa" w:w="110"/>
            </w:tcMar>
          </w:tcPr>
          <w:p>
            <w:r>
              <w:rPr>
                <w:b w:val="false"/>
                <w:bCs w:val="false"/>
                <w:color w:val="000000"/>
              </w:rPr>
              <w:t xml:space="preserve">Test reducing weekly tasks from 10 → 3 (see A/B test plan)</w:t>
            </w:r>
          </w:p>
        </w:tc>
      </w:tr>
      <w:tr>
        <w:tc>
          <w:tcPr>
            <w:tcW w:type="pct" w:w="0.45%"/>
            <w:tcMar>
              <w:top w:type="dxa" w:w="90"/>
              <w:left w:type="dxa" w:w="110"/>
              <w:bottom w:type="dxa" w:w="90"/>
              <w:right w:type="dxa" w:w="110"/>
            </w:tcMar>
          </w:tcPr>
          <w:p>
            <w:r>
              <w:rPr>
                <w:b w:val="false"/>
                <w:bCs w:val="false"/>
                <w:color w:val="000000"/>
              </w:rPr>
              <w:t xml:space="preserve">Skill taxonomy becomes outdated as job requirements shift</w:t>
            </w:r>
          </w:p>
        </w:tc>
        <w:tc>
          <w:tcPr>
            <w:tcW w:type="pct" w:w="0.55%"/>
            <w:tcMar>
              <w:top w:type="dxa" w:w="90"/>
              <w:left w:type="dxa" w:w="110"/>
              <w:bottom w:type="dxa" w:w="90"/>
              <w:right w:type="dxa" w:w="110"/>
            </w:tcMar>
          </w:tcPr>
          <w:p>
            <w:r>
              <w:rPr>
                <w:b w:val="false"/>
                <w:bCs w:val="false"/>
                <w:color w:val="000000"/>
              </w:rPr>
              <w:t xml:space="preserve">Config-driven taxonomy, reviewed quarterly against job-posting data</w:t>
            </w:r>
          </w:p>
        </w:tc>
      </w:tr>
    </w:tbl>
    <w:p>
      <w:pPr>
        <w:pStyle w:val="Heading1"/>
        <w:pBdr>
          <w:bottom w:val="single" w:color="2E74B5" w:sz="6"/>
        </w:pBdr>
        <w:spacing w:after="160" w:before="360"/>
      </w:pPr>
      <w:r>
        <w:rPr>
          <w:b/>
          <w:bCs/>
          <w:color w:val="1F3864"/>
        </w:rPr>
        <w:t xml:space="preserve">11. Dependencies</w:t>
      </w:r>
    </w:p>
    <w:p>
      <w:pPr>
        <w:pStyle w:val="ListParagraph"/>
        <w:numPr>
          <w:ilvl w:val="0"/>
          <w:numId w:val="2"/>
        </w:numPr>
        <w:spacing w:after="60"/>
      </w:pPr>
      <w:r>
        <w:t xml:space="preserve">LLM API for resume parsing, skill classification, and roadmap generation</w:t>
      </w:r>
    </w:p>
    <w:p>
      <w:pPr>
        <w:pStyle w:val="ListParagraph"/>
        <w:numPr>
          <w:ilvl w:val="0"/>
          <w:numId w:val="2"/>
        </w:numPr>
        <w:spacing w:after="60"/>
      </w:pPr>
      <w:r>
        <w:t xml:space="preserve">A maintained skill taxonomy per target role (initial: Product Management)</w:t>
      </w:r>
    </w:p>
    <w:p>
      <w:pPr>
        <w:pStyle w:val="ListParagraph"/>
        <w:numPr>
          <w:ilvl w:val="0"/>
          <w:numId w:val="2"/>
        </w:numPr>
        <w:spacing w:after="60"/>
      </w:pPr>
      <w:r>
        <w:t xml:space="preserve">Resume storage and parsing pipeline (upload, text extraction, PII handling)</w:t>
      </w:r>
    </w:p>
    <w:p>
      <w:pPr>
        <w:pStyle w:val="Heading1"/>
        <w:pBdr>
          <w:bottom w:val="single" w:color="2E74B5" w:sz="6"/>
        </w:pBdr>
        <w:spacing w:after="160" w:before="360"/>
      </w:pPr>
      <w:r>
        <w:rPr>
          <w:b/>
          <w:bCs/>
          <w:color w:val="1F3864"/>
        </w:rPr>
        <w:t xml:space="preserve">12. Launch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75"/>
      </w:tblGrid>
      <w:tr>
        <w:tc>
          <w:tcPr>
            <w:tcW w:type="pct" w:w="0.25%"/>
            <w:shd w:fill="DCE6F1" w:val="clear"/>
            <w:tcMar>
              <w:top w:type="dxa" w:w="90"/>
              <w:left w:type="dxa" w:w="110"/>
              <w:bottom w:type="dxa" w:w="90"/>
              <w:right w:type="dxa" w:w="110"/>
            </w:tcMar>
          </w:tcPr>
          <w:p>
            <w:r>
              <w:rPr>
                <w:b/>
                <w:bCs/>
                <w:color w:val="1F3864"/>
              </w:rPr>
              <w:t xml:space="preserve">Phase</w:t>
            </w:r>
          </w:p>
        </w:tc>
        <w:tc>
          <w:tcPr>
            <w:tcW w:type="pct" w:w="0.75%"/>
            <w:shd w:fill="DCE6F1" w:val="clear"/>
            <w:tcMar>
              <w:top w:type="dxa" w:w="90"/>
              <w:left w:type="dxa" w:w="110"/>
              <w:bottom w:type="dxa" w:w="90"/>
              <w:right w:type="dxa" w:w="110"/>
            </w:tcMar>
          </w:tcPr>
          <w:p>
            <w:r>
              <w:rPr>
                <w:b/>
                <w:bCs/>
                <w:color w:val="1F3864"/>
              </w:rPr>
              <w:t xml:space="preserve">Scope</w:t>
            </w:r>
          </w:p>
        </w:tc>
      </w:tr>
      <w:tr>
        <w:tc>
          <w:tcPr>
            <w:tcW w:type="pct" w:w="0.25%"/>
            <w:tcMar>
              <w:top w:type="dxa" w:w="90"/>
              <w:left w:type="dxa" w:w="110"/>
              <w:bottom w:type="dxa" w:w="90"/>
              <w:right w:type="dxa" w:w="110"/>
            </w:tcMar>
          </w:tcPr>
          <w:p>
            <w:r>
              <w:rPr>
                <w:b w:val="false"/>
                <w:bCs w:val="false"/>
                <w:color w:val="000000"/>
              </w:rPr>
              <w:t xml:space="preserve">Now</w:t>
            </w:r>
          </w:p>
        </w:tc>
        <w:tc>
          <w:tcPr>
            <w:tcW w:type="pct" w:w="0.75%"/>
            <w:tcMar>
              <w:top w:type="dxa" w:w="90"/>
              <w:left w:type="dxa" w:w="110"/>
              <w:bottom w:type="dxa" w:w="90"/>
              <w:right w:type="dxa" w:w="110"/>
            </w:tcMar>
          </w:tcPr>
          <w:p>
            <w:r>
              <w:rPr>
                <w:b w:val="false"/>
                <w:bCs w:val="false"/>
                <w:color w:val="000000"/>
              </w:rPr>
              <w:t xml:space="preserve">Resume analysis, skill-gap analysis, roadmap generation</w:t>
            </w:r>
          </w:p>
        </w:tc>
      </w:tr>
      <w:tr>
        <w:tc>
          <w:tcPr>
            <w:tcW w:type="pct" w:w="0.25%"/>
            <w:tcMar>
              <w:top w:type="dxa" w:w="90"/>
              <w:left w:type="dxa" w:w="110"/>
              <w:bottom w:type="dxa" w:w="90"/>
              <w:right w:type="dxa" w:w="110"/>
            </w:tcMar>
          </w:tcPr>
          <w:p>
            <w:r>
              <w:rPr>
                <w:b w:val="false"/>
                <w:bCs w:val="false"/>
                <w:color w:val="000000"/>
              </w:rPr>
              <w:t xml:space="preserve">Next</w:t>
            </w:r>
          </w:p>
        </w:tc>
        <w:tc>
          <w:tcPr>
            <w:tcW w:type="pct" w:w="0.75%"/>
            <w:tcMar>
              <w:top w:type="dxa" w:w="90"/>
              <w:left w:type="dxa" w:w="110"/>
              <w:bottom w:type="dxa" w:w="90"/>
              <w:right w:type="dxa" w:w="110"/>
            </w:tcMar>
          </w:tcPr>
          <w:p>
            <w:r>
              <w:rPr>
                <w:b w:val="false"/>
                <w:bCs w:val="false"/>
                <w:color w:val="000000"/>
              </w:rPr>
              <w:t xml:space="preserve">Progress tracking, AI assistant, notifications</w:t>
            </w:r>
          </w:p>
        </w:tc>
      </w:tr>
      <w:tr>
        <w:tc>
          <w:tcPr>
            <w:tcW w:type="pct" w:w="0.25%"/>
            <w:tcMar>
              <w:top w:type="dxa" w:w="90"/>
              <w:left w:type="dxa" w:w="110"/>
              <w:bottom w:type="dxa" w:w="90"/>
              <w:right w:type="dxa" w:w="110"/>
            </w:tcMar>
          </w:tcPr>
          <w:p>
            <w:r>
              <w:rPr>
                <w:b w:val="false"/>
                <w:bCs w:val="false"/>
                <w:color w:val="000000"/>
              </w:rPr>
              <w:t xml:space="preserve">Later</w:t>
            </w:r>
          </w:p>
        </w:tc>
        <w:tc>
          <w:tcPr>
            <w:tcW w:type="pct" w:w="0.75%"/>
            <w:tcMar>
              <w:top w:type="dxa" w:w="90"/>
              <w:left w:type="dxa" w:w="110"/>
              <w:bottom w:type="dxa" w:w="90"/>
              <w:right w:type="dxa" w:w="110"/>
            </w:tcMar>
          </w:tcPr>
          <w:p>
            <w:r>
              <w:rPr>
                <w:b w:val="false"/>
                <w:bCs w:val="false"/>
                <w:color w:val="000000"/>
              </w:rPr>
              <w:t xml:space="preserve">Mentorship, community, job matching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2026-08-09T09:51:12.859Z</dcterms:created>
  <dcterms:modified xsi:type="dcterms:W3CDTF">2026-08-09T09:51:12.859Z</dcterms:modified>
</cp:coreProperties>
</file>

<file path=docProps/custom.xml><?xml version="1.0" encoding="utf-8"?>
<Properties xmlns="http://schemas.openxmlformats.org/officeDocument/2006/custom-properties" xmlns:vt="http://schemas.openxmlformats.org/officeDocument/2006/docPropsVTypes"/>
</file>