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100" w:before="0"/>
        <w:jc w:val="center"/>
      </w:pPr>
      <w:r>
        <w:rPr>
          <w:b/>
          <w:bCs/>
          <w:color w:val="1A52A0"/>
          <w:sz w:val="28"/>
          <w:szCs w:val="28"/>
        </w:rPr>
        <w:t xml:space="preserve">Guía Digital del Adulto Mayor</w:t>
      </w:r>
    </w:p>
    <w:p>
      <w:pPr>
        <w:spacing w:after="300" w:before="0"/>
        <w:jc w:val="center"/>
      </w:pPr>
      <w:r>
        <w:rPr>
          <w:b/>
          <w:bCs/>
          <w:sz w:val="44"/>
          <w:szCs w:val="44"/>
        </w:rPr>
        <w:t xml:space="preserve">Asistente virtual de salud</w:t>
      </w:r>
    </w:p>
    <w:p>
      <w:pPr>
        <w:spacing w:after="900" w:before="0"/>
        <w:jc w:val="center"/>
      </w:pPr>
      <w:r>
        <w:rPr>
          <w:sz w:val="26"/>
          <w:szCs w:val="26"/>
        </w:rPr>
        <w:t xml:space="preserve">Informe para validación clínica</w:t>
      </w:r>
    </w:p>
    <w:p>
      <w:pPr>
        <w:spacing w:after="60" w:before="0"/>
        <w:jc w:val="center"/>
      </w:pPr>
      <w:r>
        <w:rPr>
          <w:sz w:val="21"/>
          <w:szCs w:val="21"/>
        </w:rPr>
        <w:t xml:space="preserve">Hospital de Urgencia Asistencia Pública (HUAP)</w:t>
      </w:r>
    </w:p>
    <w:p>
      <w:pPr>
        <w:spacing w:after="600" w:before="0"/>
        <w:jc w:val="center"/>
      </w:pPr>
      <w:r>
        <w:rPr>
          <w:sz w:val="21"/>
          <w:szCs w:val="21"/>
        </w:rPr>
        <w:t xml:space="preserve">Universidad de Santiago de Chile</w:t>
      </w:r>
    </w:p>
    <w:p>
      <w:pPr>
        <w:spacing w:after="0" w:before="0"/>
        <w:jc w:val="center"/>
      </w:pPr>
      <w:r>
        <w:rPr>
          <w:color w:val="666666"/>
          <w:sz w:val="20"/>
          <w:szCs w:val="20"/>
        </w:rPr>
        <w:t xml:space="preserve">Agosto de 2026</w:t>
      </w:r>
    </w:p>
    <w:p>
      <w:r>
        <w:br w:type="page"/>
      </w:r>
    </w:p>
    <w:p>
      <w:pPr>
        <w:pStyle w:val="Heading1"/>
        <w:spacing w:after="160" w:before="360"/>
      </w:pPr>
      <w:r>
        <w:t xml:space="preserve">1. Qué se solicita validar</w:t>
      </w:r>
    </w:p>
    <w:p>
      <w:pPr>
        <w:spacing w:after="120" w:before="0"/>
      </w:pPr>
      <w:r>
        <w:rPr>
          <w:sz w:val="21"/>
          <w:szCs w:val="21"/>
        </w:rPr>
        <w:t xml:space="preserve">Este documento se envía para que el equipo de salud del HUAP revise y valide los contenidos clínicos del asistente virtual antes de ponerlo a disposición de personas usuarias.</w:t>
      </w:r>
    </w:p>
    <w:p>
      <w:pPr>
        <w:spacing w:after="120" w:before="0"/>
      </w:pPr>
      <w:r>
        <w:rPr>
          <w:sz w:val="21"/>
          <w:szCs w:val="21"/>
        </w:rPr>
        <w:t xml:space="preserve">El desarrollo informático está terminado y probado. Lo que no puede resolverse por vía técnica, y por eso se solicita aquí, es el criterio clínico sobre tres materias:</w:t>
      </w:r>
    </w:p>
    <w:p>
      <w:pPr>
        <w:pStyle w:val="ListParagraph"/>
        <w:numPr>
          <w:ilvl w:val="0"/>
          <w:numId w:val="2"/>
        </w:numPr>
        <w:spacing w:after="60"/>
      </w:pPr>
      <w:r>
        <w:rPr>
          <w:sz w:val="21"/>
          <w:szCs w:val="21"/>
        </w:rPr>
        <w:t xml:space="preserve">La lista de síntomas que activan el aviso de emergencia (sección 3). No es un texto ajustable: es el mecanismo que decide si una persona recibe la indicación de llamar al 131 o una respuesta informativa corriente. Si falta un síntoma en esa lista, el asistente no interviene.</w:t>
      </w:r>
    </w:p>
    <w:p>
      <w:pPr>
        <w:pStyle w:val="ListParagraph"/>
        <w:numPr>
          <w:ilvl w:val="0"/>
          <w:numId w:val="2"/>
        </w:numPr>
        <w:spacing w:after="60"/>
      </w:pPr>
      <w:r>
        <w:rPr>
          <w:sz w:val="21"/>
          <w:szCs w:val="21"/>
        </w:rPr>
        <w:t xml:space="preserve">Los textos que el asistente entrega en situaciones críticas (secciones 4 y 5).</w:t>
      </w:r>
    </w:p>
    <w:p>
      <w:pPr>
        <w:pStyle w:val="ListParagraph"/>
        <w:numPr>
          <w:ilvl w:val="0"/>
          <w:numId w:val="2"/>
        </w:numPr>
        <w:spacing w:after="60"/>
      </w:pPr>
      <w:r>
        <w:rPr>
          <w:sz w:val="21"/>
          <w:szCs w:val="21"/>
        </w:rPr>
        <w:t xml:space="preserve">El contenido educativo de las 33 condiciones cubiertas (sección 6).</w:t>
      </w:r>
    </w:p>
    <w:p>
      <w:pPr>
        <w:spacing w:after="120" w:before="120"/>
      </w:pPr>
      <w:r>
        <w:rPr>
          <w:sz w:val="21"/>
          <w:szCs w:val="21"/>
        </w:rPr>
        <w:t xml:space="preserve">Se solicita además pronunciarse sobre dos decisiones puntuales que quedaron abiertas y que requieren criterio clínico (sección 7).</w:t>
      </w:r>
    </w:p>
    <w:p>
      <w:pPr>
        <w:pBdr>
          <w:bottom w:val="single" w:color="CCCCCC" w:sz="6"/>
        </w:pBdr>
        <w:spacing w:after="200"/>
      </w:pPr>
    </w:p>
    <w:p>
      <w:pPr>
        <w:pStyle w:val="Heading2"/>
        <w:spacing w:after="120" w:before="280"/>
      </w:pPr>
      <w:r>
        <w:t xml:space="preserve">Cómo devolver las observaciones</w:t>
      </w:r>
    </w:p>
    <w:p>
      <w:pPr>
        <w:spacing w:after="120" w:before="0"/>
      </w:pPr>
      <w:r>
        <w:rPr>
          <w:sz w:val="21"/>
          <w:szCs w:val="21"/>
        </w:rPr>
        <w:t xml:space="preserve">Cada sección incluye una columna de observaciones. Puede escribir directamente sobre este documento, o responder por correo indicando el número de sección. Cualquier frase que falte, sobre o deba redactarse distinto es útil, por mínima que parezca.</w:t>
      </w:r>
    </w:p>
    <w:p>
      <w:pPr>
        <w:pStyle w:val="Heading1"/>
        <w:spacing w:after="160" w:before="360"/>
      </w:pPr>
      <w:r>
        <w:t xml:space="preserve">2. Cómo responde el asistente</w:t>
      </w:r>
    </w:p>
    <w:p>
      <w:pPr>
        <w:spacing w:after="120" w:before="0"/>
      </w:pPr>
      <w:r>
        <w:rPr>
          <w:sz w:val="21"/>
          <w:szCs w:val="21"/>
        </w:rPr>
        <w:t xml:space="preserve">El asistente atiende cada consulta pasando por cuatro etapas, en este orden. La primera que resuelve entrega la respuesta y detiene el proceso.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100"/>
      </w:tblGrid>
      <w:tr>
        <w:tc>
          <w:tcPr>
            <w:tcW w:type="dxa" w:w="700"/>
            <w:shd w:fill="1A52A0" w:val="clear"/>
            <w:tcMar>
              <w:top w:type="dxa" w:w="80"/>
              <w:left w:type="dxa" w:w="110"/>
              <w:bottom w:type="dxa" w:w="80"/>
              <w:right w:type="dxa" w:w="110"/>
            </w:tcMar>
          </w:tcPr>
          <w:p>
            <w:pPr>
              <w:spacing w:after="0"/>
            </w:pPr>
            <w:r>
              <w:rPr>
                <w:b/>
                <w:bCs/>
                <w:color w:val="FFFFFF"/>
                <w:sz w:val="19"/>
                <w:szCs w:val="19"/>
              </w:rPr>
              <w:t xml:space="preserve">Orden</w:t>
            </w:r>
          </w:p>
        </w:tc>
        <w:tc>
          <w:tcPr>
            <w:tcW w:type="dxa" w:w="2200"/>
            <w:shd w:fill="1A52A0" w:val="clear"/>
            <w:tcMar>
              <w:top w:type="dxa" w:w="80"/>
              <w:left w:type="dxa" w:w="110"/>
              <w:bottom w:type="dxa" w:w="80"/>
              <w:right w:type="dxa" w:w="110"/>
            </w:tcMar>
          </w:tcPr>
          <w:p>
            <w:pPr>
              <w:spacing w:after="0"/>
            </w:pPr>
            <w:r>
              <w:rPr>
                <w:b/>
                <w:bCs/>
                <w:color w:val="FFFFFF"/>
                <w:sz w:val="19"/>
                <w:szCs w:val="19"/>
              </w:rPr>
              <w:t xml:space="preserve">Etapa</w:t>
            </w:r>
          </w:p>
        </w:tc>
        <w:tc>
          <w:tcPr>
            <w:tcW w:type="dxa" w:w="6100"/>
            <w:shd w:fill="1A52A0" w:val="clear"/>
            <w:tcMar>
              <w:top w:type="dxa" w:w="80"/>
              <w:left w:type="dxa" w:w="110"/>
              <w:bottom w:type="dxa" w:w="80"/>
              <w:right w:type="dxa" w:w="110"/>
            </w:tcMar>
          </w:tcPr>
          <w:p>
            <w:pPr>
              <w:spacing w:after="0"/>
            </w:pPr>
            <w:r>
              <w:rPr>
                <w:b/>
                <w:bCs/>
                <w:color w:val="FFFFFF"/>
                <w:sz w:val="19"/>
                <w:szCs w:val="19"/>
              </w:rPr>
              <w:t xml:space="preserve">Qué hace</w:t>
            </w:r>
          </w:p>
        </w:tc>
      </w:tr>
      <w:tr>
        <w:tc>
          <w:tcPr>
            <w:tcW w:type="dxa" w:w="700"/>
            <w:shd w:fill="F2F2F2" w:val="clear"/>
            <w:tcMar>
              <w:top w:type="dxa" w:w="80"/>
              <w:left w:type="dxa" w:w="110"/>
              <w:bottom w:type="dxa" w:w="80"/>
              <w:right w:type="dxa" w:w="110"/>
            </w:tcMar>
          </w:tcPr>
          <w:p>
            <w:pPr>
              <w:spacing w:after="0"/>
            </w:pPr>
            <w:r>
              <w:rPr>
                <w:b/>
                <w:bCs/>
                <w:sz w:val="19"/>
                <w:szCs w:val="19"/>
              </w:rPr>
              <w:t xml:space="preserve">1</w:t>
            </w:r>
          </w:p>
        </w:tc>
        <w:tc>
          <w:tcPr>
            <w:tcW w:type="dxa" w:w="2200"/>
            <w:shd w:fill="F2F2F2" w:val="clear"/>
            <w:tcMar>
              <w:top w:type="dxa" w:w="80"/>
              <w:left w:type="dxa" w:w="110"/>
              <w:bottom w:type="dxa" w:w="80"/>
              <w:right w:type="dxa" w:w="110"/>
            </w:tcMar>
          </w:tcPr>
          <w:p>
            <w:pPr>
              <w:spacing w:after="0"/>
            </w:pPr>
            <w:r>
              <w:rPr>
                <w:b/>
                <w:bCs/>
                <w:sz w:val="19"/>
                <w:szCs w:val="19"/>
              </w:rPr>
              <w:t xml:space="preserve">Detección de urgencias</w:t>
            </w:r>
          </w:p>
        </w:tc>
        <w:tc>
          <w:tcPr>
            <w:tcW w:type="dxa" w:w="6100"/>
            <w:shd w:fill="F2F2F2" w:val="clear"/>
            <w:tcMar>
              <w:top w:type="dxa" w:w="80"/>
              <w:left w:type="dxa" w:w="110"/>
              <w:bottom w:type="dxa" w:w="80"/>
              <w:right w:type="dxa" w:w="110"/>
            </w:tcMar>
          </w:tcPr>
          <w:p>
            <w:pPr>
              <w:spacing w:after="0"/>
            </w:pPr>
            <w:r>
              <w:rPr>
                <w:sz w:val="19"/>
                <w:szCs w:val="19"/>
              </w:rPr>
              <w:t xml:space="preserve">Si el mensaje describe un síntoma de emergencia, entrega el aviso de llamar al 131 y no continúa. No depende de inteligencia artificial ni de conexión a internet.</w:t>
            </w:r>
          </w:p>
        </w:tc>
      </w:tr>
      <w:tr>
        <w:tc>
          <w:tcPr>
            <w:tcW w:type="dxa" w:w="700"/>
            <w:tcMar>
              <w:top w:type="dxa" w:w="80"/>
              <w:left w:type="dxa" w:w="110"/>
              <w:bottom w:type="dxa" w:w="80"/>
              <w:right w:type="dxa" w:w="110"/>
            </w:tcMar>
          </w:tcPr>
          <w:p>
            <w:pPr>
              <w:spacing w:after="0"/>
            </w:pPr>
            <w:r>
              <w:rPr>
                <w:sz w:val="19"/>
                <w:szCs w:val="19"/>
              </w:rPr>
              <w:t xml:space="preserve">2</w:t>
            </w:r>
          </w:p>
        </w:tc>
        <w:tc>
          <w:tcPr>
            <w:tcW w:type="dxa" w:w="2200"/>
            <w:tcMar>
              <w:top w:type="dxa" w:w="80"/>
              <w:left w:type="dxa" w:w="110"/>
              <w:bottom w:type="dxa" w:w="80"/>
              <w:right w:type="dxa" w:w="110"/>
            </w:tcMar>
          </w:tcPr>
          <w:p>
            <w:pPr>
              <w:spacing w:after="0"/>
            </w:pPr>
            <w:r>
              <w:rPr>
                <w:sz w:val="19"/>
                <w:szCs w:val="19"/>
              </w:rPr>
              <w:t xml:space="preserve">Respuestas validadas</w:t>
            </w:r>
          </w:p>
        </w:tc>
        <w:tc>
          <w:tcPr>
            <w:tcW w:type="dxa" w:w="6100"/>
            <w:tcMar>
              <w:top w:type="dxa" w:w="80"/>
              <w:left w:type="dxa" w:w="110"/>
              <w:bottom w:type="dxa" w:w="80"/>
              <w:right w:type="dxa" w:w="110"/>
            </w:tcMar>
          </w:tcPr>
          <w:p>
            <w:pPr>
              <w:spacing w:after="0"/>
            </w:pPr>
            <w:r>
              <w:rPr>
                <w:sz w:val="19"/>
                <w:szCs w:val="19"/>
              </w:rPr>
              <w:t xml:space="preserve">Un conjunto de preguntas frecuentes con respuestas escritas y aprobadas previamente. Se entregan textualmente, sin intervención de inteligencia artificial.</w:t>
            </w:r>
          </w:p>
        </w:tc>
      </w:tr>
      <w:tr>
        <w:tc>
          <w:tcPr>
            <w:tcW w:type="dxa" w:w="700"/>
            <w:tcMar>
              <w:top w:type="dxa" w:w="80"/>
              <w:left w:type="dxa" w:w="110"/>
              <w:bottom w:type="dxa" w:w="80"/>
              <w:right w:type="dxa" w:w="110"/>
            </w:tcMar>
          </w:tcPr>
          <w:p>
            <w:pPr>
              <w:spacing w:after="0"/>
            </w:pPr>
            <w:r>
              <w:rPr>
                <w:sz w:val="19"/>
                <w:szCs w:val="19"/>
              </w:rPr>
              <w:t xml:space="preserve">3</w:t>
            </w:r>
          </w:p>
        </w:tc>
        <w:tc>
          <w:tcPr>
            <w:tcW w:type="dxa" w:w="2200"/>
            <w:tcMar>
              <w:top w:type="dxa" w:w="80"/>
              <w:left w:type="dxa" w:w="110"/>
              <w:bottom w:type="dxa" w:w="80"/>
              <w:right w:type="dxa" w:w="110"/>
            </w:tcMar>
          </w:tcPr>
          <w:p>
            <w:pPr>
              <w:spacing w:after="0"/>
            </w:pPr>
            <w:r>
              <w:rPr>
                <w:sz w:val="19"/>
                <w:szCs w:val="19"/>
              </w:rPr>
              <w:t xml:space="preserve">Búsqueda en el documento de conocimiento</w:t>
            </w:r>
          </w:p>
        </w:tc>
        <w:tc>
          <w:tcPr>
            <w:tcW w:type="dxa" w:w="6100"/>
            <w:tcMar>
              <w:top w:type="dxa" w:w="80"/>
              <w:left w:type="dxa" w:w="110"/>
              <w:bottom w:type="dxa" w:w="80"/>
              <w:right w:type="dxa" w:w="110"/>
            </w:tcMar>
          </w:tcPr>
          <w:p>
            <w:pPr>
              <w:spacing w:after="0"/>
            </w:pPr>
            <w:r>
              <w:rPr>
                <w:sz w:val="19"/>
                <w:szCs w:val="19"/>
              </w:rPr>
              <w:t xml:space="preserve">Se localizan las secciones del documento clínico relacionadas con la consulta.</w:t>
            </w:r>
          </w:p>
        </w:tc>
      </w:tr>
      <w:tr>
        <w:tc>
          <w:tcPr>
            <w:tcW w:type="dxa" w:w="700"/>
            <w:tcMar>
              <w:top w:type="dxa" w:w="80"/>
              <w:left w:type="dxa" w:w="110"/>
              <w:bottom w:type="dxa" w:w="80"/>
              <w:right w:type="dxa" w:w="110"/>
            </w:tcMar>
          </w:tcPr>
          <w:p>
            <w:pPr>
              <w:spacing w:after="0"/>
            </w:pPr>
            <w:r>
              <w:rPr>
                <w:sz w:val="19"/>
                <w:szCs w:val="19"/>
              </w:rPr>
              <w:t xml:space="preserve">4</w:t>
            </w:r>
          </w:p>
        </w:tc>
        <w:tc>
          <w:tcPr>
            <w:tcW w:type="dxa" w:w="2200"/>
            <w:tcMar>
              <w:top w:type="dxa" w:w="80"/>
              <w:left w:type="dxa" w:w="110"/>
              <w:bottom w:type="dxa" w:w="80"/>
              <w:right w:type="dxa" w:w="110"/>
            </w:tcMar>
          </w:tcPr>
          <w:p>
            <w:pPr>
              <w:spacing w:after="0"/>
            </w:pPr>
            <w:r>
              <w:rPr>
                <w:sz w:val="19"/>
                <w:szCs w:val="19"/>
              </w:rPr>
              <w:t xml:space="preserve">Redacción de la respuesta</w:t>
            </w:r>
          </w:p>
        </w:tc>
        <w:tc>
          <w:tcPr>
            <w:tcW w:type="dxa" w:w="6100"/>
            <w:tcMar>
              <w:top w:type="dxa" w:w="80"/>
              <w:left w:type="dxa" w:w="110"/>
              <w:bottom w:type="dxa" w:w="80"/>
              <w:right w:type="dxa" w:w="110"/>
            </w:tcMar>
          </w:tcPr>
          <w:p>
            <w:pPr>
              <w:spacing w:after="0"/>
            </w:pPr>
            <w:r>
              <w:rPr>
                <w:sz w:val="19"/>
                <w:szCs w:val="19"/>
              </w:rPr>
              <w:t xml:space="preserve">Un modelo de lenguaje redacta la respuesta usando únicamente las secciones encontradas. Tiene prohibido indicar dosis, recomendar o suspender medicamentos y entregar diagnósticos. Si el documento no contiene la información, responde que no la tiene.</w:t>
            </w:r>
          </w:p>
        </w:tc>
      </w:tr>
    </w:tbl>
    <w:p>
      <w:pPr>
        <w:spacing w:after="120" w:before="160"/>
      </w:pPr>
      <w:r>
        <w:rPr>
          <w:i/>
          <w:iCs/>
          <w:sz w:val="21"/>
          <w:szCs w:val="21"/>
        </w:rPr>
        <w:t xml:space="preserve">Los pasos 1 y 2 no utilizan inteligencia artificial: entregan siempre el mismo texto. Por eso son los que requieren mayor atención en esta validación.</w:t>
      </w:r>
    </w:p>
    <w:p>
      <w:r>
        <w:br w:type="page"/>
      </w:r>
    </w:p>
    <w:p>
      <w:pPr>
        <w:pStyle w:val="Heading1"/>
        <w:spacing w:after="160" w:before="360"/>
      </w:pPr>
      <w:r>
        <w:t xml:space="preserve">3. Detección de urgencias</w:t>
      </w:r>
    </w:p>
    <w:p>
      <w:pPr>
        <w:spacing w:after="120" w:before="0"/>
      </w:pPr>
      <w:r>
        <w:rPr>
          <w:b/>
          <w:bCs/>
          <w:color w:val="B00020"/>
          <w:sz w:val="21"/>
          <w:szCs w:val="21"/>
        </w:rPr>
        <w:t xml:space="preserve">Es el punto más importante de esta validación.</w:t>
      </w:r>
    </w:p>
    <w:p>
      <w:pPr>
        <w:spacing w:after="120" w:before="0"/>
      </w:pPr>
      <w:r>
        <w:rPr>
          <w:sz w:val="21"/>
          <w:szCs w:val="21"/>
        </w:rPr>
        <w:t xml:space="preserve">El asistente reconoce 53 frases. Cuando el mensaje de la persona contiene alguna de ellas, se entrega de inmediato el aviso de llamar al 131 (sección 4), sin consultar ninguna otra fuente y sin usar inteligencia artificial. Esto garantiza que la respuesta ante una urgencia no dependa de que un servicio externo esté disponible.</w:t>
      </w:r>
    </w:p>
    <w:p>
      <w:pPr>
        <w:spacing w:after="120" w:before="0"/>
      </w:pPr>
      <w:r>
        <w:rPr>
          <w:sz w:val="21"/>
          <w:szCs w:val="21"/>
        </w:rPr>
        <w:t xml:space="preserve">Los síntomas se tomaron de dos fuentes oficiales del Ministerio de Salud, citadas en la sección 8: la descripción del infarto agudo al miocardio de Salud Responde, y los signos del ataque cerebrovascular de MINSAL. Se incorporó especialmente la advertencia de que en personas mayores el infarto puede presentarse sin dolor, manifestándose como falta de aire, fatiga extrema, mareo o desmayo.</w:t>
      </w:r>
    </w:p>
    <w:p>
      <w:pPr>
        <w:pStyle w:val="Heading2"/>
        <w:spacing w:after="120" w:before="280"/>
      </w:pPr>
      <w:r>
        <w:t xml:space="preserve">3.1 Listado completo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4600"/>
        <w:gridCol w:w="2400"/>
      </w:tblGrid>
      <w:tr>
        <w:tc>
          <w:tcPr>
            <w:tcW w:type="dxa" w:w="2000"/>
            <w:shd w:fill="1A52A0" w:val="clear"/>
            <w:tcMar>
              <w:top w:type="dxa" w:w="80"/>
              <w:left w:type="dxa" w:w="110"/>
              <w:bottom w:type="dxa" w:w="80"/>
              <w:right w:type="dxa" w:w="110"/>
            </w:tcMar>
          </w:tcPr>
          <w:p>
            <w:pPr>
              <w:spacing w:after="0"/>
            </w:pPr>
            <w:r>
              <w:rPr>
                <w:b/>
                <w:bCs/>
                <w:color w:val="FFFFFF"/>
                <w:sz w:val="19"/>
                <w:szCs w:val="19"/>
              </w:rPr>
              <w:t xml:space="preserve">Grupo</w:t>
            </w:r>
          </w:p>
        </w:tc>
        <w:tc>
          <w:tcPr>
            <w:tcW w:type="dxa" w:w="4600"/>
            <w:shd w:fill="1A52A0" w:val="clear"/>
            <w:tcMar>
              <w:top w:type="dxa" w:w="80"/>
              <w:left w:type="dxa" w:w="110"/>
              <w:bottom w:type="dxa" w:w="80"/>
              <w:right w:type="dxa" w:w="110"/>
            </w:tcMar>
          </w:tcPr>
          <w:p>
            <w:pPr>
              <w:spacing w:after="0"/>
            </w:pPr>
            <w:r>
              <w:rPr>
                <w:b/>
                <w:bCs/>
                <w:color w:val="FFFFFF"/>
                <w:sz w:val="19"/>
                <w:szCs w:val="19"/>
              </w:rPr>
              <w:t xml:space="preserve">Frases que activan el aviso</w:t>
            </w:r>
          </w:p>
        </w:tc>
        <w:tc>
          <w:tcPr>
            <w:tcW w:type="dxa" w:w="2400"/>
            <w:shd w:fill="1A52A0" w:val="clear"/>
            <w:tcMar>
              <w:top w:type="dxa" w:w="80"/>
              <w:left w:type="dxa" w:w="110"/>
              <w:bottom w:type="dxa" w:w="80"/>
              <w:right w:type="dxa" w:w="110"/>
            </w:tcMar>
          </w:tcPr>
          <w:p>
            <w:pPr>
              <w:spacing w:after="0"/>
            </w:pPr>
            <w:r>
              <w:rPr>
                <w:b/>
                <w:bCs/>
                <w:color w:val="FFFFFF"/>
                <w:sz w:val="19"/>
                <w:szCs w:val="19"/>
              </w:rPr>
              <w:t xml:space="preserve">Observaciones del equipo de salud</w:t>
            </w:r>
          </w:p>
        </w:tc>
      </w:tr>
      <w:tr>
        <w:tc>
          <w:tcPr>
            <w:tcW w:type="dxa" w:w="2000"/>
            <w:shd w:fill="F2F2F2" w:val="clear"/>
            <w:tcMar>
              <w:top w:type="dxa" w:w="80"/>
              <w:left w:type="dxa" w:w="110"/>
              <w:bottom w:type="dxa" w:w="80"/>
              <w:right w:type="dxa" w:w="110"/>
            </w:tcMar>
          </w:tcPr>
          <w:p>
            <w:pPr>
              <w:spacing w:after="0"/>
            </w:pPr>
            <w:r>
              <w:rPr>
                <w:b/>
                <w:bCs/>
                <w:sz w:val="19"/>
                <w:szCs w:val="19"/>
              </w:rPr>
              <w:t xml:space="preserve">Cardíaco (IAM)</w:t>
            </w:r>
          </w:p>
        </w:tc>
        <w:tc>
          <w:tcPr>
            <w:tcW w:type="dxa" w:w="4600"/>
            <w:tcMar>
              <w:top w:type="dxa" w:w="80"/>
              <w:left w:type="dxa" w:w="110"/>
              <w:bottom w:type="dxa" w:w="80"/>
              <w:right w:type="dxa" w:w="110"/>
            </w:tcMar>
          </w:tcPr>
          <w:p>
            <w:pPr>
              <w:spacing w:after="0"/>
            </w:pPr>
            <w:r>
              <w:rPr>
                <w:sz w:val="19"/>
                <w:szCs w:val="19"/>
              </w:rPr>
              <w:t xml:space="preserve">me duele el pecho · me duele mucho el pecho · dolor en el pecho · dolor al pecho · duele el pecho · presion en el pecho · opresion en el pecho · aprieta el pecho · apretado en el pecho · peso en el pecho · infarto · ataque al corazon · ataque cardiaco · paro cardiaco</w:t>
            </w:r>
          </w:p>
        </w:tc>
        <w:tc>
          <w:tcPr>
            <w:tcW w:type="dxa" w:w="2400"/>
            <w:tcMar>
              <w:top w:type="dxa" w:w="80"/>
              <w:left w:type="dxa" w:w="110"/>
              <w:bottom w:type="dxa" w:w="80"/>
              <w:right w:type="dxa" w:w="110"/>
            </w:tcMar>
          </w:tcPr>
          <w:p>
            <w:pPr>
              <w:spacing w:after="0"/>
            </w:pPr>
            <w:r>
              <w:rPr>
                <w:sz w:val="19"/>
                <w:szCs w:val="19"/>
              </w:rPr>
              <w:t xml:space="preserve"/>
            </w:r>
          </w:p>
        </w:tc>
      </w:tr>
      <w:tr>
        <w:tc>
          <w:tcPr>
            <w:tcW w:type="dxa" w:w="2000"/>
            <w:shd w:fill="F2F2F2" w:val="clear"/>
            <w:tcMar>
              <w:top w:type="dxa" w:w="80"/>
              <w:left w:type="dxa" w:w="110"/>
              <w:bottom w:type="dxa" w:w="80"/>
              <w:right w:type="dxa" w:w="110"/>
            </w:tcMar>
          </w:tcPr>
          <w:p>
            <w:pPr>
              <w:spacing w:after="0"/>
            </w:pPr>
            <w:r>
              <w:rPr>
                <w:b/>
                <w:bCs/>
                <w:sz w:val="19"/>
                <w:szCs w:val="19"/>
              </w:rPr>
              <w:t xml:space="preserve">Respiratorio</w:t>
            </w:r>
          </w:p>
        </w:tc>
        <w:tc>
          <w:tcPr>
            <w:tcW w:type="dxa" w:w="4600"/>
            <w:tcMar>
              <w:top w:type="dxa" w:w="80"/>
              <w:left w:type="dxa" w:w="110"/>
              <w:bottom w:type="dxa" w:w="80"/>
              <w:right w:type="dxa" w:w="110"/>
            </w:tcMar>
          </w:tcPr>
          <w:p>
            <w:pPr>
              <w:spacing w:after="0"/>
            </w:pPr>
            <w:r>
              <w:rPr>
                <w:sz w:val="19"/>
                <w:szCs w:val="19"/>
              </w:rPr>
              <w:t xml:space="preserve">no puedo respirar · no puede respirar · me cuesta respirar · le cuesta respirar · me falta el aire · le falta el aire · me estoy ahogando · se esta ahogando · labios morados · labios azules</w:t>
            </w:r>
          </w:p>
        </w:tc>
        <w:tc>
          <w:tcPr>
            <w:tcW w:type="dxa" w:w="2400"/>
            <w:tcMar>
              <w:top w:type="dxa" w:w="80"/>
              <w:left w:type="dxa" w:w="110"/>
              <w:bottom w:type="dxa" w:w="80"/>
              <w:right w:type="dxa" w:w="110"/>
            </w:tcMar>
          </w:tcPr>
          <w:p>
            <w:pPr>
              <w:spacing w:after="0"/>
            </w:pPr>
            <w:r>
              <w:rPr>
                <w:sz w:val="19"/>
                <w:szCs w:val="19"/>
              </w:rPr>
              <w:t xml:space="preserve"/>
            </w:r>
          </w:p>
        </w:tc>
      </w:tr>
      <w:tr>
        <w:tc>
          <w:tcPr>
            <w:tcW w:type="dxa" w:w="2000"/>
            <w:shd w:fill="F2F2F2" w:val="clear"/>
            <w:tcMar>
              <w:top w:type="dxa" w:w="80"/>
              <w:left w:type="dxa" w:w="110"/>
              <w:bottom w:type="dxa" w:w="80"/>
              <w:right w:type="dxa" w:w="110"/>
            </w:tcMar>
          </w:tcPr>
          <w:p>
            <w:pPr>
              <w:spacing w:after="0"/>
            </w:pPr>
            <w:r>
              <w:rPr>
                <w:b/>
                <w:bCs/>
                <w:sz w:val="19"/>
                <w:szCs w:val="19"/>
              </w:rPr>
              <w:t xml:space="preserve">Ataque cerebrovascular (ACV)</w:t>
            </w:r>
          </w:p>
        </w:tc>
        <w:tc>
          <w:tcPr>
            <w:tcW w:type="dxa" w:w="4600"/>
            <w:tcMar>
              <w:top w:type="dxa" w:w="80"/>
              <w:left w:type="dxa" w:w="110"/>
              <w:bottom w:type="dxa" w:w="80"/>
              <w:right w:type="dxa" w:w="110"/>
            </w:tcMar>
          </w:tcPr>
          <w:p>
            <w:pPr>
              <w:spacing w:after="0"/>
            </w:pPr>
            <w:r>
              <w:rPr>
                <w:sz w:val="19"/>
                <w:szCs w:val="19"/>
              </w:rPr>
              <w:t xml:space="preserve">no puedo hablar · no puede hablar · se me traba la lengua · se le traba la lengua · no se le entiende · cara caida · boca torcida · un lado de la cara · medio cuerpo · un lado del cuerpo · se me durmio el brazo · se me durmio la cara · no puedo mover el brazo · no puede mover el brazo · no puedo mover la pierna</w:t>
            </w:r>
          </w:p>
        </w:tc>
        <w:tc>
          <w:tcPr>
            <w:tcW w:type="dxa" w:w="2400"/>
            <w:tcMar>
              <w:top w:type="dxa" w:w="80"/>
              <w:left w:type="dxa" w:w="110"/>
              <w:bottom w:type="dxa" w:w="80"/>
              <w:right w:type="dxa" w:w="110"/>
            </w:tcMar>
          </w:tcPr>
          <w:p>
            <w:pPr>
              <w:spacing w:after="0"/>
            </w:pPr>
            <w:r>
              <w:rPr>
                <w:sz w:val="19"/>
                <w:szCs w:val="19"/>
              </w:rPr>
              <w:t xml:space="preserve"/>
            </w:r>
          </w:p>
        </w:tc>
      </w:tr>
      <w:tr>
        <w:tc>
          <w:tcPr>
            <w:tcW w:type="dxa" w:w="2000"/>
            <w:shd w:fill="F2F2F2" w:val="clear"/>
            <w:tcMar>
              <w:top w:type="dxa" w:w="80"/>
              <w:left w:type="dxa" w:w="110"/>
              <w:bottom w:type="dxa" w:w="80"/>
              <w:right w:type="dxa" w:w="110"/>
            </w:tcMar>
          </w:tcPr>
          <w:p>
            <w:pPr>
              <w:spacing w:after="0"/>
            </w:pPr>
            <w:r>
              <w:rPr>
                <w:b/>
                <w:bCs/>
                <w:sz w:val="19"/>
                <w:szCs w:val="19"/>
              </w:rPr>
              <w:t xml:space="preserve">Conciencia</w:t>
            </w:r>
          </w:p>
        </w:tc>
        <w:tc>
          <w:tcPr>
            <w:tcW w:type="dxa" w:w="4600"/>
            <w:tcMar>
              <w:top w:type="dxa" w:w="80"/>
              <w:left w:type="dxa" w:w="110"/>
              <w:bottom w:type="dxa" w:w="80"/>
              <w:right w:type="dxa" w:w="110"/>
            </w:tcMar>
          </w:tcPr>
          <w:p>
            <w:pPr>
              <w:spacing w:after="0"/>
            </w:pPr>
            <w:r>
              <w:rPr>
                <w:sz w:val="19"/>
                <w:szCs w:val="19"/>
              </w:rPr>
              <w:t xml:space="preserve">se desmayo · me desmaye · no despierta · no reacciona · perdio el conocimiento · esta inconsciente · quedo inconsciente</w:t>
            </w:r>
          </w:p>
        </w:tc>
        <w:tc>
          <w:tcPr>
            <w:tcW w:type="dxa" w:w="2400"/>
            <w:tcMar>
              <w:top w:type="dxa" w:w="80"/>
              <w:left w:type="dxa" w:w="110"/>
              <w:bottom w:type="dxa" w:w="80"/>
              <w:right w:type="dxa" w:w="110"/>
            </w:tcMar>
          </w:tcPr>
          <w:p>
            <w:pPr>
              <w:spacing w:after="0"/>
            </w:pPr>
            <w:r>
              <w:rPr>
                <w:sz w:val="19"/>
                <w:szCs w:val="19"/>
              </w:rPr>
              <w:t xml:space="preserve"/>
            </w:r>
          </w:p>
        </w:tc>
      </w:tr>
      <w:tr>
        <w:tc>
          <w:tcPr>
            <w:tcW w:type="dxa" w:w="2000"/>
            <w:shd w:fill="F2F2F2" w:val="clear"/>
            <w:tcMar>
              <w:top w:type="dxa" w:w="80"/>
              <w:left w:type="dxa" w:w="110"/>
              <w:bottom w:type="dxa" w:w="80"/>
              <w:right w:type="dxa" w:w="110"/>
            </w:tcMar>
          </w:tcPr>
          <w:p>
            <w:pPr>
              <w:spacing w:after="0"/>
            </w:pPr>
            <w:r>
              <w:rPr>
                <w:b/>
                <w:bCs/>
                <w:sz w:val="19"/>
                <w:szCs w:val="19"/>
              </w:rPr>
              <w:t xml:space="preserve">Sangrado</w:t>
            </w:r>
          </w:p>
        </w:tc>
        <w:tc>
          <w:tcPr>
            <w:tcW w:type="dxa" w:w="4600"/>
            <w:tcMar>
              <w:top w:type="dxa" w:w="80"/>
              <w:left w:type="dxa" w:w="110"/>
              <w:bottom w:type="dxa" w:w="80"/>
              <w:right w:type="dxa" w:w="110"/>
            </w:tcMar>
          </w:tcPr>
          <w:p>
            <w:pPr>
              <w:spacing w:after="0"/>
            </w:pPr>
            <w:r>
              <w:rPr>
                <w:sz w:val="19"/>
                <w:szCs w:val="19"/>
              </w:rPr>
              <w:t xml:space="preserve">no para de sangrar · sangrado que no para · vomito con sangre · vomitando sangre</w:t>
            </w:r>
          </w:p>
        </w:tc>
        <w:tc>
          <w:tcPr>
            <w:tcW w:type="dxa" w:w="2400"/>
            <w:tcMar>
              <w:top w:type="dxa" w:w="80"/>
              <w:left w:type="dxa" w:w="110"/>
              <w:bottom w:type="dxa" w:w="80"/>
              <w:right w:type="dxa" w:w="110"/>
            </w:tcMar>
          </w:tcPr>
          <w:p>
            <w:pPr>
              <w:spacing w:after="0"/>
            </w:pPr>
            <w:r>
              <w:rPr>
                <w:sz w:val="19"/>
                <w:szCs w:val="19"/>
              </w:rPr>
              <w:t xml:space="preserve"/>
            </w:r>
          </w:p>
        </w:tc>
      </w:tr>
      <w:tr>
        <w:tc>
          <w:tcPr>
            <w:tcW w:type="dxa" w:w="2000"/>
            <w:shd w:fill="F2F2F2" w:val="clear"/>
            <w:tcMar>
              <w:top w:type="dxa" w:w="80"/>
              <w:left w:type="dxa" w:w="110"/>
              <w:bottom w:type="dxa" w:w="80"/>
              <w:right w:type="dxa" w:w="110"/>
            </w:tcMar>
          </w:tcPr>
          <w:p>
            <w:pPr>
              <w:spacing w:after="0"/>
            </w:pPr>
            <w:r>
              <w:rPr>
                <w:b/>
                <w:bCs/>
                <w:sz w:val="19"/>
                <w:szCs w:val="19"/>
              </w:rPr>
              <w:t xml:space="preserve">Emergencia declarada</w:t>
            </w:r>
          </w:p>
        </w:tc>
        <w:tc>
          <w:tcPr>
            <w:tcW w:type="dxa" w:w="4600"/>
            <w:tcMar>
              <w:top w:type="dxa" w:w="80"/>
              <w:left w:type="dxa" w:w="110"/>
              <w:bottom w:type="dxa" w:w="80"/>
              <w:right w:type="dxa" w:w="110"/>
            </w:tcMar>
          </w:tcPr>
          <w:p>
            <w:pPr>
              <w:spacing w:after="0"/>
            </w:pPr>
            <w:r>
              <w:rPr>
                <w:sz w:val="19"/>
                <w:szCs w:val="19"/>
              </w:rPr>
              <w:t xml:space="preserve">es una emergencia · me estoy muriendo · se esta muriendo</w:t>
            </w:r>
          </w:p>
        </w:tc>
        <w:tc>
          <w:tcPr>
            <w:tcW w:type="dxa" w:w="2400"/>
            <w:tcMar>
              <w:top w:type="dxa" w:w="80"/>
              <w:left w:type="dxa" w:w="110"/>
              <w:bottom w:type="dxa" w:w="80"/>
              <w:right w:type="dxa" w:w="110"/>
            </w:tcMar>
          </w:tcPr>
          <w:p>
            <w:pPr>
              <w:spacing w:after="0"/>
            </w:pPr>
            <w:r>
              <w:rPr>
                <w:sz w:val="19"/>
                <w:szCs w:val="19"/>
              </w:rPr>
              <w:t xml:space="preserve"/>
            </w:r>
          </w:p>
        </w:tc>
      </w:tr>
    </w:tbl>
    <w:p>
      <w:pPr>
        <w:pStyle w:val="Heading2"/>
        <w:spacing w:after="120" w:before="280"/>
      </w:pPr>
      <w:r>
        <w:t xml:space="preserve">3.2 Situaciones en que el aviso NO se activa</w:t>
      </w:r>
    </w:p>
    <w:p>
      <w:pPr>
        <w:spacing w:after="120" w:before="0"/>
      </w:pPr>
      <w:r>
        <w:rPr>
          <w:sz w:val="21"/>
          <w:szCs w:val="21"/>
        </w:rPr>
        <w:t xml:space="preserve">Para evitar avisos innecesarios, el asistente descarta la urgencia en dos casos. La razón es que un asistente que advierte de urgencia ante molestias corrientes enseña a la persona a no hacerle caso cuando la urgencia sea real.</w:t>
      </w:r>
    </w:p>
    <w:p>
      <w:pPr>
        <w:spacing w:after="120" w:before="120"/>
      </w:pPr>
      <w:r>
        <w:rPr>
          <w:b/>
          <w:bCs/>
          <w:sz w:val="21"/>
          <w:szCs w:val="21"/>
        </w:rPr>
        <w:t xml:space="preserve">a) Preguntas informativas que empiezan con:</w:t>
      </w:r>
    </w:p>
    <w:p>
      <w:pPr>
        <w:pStyle w:val="ListParagraph"/>
        <w:numPr>
          <w:ilvl w:val="0"/>
          <w:numId w:val="2"/>
        </w:numPr>
        <w:spacing w:after="60"/>
      </w:pPr>
      <w:r>
        <w:rPr>
          <w:sz w:val="21"/>
          <w:szCs w:val="21"/>
        </w:rPr>
        <w:t xml:space="preserve">que es · que son · que significa · como se previene · como prevenir · como evitar · por que se produce · por que da · cuales son los sintomas</w:t>
      </w:r>
    </w:p>
    <w:p>
      <w:pPr>
        <w:spacing w:after="120" w:before="120"/>
      </w:pPr>
      <w:r>
        <w:rPr>
          <w:b/>
          <w:bCs/>
          <w:sz w:val="21"/>
          <w:szCs w:val="21"/>
        </w:rPr>
        <w:t xml:space="preserve">b) Mensajes que contienen expresiones de posibilidad o negación:</w:t>
      </w:r>
    </w:p>
    <w:p>
      <w:pPr>
        <w:pStyle w:val="ListParagraph"/>
        <w:numPr>
          <w:ilvl w:val="0"/>
          <w:numId w:val="2"/>
        </w:numPr>
        <w:spacing w:after="60"/>
      </w:pPr>
      <w:r>
        <w:rPr>
          <w:sz w:val="21"/>
          <w:szCs w:val="21"/>
        </w:rPr>
        <w:t xml:space="preserve">puede dar · puede causar · puede provocar · puede producir · puede terminar · riesgo de · no es una emergencia · para prevenir · para evitar</w:t>
      </w:r>
    </w:p>
    <w:p>
      <w:pPr>
        <w:spacing w:after="120" w:before="120"/>
      </w:pPr>
      <w:r>
        <w:rPr>
          <w:i/>
          <w:iCs/>
          <w:sz w:val="21"/>
          <w:szCs w:val="21"/>
        </w:rPr>
        <w:t xml:space="preserve">Ejemplos del efecto: «¿qué es un infarto?» y «la presión alta puede dar infarto» reciben información, no el aviso del 131. En cambio «¿qué hago si me duele el pecho?» sí lo recibe.</w:t>
      </w:r>
    </w:p>
    <w:p>
      <w:pPr>
        <w:pStyle w:val="Heading2"/>
        <w:spacing w:after="120" w:before="280"/>
      </w:pPr>
      <w:r>
        <w:t xml:space="preserve">3.3 Preguntas para el equipo de salud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500"/>
        <w:gridCol w:w="3500"/>
      </w:tblGrid>
      <w:tr>
        <w:tc>
          <w:tcPr>
            <w:tcW w:type="dxa" w:w="5500"/>
            <w:shd w:fill="1A52A0" w:val="clear"/>
            <w:tcMar>
              <w:top w:type="dxa" w:w="80"/>
              <w:left w:type="dxa" w:w="110"/>
              <w:bottom w:type="dxa" w:w="80"/>
              <w:right w:type="dxa" w:w="110"/>
            </w:tcMar>
          </w:tcPr>
          <w:p>
            <w:pPr>
              <w:spacing w:after="0"/>
            </w:pPr>
            <w:r>
              <w:rPr>
                <w:b/>
                <w:bCs/>
                <w:color w:val="FFFFFF"/>
                <w:sz w:val="19"/>
                <w:szCs w:val="19"/>
              </w:rPr>
              <w:t xml:space="preserve">Consulta</w:t>
            </w:r>
          </w:p>
        </w:tc>
        <w:tc>
          <w:tcPr>
            <w:tcW w:type="dxa" w:w="3500"/>
            <w:shd w:fill="1A52A0" w:val="clear"/>
            <w:tcMar>
              <w:top w:type="dxa" w:w="80"/>
              <w:left w:type="dxa" w:w="110"/>
              <w:bottom w:type="dxa" w:w="80"/>
              <w:right w:type="dxa" w:w="110"/>
            </w:tcMar>
          </w:tcPr>
          <w:p>
            <w:pPr>
              <w:spacing w:after="0"/>
            </w:pPr>
            <w:r>
              <w:rPr>
                <w:b/>
                <w:bCs/>
                <w:color w:val="FFFFFF"/>
                <w:sz w:val="19"/>
                <w:szCs w:val="19"/>
              </w:rPr>
              <w:t xml:space="preserve">Respuesta</w:t>
            </w:r>
          </w:p>
        </w:tc>
      </w:tr>
      <w:tr>
        <w:tc>
          <w:tcPr>
            <w:tcW w:type="dxa" w:w="5500"/>
            <w:tcMar>
              <w:top w:type="dxa" w:w="80"/>
              <w:left w:type="dxa" w:w="110"/>
              <w:bottom w:type="dxa" w:w="80"/>
              <w:right w:type="dxa" w:w="110"/>
            </w:tcMar>
          </w:tcPr>
          <w:p>
            <w:pPr>
              <w:spacing w:after="0"/>
            </w:pPr>
            <w:r>
              <w:rPr>
                <w:sz w:val="19"/>
                <w:szCs w:val="19"/>
              </w:rPr>
              <w:t xml:space="preserve">¿Falta algún síntoma que, en su experiencia en urgencias, las personas mayores o sus acompañantes describan y que deba activar el aviso?</w:t>
            </w:r>
          </w:p>
        </w:tc>
        <w:tc>
          <w:tcPr>
            <w:tcW w:type="dxa" w:w="3500"/>
            <w:tcMar>
              <w:top w:type="dxa" w:w="80"/>
              <w:left w:type="dxa" w:w="110"/>
              <w:bottom w:type="dxa" w:w="80"/>
              <w:right w:type="dxa" w:w="110"/>
            </w:tcMar>
          </w:tcPr>
          <w:p>
            <w:pPr>
              <w:spacing w:after="0"/>
            </w:pPr>
            <w:r>
              <w:rPr>
                <w:sz w:val="19"/>
                <w:szCs w:val="19"/>
              </w:rPr>
              <w:t xml:space="preserve"/>
            </w:r>
          </w:p>
        </w:tc>
      </w:tr>
      <w:tr>
        <w:tc>
          <w:tcPr>
            <w:tcW w:type="dxa" w:w="5500"/>
            <w:tcMar>
              <w:top w:type="dxa" w:w="80"/>
              <w:left w:type="dxa" w:w="110"/>
              <w:bottom w:type="dxa" w:w="80"/>
              <w:right w:type="dxa" w:w="110"/>
            </w:tcMar>
          </w:tcPr>
          <w:p>
            <w:pPr>
              <w:spacing w:after="0"/>
            </w:pPr>
            <w:r>
              <w:rPr>
                <w:sz w:val="19"/>
                <w:szCs w:val="19"/>
              </w:rPr>
              <w:t xml:space="preserve">¿Hay alguna frase de la lista que, a su juicio, no corresponda a una urgencia y deba retirarse?</w:t>
            </w:r>
          </w:p>
        </w:tc>
        <w:tc>
          <w:tcPr>
            <w:tcW w:type="dxa" w:w="3500"/>
            <w:tcMar>
              <w:top w:type="dxa" w:w="80"/>
              <w:left w:type="dxa" w:w="110"/>
              <w:bottom w:type="dxa" w:w="80"/>
              <w:right w:type="dxa" w:w="110"/>
            </w:tcMar>
          </w:tcPr>
          <w:p>
            <w:pPr>
              <w:spacing w:after="0"/>
            </w:pPr>
            <w:r>
              <w:rPr>
                <w:sz w:val="19"/>
                <w:szCs w:val="19"/>
              </w:rPr>
              <w:t xml:space="preserve"/>
            </w:r>
          </w:p>
        </w:tc>
      </w:tr>
      <w:tr>
        <w:tc>
          <w:tcPr>
            <w:tcW w:type="dxa" w:w="5500"/>
            <w:tcMar>
              <w:top w:type="dxa" w:w="80"/>
              <w:left w:type="dxa" w:w="110"/>
              <w:bottom w:type="dxa" w:w="80"/>
              <w:right w:type="dxa" w:w="110"/>
            </w:tcMar>
          </w:tcPr>
          <w:p>
            <w:pPr>
              <w:spacing w:after="0"/>
            </w:pPr>
            <w:r>
              <w:rPr>
                <w:sz w:val="19"/>
                <w:szCs w:val="19"/>
              </w:rPr>
              <w:t xml:space="preserve">¿Las frases están redactadas como las diría realmente una persona mayor o su acompañante al escribir?</w:t>
            </w:r>
          </w:p>
        </w:tc>
        <w:tc>
          <w:tcPr>
            <w:tcW w:type="dxa" w:w="3500"/>
            <w:tcMar>
              <w:top w:type="dxa" w:w="80"/>
              <w:left w:type="dxa" w:w="110"/>
              <w:bottom w:type="dxa" w:w="80"/>
              <w:right w:type="dxa" w:w="110"/>
            </w:tcMar>
          </w:tcPr>
          <w:p>
            <w:pPr>
              <w:spacing w:after="0"/>
            </w:pPr>
            <w:r>
              <w:rPr>
                <w:sz w:val="19"/>
                <w:szCs w:val="19"/>
              </w:rPr>
              <w:t xml:space="preserve"/>
            </w:r>
          </w:p>
        </w:tc>
      </w:tr>
    </w:tbl>
    <w:p>
      <w:r>
        <w:br w:type="page"/>
      </w:r>
    </w:p>
    <w:p>
      <w:pPr>
        <w:pStyle w:val="Heading1"/>
        <w:spacing w:after="160" w:before="360"/>
      </w:pPr>
      <w:r>
        <w:t xml:space="preserve">4. Texto del aviso de emergencia</w:t>
      </w:r>
    </w:p>
    <w:p>
      <w:pPr>
        <w:spacing w:after="120" w:before="0"/>
      </w:pPr>
      <w:r>
        <w:rPr>
          <w:sz w:val="21"/>
          <w:szCs w:val="21"/>
        </w:rPr>
        <w:t xml:space="preserve">Es el texto que la persona lee cuando se activa la detección de la sección anterior. Se redactó siguiendo las indicaciones de MINSAL: llamar al 131, mantener reposo, informar la hora de inicio de los síntomas y no conducir.</w:t>
      </w:r>
    </w:p>
    <w:p>
      <w:pPr>
        <w:spacing w:after="120" w:before="0"/>
      </w:pPr>
      <w:r>
        <w:rPr>
          <w:i/>
          <w:iCs/>
          <w:sz w:val="21"/>
          <w:szCs w:val="21"/>
        </w:rPr>
        <w:t xml:space="preserve">En el teléfono, además del texto aparece un botón grande que abre el marcador con el número 131 ya ingresado. La llamada la confirma la persona; el asistente nunca marca solo.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FF0F0" w:val="clear"/>
            <w:tcMar>
              <w:top w:type="dxa" w:w="200"/>
              <w:left w:type="dxa" w:w="220"/>
              <w:bottom w:type="dxa" w:w="200"/>
              <w:right w:type="dxa" w:w="220"/>
            </w:tcMar>
          </w:tcPr>
          <w:p>
            <w:pPr>
              <w:spacing w:after="140" w:before="0"/>
            </w:pPr>
            <w:r>
              <w:rPr>
                <w:sz w:val="22"/>
                <w:szCs w:val="22"/>
              </w:rPr>
              <w:t xml:space="preserve">Lo que me cuenta puede ser una emergencia. No espere: llame ahora al 131 (SAMU, la ambulancia). La llamada es gratuita y atiende las 24 horas. Si prefiere, vaya al servicio de urgencia más cercano.</w:t>
            </w:r>
          </w:p>
          <w:p>
            <w:pPr>
              <w:spacing w:after="140" w:before="0"/>
            </w:pPr>
            <w:r>
              <w:rPr>
                <w:sz w:val="22"/>
                <w:szCs w:val="22"/>
              </w:rPr>
              <w:t xml:space="preserve">Mientras llega la ayuda: quédese en reposo y no maneje. Si hay alguien cerca, pídale que lo acompañe. Cuando llame, cuente a qué hora empezaron los síntomas.</w:t>
            </w:r>
          </w:p>
          <w:p>
            <w:pPr>
              <w:spacing w:after="140" w:before="0"/>
            </w:pPr>
            <w:r>
              <w:rPr>
                <w:sz w:val="22"/>
                <w:szCs w:val="22"/>
              </w:rPr>
              <w:t xml:space="preserve">Yo solo entrego información general y no puedo atender emergencias.</w:t>
            </w:r>
          </w:p>
        </w:tc>
      </w:tr>
    </w:tbl>
    <w:p>
      <w:pPr>
        <w:spacing w:after="120" w:before="240"/>
      </w:pPr>
      <w:r>
        <w:rPr>
          <w:b/>
          <w:bCs/>
          <w:sz w:val="21"/>
          <w:szCs w:val="21"/>
        </w:rPr>
        <w:t xml:space="preserve">Observaciones sobre este texto:</w:t>
      </w:r>
    </w:p>
    <w:p>
      <w:pPr>
        <w:pBdr>
          <w:bottom w:val="single" w:color="999999" w:sz="4"/>
        </w:pBdr>
        <w:spacing w:after="260"/>
      </w:pPr>
    </w:p>
    <w:p>
      <w:pPr>
        <w:pBdr>
          <w:bottom w:val="single" w:color="999999" w:sz="4"/>
        </w:pBdr>
        <w:spacing w:after="260"/>
      </w:pPr>
    </w:p>
    <w:p>
      <w:pPr>
        <w:pBdr>
          <w:bottom w:val="single" w:color="999999" w:sz="4"/>
        </w:pBdr>
        <w:spacing w:after="260"/>
      </w:pPr>
    </w:p>
    <w:p>
      <w:pPr>
        <w:pStyle w:val="Heading1"/>
        <w:spacing w:after="160" w:before="360"/>
      </w:pPr>
      <w:r>
        <w:t xml:space="preserve">5. Advertencia de que no es un diagnóstico</w:t>
      </w:r>
    </w:p>
    <w:p>
      <w:pPr>
        <w:spacing w:after="120" w:before="0"/>
      </w:pPr>
      <w:r>
        <w:rPr>
          <w:sz w:val="21"/>
          <w:szCs w:val="21"/>
        </w:rPr>
        <w:t xml:space="preserve">El asistente tiene prohibido diagnosticar. Sin embargo, se detectó en pruebas que cuando una persona describe sus síntomas y pregunta qué tiene —por ejemplo «esto que tengo, ¿es neumonía?»— recibía la descripción de esa condición sin ninguna aclaración, lo que puede leerse como una confirmación.</w:t>
      </w:r>
    </w:p>
    <w:p>
      <w:pPr>
        <w:spacing w:after="120" w:before="0"/>
      </w:pPr>
      <w:r>
        <w:rPr>
          <w:sz w:val="21"/>
          <w:szCs w:val="21"/>
        </w:rPr>
        <w:t xml:space="preserve">Por eso, cuando la consulta pide identificar lo que la persona tiene, se agrega al final de la respuesta el siguiente texto. No reemplaza la respuesta: la persona recibe igual la información que pidió.</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2F2F2" w:val="clear"/>
            <w:tcMar>
              <w:top w:type="dxa" w:w="200"/>
              <w:left w:type="dxa" w:w="220"/>
              <w:bottom w:type="dxa" w:w="200"/>
              <w:right w:type="dxa" w:w="220"/>
            </w:tcMar>
          </w:tcPr>
          <w:p>
            <w:pPr>
              <w:spacing w:after="0" w:before="0"/>
            </w:pPr>
            <w:r>
              <w:rPr>
                <w:sz w:val="22"/>
                <w:szCs w:val="22"/>
              </w:rPr>
              <w:t xml:space="preserve">Eso sí: esto es información general y no es un diagnóstico. Para saber qué tiene usted, la debe examinar un profesional. Consulte en su CESFAM o con su médico.</w:t>
            </w:r>
          </w:p>
        </w:tc>
      </w:tr>
    </w:tbl>
    <w:p>
      <w:pPr>
        <w:spacing w:after="120" w:before="160"/>
      </w:pPr>
      <w:r>
        <w:rPr>
          <w:i/>
          <w:iCs/>
          <w:sz w:val="21"/>
          <w:szCs w:val="21"/>
        </w:rPr>
        <w:t xml:space="preserve">La advertencia se activa solo ante consultas de este tipo, y no en toda respuesta: repetida en cada mensaje deja de leerse. Sobre las cerca de mil preguntas de prueba, se activa en un 2%.</w:t>
      </w:r>
    </w:p>
    <w:p>
      <w:pPr>
        <w:spacing w:after="120" w:before="200"/>
      </w:pPr>
      <w:r>
        <w:rPr>
          <w:b/>
          <w:bCs/>
          <w:sz w:val="21"/>
          <w:szCs w:val="21"/>
        </w:rPr>
        <w:t xml:space="preserve">Observaciones sobre este texto:</w:t>
      </w:r>
    </w:p>
    <w:p>
      <w:pPr>
        <w:pBdr>
          <w:bottom w:val="single" w:color="999999" w:sz="4"/>
        </w:pBdr>
        <w:spacing w:after="260"/>
      </w:pPr>
    </w:p>
    <w:p>
      <w:pPr>
        <w:pBdr>
          <w:bottom w:val="single" w:color="999999" w:sz="4"/>
        </w:pBdr>
        <w:spacing w:after="260"/>
      </w:pPr>
    </w:p>
    <w:p>
      <w:r>
        <w:br w:type="page"/>
      </w:r>
    </w:p>
    <w:p>
      <w:pPr>
        <w:pStyle w:val="Heading1"/>
        <w:spacing w:after="160" w:before="360"/>
      </w:pPr>
      <w:r>
        <w:t xml:space="preserve">6. Contenido clínico</w:t>
      </w:r>
    </w:p>
    <w:p>
      <w:pPr>
        <w:spacing w:after="120" w:before="0"/>
      </w:pPr>
      <w:r>
        <w:rPr>
          <w:sz w:val="21"/>
          <w:szCs w:val="21"/>
        </w:rPr>
        <w:t xml:space="preserve">El asistente responde a partir de un documento de 33 temas y 203 secciones. Las condiciones cubiertas corresponden al listado de enfermedades prevalentes en adultos mayores de 60 años atendidos en el Servicio de Urgencia del HUAP.</w:t>
      </w:r>
    </w:p>
    <w:p>
      <w:pPr>
        <w:spacing w:after="120" w:before="0"/>
      </w:pPr>
      <w:r>
        <w:rPr>
          <w:sz w:val="21"/>
          <w:szCs w:val="21"/>
        </w:rPr>
        <w:t xml:space="preserve">El texto fue redactado a partir de las fuentes de la sección 8, en lenguaje simple y frases cortas. Se solicita revisar que la información sea correcta, que no falte nada relevante y que la redacción sea adecuada para personas mayores.</w:t>
      </w:r>
    </w:p>
    <w:p>
      <w:pPr>
        <w:spacing w:after="120" w:before="0"/>
      </w:pPr>
      <w:r>
        <w:rPr>
          <w:i/>
          <w:iCs/>
          <w:sz w:val="21"/>
          <w:szCs w:val="21"/>
        </w:rPr>
        <w:t xml:space="preserve">El documento completo se adjunta por separado en formato de texto para su revisión detallada. La tabla siguiente resume su estructura.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gridCol w:w="2000"/>
      </w:tblGrid>
      <w:tr>
        <w:tc>
          <w:tcPr>
            <w:tcW w:type="dxa" w:w="2600"/>
            <w:shd w:fill="1A52A0" w:val="clear"/>
            <w:tcMar>
              <w:top w:type="dxa" w:w="80"/>
              <w:left w:type="dxa" w:w="110"/>
              <w:bottom w:type="dxa" w:w="80"/>
              <w:right w:type="dxa" w:w="110"/>
            </w:tcMar>
          </w:tcPr>
          <w:p>
            <w:pPr>
              <w:spacing w:after="0"/>
            </w:pPr>
            <w:r>
              <w:rPr>
                <w:b/>
                <w:bCs/>
                <w:color w:val="FFFFFF"/>
                <w:sz w:val="19"/>
                <w:szCs w:val="19"/>
              </w:rPr>
              <w:t xml:space="preserve">Tema</w:t>
            </w:r>
          </w:p>
        </w:tc>
        <w:tc>
          <w:tcPr>
            <w:tcW w:type="dxa" w:w="4400"/>
            <w:shd w:fill="1A52A0" w:val="clear"/>
            <w:tcMar>
              <w:top w:type="dxa" w:w="80"/>
              <w:left w:type="dxa" w:w="110"/>
              <w:bottom w:type="dxa" w:w="80"/>
              <w:right w:type="dxa" w:w="110"/>
            </w:tcMar>
          </w:tcPr>
          <w:p>
            <w:pPr>
              <w:spacing w:after="0"/>
            </w:pPr>
            <w:r>
              <w:rPr>
                <w:b/>
                <w:bCs/>
                <w:color w:val="FFFFFF"/>
                <w:sz w:val="19"/>
                <w:szCs w:val="19"/>
              </w:rPr>
              <w:t xml:space="preserve">Secciones que contiene</w:t>
            </w:r>
          </w:p>
        </w:tc>
        <w:tc>
          <w:tcPr>
            <w:tcW w:type="dxa" w:w="2000"/>
            <w:shd w:fill="1A52A0" w:val="clear"/>
            <w:tcMar>
              <w:top w:type="dxa" w:w="80"/>
              <w:left w:type="dxa" w:w="110"/>
              <w:bottom w:type="dxa" w:w="80"/>
              <w:right w:type="dxa" w:w="110"/>
            </w:tcMar>
          </w:tcPr>
          <w:p>
            <w:pPr>
              <w:spacing w:after="0"/>
            </w:pPr>
            <w:r>
              <w:rPr>
                <w:b/>
                <w:bCs/>
                <w:color w:val="FFFFFF"/>
                <w:sz w:val="19"/>
                <w:szCs w:val="19"/>
              </w:rPr>
              <w:t xml:space="preserve">Observaciones</w:t>
            </w:r>
          </w:p>
        </w:tc>
      </w:tr>
      <w:tr>
        <w:tc>
          <w:tcPr>
            <w:tcW w:type="dxa" w:w="2600"/>
            <w:tcMar>
              <w:top w:type="dxa" w:w="80"/>
              <w:left w:type="dxa" w:w="110"/>
              <w:bottom w:type="dxa" w:w="80"/>
              <w:right w:type="dxa" w:w="110"/>
            </w:tcMar>
          </w:tcPr>
          <w:p>
            <w:pPr>
              <w:spacing w:after="0"/>
            </w:pPr>
            <w:r>
              <w:rPr>
                <w:b/>
                <w:bCs/>
                <w:sz w:val="19"/>
                <w:szCs w:val="19"/>
              </w:rPr>
              <w:t xml:space="preserve">INFORMACIÓN GENERAL DEL HUAP</w:t>
            </w:r>
          </w:p>
        </w:tc>
        <w:tc>
          <w:tcPr>
            <w:tcW w:type="dxa" w:w="4400"/>
            <w:tcMar>
              <w:top w:type="dxa" w:w="80"/>
              <w:left w:type="dxa" w:w="110"/>
              <w:bottom w:type="dxa" w:w="80"/>
              <w:right w:type="dxa" w:w="110"/>
            </w:tcMar>
          </w:tcPr>
          <w:p>
            <w:pPr>
              <w:spacing w:after="0"/>
            </w:pPr>
            <w:r>
              <w:rPr>
                <w:sz w:val="19"/>
                <w:szCs w:val="19"/>
              </w:rPr>
              <w:t xml:space="preserve">Horarios de atención · Guía Digital para Adultos Mayores · Soporte técnico · Dirección, teléfono y cómo atenderse · Alcance del asistente</w:t>
            </w:r>
          </w:p>
        </w:tc>
        <w:tc>
          <w:tcPr>
            <w:tcW w:type="dxa" w:w="2000"/>
            <w:tcMar>
              <w:top w:type="dxa" w:w="80"/>
              <w:left w:type="dxa" w:w="110"/>
              <w:bottom w:type="dxa" w:w="80"/>
              <w:right w:type="dxa" w:w="110"/>
            </w:tcMar>
          </w:tcPr>
          <w:p>
            <w:pPr>
              <w:spacing w:after="0"/>
            </w:pPr>
            <w:r>
              <w:rPr>
                <w:sz w:val="19"/>
                <w:szCs w:val="19"/>
              </w:rPr>
              <w:t xml:space="preserve"/>
            </w:r>
          </w:p>
        </w:tc>
      </w:tr>
      <w:tr>
        <w:tc>
          <w:tcPr>
            <w:tcW w:type="dxa" w:w="2600"/>
            <w:tcMar>
              <w:top w:type="dxa" w:w="80"/>
              <w:left w:type="dxa" w:w="110"/>
              <w:bottom w:type="dxa" w:w="80"/>
              <w:right w:type="dxa" w:w="110"/>
            </w:tcMar>
          </w:tcPr>
          <w:p>
            <w:pPr>
              <w:spacing w:after="0"/>
            </w:pPr>
            <w:r>
              <w:rPr>
                <w:b/>
                <w:bCs/>
                <w:sz w:val="19"/>
                <w:szCs w:val="19"/>
              </w:rPr>
              <w:t xml:space="preserve">GLOSARIO DE SALUD — TÉRMINOS QUE CONVIENE CONOCER</w:t>
            </w:r>
          </w:p>
        </w:tc>
        <w:tc>
          <w:tcPr>
            <w:tcW w:type="dxa" w:w="4400"/>
            <w:tcMar>
              <w:top w:type="dxa" w:w="80"/>
              <w:left w:type="dxa" w:w="110"/>
              <w:bottom w:type="dxa" w:w="80"/>
              <w:right w:type="dxa" w:w="110"/>
            </w:tcMar>
          </w:tcPr>
          <w:p>
            <w:pPr>
              <w:spacing w:after="0"/>
            </w:pPr>
            <w:r>
              <w:rPr>
                <w:sz w:val="19"/>
                <w:szCs w:val="19"/>
              </w:rPr>
              <w:t xml:space="preserve">¿Qué es el CESFAM o consultorio? · ¿Qué es FONASA? · ¿Qué es el GES (ex AUGE)? · ¿Qué es el 131 (SAMU)? · ¿Urgencia o consultorio? Dónde consultar según el caso</w:t>
            </w:r>
          </w:p>
        </w:tc>
        <w:tc>
          <w:tcPr>
            <w:tcW w:type="dxa" w:w="2000"/>
            <w:tcMar>
              <w:top w:type="dxa" w:w="80"/>
              <w:left w:type="dxa" w:w="110"/>
              <w:bottom w:type="dxa" w:w="80"/>
              <w:right w:type="dxa" w:w="110"/>
            </w:tcMar>
          </w:tcPr>
          <w:p>
            <w:pPr>
              <w:spacing w:after="0"/>
            </w:pPr>
            <w:r>
              <w:rPr>
                <w:sz w:val="19"/>
                <w:szCs w:val="19"/>
              </w:rPr>
              <w:t xml:space="preserve"/>
            </w:r>
          </w:p>
        </w:tc>
      </w:tr>
      <w:tr>
        <w:tc>
          <w:tcPr>
            <w:tcW w:type="dxa" w:w="2600"/>
            <w:tcMar>
              <w:top w:type="dxa" w:w="80"/>
              <w:left w:type="dxa" w:w="110"/>
              <w:bottom w:type="dxa" w:w="80"/>
              <w:right w:type="dxa" w:w="110"/>
            </w:tcMar>
          </w:tcPr>
          <w:p>
            <w:pPr>
              <w:spacing w:after="0"/>
            </w:pPr>
            <w:r>
              <w:rPr>
                <w:b/>
                <w:bCs/>
                <w:sz w:val="19"/>
                <w:szCs w:val="19"/>
              </w:rPr>
              <w:t xml:space="preserve">GASTROENTERITIS AGUDA</w:t>
            </w:r>
          </w:p>
        </w:tc>
        <w:tc>
          <w:tcPr>
            <w:tcW w:type="dxa" w:w="4400"/>
            <w:tcMar>
              <w:top w:type="dxa" w:w="80"/>
              <w:left w:type="dxa" w:w="110"/>
              <w:bottom w:type="dxa" w:w="80"/>
              <w:right w:type="dxa" w:w="110"/>
            </w:tcMar>
          </w:tcPr>
          <w:p>
            <w:pPr>
              <w:spacing w:after="0"/>
            </w:pPr>
            <w:r>
              <w:rPr>
                <w:sz w:val="19"/>
                <w:szCs w:val="19"/>
              </w:rPr>
              <w:t xml:space="preserve">¿Qué es la gastroenteritis aguda? · Causas y factores de riesgo · Síntomas · Presentación en personas mayores · Señales de alarma — cuándo ir a urgencias · Cuánto dura · Qué comer · Medicamentos durante el cuadro · Prevención y buenas prácticas</w:t>
            </w:r>
          </w:p>
        </w:tc>
        <w:tc>
          <w:tcPr>
            <w:tcW w:type="dxa" w:w="2000"/>
            <w:tcMar>
              <w:top w:type="dxa" w:w="80"/>
              <w:left w:type="dxa" w:w="110"/>
              <w:bottom w:type="dxa" w:w="80"/>
              <w:right w:type="dxa" w:w="110"/>
            </w:tcMar>
          </w:tcPr>
          <w:p>
            <w:pPr>
              <w:spacing w:after="0"/>
            </w:pPr>
            <w:r>
              <w:rPr>
                <w:sz w:val="19"/>
                <w:szCs w:val="19"/>
              </w:rPr>
              <w:t xml:space="preserve"/>
            </w:r>
          </w:p>
        </w:tc>
      </w:tr>
      <w:tr>
        <w:tc>
          <w:tcPr>
            <w:tcW w:type="dxa" w:w="2600"/>
            <w:tcMar>
              <w:top w:type="dxa" w:w="80"/>
              <w:left w:type="dxa" w:w="110"/>
              <w:bottom w:type="dxa" w:w="80"/>
              <w:right w:type="dxa" w:w="110"/>
            </w:tcMar>
          </w:tcPr>
          <w:p>
            <w:pPr>
              <w:spacing w:after="0"/>
            </w:pPr>
            <w:r>
              <w:rPr>
                <w:b/>
                <w:bCs/>
                <w:sz w:val="19"/>
                <w:szCs w:val="19"/>
              </w:rPr>
              <w:t xml:space="preserve">NEUMONÍA ADQUIRIDA EN LA COMUNIDAD</w:t>
            </w:r>
          </w:p>
        </w:tc>
        <w:tc>
          <w:tcPr>
            <w:tcW w:type="dxa" w:w="4400"/>
            <w:tcMar>
              <w:top w:type="dxa" w:w="80"/>
              <w:left w:type="dxa" w:w="110"/>
              <w:bottom w:type="dxa" w:w="80"/>
              <w:right w:type="dxa" w:w="110"/>
            </w:tcMar>
          </w:tcPr>
          <w:p>
            <w:pPr>
              <w:spacing w:after="0"/>
            </w:pPr>
            <w:r>
              <w:rPr>
                <w:sz w:val="19"/>
                <w:szCs w:val="19"/>
              </w:rPr>
              <w:t xml:space="preserve">¿Qué es la neumonía? · Causas y factores de riesgo · Síntomas · Resfrío o neumonía · Señales de alarma — cuándo ir a urgencias · Recuperación · Antibióticos · Prevención y buenas prácticas</w:t>
            </w:r>
          </w:p>
        </w:tc>
        <w:tc>
          <w:tcPr>
            <w:tcW w:type="dxa" w:w="2000"/>
            <w:tcMar>
              <w:top w:type="dxa" w:w="80"/>
              <w:left w:type="dxa" w:w="110"/>
              <w:bottom w:type="dxa" w:w="80"/>
              <w:right w:type="dxa" w:w="110"/>
            </w:tcMar>
          </w:tcPr>
          <w:p>
            <w:pPr>
              <w:spacing w:after="0"/>
            </w:pPr>
            <w:r>
              <w:rPr>
                <w:sz w:val="19"/>
                <w:szCs w:val="19"/>
              </w:rPr>
              <w:t xml:space="preserve"/>
            </w:r>
          </w:p>
        </w:tc>
      </w:tr>
      <w:tr>
        <w:tc>
          <w:tcPr>
            <w:tcW w:type="dxa" w:w="2600"/>
            <w:tcMar>
              <w:top w:type="dxa" w:w="80"/>
              <w:left w:type="dxa" w:w="110"/>
              <w:bottom w:type="dxa" w:w="80"/>
              <w:right w:type="dxa" w:w="110"/>
            </w:tcMar>
          </w:tcPr>
          <w:p>
            <w:pPr>
              <w:spacing w:after="0"/>
            </w:pPr>
            <w:r>
              <w:rPr>
                <w:b/>
                <w:bCs/>
                <w:sz w:val="19"/>
                <w:szCs w:val="19"/>
              </w:rPr>
              <w:t xml:space="preserve">INFECCIÓN URINARIA BAJA (ITU / CISTITIS)</w:t>
            </w:r>
          </w:p>
        </w:tc>
        <w:tc>
          <w:tcPr>
            <w:tcW w:type="dxa" w:w="4400"/>
            <w:tcMar>
              <w:top w:type="dxa" w:w="80"/>
              <w:left w:type="dxa" w:w="110"/>
              <w:bottom w:type="dxa" w:w="80"/>
              <w:right w:type="dxa" w:w="110"/>
            </w:tcMar>
          </w:tcPr>
          <w:p>
            <w:pPr>
              <w:spacing w:after="0"/>
            </w:pPr>
            <w:r>
              <w:rPr>
                <w:sz w:val="19"/>
                <w:szCs w:val="19"/>
              </w:rPr>
              <w:t xml:space="preserve">¿Qué es la infección urinaria baja? · Causas y factores de riesgo · Síntomas · Señales de alarma — cuándo consultar · Infecciones a repetición · Arándano (cranberry) · Antibióticos · Prevención y buenas prácticas · Cuánto dura</w:t>
            </w:r>
          </w:p>
        </w:tc>
        <w:tc>
          <w:tcPr>
            <w:tcW w:type="dxa" w:w="2000"/>
            <w:tcMar>
              <w:top w:type="dxa" w:w="80"/>
              <w:left w:type="dxa" w:w="110"/>
              <w:bottom w:type="dxa" w:w="80"/>
              <w:right w:type="dxa" w:w="110"/>
            </w:tcMar>
          </w:tcPr>
          <w:p>
            <w:pPr>
              <w:spacing w:after="0"/>
            </w:pPr>
            <w:r>
              <w:rPr>
                <w:sz w:val="19"/>
                <w:szCs w:val="19"/>
              </w:rPr>
              <w:t xml:space="preserve"/>
            </w:r>
          </w:p>
        </w:tc>
      </w:tr>
      <w:tr>
        <w:tc>
          <w:tcPr>
            <w:tcW w:type="dxa" w:w="2600"/>
            <w:tcMar>
              <w:top w:type="dxa" w:w="80"/>
              <w:left w:type="dxa" w:w="110"/>
              <w:bottom w:type="dxa" w:w="80"/>
              <w:right w:type="dxa" w:w="110"/>
            </w:tcMar>
          </w:tcPr>
          <w:p>
            <w:pPr>
              <w:spacing w:after="0"/>
            </w:pPr>
            <w:r>
              <w:rPr>
                <w:b/>
                <w:bCs/>
                <w:sz w:val="19"/>
                <w:szCs w:val="19"/>
              </w:rPr>
              <w:t xml:space="preserve">CEFALEA (DOLOR DE CABEZA)</w:t>
            </w:r>
          </w:p>
        </w:tc>
        <w:tc>
          <w:tcPr>
            <w:tcW w:type="dxa" w:w="4400"/>
            <w:tcMar>
              <w:top w:type="dxa" w:w="80"/>
              <w:left w:type="dxa" w:w="110"/>
              <w:bottom w:type="dxa" w:w="80"/>
              <w:right w:type="dxa" w:w="110"/>
            </w:tcMar>
          </w:tcPr>
          <w:p>
            <w:pPr>
              <w:spacing w:after="0"/>
            </w:pPr>
            <w:r>
              <w:rPr>
                <w:sz w:val="19"/>
                <w:szCs w:val="19"/>
              </w:rPr>
              <w:t xml:space="preserve">¿Qué es la cefalea? · Posibles causas · ¿Es por la presión alta? · Cefalea por tensión o por el cuello · Banderas rojas — cuándo ir a urgencias de inmediato · Qué hacer ante un dolor de cabeza común · Sobreuso de analgésicos · Analgésicos junto con otros remedios · Autocuidado · Cuánto dura</w:t>
            </w:r>
          </w:p>
        </w:tc>
        <w:tc>
          <w:tcPr>
            <w:tcW w:type="dxa" w:w="2000"/>
            <w:tcMar>
              <w:top w:type="dxa" w:w="80"/>
              <w:left w:type="dxa" w:w="110"/>
              <w:bottom w:type="dxa" w:w="80"/>
              <w:right w:type="dxa" w:w="110"/>
            </w:tcMar>
          </w:tcPr>
          <w:p>
            <w:pPr>
              <w:spacing w:after="0"/>
            </w:pPr>
            <w:r>
              <w:rPr>
                <w:sz w:val="19"/>
                <w:szCs w:val="19"/>
              </w:rPr>
              <w:t xml:space="preserve"/>
            </w:r>
          </w:p>
        </w:tc>
      </w:tr>
      <w:tr>
        <w:tc>
          <w:tcPr>
            <w:tcW w:type="dxa" w:w="2600"/>
            <w:tcMar>
              <w:top w:type="dxa" w:w="80"/>
              <w:left w:type="dxa" w:w="110"/>
              <w:bottom w:type="dxa" w:w="80"/>
              <w:right w:type="dxa" w:w="110"/>
            </w:tcMar>
          </w:tcPr>
          <w:p>
            <w:pPr>
              <w:spacing w:after="0"/>
            </w:pPr>
            <w:r>
              <w:rPr>
                <w:b/>
                <w:bCs/>
                <w:sz w:val="19"/>
                <w:szCs w:val="19"/>
              </w:rPr>
              <w:t xml:space="preserve">LUMBAGO (DOLOR DE ESPALDA BAJA)</w:t>
            </w:r>
          </w:p>
        </w:tc>
        <w:tc>
          <w:tcPr>
            <w:tcW w:type="dxa" w:w="4400"/>
            <w:tcMar>
              <w:top w:type="dxa" w:w="80"/>
              <w:left w:type="dxa" w:w="110"/>
              <w:bottom w:type="dxa" w:w="80"/>
              <w:right w:type="dxa" w:w="110"/>
            </w:tcMar>
          </w:tcPr>
          <w:p>
            <w:pPr>
              <w:spacing w:after="0"/>
            </w:pPr>
            <w:r>
              <w:rPr>
                <w:sz w:val="19"/>
                <w:szCs w:val="19"/>
              </w:rPr>
              <w:t xml:space="preserve">¿Qué es el lumbago? · Cuánto dura · Posibles causas · Caída y fractura en personas mayores · Banderas rojas — cuándo consultar con urgencia · Dolor que baja por la pierna (ciática) · Qué hacer · Calor o frío · Antiinflamatorios junto con otros remedios · Autocuidado y prevención</w:t>
            </w:r>
          </w:p>
        </w:tc>
        <w:tc>
          <w:tcPr>
            <w:tcW w:type="dxa" w:w="2000"/>
            <w:tcMar>
              <w:top w:type="dxa" w:w="80"/>
              <w:left w:type="dxa" w:w="110"/>
              <w:bottom w:type="dxa" w:w="80"/>
              <w:right w:type="dxa" w:w="110"/>
            </w:tcMar>
          </w:tcPr>
          <w:p>
            <w:pPr>
              <w:spacing w:after="0"/>
            </w:pPr>
            <w:r>
              <w:rPr>
                <w:sz w:val="19"/>
                <w:szCs w:val="19"/>
              </w:rPr>
              <w:t xml:space="preserve"/>
            </w:r>
          </w:p>
        </w:tc>
      </w:tr>
      <w:tr>
        <w:tc>
          <w:tcPr>
            <w:tcW w:type="dxa" w:w="2600"/>
            <w:tcMar>
              <w:top w:type="dxa" w:w="80"/>
              <w:left w:type="dxa" w:w="110"/>
              <w:bottom w:type="dxa" w:w="80"/>
              <w:right w:type="dxa" w:w="110"/>
            </w:tcMar>
          </w:tcPr>
          <w:p>
            <w:pPr>
              <w:spacing w:after="0"/>
            </w:pPr>
            <w:r>
              <w:rPr>
                <w:b/>
                <w:bCs/>
                <w:sz w:val="19"/>
                <w:szCs w:val="19"/>
              </w:rPr>
              <w:t xml:space="preserve">HIPERTENSIÓN ARTERIAL (PRESIÓN ALTA)</w:t>
            </w:r>
          </w:p>
        </w:tc>
        <w:tc>
          <w:tcPr>
            <w:tcW w:type="dxa" w:w="4400"/>
            <w:tcMar>
              <w:top w:type="dxa" w:w="80"/>
              <w:left w:type="dxa" w:w="110"/>
              <w:bottom w:type="dxa" w:w="80"/>
              <w:right w:type="dxa" w:w="110"/>
            </w:tcMar>
          </w:tcPr>
          <w:p>
            <w:pPr>
              <w:spacing w:after="0"/>
            </w:pPr>
            <w:r>
              <w:rPr>
                <w:sz w:val="19"/>
                <w:szCs w:val="19"/>
              </w:rPr>
              <w:t xml:space="preserve">¿Qué es la hipertensión arterial? · Por qué es importante controlarla · ¿Cómo se mide bien la presión? · Síntomas en una crisis hipertensiva · Banderas rojas — cuándo ir a urgencias por presión alta · Tratamiento y remedios para la presión · Estilo de vida y prevención de la hipertensión · Controles en el CESFAM por hipertensión · ¿Se cura? ¿Cuánto dura?</w:t>
            </w:r>
          </w:p>
        </w:tc>
        <w:tc>
          <w:tcPr>
            <w:tcW w:type="dxa" w:w="2000"/>
            <w:tcMar>
              <w:top w:type="dxa" w:w="80"/>
              <w:left w:type="dxa" w:w="110"/>
              <w:bottom w:type="dxa" w:w="80"/>
              <w:right w:type="dxa" w:w="110"/>
            </w:tcMar>
          </w:tcPr>
          <w:p>
            <w:pPr>
              <w:spacing w:after="0"/>
            </w:pPr>
            <w:r>
              <w:rPr>
                <w:sz w:val="19"/>
                <w:szCs w:val="19"/>
              </w:rPr>
              <w:t xml:space="preserve"/>
            </w:r>
          </w:p>
        </w:tc>
      </w:tr>
      <w:tr>
        <w:tc>
          <w:tcPr>
            <w:tcW w:type="dxa" w:w="2600"/>
            <w:tcMar>
              <w:top w:type="dxa" w:w="80"/>
              <w:left w:type="dxa" w:w="110"/>
              <w:bottom w:type="dxa" w:w="80"/>
              <w:right w:type="dxa" w:w="110"/>
            </w:tcMar>
          </w:tcPr>
          <w:p>
            <w:pPr>
              <w:spacing w:after="0"/>
            </w:pPr>
            <w:r>
              <w:rPr>
                <w:b/>
                <w:bCs/>
                <w:sz w:val="19"/>
                <w:szCs w:val="19"/>
              </w:rPr>
              <w:t xml:space="preserve">CAÍDAS EN ADULTOS MAYORES</w:t>
            </w:r>
          </w:p>
        </w:tc>
        <w:tc>
          <w:tcPr>
            <w:tcW w:type="dxa" w:w="4400"/>
            <w:tcMar>
              <w:top w:type="dxa" w:w="80"/>
              <w:left w:type="dxa" w:w="110"/>
              <w:bottom w:type="dxa" w:w="80"/>
              <w:right w:type="dxa" w:w="110"/>
            </w:tcMar>
          </w:tcPr>
          <w:p>
            <w:pPr>
              <w:spacing w:after="0"/>
            </w:pPr>
            <w:r>
              <w:rPr>
                <w:sz w:val="19"/>
                <w:szCs w:val="19"/>
              </w:rPr>
              <w:t xml:space="preserve">Por qué son graves las caídas en personas mayores · Causas frecuentes de caídas · Qué hacer si la persona se cae · Banderas rojas — caídas, cuándo llamar al 131 · Señales de fractura de cadera · Prevención de caídas en el hogar · Osteoporosis y caídas · Miedo a caerse de nuevo</w:t>
            </w:r>
          </w:p>
        </w:tc>
        <w:tc>
          <w:tcPr>
            <w:tcW w:type="dxa" w:w="2000"/>
            <w:tcMar>
              <w:top w:type="dxa" w:w="80"/>
              <w:left w:type="dxa" w:w="110"/>
              <w:bottom w:type="dxa" w:w="80"/>
              <w:right w:type="dxa" w:w="110"/>
            </w:tcMar>
          </w:tcPr>
          <w:p>
            <w:pPr>
              <w:spacing w:after="0"/>
            </w:pPr>
            <w:r>
              <w:rPr>
                <w:sz w:val="19"/>
                <w:szCs w:val="19"/>
              </w:rPr>
              <w:t xml:space="preserve"/>
            </w:r>
          </w:p>
        </w:tc>
      </w:tr>
      <w:tr>
        <w:tc>
          <w:tcPr>
            <w:tcW w:type="dxa" w:w="2600"/>
            <w:tcMar>
              <w:top w:type="dxa" w:w="80"/>
              <w:left w:type="dxa" w:w="110"/>
              <w:bottom w:type="dxa" w:w="80"/>
              <w:right w:type="dxa" w:w="110"/>
            </w:tcMar>
          </w:tcPr>
          <w:p>
            <w:pPr>
              <w:spacing w:after="0"/>
            </w:pPr>
            <w:r>
              <w:rPr>
                <w:b/>
                <w:bCs/>
                <w:sz w:val="19"/>
                <w:szCs w:val="19"/>
              </w:rPr>
              <w:t xml:space="preserve">INFECCIÓN DENTAL (DOLOR DE MUELA, ABSCESO Y PERIODONTITIS)</w:t>
            </w:r>
          </w:p>
        </w:tc>
        <w:tc>
          <w:tcPr>
            <w:tcW w:type="dxa" w:w="4400"/>
            <w:tcMar>
              <w:top w:type="dxa" w:w="80"/>
              <w:left w:type="dxa" w:w="110"/>
              <w:bottom w:type="dxa" w:w="80"/>
              <w:right w:type="dxa" w:w="110"/>
            </w:tcMar>
          </w:tcPr>
          <w:p>
            <w:pPr>
              <w:spacing w:after="0"/>
            </w:pPr>
            <w:r>
              <w:rPr>
                <w:sz w:val="19"/>
                <w:szCs w:val="19"/>
              </w:rPr>
              <w:t xml:space="preserve">¿Qué es una infección dental? · Síntomas · Por qué no conviene esperar · Señales de alarma — cuándo ir a urgencias · Qué hacer mientras consigue atención · Prevención y buenas prácticas · Cuánto dura</w:t>
            </w:r>
          </w:p>
        </w:tc>
        <w:tc>
          <w:tcPr>
            <w:tcW w:type="dxa" w:w="2000"/>
            <w:tcMar>
              <w:top w:type="dxa" w:w="80"/>
              <w:left w:type="dxa" w:w="110"/>
              <w:bottom w:type="dxa" w:w="80"/>
              <w:right w:type="dxa" w:w="110"/>
            </w:tcMar>
          </w:tcPr>
          <w:p>
            <w:pPr>
              <w:spacing w:after="0"/>
            </w:pPr>
            <w:r>
              <w:rPr>
                <w:sz w:val="19"/>
                <w:szCs w:val="19"/>
              </w:rPr>
              <w:t xml:space="preserve"/>
            </w:r>
          </w:p>
        </w:tc>
      </w:tr>
      <w:tr>
        <w:tc>
          <w:tcPr>
            <w:tcW w:type="dxa" w:w="2600"/>
            <w:tcMar>
              <w:top w:type="dxa" w:w="80"/>
              <w:left w:type="dxa" w:w="110"/>
              <w:bottom w:type="dxa" w:w="80"/>
              <w:right w:type="dxa" w:w="110"/>
            </w:tcMar>
          </w:tcPr>
          <w:p>
            <w:pPr>
              <w:spacing w:after="0"/>
            </w:pPr>
            <w:r>
              <w:rPr>
                <w:b/>
                <w:bCs/>
                <w:sz w:val="19"/>
                <w:szCs w:val="19"/>
              </w:rPr>
              <w:t xml:space="preserve">COLECISTITIS (PIEDRAS EN LA VESÍCULA)</w:t>
            </w:r>
          </w:p>
        </w:tc>
        <w:tc>
          <w:tcPr>
            <w:tcW w:type="dxa" w:w="4400"/>
            <w:tcMar>
              <w:top w:type="dxa" w:w="80"/>
              <w:left w:type="dxa" w:w="110"/>
              <w:bottom w:type="dxa" w:w="80"/>
              <w:right w:type="dxa" w:w="110"/>
            </w:tcMar>
          </w:tcPr>
          <w:p>
            <w:pPr>
              <w:spacing w:after="0"/>
            </w:pPr>
            <w:r>
              <w:rPr>
                <w:sz w:val="19"/>
                <w:szCs w:val="19"/>
              </w:rPr>
              <w:t xml:space="preserve">¿Qué es la colecistitis? · Síntomas · Presentación en personas mayores · Señales de alarma — cuándo ir a urgencias · Cuánto dura y tratamiento · Autocuidado</w:t>
            </w:r>
          </w:p>
        </w:tc>
        <w:tc>
          <w:tcPr>
            <w:tcW w:type="dxa" w:w="2000"/>
            <w:tcMar>
              <w:top w:type="dxa" w:w="80"/>
              <w:left w:type="dxa" w:w="110"/>
              <w:bottom w:type="dxa" w:w="80"/>
              <w:right w:type="dxa" w:w="110"/>
            </w:tcMar>
          </w:tcPr>
          <w:p>
            <w:pPr>
              <w:spacing w:after="0"/>
            </w:pPr>
            <w:r>
              <w:rPr>
                <w:sz w:val="19"/>
                <w:szCs w:val="19"/>
              </w:rPr>
              <w:t xml:space="preserve"/>
            </w:r>
          </w:p>
        </w:tc>
      </w:tr>
      <w:tr>
        <w:tc>
          <w:tcPr>
            <w:tcW w:type="dxa" w:w="2600"/>
            <w:tcMar>
              <w:top w:type="dxa" w:w="80"/>
              <w:left w:type="dxa" w:w="110"/>
              <w:bottom w:type="dxa" w:w="80"/>
              <w:right w:type="dxa" w:w="110"/>
            </w:tcMar>
          </w:tcPr>
          <w:p>
            <w:pPr>
              <w:spacing w:after="0"/>
            </w:pPr>
            <w:r>
              <w:rPr>
                <w:b/>
                <w:bCs/>
                <w:sz w:val="19"/>
                <w:szCs w:val="19"/>
              </w:rPr>
              <w:t xml:space="preserve">PANCREATITIS AGUDA</w:t>
            </w:r>
          </w:p>
        </w:tc>
        <w:tc>
          <w:tcPr>
            <w:tcW w:type="dxa" w:w="4400"/>
            <w:tcMar>
              <w:top w:type="dxa" w:w="80"/>
              <w:left w:type="dxa" w:w="110"/>
              <w:bottom w:type="dxa" w:w="80"/>
              <w:right w:type="dxa" w:w="110"/>
            </w:tcMar>
          </w:tcPr>
          <w:p>
            <w:pPr>
              <w:spacing w:after="0"/>
            </w:pPr>
            <w:r>
              <w:rPr>
                <w:sz w:val="19"/>
                <w:szCs w:val="19"/>
              </w:rPr>
              <w:t xml:space="preserve">¿Qué es la pancreatitis aguda? · Causas · Síntomas · Señales de alarma — cuándo ir a urgencias · Cuánto dura y tratamiento</w:t>
            </w:r>
          </w:p>
        </w:tc>
        <w:tc>
          <w:tcPr>
            <w:tcW w:type="dxa" w:w="2000"/>
            <w:tcMar>
              <w:top w:type="dxa" w:w="80"/>
              <w:left w:type="dxa" w:w="110"/>
              <w:bottom w:type="dxa" w:w="80"/>
              <w:right w:type="dxa" w:w="110"/>
            </w:tcMar>
          </w:tcPr>
          <w:p>
            <w:pPr>
              <w:spacing w:after="0"/>
            </w:pPr>
            <w:r>
              <w:rPr>
                <w:sz w:val="19"/>
                <w:szCs w:val="19"/>
              </w:rPr>
              <w:t xml:space="preserve"/>
            </w:r>
          </w:p>
        </w:tc>
      </w:tr>
      <w:tr>
        <w:tc>
          <w:tcPr>
            <w:tcW w:type="dxa" w:w="2600"/>
            <w:tcMar>
              <w:top w:type="dxa" w:w="80"/>
              <w:left w:type="dxa" w:w="110"/>
              <w:bottom w:type="dxa" w:w="80"/>
              <w:right w:type="dxa" w:w="110"/>
            </w:tcMar>
          </w:tcPr>
          <w:p>
            <w:pPr>
              <w:spacing w:after="0"/>
            </w:pPr>
            <w:r>
              <w:rPr>
                <w:b/>
                <w:bCs/>
                <w:sz w:val="19"/>
                <w:szCs w:val="19"/>
              </w:rPr>
              <w:t xml:space="preserve">GASTRITIS</w:t>
            </w:r>
          </w:p>
        </w:tc>
        <w:tc>
          <w:tcPr>
            <w:tcW w:type="dxa" w:w="4400"/>
            <w:tcMar>
              <w:top w:type="dxa" w:w="80"/>
              <w:left w:type="dxa" w:w="110"/>
              <w:bottom w:type="dxa" w:w="80"/>
              <w:right w:type="dxa" w:w="110"/>
            </w:tcMar>
          </w:tcPr>
          <w:p>
            <w:pPr>
              <w:spacing w:after="0"/>
            </w:pPr>
            <w:r>
              <w:rPr>
                <w:sz w:val="19"/>
                <w:szCs w:val="19"/>
              </w:rPr>
              <w:t xml:space="preserve">¿Qué es la gastritis? · Causas · Síntomas · Antiinflamatorios y personas mayores · Señales de alarma — cuándo ir a urgencias · Qué ayuda · Cuánto dura</w:t>
            </w:r>
          </w:p>
        </w:tc>
        <w:tc>
          <w:tcPr>
            <w:tcW w:type="dxa" w:w="2000"/>
            <w:tcMar>
              <w:top w:type="dxa" w:w="80"/>
              <w:left w:type="dxa" w:w="110"/>
              <w:bottom w:type="dxa" w:w="80"/>
              <w:right w:type="dxa" w:w="110"/>
            </w:tcMar>
          </w:tcPr>
          <w:p>
            <w:pPr>
              <w:spacing w:after="0"/>
            </w:pPr>
            <w:r>
              <w:rPr>
                <w:sz w:val="19"/>
                <w:szCs w:val="19"/>
              </w:rPr>
              <w:t xml:space="preserve"/>
            </w:r>
          </w:p>
        </w:tc>
      </w:tr>
      <w:tr>
        <w:tc>
          <w:tcPr>
            <w:tcW w:type="dxa" w:w="2600"/>
            <w:tcMar>
              <w:top w:type="dxa" w:w="80"/>
              <w:left w:type="dxa" w:w="110"/>
              <w:bottom w:type="dxa" w:w="80"/>
              <w:right w:type="dxa" w:w="110"/>
            </w:tcMar>
          </w:tcPr>
          <w:p>
            <w:pPr>
              <w:spacing w:after="0"/>
            </w:pPr>
            <w:r>
              <w:rPr>
                <w:b/>
                <w:bCs/>
                <w:sz w:val="19"/>
                <w:szCs w:val="19"/>
              </w:rPr>
              <w:t xml:space="preserve">HERNIA INGUINAL</w:t>
            </w:r>
          </w:p>
        </w:tc>
        <w:tc>
          <w:tcPr>
            <w:tcW w:type="dxa" w:w="4400"/>
            <w:tcMar>
              <w:top w:type="dxa" w:w="80"/>
              <w:left w:type="dxa" w:w="110"/>
              <w:bottom w:type="dxa" w:w="80"/>
              <w:right w:type="dxa" w:w="110"/>
            </w:tcMar>
          </w:tcPr>
          <w:p>
            <w:pPr>
              <w:spacing w:after="0"/>
            </w:pPr>
            <w:r>
              <w:rPr>
                <w:sz w:val="19"/>
                <w:szCs w:val="19"/>
              </w:rPr>
              <w:t xml:space="preserve">¿Qué es una hernia inguinal? · Síntomas · Señales de alarma — cuándo ir a urgencias · Tratamiento</w:t>
            </w:r>
          </w:p>
        </w:tc>
        <w:tc>
          <w:tcPr>
            <w:tcW w:type="dxa" w:w="2000"/>
            <w:tcMar>
              <w:top w:type="dxa" w:w="80"/>
              <w:left w:type="dxa" w:w="110"/>
              <w:bottom w:type="dxa" w:w="80"/>
              <w:right w:type="dxa" w:w="110"/>
            </w:tcMar>
          </w:tcPr>
          <w:p>
            <w:pPr>
              <w:spacing w:after="0"/>
            </w:pPr>
            <w:r>
              <w:rPr>
                <w:sz w:val="19"/>
                <w:szCs w:val="19"/>
              </w:rPr>
              <w:t xml:space="preserve"/>
            </w:r>
          </w:p>
        </w:tc>
      </w:tr>
      <w:tr>
        <w:tc>
          <w:tcPr>
            <w:tcW w:type="dxa" w:w="2600"/>
            <w:tcMar>
              <w:top w:type="dxa" w:w="80"/>
              <w:left w:type="dxa" w:w="110"/>
              <w:bottom w:type="dxa" w:w="80"/>
              <w:right w:type="dxa" w:w="110"/>
            </w:tcMar>
          </w:tcPr>
          <w:p>
            <w:pPr>
              <w:spacing w:after="0"/>
            </w:pPr>
            <w:r>
              <w:rPr>
                <w:b/>
                <w:bCs/>
                <w:sz w:val="19"/>
                <w:szCs w:val="19"/>
              </w:rPr>
              <w:t xml:space="preserve">CONSTIPACIÓN (ESTREÑIMIENTO O ESTAR ESTÍTICO)</w:t>
            </w:r>
          </w:p>
        </w:tc>
        <w:tc>
          <w:tcPr>
            <w:tcW w:type="dxa" w:w="4400"/>
            <w:tcMar>
              <w:top w:type="dxa" w:w="80"/>
              <w:left w:type="dxa" w:w="110"/>
              <w:bottom w:type="dxa" w:w="80"/>
              <w:right w:type="dxa" w:w="110"/>
            </w:tcMar>
          </w:tcPr>
          <w:p>
            <w:pPr>
              <w:spacing w:after="0"/>
            </w:pPr>
            <w:r>
              <w:rPr>
                <w:sz w:val="19"/>
                <w:szCs w:val="19"/>
              </w:rPr>
              <w:t xml:space="preserve">¿Qué es la constipación? · Por qué es frecuente en personas mayores · Qué ayuda · Laxantes · Señales de alarma — cuándo consultar · Cuánto dura</w:t>
            </w:r>
          </w:p>
        </w:tc>
        <w:tc>
          <w:tcPr>
            <w:tcW w:type="dxa" w:w="2000"/>
            <w:tcMar>
              <w:top w:type="dxa" w:w="80"/>
              <w:left w:type="dxa" w:w="110"/>
              <w:bottom w:type="dxa" w:w="80"/>
              <w:right w:type="dxa" w:w="110"/>
            </w:tcMar>
          </w:tcPr>
          <w:p>
            <w:pPr>
              <w:spacing w:after="0"/>
            </w:pPr>
            <w:r>
              <w:rPr>
                <w:sz w:val="19"/>
                <w:szCs w:val="19"/>
              </w:rPr>
              <w:t xml:space="preserve"/>
            </w:r>
          </w:p>
        </w:tc>
      </w:tr>
      <w:tr>
        <w:tc>
          <w:tcPr>
            <w:tcW w:type="dxa" w:w="2600"/>
            <w:tcMar>
              <w:top w:type="dxa" w:w="80"/>
              <w:left w:type="dxa" w:w="110"/>
              <w:bottom w:type="dxa" w:w="80"/>
              <w:right w:type="dxa" w:w="110"/>
            </w:tcMar>
          </w:tcPr>
          <w:p>
            <w:pPr>
              <w:spacing w:after="0"/>
            </w:pPr>
            <w:r>
              <w:rPr>
                <w:b/>
                <w:bCs/>
                <w:sz w:val="19"/>
                <w:szCs w:val="19"/>
              </w:rPr>
              <w:t xml:space="preserve">HEMORRAGIA DIGESTIVA ALTA</w:t>
            </w:r>
          </w:p>
        </w:tc>
        <w:tc>
          <w:tcPr>
            <w:tcW w:type="dxa" w:w="4400"/>
            <w:tcMar>
              <w:top w:type="dxa" w:w="80"/>
              <w:left w:type="dxa" w:w="110"/>
              <w:bottom w:type="dxa" w:w="80"/>
              <w:right w:type="dxa" w:w="110"/>
            </w:tcMar>
          </w:tcPr>
          <w:p>
            <w:pPr>
              <w:spacing w:after="0"/>
            </w:pPr>
            <w:r>
              <w:rPr>
                <w:sz w:val="19"/>
                <w:szCs w:val="19"/>
              </w:rPr>
              <w:t xml:space="preserve">¿Qué es la hemorragia digestiva? · Cómo se reconoce · Causas frecuentes · Es una urgencia</w:t>
            </w:r>
          </w:p>
        </w:tc>
        <w:tc>
          <w:tcPr>
            <w:tcW w:type="dxa" w:w="2000"/>
            <w:tcMar>
              <w:top w:type="dxa" w:w="80"/>
              <w:left w:type="dxa" w:w="110"/>
              <w:bottom w:type="dxa" w:w="80"/>
              <w:right w:type="dxa" w:w="110"/>
            </w:tcMar>
          </w:tcPr>
          <w:p>
            <w:pPr>
              <w:spacing w:after="0"/>
            </w:pPr>
            <w:r>
              <w:rPr>
                <w:sz w:val="19"/>
                <w:szCs w:val="19"/>
              </w:rPr>
              <w:t xml:space="preserve"/>
            </w:r>
          </w:p>
        </w:tc>
      </w:tr>
      <w:tr>
        <w:tc>
          <w:tcPr>
            <w:tcW w:type="dxa" w:w="2600"/>
            <w:tcMar>
              <w:top w:type="dxa" w:w="80"/>
              <w:left w:type="dxa" w:w="110"/>
              <w:bottom w:type="dxa" w:w="80"/>
              <w:right w:type="dxa" w:w="110"/>
            </w:tcMar>
          </w:tcPr>
          <w:p>
            <w:pPr>
              <w:spacing w:after="0"/>
            </w:pPr>
            <w:r>
              <w:rPr>
                <w:b/>
                <w:bCs/>
                <w:sz w:val="19"/>
                <w:szCs w:val="19"/>
              </w:rPr>
              <w:t xml:space="preserve">DOLOR DE PECHO (DOLOR TORÁCICO)</w:t>
            </w:r>
          </w:p>
        </w:tc>
        <w:tc>
          <w:tcPr>
            <w:tcW w:type="dxa" w:w="4400"/>
            <w:tcMar>
              <w:top w:type="dxa" w:w="80"/>
              <w:left w:type="dxa" w:w="110"/>
              <w:bottom w:type="dxa" w:w="80"/>
              <w:right w:type="dxa" w:w="110"/>
            </w:tcMar>
          </w:tcPr>
          <w:p>
            <w:pPr>
              <w:spacing w:after="0"/>
            </w:pPr>
            <w:r>
              <w:rPr>
                <w:sz w:val="19"/>
                <w:szCs w:val="19"/>
              </w:rPr>
              <w:t xml:space="preserve">¿Qué puede ser un dolor de pecho? · Cuándo sospechar un infarto · En personas mayores el infarto puede no doler · Qué hacer ante un dolor de pecho · Otras causas de dolor en el pecho</w:t>
            </w:r>
          </w:p>
        </w:tc>
        <w:tc>
          <w:tcPr>
            <w:tcW w:type="dxa" w:w="2000"/>
            <w:tcMar>
              <w:top w:type="dxa" w:w="80"/>
              <w:left w:type="dxa" w:w="110"/>
              <w:bottom w:type="dxa" w:w="80"/>
              <w:right w:type="dxa" w:w="110"/>
            </w:tcMar>
          </w:tcPr>
          <w:p>
            <w:pPr>
              <w:spacing w:after="0"/>
            </w:pPr>
            <w:r>
              <w:rPr>
                <w:sz w:val="19"/>
                <w:szCs w:val="19"/>
              </w:rPr>
              <w:t xml:space="preserve"/>
            </w:r>
          </w:p>
        </w:tc>
      </w:tr>
      <w:tr>
        <w:tc>
          <w:tcPr>
            <w:tcW w:type="dxa" w:w="2600"/>
            <w:tcMar>
              <w:top w:type="dxa" w:w="80"/>
              <w:left w:type="dxa" w:w="110"/>
              <w:bottom w:type="dxa" w:w="80"/>
              <w:right w:type="dxa" w:w="110"/>
            </w:tcMar>
          </w:tcPr>
          <w:p>
            <w:pPr>
              <w:spacing w:after="0"/>
            </w:pPr>
            <w:r>
              <w:rPr>
                <w:b/>
                <w:bCs/>
                <w:sz w:val="19"/>
                <w:szCs w:val="19"/>
              </w:rPr>
              <w:t xml:space="preserve">DOLOR ABDOMINAL</w:t>
            </w:r>
          </w:p>
        </w:tc>
        <w:tc>
          <w:tcPr>
            <w:tcW w:type="dxa" w:w="4400"/>
            <w:tcMar>
              <w:top w:type="dxa" w:w="80"/>
              <w:left w:type="dxa" w:w="110"/>
              <w:bottom w:type="dxa" w:w="80"/>
              <w:right w:type="dxa" w:w="110"/>
            </w:tcMar>
          </w:tcPr>
          <w:p>
            <w:pPr>
              <w:spacing w:after="0"/>
            </w:pPr>
            <w:r>
              <w:rPr>
                <w:sz w:val="19"/>
                <w:szCs w:val="19"/>
              </w:rPr>
              <w:t xml:space="preserve">¿Qué es el dolor abdominal? · Causas frecuentes · Señales de alarma — cuándo ir a urgencias · Cuándo consultar sin urgencia · Qué hacer mientras consulta · Cuánto dura</w:t>
            </w:r>
          </w:p>
        </w:tc>
        <w:tc>
          <w:tcPr>
            <w:tcW w:type="dxa" w:w="2000"/>
            <w:tcMar>
              <w:top w:type="dxa" w:w="80"/>
              <w:left w:type="dxa" w:w="110"/>
              <w:bottom w:type="dxa" w:w="80"/>
              <w:right w:type="dxa" w:w="110"/>
            </w:tcMar>
          </w:tcPr>
          <w:p>
            <w:pPr>
              <w:spacing w:after="0"/>
            </w:pPr>
            <w:r>
              <w:rPr>
                <w:sz w:val="19"/>
                <w:szCs w:val="19"/>
              </w:rPr>
              <w:t xml:space="preserve"/>
            </w:r>
          </w:p>
        </w:tc>
      </w:tr>
      <w:tr>
        <w:tc>
          <w:tcPr>
            <w:tcW w:type="dxa" w:w="2600"/>
            <w:tcMar>
              <w:top w:type="dxa" w:w="80"/>
              <w:left w:type="dxa" w:w="110"/>
              <w:bottom w:type="dxa" w:w="80"/>
              <w:right w:type="dxa" w:w="110"/>
            </w:tcMar>
          </w:tcPr>
          <w:p>
            <w:pPr>
              <w:spacing w:after="0"/>
            </w:pPr>
            <w:r>
              <w:rPr>
                <w:b/>
                <w:bCs/>
                <w:sz w:val="19"/>
                <w:szCs w:val="19"/>
              </w:rPr>
              <w:t xml:space="preserve">DIFICULTAD PARA RESPIRAR (DISNEA O FALTA DE AIRE)</w:t>
            </w:r>
          </w:p>
        </w:tc>
        <w:tc>
          <w:tcPr>
            <w:tcW w:type="dxa" w:w="4400"/>
            <w:tcMar>
              <w:top w:type="dxa" w:w="80"/>
              <w:left w:type="dxa" w:w="110"/>
              <w:bottom w:type="dxa" w:w="80"/>
              <w:right w:type="dxa" w:w="110"/>
            </w:tcMar>
          </w:tcPr>
          <w:p>
            <w:pPr>
              <w:spacing w:after="0"/>
            </w:pPr>
            <w:r>
              <w:rPr>
                <w:sz w:val="19"/>
                <w:szCs w:val="19"/>
              </w:rPr>
              <w:t xml:space="preserve">¿Qué es la disnea? · Cansarse al caminar poco · Causas frecuentes · Insuficiencia respiratoria aguda · Señales de alarma — cuándo llamar al 131 · Qué hacer mientras llega la ayuda</w:t>
            </w:r>
          </w:p>
        </w:tc>
        <w:tc>
          <w:tcPr>
            <w:tcW w:type="dxa" w:w="2000"/>
            <w:tcMar>
              <w:top w:type="dxa" w:w="80"/>
              <w:left w:type="dxa" w:w="110"/>
              <w:bottom w:type="dxa" w:w="80"/>
              <w:right w:type="dxa" w:w="110"/>
            </w:tcMar>
          </w:tcPr>
          <w:p>
            <w:pPr>
              <w:spacing w:after="0"/>
            </w:pPr>
            <w:r>
              <w:rPr>
                <w:sz w:val="19"/>
                <w:szCs w:val="19"/>
              </w:rPr>
              <w:t xml:space="preserve"/>
            </w:r>
          </w:p>
        </w:tc>
      </w:tr>
      <w:tr>
        <w:tc>
          <w:tcPr>
            <w:tcW w:type="dxa" w:w="2600"/>
            <w:tcMar>
              <w:top w:type="dxa" w:w="80"/>
              <w:left w:type="dxa" w:w="110"/>
              <w:bottom w:type="dxa" w:w="80"/>
              <w:right w:type="dxa" w:w="110"/>
            </w:tcMar>
          </w:tcPr>
          <w:p>
            <w:pPr>
              <w:spacing w:after="0"/>
            </w:pPr>
            <w:r>
              <w:rPr>
                <w:b/>
                <w:bCs/>
                <w:sz w:val="19"/>
                <w:szCs w:val="19"/>
              </w:rPr>
              <w:t xml:space="preserve">CONFUSIÓN REPENTINA EN PERSONAS MAYORES (DELIRIUM)</w:t>
            </w:r>
          </w:p>
        </w:tc>
        <w:tc>
          <w:tcPr>
            <w:tcW w:type="dxa" w:w="4400"/>
            <w:tcMar>
              <w:top w:type="dxa" w:w="80"/>
              <w:left w:type="dxa" w:w="110"/>
              <w:bottom w:type="dxa" w:w="80"/>
              <w:right w:type="dxa" w:w="110"/>
            </w:tcMar>
          </w:tcPr>
          <w:p>
            <w:pPr>
              <w:spacing w:after="0"/>
            </w:pPr>
            <w:r>
              <w:rPr>
                <w:sz w:val="19"/>
                <w:szCs w:val="19"/>
              </w:rPr>
              <w:t xml:space="preserve">¿Qué es la confusión aguda? · No es lo mismo que la demencia · Por qué ocurre · Es una urgencia · Qué hacer mientras consigue atención · Cuánto dura</w:t>
            </w:r>
          </w:p>
        </w:tc>
        <w:tc>
          <w:tcPr>
            <w:tcW w:type="dxa" w:w="2000"/>
            <w:tcMar>
              <w:top w:type="dxa" w:w="80"/>
              <w:left w:type="dxa" w:w="110"/>
              <w:bottom w:type="dxa" w:w="80"/>
              <w:right w:type="dxa" w:w="110"/>
            </w:tcMar>
          </w:tcPr>
          <w:p>
            <w:pPr>
              <w:spacing w:after="0"/>
            </w:pPr>
            <w:r>
              <w:rPr>
                <w:sz w:val="19"/>
                <w:szCs w:val="19"/>
              </w:rPr>
              <w:t xml:space="preserve"/>
            </w:r>
          </w:p>
        </w:tc>
      </w:tr>
      <w:tr>
        <w:tc>
          <w:tcPr>
            <w:tcW w:type="dxa" w:w="2600"/>
            <w:tcMar>
              <w:top w:type="dxa" w:w="80"/>
              <w:left w:type="dxa" w:w="110"/>
              <w:bottom w:type="dxa" w:w="80"/>
              <w:right w:type="dxa" w:w="110"/>
            </w:tcMar>
          </w:tcPr>
          <w:p>
            <w:pPr>
              <w:spacing w:after="0"/>
            </w:pPr>
            <w:r>
              <w:rPr>
                <w:b/>
                <w:bCs/>
                <w:sz w:val="19"/>
                <w:szCs w:val="19"/>
              </w:rPr>
              <w:t xml:space="preserve">ATAQUE CEREBROVASCULAR (ACV)</w:t>
            </w:r>
          </w:p>
        </w:tc>
        <w:tc>
          <w:tcPr>
            <w:tcW w:type="dxa" w:w="4400"/>
            <w:tcMar>
              <w:top w:type="dxa" w:w="80"/>
              <w:left w:type="dxa" w:w="110"/>
              <w:bottom w:type="dxa" w:w="80"/>
              <w:right w:type="dxa" w:w="110"/>
            </w:tcMar>
          </w:tcPr>
          <w:p>
            <w:pPr>
              <w:spacing w:after="0"/>
            </w:pPr>
            <w:r>
              <w:rPr>
                <w:sz w:val="19"/>
                <w:szCs w:val="19"/>
              </w:rPr>
              <w:t xml:space="preserve">¿Qué es un ACV? · Los tres signos que hay que reconocer · Otros síntomas de aviso · Qué hacer · Prevención</w:t>
            </w:r>
          </w:p>
        </w:tc>
        <w:tc>
          <w:tcPr>
            <w:tcW w:type="dxa" w:w="2000"/>
            <w:tcMar>
              <w:top w:type="dxa" w:w="80"/>
              <w:left w:type="dxa" w:w="110"/>
              <w:bottom w:type="dxa" w:w="80"/>
              <w:right w:type="dxa" w:w="110"/>
            </w:tcMar>
          </w:tcPr>
          <w:p>
            <w:pPr>
              <w:spacing w:after="0"/>
            </w:pPr>
            <w:r>
              <w:rPr>
                <w:sz w:val="19"/>
                <w:szCs w:val="19"/>
              </w:rPr>
              <w:t xml:space="preserve"/>
            </w:r>
          </w:p>
        </w:tc>
      </w:tr>
      <w:tr>
        <w:tc>
          <w:tcPr>
            <w:tcW w:type="dxa" w:w="2600"/>
            <w:tcMar>
              <w:top w:type="dxa" w:w="80"/>
              <w:left w:type="dxa" w:w="110"/>
              <w:bottom w:type="dxa" w:w="80"/>
              <w:right w:type="dxa" w:w="110"/>
            </w:tcMar>
          </w:tcPr>
          <w:p>
            <w:pPr>
              <w:spacing w:after="0"/>
            </w:pPr>
            <w:r>
              <w:rPr>
                <w:b/>
                <w:bCs/>
                <w:sz w:val="19"/>
                <w:szCs w:val="19"/>
              </w:rPr>
              <w:t xml:space="preserve">FRACTURAS EN PERSONAS MAYORES</w:t>
            </w:r>
          </w:p>
        </w:tc>
        <w:tc>
          <w:tcPr>
            <w:tcW w:type="dxa" w:w="4400"/>
            <w:tcMar>
              <w:top w:type="dxa" w:w="80"/>
              <w:left w:type="dxa" w:w="110"/>
              <w:bottom w:type="dxa" w:w="80"/>
              <w:right w:type="dxa" w:w="110"/>
            </w:tcMar>
          </w:tcPr>
          <w:p>
            <w:pPr>
              <w:spacing w:after="0"/>
            </w:pPr>
            <w:r>
              <w:rPr>
                <w:sz w:val="19"/>
                <w:szCs w:val="19"/>
              </w:rPr>
              <w:t xml:space="preserve">Por qué son más frecuentes con la edad · Cómo reconocer una fractura · Fractura de cadera · Fracturas de vértebras · Qué hacer ante una sospecha de fractura · Prevención · Cuánto dura la recuperación</w:t>
            </w:r>
          </w:p>
        </w:tc>
        <w:tc>
          <w:tcPr>
            <w:tcW w:type="dxa" w:w="2000"/>
            <w:tcMar>
              <w:top w:type="dxa" w:w="80"/>
              <w:left w:type="dxa" w:w="110"/>
              <w:bottom w:type="dxa" w:w="80"/>
              <w:right w:type="dxa" w:w="110"/>
            </w:tcMar>
          </w:tcPr>
          <w:p>
            <w:pPr>
              <w:spacing w:after="0"/>
            </w:pPr>
            <w:r>
              <w:rPr>
                <w:sz w:val="19"/>
                <w:szCs w:val="19"/>
              </w:rPr>
              <w:t xml:space="preserve"/>
            </w:r>
          </w:p>
        </w:tc>
      </w:tr>
      <w:tr>
        <w:tc>
          <w:tcPr>
            <w:tcW w:type="dxa" w:w="2600"/>
            <w:tcMar>
              <w:top w:type="dxa" w:w="80"/>
              <w:left w:type="dxa" w:w="110"/>
              <w:bottom w:type="dxa" w:w="80"/>
              <w:right w:type="dxa" w:w="110"/>
            </w:tcMar>
          </w:tcPr>
          <w:p>
            <w:pPr>
              <w:spacing w:after="0"/>
            </w:pPr>
            <w:r>
              <w:rPr>
                <w:b/>
                <w:bCs/>
                <w:sz w:val="19"/>
                <w:szCs w:val="19"/>
              </w:rPr>
              <w:t xml:space="preserve">GOLPE EN LA CABEZA (TRAUMATISMO CRANEAL)</w:t>
            </w:r>
          </w:p>
        </w:tc>
        <w:tc>
          <w:tcPr>
            <w:tcW w:type="dxa" w:w="4400"/>
            <w:tcMar>
              <w:top w:type="dxa" w:w="80"/>
              <w:left w:type="dxa" w:w="110"/>
              <w:bottom w:type="dxa" w:w="80"/>
              <w:right w:type="dxa" w:w="110"/>
            </w:tcMar>
          </w:tcPr>
          <w:p>
            <w:pPr>
              <w:spacing w:after="0"/>
            </w:pPr>
            <w:r>
              <w:rPr>
                <w:sz w:val="19"/>
                <w:szCs w:val="19"/>
              </w:rPr>
              <w:t xml:space="preserve">¿Qué es? · Por qué el riesgo es mayor en personas mayores · Síntomas que pueden aparecer · Señales de alarma — cuándo ir a urgencias · Qué hacer · Cuánto dura</w:t>
            </w:r>
          </w:p>
        </w:tc>
        <w:tc>
          <w:tcPr>
            <w:tcW w:type="dxa" w:w="2000"/>
            <w:tcMar>
              <w:top w:type="dxa" w:w="80"/>
              <w:left w:type="dxa" w:w="110"/>
              <w:bottom w:type="dxa" w:w="80"/>
              <w:right w:type="dxa" w:w="110"/>
            </w:tcMar>
          </w:tcPr>
          <w:p>
            <w:pPr>
              <w:spacing w:after="0"/>
            </w:pPr>
            <w:r>
              <w:rPr>
                <w:sz w:val="19"/>
                <w:szCs w:val="19"/>
              </w:rPr>
              <w:t xml:space="preserve"/>
            </w:r>
          </w:p>
        </w:tc>
      </w:tr>
      <w:tr>
        <w:tc>
          <w:tcPr>
            <w:tcW w:type="dxa" w:w="2600"/>
            <w:tcMar>
              <w:top w:type="dxa" w:w="80"/>
              <w:left w:type="dxa" w:w="110"/>
              <w:bottom w:type="dxa" w:w="80"/>
              <w:right w:type="dxa" w:w="110"/>
            </w:tcMar>
          </w:tcPr>
          <w:p>
            <w:pPr>
              <w:spacing w:after="0"/>
            </w:pPr>
            <w:r>
              <w:rPr>
                <w:b/>
                <w:bCs/>
                <w:sz w:val="19"/>
                <w:szCs w:val="19"/>
              </w:rPr>
              <w:t xml:space="preserve">ESGUINCES, CONTUSIONES Y GOLPES</w:t>
            </w:r>
          </w:p>
        </w:tc>
        <w:tc>
          <w:tcPr>
            <w:tcW w:type="dxa" w:w="4400"/>
            <w:tcMar>
              <w:top w:type="dxa" w:w="80"/>
              <w:left w:type="dxa" w:w="110"/>
              <w:bottom w:type="dxa" w:w="80"/>
              <w:right w:type="dxa" w:w="110"/>
            </w:tcMar>
          </w:tcPr>
          <w:p>
            <w:pPr>
              <w:spacing w:after="0"/>
            </w:pPr>
            <w:r>
              <w:rPr>
                <w:sz w:val="19"/>
                <w:szCs w:val="19"/>
              </w:rPr>
              <w:t xml:space="preserve">Qué es cada cosa · Síntomas · Primeros cuidados · Cuánto dura · Cuándo consultar</w:t>
            </w:r>
          </w:p>
        </w:tc>
        <w:tc>
          <w:tcPr>
            <w:tcW w:type="dxa" w:w="2000"/>
            <w:tcMar>
              <w:top w:type="dxa" w:w="80"/>
              <w:left w:type="dxa" w:w="110"/>
              <w:bottom w:type="dxa" w:w="80"/>
              <w:right w:type="dxa" w:w="110"/>
            </w:tcMar>
          </w:tcPr>
          <w:p>
            <w:pPr>
              <w:spacing w:after="0"/>
            </w:pPr>
            <w:r>
              <w:rPr>
                <w:sz w:val="19"/>
                <w:szCs w:val="19"/>
              </w:rPr>
              <w:t xml:space="preserve"/>
            </w:r>
          </w:p>
        </w:tc>
      </w:tr>
      <w:tr>
        <w:tc>
          <w:tcPr>
            <w:tcW w:type="dxa" w:w="2600"/>
            <w:tcMar>
              <w:top w:type="dxa" w:w="80"/>
              <w:left w:type="dxa" w:w="110"/>
              <w:bottom w:type="dxa" w:w="80"/>
              <w:right w:type="dxa" w:w="110"/>
            </w:tcMar>
          </w:tcPr>
          <w:p>
            <w:pPr>
              <w:spacing w:after="0"/>
            </w:pPr>
            <w:r>
              <w:rPr>
                <w:b/>
                <w:bCs/>
                <w:sz w:val="19"/>
                <w:szCs w:val="19"/>
              </w:rPr>
              <w:t xml:space="preserve">RESFRÍO COMÚN (RINOFARINGITIS)</w:t>
            </w:r>
          </w:p>
        </w:tc>
        <w:tc>
          <w:tcPr>
            <w:tcW w:type="dxa" w:w="4400"/>
            <w:tcMar>
              <w:top w:type="dxa" w:w="80"/>
              <w:left w:type="dxa" w:w="110"/>
              <w:bottom w:type="dxa" w:w="80"/>
              <w:right w:type="dxa" w:w="110"/>
            </w:tcMar>
          </w:tcPr>
          <w:p>
            <w:pPr>
              <w:spacing w:after="0"/>
            </w:pPr>
            <w:r>
              <w:rPr>
                <w:sz w:val="19"/>
                <w:szCs w:val="19"/>
              </w:rPr>
              <w:t xml:space="preserve">¿Qué es el resfrío? · Síntomas · Cuánto dura · Cómo se contagia y cómo evitarlo · Qué ayuda · Señales de alarma — cuándo consultar</w:t>
            </w:r>
          </w:p>
        </w:tc>
        <w:tc>
          <w:tcPr>
            <w:tcW w:type="dxa" w:w="2000"/>
            <w:tcMar>
              <w:top w:type="dxa" w:w="80"/>
              <w:left w:type="dxa" w:w="110"/>
              <w:bottom w:type="dxa" w:w="80"/>
              <w:right w:type="dxa" w:w="110"/>
            </w:tcMar>
          </w:tcPr>
          <w:p>
            <w:pPr>
              <w:spacing w:after="0"/>
            </w:pPr>
            <w:r>
              <w:rPr>
                <w:sz w:val="19"/>
                <w:szCs w:val="19"/>
              </w:rPr>
              <w:t xml:space="preserve"/>
            </w:r>
          </w:p>
        </w:tc>
      </w:tr>
      <w:tr>
        <w:tc>
          <w:tcPr>
            <w:tcW w:type="dxa" w:w="2600"/>
            <w:tcMar>
              <w:top w:type="dxa" w:w="80"/>
              <w:left w:type="dxa" w:w="110"/>
              <w:bottom w:type="dxa" w:w="80"/>
              <w:right w:type="dxa" w:w="110"/>
            </w:tcMar>
          </w:tcPr>
          <w:p>
            <w:pPr>
              <w:spacing w:after="0"/>
            </w:pPr>
            <w:r>
              <w:rPr>
                <w:b/>
                <w:bCs/>
                <w:sz w:val="19"/>
                <w:szCs w:val="19"/>
              </w:rPr>
              <w:t xml:space="preserve">BRONQUITIS AGUDA</w:t>
            </w:r>
          </w:p>
        </w:tc>
        <w:tc>
          <w:tcPr>
            <w:tcW w:type="dxa" w:w="4400"/>
            <w:tcMar>
              <w:top w:type="dxa" w:w="80"/>
              <w:left w:type="dxa" w:w="110"/>
              <w:bottom w:type="dxa" w:w="80"/>
              <w:right w:type="dxa" w:w="110"/>
            </w:tcMar>
          </w:tcPr>
          <w:p>
            <w:pPr>
              <w:spacing w:after="0"/>
            </w:pPr>
            <w:r>
              <w:rPr>
                <w:sz w:val="19"/>
                <w:szCs w:val="19"/>
              </w:rPr>
              <w:t xml:space="preserve">¿Qué es la bronquitis aguda? · Síntomas · Cuánto dura · Antibióticos · Qué ayuda · Señales de alarma — cuándo consultar</w:t>
            </w:r>
          </w:p>
        </w:tc>
        <w:tc>
          <w:tcPr>
            <w:tcW w:type="dxa" w:w="2000"/>
            <w:tcMar>
              <w:top w:type="dxa" w:w="80"/>
              <w:left w:type="dxa" w:w="110"/>
              <w:bottom w:type="dxa" w:w="80"/>
              <w:right w:type="dxa" w:w="110"/>
            </w:tcMar>
          </w:tcPr>
          <w:p>
            <w:pPr>
              <w:spacing w:after="0"/>
            </w:pPr>
            <w:r>
              <w:rPr>
                <w:sz w:val="19"/>
                <w:szCs w:val="19"/>
              </w:rPr>
              <w:t xml:space="preserve"/>
            </w:r>
          </w:p>
        </w:tc>
      </w:tr>
      <w:tr>
        <w:tc>
          <w:tcPr>
            <w:tcW w:type="dxa" w:w="2600"/>
            <w:tcMar>
              <w:top w:type="dxa" w:w="80"/>
              <w:left w:type="dxa" w:w="110"/>
              <w:bottom w:type="dxa" w:w="80"/>
              <w:right w:type="dxa" w:w="110"/>
            </w:tcMar>
          </w:tcPr>
          <w:p>
            <w:pPr>
              <w:spacing w:after="0"/>
            </w:pPr>
            <w:r>
              <w:rPr>
                <w:b/>
                <w:bCs/>
                <w:sz w:val="19"/>
                <w:szCs w:val="19"/>
              </w:rPr>
              <w:t xml:space="preserve">EPOC (ENFERMEDAD PULMONAR OBSTRUCTIVA CRÓNICA)</w:t>
            </w:r>
          </w:p>
        </w:tc>
        <w:tc>
          <w:tcPr>
            <w:tcW w:type="dxa" w:w="4400"/>
            <w:tcMar>
              <w:top w:type="dxa" w:w="80"/>
              <w:left w:type="dxa" w:w="110"/>
              <w:bottom w:type="dxa" w:w="80"/>
              <w:right w:type="dxa" w:w="110"/>
            </w:tcMar>
          </w:tcPr>
          <w:p>
            <w:pPr>
              <w:spacing w:after="0"/>
            </w:pPr>
            <w:r>
              <w:rPr>
                <w:sz w:val="19"/>
                <w:szCs w:val="19"/>
              </w:rPr>
              <w:t xml:space="preserve">¿Qué es la EPOC? · Causas · Síntomas · Las crisis o exacerbaciones · Tratamiento y qué ayuda · ¿Se cura? ¿Cuánto dura?</w:t>
            </w:r>
          </w:p>
        </w:tc>
        <w:tc>
          <w:tcPr>
            <w:tcW w:type="dxa" w:w="2000"/>
            <w:tcMar>
              <w:top w:type="dxa" w:w="80"/>
              <w:left w:type="dxa" w:w="110"/>
              <w:bottom w:type="dxa" w:w="80"/>
              <w:right w:type="dxa" w:w="110"/>
            </w:tcMar>
          </w:tcPr>
          <w:p>
            <w:pPr>
              <w:spacing w:after="0"/>
            </w:pPr>
            <w:r>
              <w:rPr>
                <w:sz w:val="19"/>
                <w:szCs w:val="19"/>
              </w:rPr>
              <w:t xml:space="preserve"/>
            </w:r>
          </w:p>
        </w:tc>
      </w:tr>
      <w:tr>
        <w:tc>
          <w:tcPr>
            <w:tcW w:type="dxa" w:w="2600"/>
            <w:tcMar>
              <w:top w:type="dxa" w:w="80"/>
              <w:left w:type="dxa" w:w="110"/>
              <w:bottom w:type="dxa" w:w="80"/>
              <w:right w:type="dxa" w:w="110"/>
            </w:tcMar>
          </w:tcPr>
          <w:p>
            <w:pPr>
              <w:spacing w:after="0"/>
            </w:pPr>
            <w:r>
              <w:rPr>
                <w:b/>
                <w:bCs/>
                <w:sz w:val="19"/>
                <w:szCs w:val="19"/>
              </w:rPr>
              <w:t xml:space="preserve">CONTRACTURA MUSCULAR</w:t>
            </w:r>
          </w:p>
        </w:tc>
        <w:tc>
          <w:tcPr>
            <w:tcW w:type="dxa" w:w="4400"/>
            <w:tcMar>
              <w:top w:type="dxa" w:w="80"/>
              <w:left w:type="dxa" w:w="110"/>
              <w:bottom w:type="dxa" w:w="80"/>
              <w:right w:type="dxa" w:w="110"/>
            </w:tcMar>
          </w:tcPr>
          <w:p>
            <w:pPr>
              <w:spacing w:after="0"/>
            </w:pPr>
            <w:r>
              <w:rPr>
                <w:sz w:val="19"/>
                <w:szCs w:val="19"/>
              </w:rPr>
              <w:t xml:space="preserve">¿Qué es una contractura? · Síntomas · Qué ayuda · Cuánto dura · Cuándo consultar</w:t>
            </w:r>
          </w:p>
        </w:tc>
        <w:tc>
          <w:tcPr>
            <w:tcW w:type="dxa" w:w="2000"/>
            <w:tcMar>
              <w:top w:type="dxa" w:w="80"/>
              <w:left w:type="dxa" w:w="110"/>
              <w:bottom w:type="dxa" w:w="80"/>
              <w:right w:type="dxa" w:w="110"/>
            </w:tcMar>
          </w:tcPr>
          <w:p>
            <w:pPr>
              <w:spacing w:after="0"/>
            </w:pPr>
            <w:r>
              <w:rPr>
                <w:sz w:val="19"/>
                <w:szCs w:val="19"/>
              </w:rPr>
              <w:t xml:space="preserve"/>
            </w:r>
          </w:p>
        </w:tc>
      </w:tr>
      <w:tr>
        <w:tc>
          <w:tcPr>
            <w:tcW w:type="dxa" w:w="2600"/>
            <w:tcMar>
              <w:top w:type="dxa" w:w="80"/>
              <w:left w:type="dxa" w:w="110"/>
              <w:bottom w:type="dxa" w:w="80"/>
              <w:right w:type="dxa" w:w="110"/>
            </w:tcMar>
          </w:tcPr>
          <w:p>
            <w:pPr>
              <w:spacing w:after="0"/>
            </w:pPr>
            <w:r>
              <w:rPr>
                <w:b/>
                <w:bCs/>
                <w:sz w:val="19"/>
                <w:szCs w:val="19"/>
              </w:rPr>
              <w:t xml:space="preserve">CERVICALGIA (DOLOR DE CUELLO)</w:t>
            </w:r>
          </w:p>
        </w:tc>
        <w:tc>
          <w:tcPr>
            <w:tcW w:type="dxa" w:w="4400"/>
            <w:tcMar>
              <w:top w:type="dxa" w:w="80"/>
              <w:left w:type="dxa" w:w="110"/>
              <w:bottom w:type="dxa" w:w="80"/>
              <w:right w:type="dxa" w:w="110"/>
            </w:tcMar>
          </w:tcPr>
          <w:p>
            <w:pPr>
              <w:spacing w:after="0"/>
            </w:pPr>
            <w:r>
              <w:rPr>
                <w:sz w:val="19"/>
                <w:szCs w:val="19"/>
              </w:rPr>
              <w:t xml:space="preserve">¿Qué es la cervicalgia? · Causas frecuentes · Qué ayuda · Cuánto dura · Señales de alarma — cuándo consultar</w:t>
            </w:r>
          </w:p>
        </w:tc>
        <w:tc>
          <w:tcPr>
            <w:tcW w:type="dxa" w:w="2000"/>
            <w:tcMar>
              <w:top w:type="dxa" w:w="80"/>
              <w:left w:type="dxa" w:w="110"/>
              <w:bottom w:type="dxa" w:w="80"/>
              <w:right w:type="dxa" w:w="110"/>
            </w:tcMar>
          </w:tcPr>
          <w:p>
            <w:pPr>
              <w:spacing w:after="0"/>
            </w:pPr>
            <w:r>
              <w:rPr>
                <w:sz w:val="19"/>
                <w:szCs w:val="19"/>
              </w:rPr>
              <w:t xml:space="preserve"/>
            </w:r>
          </w:p>
        </w:tc>
      </w:tr>
      <w:tr>
        <w:tc>
          <w:tcPr>
            <w:tcW w:type="dxa" w:w="2600"/>
            <w:tcMar>
              <w:top w:type="dxa" w:w="80"/>
              <w:left w:type="dxa" w:w="110"/>
              <w:bottom w:type="dxa" w:w="80"/>
              <w:right w:type="dxa" w:w="110"/>
            </w:tcMar>
          </w:tcPr>
          <w:p>
            <w:pPr>
              <w:spacing w:after="0"/>
            </w:pPr>
            <w:r>
              <w:rPr>
                <w:b/>
                <w:bCs/>
                <w:sz w:val="19"/>
                <w:szCs w:val="19"/>
              </w:rPr>
              <w:t xml:space="preserve">DOLOR Y ARTROSIS DE RODILLA (GONALGIA Y GONARTROSIS)</w:t>
            </w:r>
          </w:p>
        </w:tc>
        <w:tc>
          <w:tcPr>
            <w:tcW w:type="dxa" w:w="4400"/>
            <w:tcMar>
              <w:top w:type="dxa" w:w="80"/>
              <w:left w:type="dxa" w:w="110"/>
              <w:bottom w:type="dxa" w:w="80"/>
              <w:right w:type="dxa" w:w="110"/>
            </w:tcMar>
          </w:tcPr>
          <w:p>
            <w:pPr>
              <w:spacing w:after="0"/>
            </w:pPr>
            <w:r>
              <w:rPr>
                <w:sz w:val="19"/>
                <w:szCs w:val="19"/>
              </w:rPr>
              <w:t xml:space="preserve">¿Qué son? · Síntomas · Factores de riesgo · Qué ayuda · Tratamiento · Cuándo consultar de urgencia · ¿Se cura? ¿Cuánto dura?</w:t>
            </w:r>
          </w:p>
        </w:tc>
        <w:tc>
          <w:tcPr>
            <w:tcW w:type="dxa" w:w="2000"/>
            <w:tcMar>
              <w:top w:type="dxa" w:w="80"/>
              <w:left w:type="dxa" w:w="110"/>
              <w:bottom w:type="dxa" w:w="80"/>
              <w:right w:type="dxa" w:w="110"/>
            </w:tcMar>
          </w:tcPr>
          <w:p>
            <w:pPr>
              <w:spacing w:after="0"/>
            </w:pPr>
            <w:r>
              <w:rPr>
                <w:sz w:val="19"/>
                <w:szCs w:val="19"/>
              </w:rPr>
              <w:t xml:space="preserve"/>
            </w:r>
          </w:p>
        </w:tc>
      </w:tr>
      <w:tr>
        <w:tc>
          <w:tcPr>
            <w:tcW w:type="dxa" w:w="2600"/>
            <w:tcMar>
              <w:top w:type="dxa" w:w="80"/>
              <w:left w:type="dxa" w:w="110"/>
              <w:bottom w:type="dxa" w:w="80"/>
              <w:right w:type="dxa" w:w="110"/>
            </w:tcMar>
          </w:tcPr>
          <w:p>
            <w:pPr>
              <w:spacing w:after="0"/>
            </w:pPr>
            <w:r>
              <w:rPr>
                <w:b/>
                <w:bCs/>
                <w:sz w:val="19"/>
                <w:szCs w:val="19"/>
              </w:rPr>
              <w:t xml:space="preserve">DOLOR DE HOMBRO Y MANGUITO ROTADOR</w:t>
            </w:r>
          </w:p>
        </w:tc>
        <w:tc>
          <w:tcPr>
            <w:tcW w:type="dxa" w:w="4400"/>
            <w:tcMar>
              <w:top w:type="dxa" w:w="80"/>
              <w:left w:type="dxa" w:w="110"/>
              <w:bottom w:type="dxa" w:w="80"/>
              <w:right w:type="dxa" w:w="110"/>
            </w:tcMar>
          </w:tcPr>
          <w:p>
            <w:pPr>
              <w:spacing w:after="0"/>
            </w:pPr>
            <w:r>
              <w:rPr>
                <w:sz w:val="19"/>
                <w:szCs w:val="19"/>
              </w:rPr>
              <w:t xml:space="preserve">¿Qué es el manguito rotador? · Tipos de lesión · Quiénes tienen más riesgo · Síntomas · Qué ayuda y tratamiento · Cuándo consultar · Cuánto dura</w:t>
            </w:r>
          </w:p>
        </w:tc>
        <w:tc>
          <w:tcPr>
            <w:tcW w:type="dxa" w:w="2000"/>
            <w:tcMar>
              <w:top w:type="dxa" w:w="80"/>
              <w:left w:type="dxa" w:w="110"/>
              <w:bottom w:type="dxa" w:w="80"/>
              <w:right w:type="dxa" w:w="110"/>
            </w:tcMar>
          </w:tcPr>
          <w:p>
            <w:pPr>
              <w:spacing w:after="0"/>
            </w:pPr>
            <w:r>
              <w:rPr>
                <w:sz w:val="19"/>
                <w:szCs w:val="19"/>
              </w:rPr>
              <w:t xml:space="preserve"/>
            </w:r>
          </w:p>
        </w:tc>
      </w:tr>
    </w:tbl>
    <w:p>
      <w:r>
        <w:br w:type="page"/>
      </w:r>
    </w:p>
    <w:p>
      <w:pPr>
        <w:pStyle w:val="Heading1"/>
        <w:spacing w:after="160" w:before="360"/>
      </w:pPr>
      <w:r>
        <w:t xml:space="preserve">7. Decisiones que requieren criterio clínico</w:t>
      </w:r>
    </w:p>
    <w:p>
      <w:pPr>
        <w:spacing w:after="120" w:before="0"/>
      </w:pPr>
      <w:r>
        <w:rPr>
          <w:sz w:val="21"/>
          <w:szCs w:val="21"/>
        </w:rPr>
        <w:t xml:space="preserve">Dos situaciones detectadas en pruebas se dejaron deliberadamente sin resolver, porque la decisión corresponde al equipo de salud y no al desarrollo.</w:t>
      </w:r>
    </w:p>
    <w:p>
      <w:pPr>
        <w:pStyle w:val="Heading2"/>
        <w:spacing w:after="120" w:before="280"/>
      </w:pPr>
      <w:r>
        <w:t xml:space="preserve">7.1 Falta de aire en persona fumadora</w:t>
      </w:r>
    </w:p>
    <w:p>
      <w:pPr>
        <w:spacing w:after="120" w:before="0"/>
      </w:pPr>
      <w:r>
        <w:rPr>
          <w:sz w:val="21"/>
          <w:szCs w:val="21"/>
        </w:rPr>
        <w:t xml:space="preserve">Ante el mensaje «soy fumador y me falta el aire», el asistente entrega el aviso de emergencia.</w:t>
      </w:r>
    </w:p>
    <w:p>
      <w:pPr>
        <w:spacing w:after="120" w:before="0"/>
      </w:pPr>
      <w:r>
        <w:rPr>
          <w:sz w:val="21"/>
          <w:szCs w:val="21"/>
        </w:rPr>
        <w:t xml:space="preserve">A favor de mantenerlo: MINSAL incluye la dificultad para respirar entre los síntomas del infarto, y advierte que en personas mayores el infarto puede presentarse justamente así, sin dolor. El asistente no puede distinguir por escrito si se trata de una molestia crónica o de un cuadro agudo.</w:t>
      </w:r>
    </w:p>
    <w:p>
      <w:pPr>
        <w:spacing w:after="120" w:before="0"/>
      </w:pPr>
      <w:r>
        <w:rPr>
          <w:sz w:val="21"/>
          <w:szCs w:val="21"/>
        </w:rPr>
        <w:t xml:space="preserve">En contra: la falta de aire al esfuerzo es un síntoma habitual y crónico en personas fumadoras con EPOC, y derivarlas a urgencias cada vez resulta desproporcionado.</w:t>
      </w:r>
    </w:p>
    <w:p>
      <w:pPr>
        <w:spacing w:after="120" w:before="0"/>
      </w:pPr>
      <w:r>
        <w:rPr>
          <w:b/>
          <w:bCs/>
          <w:sz w:val="21"/>
          <w:szCs w:val="21"/>
        </w:rPr>
        <w:t xml:space="preserve">Se solicita indicar si el aviso debe mantenerse, retirarse, o condicionarse a alguna otra señal.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Mar>
              <w:top w:type="dxa" w:w="80"/>
              <w:left w:type="dxa" w:w="110"/>
              <w:bottom w:type="dxa" w:w="80"/>
              <w:right w:type="dxa" w:w="110"/>
            </w:tcMar>
          </w:tcPr>
          <w:p>
            <w:pPr>
              <w:spacing w:after="0"/>
            </w:pPr>
            <w:r>
              <w:rPr>
                <w:sz w:val="19"/>
                <w:szCs w:val="19"/>
              </w:rPr>
              <w:t xml:space="preserve">Decisión: </w:t>
            </w:r>
          </w:p>
        </w:tc>
      </w:tr>
    </w:tbl>
    <w:p>
      <w:pPr>
        <w:pStyle w:val="Heading2"/>
        <w:spacing w:after="120" w:before="280"/>
      </w:pPr>
      <w:r>
        <w:t xml:space="preserve">7.2 Respuestas validadas que no cubren los temas nuevos</w:t>
      </w:r>
    </w:p>
    <w:p>
      <w:pPr>
        <w:spacing w:after="120" w:before="0"/>
      </w:pPr>
      <w:r>
        <w:rPr>
          <w:sz w:val="21"/>
          <w:szCs w:val="21"/>
        </w:rPr>
        <w:t xml:space="preserve">El conjunto de respuestas validadas previamente cubre 10 de los 33 temas. Para los 23 restantes, el asistente responde a partir del documento de conocimiento, lo que funciona correctamente en las pruebas.</w:t>
      </w:r>
    </w:p>
    <w:p>
      <w:pPr>
        <w:spacing w:after="120" w:before="0"/>
      </w:pPr>
      <w:r>
        <w:rPr>
          <w:sz w:val="21"/>
          <w:szCs w:val="21"/>
        </w:rPr>
        <w:t xml:space="preserve">Se dejó así de forma intencional: escribir respuestas validadas sin que provengan del equipo de salud no aportaría garantía alguna, y ampliarlas sin datos de uso real aumenta la probabilidad de que una consulta reciba la respuesta de otra condición.</w:t>
      </w:r>
    </w:p>
    <w:p>
      <w:pPr>
        <w:spacing w:after="120" w:before="0"/>
      </w:pPr>
      <w:r>
        <w:rPr>
          <w:b/>
          <w:bCs/>
          <w:sz w:val="21"/>
          <w:szCs w:val="21"/>
        </w:rPr>
        <w:t xml:space="preserve">La recomendación es esperar a la etapa de prueba con personas usuarias. El sistema registra las consultas que no supo responder y las que fueron valoradas negativamente, con la pregunta original, y las muestra en un panel de administración. Ese listado es el insumo para decidir qué respuestas validadas conviene incorporar.</w:t>
      </w:r>
    </w:p>
    <w:p>
      <w:pPr>
        <w:pStyle w:val="Heading1"/>
        <w:spacing w:after="160" w:before="360"/>
      </w:pPr>
      <w:r>
        <w:t xml:space="preserve">8. Fuentes utilizadas</w:t>
      </w:r>
    </w:p>
    <w:p>
      <w:pPr>
        <w:pStyle w:val="ListParagraph"/>
        <w:numPr>
          <w:ilvl w:val="0"/>
          <w:numId w:val="2"/>
        </w:numPr>
        <w:spacing w:after="60"/>
      </w:pPr>
      <w:r>
        <w:rPr>
          <w:sz w:val="21"/>
          <w:szCs w:val="21"/>
        </w:rPr>
        <w:t xml:space="preserve">Ministerio de Salud de Chile, Salud Responde. Infarto agudo al miocardio. saludresponde.minsal.cl/iam</w:t>
      </w:r>
    </w:p>
    <w:p>
      <w:pPr>
        <w:pStyle w:val="ListParagraph"/>
        <w:numPr>
          <w:ilvl w:val="0"/>
          <w:numId w:val="2"/>
        </w:numPr>
        <w:spacing w:after="60"/>
      </w:pPr>
      <w:r>
        <w:rPr>
          <w:sz w:val="21"/>
          <w:szCs w:val="21"/>
        </w:rPr>
        <w:t xml:space="preserve">Ministerio de Salud de Chile. Ataque cerebrovascular: síntomas y signos. minsal.cl/ataque_cerebral_sintomas</w:t>
      </w:r>
    </w:p>
    <w:p>
      <w:pPr>
        <w:pStyle w:val="ListParagraph"/>
        <w:numPr>
          <w:ilvl w:val="0"/>
          <w:numId w:val="2"/>
        </w:numPr>
        <w:spacing w:after="60"/>
      </w:pPr>
      <w:r>
        <w:rPr>
          <w:sz w:val="21"/>
          <w:szCs w:val="21"/>
        </w:rPr>
        <w:t xml:space="preserve">MedlinePlus en español, Biblioteca Nacional de Medicina de los Institutos Nacionales de Salud de Estados Unidos. medlineplus.gov/spanish. Consultado para enfermedades de la vesícula, pancreatitis, gastritis, hemorragia digestiva, estreñimiento, hernia, absceso dental, resfriado común, bronquitis aguda, EPOC, dificultad respiratoria, delirio, dolor torácico, dolor abdominal, lesiones de cadera, traumatismo craneal, esguinces, artrosis, manguito rotador y dolor cervical.</w:t>
      </w:r>
    </w:p>
    <w:p>
      <w:pPr>
        <w:pStyle w:val="Heading1"/>
        <w:spacing w:after="160" w:before="360"/>
      </w:pPr>
      <w:r>
        <w:t xml:space="preserve">9. Estado del desarrollo</w:t>
      </w:r>
    </w:p>
    <w:p>
      <w:pPr>
        <w:spacing w:after="120" w:before="0"/>
      </w:pPr>
      <w:r>
        <w:rPr>
          <w:sz w:val="21"/>
          <w:szCs w:val="21"/>
        </w:rPr>
        <w:t xml:space="preserve">El desarrollo informático está terminado y verificado mediante 328 pruebas automatizadas que se ejecutan en cada cambio. Estas comprueban el funcionamiento del sistema, no la exactitud clínica de los contenidos, que es precisamente el objeto de esta validación.</w:t>
      </w:r>
    </w:p>
    <w:p>
      <w:pPr>
        <w:spacing w:after="120" w:before="0"/>
      </w:pPr>
      <w:r>
        <w:rPr>
          <w:sz w:val="21"/>
          <w:szCs w:val="21"/>
        </w:rPr>
        <w:t xml:space="preserve">Recibidas las observaciones, la incorporación de correcciones al documento de conocimiento es directa y no requiere volver a desplegar el sistema. Los cambios en la lista de detección de urgencias sí requieren una actualización del programa.</w:t>
      </w:r>
    </w:p>
    <w:p>
      <w:pPr>
        <w:spacing w:after="120" w:before="0"/>
      </w:pPr>
      <w:r>
        <w:rPr>
          <w:b/>
          <w:bCs/>
          <w:sz w:val="21"/>
          <w:szCs w:val="21"/>
        </w:rPr>
        <w:t xml:space="preserve">Una vez validado, la etapa siguiente propuesta es una prueba acompañada con personas usuarias reales, con el panel de revisión a la vista, antes de la puesta en marcha abierta.</w:t>
      </w:r>
    </w:p>
    <w:sectPr>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A52A0"/>
      <w:sz w:val="30"/>
      <w:szCs w:val="30"/>
    </w:rPr>
  </w:style>
  <w:style w:type="paragraph" w:styleId="Heading2">
    <w:name w:val="Heading 2"/>
    <w:basedOn w:val="Normal"/>
    <w:next w:val="Normal"/>
    <w:qFormat/>
    <w:rPr>
      <w:rFonts w:ascii="Calibri" w:cs="Calibri" w:eastAsia="Calibri" w:hAnsi="Calibri"/>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2026-08-22T01:54:19.727Z</dcterms:created>
  <dcterms:modified xsi:type="dcterms:W3CDTF">2026-08-22T01:54:19.728Z</dcterms:modified>
</cp:coreProperties>
</file>

<file path=docProps/custom.xml><?xml version="1.0" encoding="utf-8"?>
<Properties xmlns="http://schemas.openxmlformats.org/officeDocument/2006/custom-properties" xmlns:vt="http://schemas.openxmlformats.org/officeDocument/2006/docPropsVTypes"/>
</file>