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120"/>
        <w:jc w:val="center"/>
      </w:pPr>
      <w:r>
        <w:rPr>
          <w:rFonts w:ascii="Calibri" w:cs="Calibri" w:eastAsia="Calibri" w:hAnsi="Calibri"/>
          <w:b/>
          <w:bCs/>
          <w:color w:val="1F4E79"/>
          <w:sz w:val="44"/>
          <w:szCs w:val="44"/>
        </w:rPr>
        <w:t xml:space="preserve">GUÍA DE TRASPASO TÉCNICO</w:t>
      </w:r>
    </w:p>
    <w:p>
      <w:pPr>
        <w:spacing w:after="400"/>
        <w:jc w:val="center"/>
      </w:pPr>
      <w:r>
        <w:rPr>
          <w:rFonts w:ascii="Calibri" w:cs="Calibri" w:eastAsia="Calibri" w:hAnsi="Calibri"/>
          <w:color w:val="595959"/>
          <w:sz w:val="30"/>
          <w:szCs w:val="30"/>
        </w:rPr>
        <w:t xml:space="preserve">Plataforma Guía Digital Adulto Mayor</w:t>
      </w:r>
    </w:p>
    <w:p>
      <w:pPr>
        <w:pBdr>
          <w:top w:val="single" w:color="1F4E79" w:sz="6"/>
        </w:pBdr>
        <w:spacing w:after="60"/>
        <w:jc w:val="center"/>
      </w:pPr>
    </w:p>
    <w:p>
      <w:pPr>
        <w:spacing w:after="100" w:before="300"/>
        <w:jc w:val="center"/>
      </w:pPr>
      <w:r>
        <w:rPr>
          <w:rFonts w:ascii="Calibri" w:cs="Calibri" w:eastAsia="Calibri" w:hAnsi="Calibri"/>
          <w:b/>
          <w:bCs/>
          <w:sz w:val="24"/>
          <w:szCs w:val="24"/>
        </w:rPr>
        <w:t xml:space="preserve">Hospital de Urgencia Asistencia Pública (HUAP)</w:t>
      </w:r>
    </w:p>
    <w:p>
      <w:pPr>
        <w:spacing w:after="600"/>
        <w:jc w:val="center"/>
      </w:pPr>
      <w:r>
        <w:rPr>
          <w:rFonts w:ascii="Calibri" w:cs="Calibri" w:eastAsia="Calibri" w:hAnsi="Calibri"/>
          <w:color w:val="595959"/>
          <w:sz w:val="22"/>
          <w:szCs w:val="22"/>
        </w:rPr>
        <w:t xml:space="preserve">Documento dirigido a la Unidad de Informática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Campo</w:t>
            </w:r>
          </w:p>
        </w:tc>
        <w:tc>
          <w:tcPr>
            <w:tcW w:type="dxa" w:w="676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Detalle</w:t>
            </w:r>
          </w:p>
        </w:tc>
      </w:tr>
      <w:tr>
        <w:trPr>
          <w:cantSplit/>
        </w:trPr>
        <w:tc>
          <w:tcPr>
            <w:tcW w:type="dxa" w:w="26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Versión del documento</w:t>
            </w:r>
          </w:p>
        </w:tc>
        <w:tc>
          <w:tcPr>
            <w:tcW w:type="dxa" w:w="67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1.2</w:t>
            </w:r>
          </w:p>
        </w:tc>
      </w:tr>
      <w:tr>
        <w:trPr>
          <w:cantSplit/>
        </w:trPr>
        <w:tc>
          <w:tcPr>
            <w:tcW w:type="dxa" w:w="26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Fecha de emisión</w:t>
            </w:r>
          </w:p>
        </w:tc>
        <w:tc>
          <w:tcPr>
            <w:tcW w:type="dxa" w:w="67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22 de agosto de 2026</w:t>
            </w:r>
          </w:p>
        </w:tc>
      </w:tr>
      <w:tr>
        <w:trPr>
          <w:cantSplit/>
        </w:trPr>
        <w:tc>
          <w:tcPr>
            <w:tcW w:type="dxa" w:w="26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Sistema entregado</w:t>
            </w:r>
          </w:p>
        </w:tc>
        <w:tc>
          <w:tcPr>
            <w:tcW w:type="dxa" w:w="67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Guía Digital Adulto Mayor — backend FastAPI + frontend Next.js</w:t>
            </w:r>
          </w:p>
        </w:tc>
      </w:tr>
      <w:tr>
        <w:trPr>
          <w:cantSplit/>
        </w:trPr>
        <w:tc>
          <w:tcPr>
            <w:tcW w:type="dxa" w:w="26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Propósito</w:t>
            </w:r>
          </w:p>
        </w:tc>
        <w:tc>
          <w:tcPr>
            <w:tcW w:type="dxa" w:w="67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Transferir la administración de credenciales, cuentas y despliegue desde el equipo de desarrollo hacia el hospital</w:t>
            </w:r>
          </w:p>
        </w:tc>
      </w:tr>
      <w:tr>
        <w:trPr>
          <w:cantSplit/>
        </w:trPr>
        <w:tc>
          <w:tcPr>
            <w:tcW w:type="dxa" w:w="26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Perfil requerido</w:t>
            </w:r>
          </w:p>
        </w:tc>
        <w:tc>
          <w:tcPr>
            <w:tcW w:type="dxa" w:w="67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Administrador de sistemas con acceso al servidor, a PostgreSQL y a la configuración DNS/TLS</w:t>
            </w:r>
          </w:p>
        </w:tc>
      </w:tr>
    </w:tbl>
    <w:p>
      <w:r>
        <w:br w:type="page"/>
      </w:r>
    </w:p>
    <w:p>
      <w:pPr>
        <w:pStyle w:val="Heading1"/>
        <w:keepNext/>
        <w:keepLines/>
        <w:spacing w:after="160" w:before="360"/>
      </w:pPr>
      <w:r>
        <w:rPr>
          <w:rFonts w:ascii="Calibri" w:cs="Calibri" w:eastAsia="Calibri" w:hAnsi="Calibri"/>
          <w:b/>
          <w:bCs/>
          <w:color w:val="1F4E79"/>
          <w:sz w:val="30"/>
          <w:szCs w:val="30"/>
        </w:rPr>
        <w:t xml:space="preserve">1. Alcance de la entrega</w:t>
      </w:r>
    </w:p>
    <w:p>
      <w:pPr>
        <w:spacing w:after="120" w:line="276"/>
      </w:pPr>
      <w:r>
        <w:rPr>
          <w:rFonts w:ascii="Calibri" w:cs="Calibri" w:eastAsia="Calibri" w:hAnsi="Calibri"/>
          <w:sz w:val="21"/>
          <w:szCs w:val="21"/>
        </w:rPr>
        <w:t xml:space="preserve">Este documento describe los pasos necesarios para que el Hospital de Urgencia Asistencia Pública asuma la administración completa de la plataforma Guía Digital Adulto Mayor, eliminando toda dependencia de las cuentas personales del equipo de desarrollo original.</w:t>
      </w:r>
    </w:p>
    <w:p>
      <w:pPr>
        <w:pStyle w:val="Heading2"/>
        <w:keepNext/>
        <w:keepLines/>
        <w:spacing w:after="120" w:before="260"/>
      </w:pPr>
      <w:r>
        <w:rPr>
          <w:rFonts w:ascii="Calibri" w:cs="Calibri" w:eastAsia="Calibri" w:hAnsi="Calibri"/>
          <w:b/>
          <w:bCs/>
          <w:color w:val="1F4E79"/>
          <w:sz w:val="24"/>
          <w:szCs w:val="24"/>
        </w:rPr>
        <w:t xml:space="preserve">1.1 Qué se entrega</w:t>
      </w:r>
    </w:p>
    <w:p>
      <w:pPr>
        <w:pStyle w:val="ListParagraph"/>
        <w:numPr>
          <w:ilvl w:val="0"/>
          <w:numId w:val="2"/>
        </w:numPr>
        <w:spacing w:after="80" w:line="276"/>
      </w:pPr>
      <w:r>
        <w:rPr>
          <w:rFonts w:ascii="Calibri" w:cs="Calibri" w:eastAsia="Calibri" w:hAnsi="Calibri"/>
          <w:sz w:val="21"/>
          <w:szCs w:val="21"/>
        </w:rPr>
        <w:t xml:space="preserve">Código fuente completo del backend (FastAPI / Python 3.12) y del frontend (Next.js 16 / React 19).</w:t>
      </w:r>
    </w:p>
    <w:p>
      <w:pPr>
        <w:pStyle w:val="ListParagraph"/>
        <w:numPr>
          <w:ilvl w:val="0"/>
          <w:numId w:val="2"/>
        </w:numPr>
        <w:spacing w:after="80" w:line="276"/>
      </w:pPr>
      <w:r>
        <w:rPr>
          <w:rFonts w:ascii="Calibri" w:cs="Calibri" w:eastAsia="Calibri" w:hAnsi="Calibri"/>
          <w:sz w:val="21"/>
          <w:szCs w:val="21"/>
        </w:rPr>
        <w:t xml:space="preserve">Esquema de base de datos PostgreSQL con sus migraciones Alembic.</w:t>
      </w:r>
    </w:p>
    <w:p>
      <w:pPr>
        <w:pStyle w:val="ListParagraph"/>
        <w:numPr>
          <w:ilvl w:val="0"/>
          <w:numId w:val="2"/>
        </w:numPr>
        <w:spacing w:after="80" w:line="276"/>
      </w:pPr>
      <w:r>
        <w:rPr>
          <w:rFonts w:ascii="Calibri" w:cs="Calibri" w:eastAsia="Calibri" w:hAnsi="Calibri"/>
          <w:sz w:val="21"/>
          <w:szCs w:val="21"/>
        </w:rPr>
        <w:t xml:space="preserve">Contenido educativo inicial (módulos y lecciones) y base de conocimiento del asistente conversacional.</w:t>
      </w:r>
    </w:p>
    <w:p>
      <w:pPr>
        <w:pStyle w:val="ListParagraph"/>
        <w:numPr>
          <w:ilvl w:val="0"/>
          <w:numId w:val="2"/>
        </w:numPr>
        <w:spacing w:after="80" w:line="276"/>
      </w:pPr>
      <w:r>
        <w:rPr>
          <w:rFonts w:ascii="Calibri" w:cs="Calibri" w:eastAsia="Calibri" w:hAnsi="Calibri"/>
          <w:sz w:val="21"/>
          <w:szCs w:val="21"/>
        </w:rPr>
        <w:t xml:space="preserve">Archivos de despliegue: Dockerfile del backend y docker-compose.yml de referencia.</w:t>
      </w:r>
    </w:p>
    <w:p>
      <w:pPr>
        <w:pStyle w:val="ListParagraph"/>
        <w:numPr>
          <w:ilvl w:val="0"/>
          <w:numId w:val="2"/>
        </w:numPr>
        <w:spacing w:after="80" w:line="276"/>
      </w:pPr>
      <w:r>
        <w:rPr>
          <w:rFonts w:ascii="Calibri" w:cs="Calibri" w:eastAsia="Calibri" w:hAnsi="Calibri"/>
          <w:sz w:val="21"/>
          <w:szCs w:val="21"/>
        </w:rPr>
        <w:t xml:space="preserve">Esta guía de traspaso.</w:t>
      </w:r>
    </w:p>
    <w:p>
      <w:pPr>
        <w:pStyle w:val="Heading2"/>
        <w:keepNext/>
        <w:keepLines/>
        <w:spacing w:after="120" w:before="260"/>
      </w:pPr>
      <w:r>
        <w:rPr>
          <w:rFonts w:ascii="Calibri" w:cs="Calibri" w:eastAsia="Calibri" w:hAnsi="Calibri"/>
          <w:b/>
          <w:bCs/>
          <w:color w:val="1F4E79"/>
          <w:sz w:val="24"/>
          <w:szCs w:val="24"/>
        </w:rPr>
        <w:t xml:space="preserve">1.2 Qué NO incluye la entrega</w:t>
      </w:r>
    </w:p>
    <w:p>
      <w:pPr>
        <w:spacing w:after="120" w:line="276"/>
      </w:pPr>
      <w:r>
        <w:rPr>
          <w:rFonts w:ascii="Calibri" w:cs="Calibri" w:eastAsia="Calibri" w:hAnsi="Calibri"/>
          <w:sz w:val="21"/>
          <w:szCs w:val="21"/>
        </w:rPr>
        <w:t xml:space="preserve">Los siguientes elementos deben ser provistos por el hospital y son requisito previo a la puesta en producción:</w:t>
      </w:r>
    </w:p>
    <w:p>
      <w:pPr>
        <w:pStyle w:val="ListParagraph"/>
        <w:numPr>
          <w:ilvl w:val="0"/>
          <w:numId w:val="2"/>
        </w:numPr>
        <w:spacing w:after="80" w:line="276"/>
      </w:pPr>
      <w:r>
        <w:rPr>
          <w:rFonts w:ascii="Calibri" w:cs="Calibri" w:eastAsia="Calibri" w:hAnsi="Calibri"/>
          <w:sz w:val="21"/>
          <w:szCs w:val="21"/>
        </w:rPr>
        <w:t xml:space="preserve">Servidor de aplicación con Docker y acceso a red.</w:t>
      </w:r>
    </w:p>
    <w:p>
      <w:pPr>
        <w:pStyle w:val="ListParagraph"/>
        <w:numPr>
          <w:ilvl w:val="0"/>
          <w:numId w:val="2"/>
        </w:numPr>
        <w:spacing w:after="80" w:line="276"/>
      </w:pPr>
      <w:r>
        <w:rPr>
          <w:rFonts w:ascii="Calibri" w:cs="Calibri" w:eastAsia="Calibri" w:hAnsi="Calibri"/>
          <w:sz w:val="21"/>
          <w:szCs w:val="21"/>
        </w:rPr>
        <w:t xml:space="preserve">Nombre de dominio público con certificado TLS válido (ver sección 5).</w:t>
      </w:r>
    </w:p>
    <w:p>
      <w:pPr>
        <w:pStyle w:val="ListParagraph"/>
        <w:numPr>
          <w:ilvl w:val="0"/>
          <w:numId w:val="2"/>
        </w:numPr>
        <w:spacing w:after="80" w:line="276"/>
      </w:pPr>
      <w:r>
        <w:rPr>
          <w:rFonts w:ascii="Calibri" w:cs="Calibri" w:eastAsia="Calibri" w:hAnsi="Calibri"/>
          <w:sz w:val="21"/>
          <w:szCs w:val="21"/>
        </w:rPr>
        <w:t xml:space="preserve">Cuentas propias en Google Cloud y Groq (secciones 3, 4 y 6).</w:t>
      </w:r>
    </w:p>
    <w:p>
      <w:pPr>
        <w:pStyle w:val="ListParagraph"/>
        <w:numPr>
          <w:ilvl w:val="0"/>
          <w:numId w:val="2"/>
        </w:numPr>
        <w:spacing w:after="80" w:line="276"/>
      </w:pPr>
      <w:r>
        <w:rPr>
          <w:rFonts w:ascii="Calibri" w:cs="Calibri" w:eastAsia="Calibri" w:hAnsi="Calibri"/>
          <w:sz w:val="21"/>
          <w:szCs w:val="21"/>
        </w:rPr>
        <w:t xml:space="preserve">Política de respaldo de la base de datos (ver sección 10.4).</w:t>
      </w:r>
    </w:p>
    <w:p>
      <w:pPr>
        <w:pStyle w:val="ListParagraph"/>
        <w:numPr>
          <w:ilvl w:val="0"/>
          <w:numId w:val="2"/>
        </w:numPr>
        <w:spacing w:after="80" w:line="276"/>
      </w:pPr>
      <w:r>
        <w:rPr>
          <w:rFonts w:ascii="Calibri" w:cs="Calibri" w:eastAsia="Calibri" w:hAnsi="Calibri"/>
          <w:sz w:val="21"/>
          <w:szCs w:val="21"/>
        </w:rPr>
        <w:t xml:space="preserve">Recurso técnico responsable del mantenimiento posterior (ver sección 10.2).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1F4E79" w:sz="18"/>
              <w:bottom w:val="single" w:color="BFBFBF" w:sz="4"/>
              <w:right w:val="single" w:color="BFBFBF" w:sz="4"/>
            </w:tcBorders>
            <w:shd w:fill="DCE6F1" w:val="clear"/>
            <w:tcMar>
              <w:top w:type="dxa" w:w="140"/>
              <w:left w:type="dxa" w:w="180"/>
              <w:bottom w:type="dxa" w:w="140"/>
              <w:right w:type="dxa" w:w="180"/>
            </w:tcMar>
          </w:tcPr>
          <w:p>
            <w:pPr>
              <w:spacing w:after="60"/>
            </w:pPr>
            <w:r>
              <w:rPr>
                <w:rFonts w:ascii="Calibri" w:cs="Calibri" w:eastAsia="Calibri" w:hAnsi="Calibri"/>
                <w:b/>
                <w:bCs/>
                <w:color w:val="1F4E79"/>
                <w:sz w:val="21"/>
                <w:szCs w:val="21"/>
              </w:rPr>
              <w:t xml:space="preserve">Lectura recomendada antes de comenzar</w:t>
            </w:r>
          </w:p>
          <w:p>
            <w:pPr>
              <w:spacing w:after="40" w:line="276"/>
            </w:pPr>
            <w:r>
              <w:rPr>
                <w:rFonts w:ascii="Calibri" w:cs="Calibri" w:eastAsia="Calibri" w:hAnsi="Calibri"/>
                <w:sz w:val="21"/>
                <w:szCs w:val="21"/>
              </w:rPr>
              <w:t xml:space="preserve">La sección 10 documenta cuatro limitaciones operativas del sistema que condicionan su uso en producción. Se recomienda revisarla antes de iniciar el despliegue, ya que una de ellas puede requerir decisiones fuera del ámbito de la Unidad de Informática.</w:t>
            </w:r>
          </w:p>
        </w:tc>
      </w:tr>
    </w:tbl>
    <w:p>
      <w:pPr>
        <w:pStyle w:val="Heading1"/>
        <w:keepNext/>
        <w:keepLines/>
        <w:spacing w:after="160" w:before="360"/>
      </w:pPr>
      <w:r>
        <w:rPr>
          <w:rFonts w:ascii="Calibri" w:cs="Calibri" w:eastAsia="Calibri" w:hAnsi="Calibri"/>
          <w:b/>
          <w:bCs/>
          <w:color w:val="1F4E79"/>
          <w:sz w:val="30"/>
          <w:szCs w:val="30"/>
        </w:rPr>
        <w:t xml:space="preserve">2. Inventario de credenciales a rotar</w:t>
      </w:r>
    </w:p>
    <w:p>
      <w:pPr>
        <w:spacing w:after="120" w:line="276"/>
      </w:pPr>
      <w:r>
        <w:rPr>
          <w:rFonts w:ascii="Calibri" w:cs="Calibri" w:eastAsia="Calibri" w:hAnsi="Calibri"/>
          <w:sz w:val="21"/>
          <w:szCs w:val="21"/>
        </w:rPr>
        <w:t xml:space="preserve">El sistema utiliza cuatro secretos. Todos ellos fueron generados durante el desarrollo y deben ser reemplazados por valores nuevos generados por el hospital. Ninguno debe conservarse.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3560"/>
        <w:gridCol w:w="1400"/>
      </w:tblGrid>
      <w:tr>
        <w:trPr>
          <w:tblHeader/>
        </w:trPr>
        <w:tc>
          <w:tcPr>
            <w:tcW w:type="dxa" w:w="23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Variable</w:t>
            </w:r>
          </w:p>
        </w:tc>
        <w:tc>
          <w:tcPr>
            <w:tcW w:type="dxa" w:w="21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Archivo</w:t>
            </w:r>
          </w:p>
        </w:tc>
        <w:tc>
          <w:tcPr>
            <w:tcW w:type="dxa" w:w="356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Función</w:t>
            </w:r>
          </w:p>
        </w:tc>
        <w:tc>
          <w:tcPr>
            <w:tcW w:type="dxa" w:w="14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Prioridad</w:t>
            </w:r>
          </w:p>
        </w:tc>
      </w:tr>
      <w:tr>
        <w:trPr>
          <w:cantSplit/>
        </w:trPr>
        <w:tc>
          <w:tcPr>
            <w:tcW w:type="dxa" w:w="23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GOOGLE_CLIENT_ID</w:t>
            </w:r>
          </w:p>
        </w:tc>
        <w:tc>
          <w:tcPr>
            <w:tcW w:type="dxa" w:w="21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backend/.env</w:t>
            </w:r>
          </w:p>
        </w:tc>
        <w:tc>
          <w:tcPr>
            <w:tcW w:type="dxa" w:w="35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Identifica la aplicación ante Google</w:t>
            </w:r>
          </w:p>
        </w:tc>
        <w:tc>
          <w:tcPr>
            <w:tcW w:type="dxa" w:w="14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Alta</w:t>
            </w:r>
          </w:p>
        </w:tc>
      </w:tr>
      <w:tr>
        <w:trPr>
          <w:cantSplit/>
        </w:trPr>
        <w:tc>
          <w:tcPr>
            <w:tcW w:type="dxa" w:w="2300"/>
            <w:shd w:fill="FFFFFF"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GOOGLE_CLIENT_SECRET</w:t>
            </w:r>
          </w:p>
        </w:tc>
        <w:tc>
          <w:tcPr>
            <w:tcW w:type="dxa" w:w="2100"/>
            <w:shd w:fill="FFFFFF"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backend/.env</w:t>
            </w:r>
          </w:p>
        </w:tc>
        <w:tc>
          <w:tcPr>
            <w:tcW w:type="dxa" w:w="35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Secreto del cliente OAuth</w:t>
            </w:r>
          </w:p>
        </w:tc>
        <w:tc>
          <w:tcPr>
            <w:tcW w:type="dxa" w:w="14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Alta</w:t>
            </w:r>
          </w:p>
        </w:tc>
      </w:tr>
      <w:tr>
        <w:trPr>
          <w:cantSplit/>
        </w:trPr>
        <w:tc>
          <w:tcPr>
            <w:tcW w:type="dxa" w:w="23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AUTH_GOOGLE_ID</w:t>
            </w:r>
          </w:p>
        </w:tc>
        <w:tc>
          <w:tcPr>
            <w:tcW w:type="dxa" w:w="21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frontend/.env.local</w:t>
            </w:r>
          </w:p>
        </w:tc>
        <w:tc>
          <w:tcPr>
            <w:tcW w:type="dxa" w:w="35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Mismo valor que GOOGLE_CLIENT_ID</w:t>
            </w:r>
          </w:p>
        </w:tc>
        <w:tc>
          <w:tcPr>
            <w:tcW w:type="dxa" w:w="14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Alta</w:t>
            </w:r>
          </w:p>
        </w:tc>
      </w:tr>
      <w:tr>
        <w:trPr>
          <w:cantSplit/>
        </w:trPr>
        <w:tc>
          <w:tcPr>
            <w:tcW w:type="dxa" w:w="2300"/>
            <w:shd w:fill="FFFFFF"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AUTH_GOOGLE_SECRET</w:t>
            </w:r>
          </w:p>
        </w:tc>
        <w:tc>
          <w:tcPr>
            <w:tcW w:type="dxa" w:w="2100"/>
            <w:shd w:fill="FFFFFF"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frontend/.env.local</w:t>
            </w:r>
          </w:p>
        </w:tc>
        <w:tc>
          <w:tcPr>
            <w:tcW w:type="dxa" w:w="35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Mismo valor que GOOGLE_CLIENT_SECRET</w:t>
            </w:r>
          </w:p>
        </w:tc>
        <w:tc>
          <w:tcPr>
            <w:tcW w:type="dxa" w:w="14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Alta</w:t>
            </w:r>
          </w:p>
        </w:tc>
      </w:tr>
      <w:tr>
        <w:trPr>
          <w:cantSplit/>
        </w:trPr>
        <w:tc>
          <w:tcPr>
            <w:tcW w:type="dxa" w:w="23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SECRET_KEY</w:t>
            </w:r>
          </w:p>
        </w:tc>
        <w:tc>
          <w:tcPr>
            <w:tcW w:type="dxa" w:w="21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backend/.env</w:t>
            </w:r>
          </w:p>
        </w:tc>
        <w:tc>
          <w:tcPr>
            <w:tcW w:type="dxa" w:w="35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Firma los tokens de sesión del backend</w:t>
            </w:r>
          </w:p>
        </w:tc>
        <w:tc>
          <w:tcPr>
            <w:tcW w:type="dxa" w:w="1400"/>
            <w:shd w:fill="F7F9FC" w:val="clear"/>
            <w:tcMar>
              <w:top w:type="dxa" w:w="100"/>
              <w:left w:type="dxa" w:w="120"/>
              <w:bottom w:type="dxa" w:w="100"/>
              <w:right w:type="dxa" w:w="120"/>
            </w:tcMar>
          </w:tcPr>
          <w:p>
            <w:pPr>
              <w:spacing w:after="0" w:line="252"/>
            </w:pPr>
            <w:r>
              <w:rPr>
                <w:rFonts w:ascii="Calibri" w:cs="Calibri" w:eastAsia="Calibri" w:hAnsi="Calibri"/>
                <w:b/>
                <w:bCs/>
                <w:color w:val="C00000"/>
                <w:sz w:val="19"/>
                <w:szCs w:val="19"/>
              </w:rPr>
              <w:t xml:space="preserve">CRÍTICA</w:t>
            </w:r>
          </w:p>
        </w:tc>
      </w:tr>
      <w:tr>
        <w:trPr>
          <w:cantSplit/>
        </w:trPr>
        <w:tc>
          <w:tcPr>
            <w:tcW w:type="dxa" w:w="2300"/>
            <w:shd w:fill="FFFFFF"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AUTH_SECRET</w:t>
            </w:r>
          </w:p>
        </w:tc>
        <w:tc>
          <w:tcPr>
            <w:tcW w:type="dxa" w:w="2100"/>
            <w:shd w:fill="FFFFFF"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frontend/.env.local</w:t>
            </w:r>
          </w:p>
        </w:tc>
        <w:tc>
          <w:tcPr>
            <w:tcW w:type="dxa" w:w="35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Firma las cookies de sesión de NextAuth</w:t>
            </w:r>
          </w:p>
        </w:tc>
        <w:tc>
          <w:tcPr>
            <w:tcW w:type="dxa" w:w="1400"/>
            <w:shd w:fill="FFFFFF" w:val="clear"/>
            <w:tcMar>
              <w:top w:type="dxa" w:w="100"/>
              <w:left w:type="dxa" w:w="120"/>
              <w:bottom w:type="dxa" w:w="100"/>
              <w:right w:type="dxa" w:w="120"/>
            </w:tcMar>
          </w:tcPr>
          <w:p>
            <w:pPr>
              <w:spacing w:after="0" w:line="252"/>
            </w:pPr>
            <w:r>
              <w:rPr>
                <w:rFonts w:ascii="Calibri" w:cs="Calibri" w:eastAsia="Calibri" w:hAnsi="Calibri"/>
                <w:b/>
                <w:bCs/>
                <w:color w:val="C00000"/>
                <w:sz w:val="19"/>
                <w:szCs w:val="19"/>
              </w:rPr>
              <w:t xml:space="preserve">CRÍTICA</w:t>
            </w:r>
          </w:p>
        </w:tc>
      </w:tr>
      <w:tr>
        <w:trPr>
          <w:cantSplit/>
        </w:trPr>
        <w:tc>
          <w:tcPr>
            <w:tcW w:type="dxa" w:w="23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GROQ_API_KEY</w:t>
            </w:r>
          </w:p>
        </w:tc>
        <w:tc>
          <w:tcPr>
            <w:tcW w:type="dxa" w:w="21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backend/.env</w:t>
            </w:r>
          </w:p>
        </w:tc>
        <w:tc>
          <w:tcPr>
            <w:tcW w:type="dxa" w:w="35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Acceso al modelo de lenguaje del asistente</w:t>
            </w:r>
          </w:p>
        </w:tc>
        <w:tc>
          <w:tcPr>
            <w:tcW w:type="dxa" w:w="14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Media</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C00000" w:sz="18"/>
              <w:bottom w:val="single" w:color="BFBFBF" w:sz="4"/>
              <w:right w:val="single" w:color="BFBFBF" w:sz="4"/>
            </w:tcBorders>
            <w:shd w:fill="FBE4E4" w:val="clear"/>
            <w:tcMar>
              <w:top w:type="dxa" w:w="140"/>
              <w:left w:type="dxa" w:w="180"/>
              <w:bottom w:type="dxa" w:w="140"/>
              <w:right w:type="dxa" w:w="180"/>
            </w:tcMar>
          </w:tcPr>
          <w:p>
            <w:pPr>
              <w:spacing w:after="60"/>
            </w:pPr>
            <w:r>
              <w:rPr>
                <w:rFonts w:ascii="Calibri" w:cs="Calibri" w:eastAsia="Calibri" w:hAnsi="Calibri"/>
                <w:b/>
                <w:bCs/>
                <w:color w:val="C00000"/>
                <w:sz w:val="21"/>
                <w:szCs w:val="21"/>
              </w:rPr>
              <w:t xml:space="preserve">Por qué SECRET_KEY y AUTH_SECRET son críticas</w:t>
            </w:r>
          </w:p>
          <w:p>
            <w:pPr>
              <w:spacing w:after="40" w:line="276"/>
            </w:pPr>
            <w:r>
              <w:rPr>
                <w:rFonts w:ascii="Calibri" w:cs="Calibri" w:eastAsia="Calibri" w:hAnsi="Calibri"/>
                <w:sz w:val="21"/>
                <w:szCs w:val="21"/>
              </w:rPr>
              <w:t xml:space="preserve">SECRET_KEY es la clave con la que el backend firma los tokens de sesión. Cualquier persona que conozca su valor puede generar un token válido con rol de administrador y acceder a la plataforma sin autenticarse ante Google.</w:t>
            </w:r>
          </w:p>
          <w:p>
            <w:pPr>
              <w:spacing w:after="40" w:line="276"/>
            </w:pPr>
            <w:r>
              <w:rPr>
                <w:rFonts w:ascii="Calibri" w:cs="Calibri" w:eastAsia="Calibri" w:hAnsi="Calibri"/>
                <w:sz w:val="21"/>
                <w:szCs w:val="21"/>
              </w:rPr>
              <w:t xml:space="preserve">Mientras el hospital no reemplace este valor por uno propio, el equipo de desarrollo original conserva esa capacidad sobre la instalación productiva. Lo mismo aplica a AUTH_SECRET en el frontend.</w:t>
            </w:r>
          </w:p>
          <w:p>
            <w:pPr>
              <w:spacing w:after="40" w:line="276"/>
            </w:pPr>
            <w:r>
              <w:rPr>
                <w:rFonts w:ascii="Calibri" w:cs="Calibri" w:eastAsia="Calibri" w:hAnsi="Calibri"/>
                <w:sz w:val="21"/>
                <w:szCs w:val="21"/>
              </w:rPr>
              <w:t xml:space="preserve">Estas dos variables deben rotarse antes de que el sistema reciba su primer usuario real.</w:t>
            </w:r>
          </w:p>
        </w:tc>
      </w:tr>
    </w:tbl>
    <w:p>
      <w:pPr>
        <w:pStyle w:val="Heading2"/>
        <w:keepNext/>
        <w:keepLines/>
        <w:spacing w:after="120" w:before="260"/>
      </w:pPr>
      <w:r>
        <w:rPr>
          <w:rFonts w:ascii="Calibri" w:cs="Calibri" w:eastAsia="Calibri" w:hAnsi="Calibri"/>
          <w:b/>
          <w:bCs/>
          <w:color w:val="1F4E79"/>
          <w:sz w:val="24"/>
          <w:szCs w:val="24"/>
        </w:rPr>
        <w:t xml:space="preserve">2.1 Generación de los valores nuevos</w:t>
      </w:r>
    </w:p>
    <w:p>
      <w:pPr>
        <w:spacing w:after="120" w:line="276"/>
      </w:pPr>
      <w:r>
        <w:rPr>
          <w:rFonts w:ascii="Calibri" w:cs="Calibri" w:eastAsia="Calibri" w:hAnsi="Calibri"/>
          <w:sz w:val="21"/>
          <w:szCs w:val="21"/>
        </w:rPr>
        <w:t xml:space="preserve">Ejecutar los siguientes comandos y guardar cada resultado en el archivo correspondiente: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1F4E79" w:sz="18"/>
              <w:bottom w:val="single" w:color="D0D0D0" w:sz="4"/>
              <w:right w:val="single" w:color="D0D0D0" w:sz="4"/>
            </w:tcBorders>
            <w:shd w:fill="F8F8F8"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SECRET_KEY  (backend/.env)</w:t>
            </w:r>
          </w:p>
          <w:p>
            <w:pPr>
              <w:spacing w:after="0" w:line="240"/>
            </w:pPr>
            <w:r>
              <w:rPr>
                <w:rFonts w:ascii="Consolas" w:cs="Consolas" w:eastAsia="Consolas" w:hAnsi="Consolas"/>
                <w:sz w:val="18"/>
                <w:szCs w:val="18"/>
              </w:rPr>
              <w:t xml:space="preserve">python -c "import secrets; print(secrets.token_hex(32))"</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AUTH_SECRET  (frontend/.env.local)</w:t>
            </w:r>
          </w:p>
          <w:p>
            <w:pPr>
              <w:spacing w:after="0" w:line="240"/>
            </w:pPr>
            <w:r>
              <w:rPr>
                <w:rFonts w:ascii="Consolas" w:cs="Consolas" w:eastAsia="Consolas" w:hAnsi="Consolas"/>
                <w:sz w:val="18"/>
                <w:szCs w:val="18"/>
              </w:rPr>
              <w:t xml:space="preserve">openssl rand -hex 32</w:t>
            </w:r>
          </w:p>
        </w:tc>
      </w:tr>
    </w:tbl>
    <w:p>
      <w:pPr>
        <w:spacing w:after="120"/>
      </w:pPr>
    </w:p>
    <w:p>
      <w:pPr>
        <w:spacing w:after="120" w:line="276"/>
      </w:pPr>
      <w:r>
        <w:rPr>
          <w:rFonts w:ascii="Calibri" w:cs="Calibri" w:eastAsia="Calibri" w:hAnsi="Calibri"/>
          <w:sz w:val="21"/>
          <w:szCs w:val="21"/>
        </w:rPr>
        <w:t xml:space="preserve">Ambos archivos están excluidos del control de versiones y no deben incorporarse al repositorio bajo ninguna circunstancia.</w:t>
      </w:r>
    </w:p>
    <w:p>
      <w:r>
        <w:br w:type="page"/>
      </w:r>
    </w:p>
    <w:p>
      <w:pPr>
        <w:pStyle w:val="Heading1"/>
        <w:keepNext/>
        <w:keepLines/>
        <w:spacing w:after="160" w:before="360"/>
      </w:pPr>
      <w:r>
        <w:rPr>
          <w:rFonts w:ascii="Calibri" w:cs="Calibri" w:eastAsia="Calibri" w:hAnsi="Calibri"/>
          <w:b/>
          <w:bCs/>
          <w:color w:val="1F4E79"/>
          <w:sz w:val="30"/>
          <w:szCs w:val="30"/>
        </w:rPr>
        <w:t xml:space="preserve">3. Cuenta Google institucional</w:t>
      </w:r>
    </w:p>
    <w:p>
      <w:pPr>
        <w:spacing w:after="120" w:line="276"/>
      </w:pPr>
      <w:r>
        <w:rPr>
          <w:rFonts w:ascii="Calibri" w:cs="Calibri" w:eastAsia="Calibri" w:hAnsi="Calibri"/>
          <w:sz w:val="21"/>
          <w:szCs w:val="21"/>
        </w:rPr>
        <w:t xml:space="preserve">El primer paso del traspaso es definir bajo qué cuenta quedará registrado el proyecto de Google Cloud. Esta decisión determina quién controla el acceso de todos los usuarios de la plataforma.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7F6000" w:sz="18"/>
              <w:bottom w:val="single" w:color="BFBFBF" w:sz="4"/>
              <w:right w:val="single" w:color="BFBFBF" w:sz="4"/>
            </w:tcBorders>
            <w:shd w:fill="FFF2CC" w:val="clear"/>
            <w:tcMar>
              <w:top w:type="dxa" w:w="140"/>
              <w:left w:type="dxa" w:w="180"/>
              <w:bottom w:type="dxa" w:w="140"/>
              <w:right w:type="dxa" w:w="180"/>
            </w:tcMar>
          </w:tcPr>
          <w:p>
            <w:pPr>
              <w:spacing w:after="60"/>
            </w:pPr>
            <w:r>
              <w:rPr>
                <w:rFonts w:ascii="Calibri" w:cs="Calibri" w:eastAsia="Calibri" w:hAnsi="Calibri"/>
                <w:b/>
                <w:bCs/>
                <w:color w:val="7F6000"/>
                <w:sz w:val="21"/>
                <w:szCs w:val="21"/>
              </w:rPr>
              <w:t xml:space="preserve">Restricción detectada en el dominio institucional</w:t>
            </w:r>
          </w:p>
          <w:p>
            <w:pPr>
              <w:spacing w:after="40" w:line="276"/>
            </w:pPr>
            <w:r>
              <w:rPr>
                <w:rFonts w:ascii="Calibri" w:cs="Calibri" w:eastAsia="Calibri" w:hAnsi="Calibri"/>
                <w:sz w:val="21"/>
                <w:szCs w:val="21"/>
              </w:rPr>
              <w:t xml:space="preserve">El dominio redsalud.gob.cl opera su correo sobre Microsoft 365, en un tenant administrado por MINSAL. Se verificó mediante los registros DNS del dominio (MX apuntando a minsal-gob-cl.mail.protection.outlook.com).</w:t>
            </w:r>
          </w:p>
          <w:p>
            <w:pPr>
              <w:spacing w:after="40" w:line="276"/>
            </w:pPr>
            <w:r>
              <w:rPr>
                <w:rFonts w:ascii="Calibri" w:cs="Calibri" w:eastAsia="Calibri" w:hAnsi="Calibri"/>
                <w:sz w:val="21"/>
                <w:szCs w:val="21"/>
              </w:rPr>
              <w:t xml:space="preserve">Consecuencia: el hospital no dispone de Google Workspace, por lo que no existen cuentas de Google institucionales de forma nativa, y la opción "Interno" de la pantalla de consentimiento OAuth no está disponible.</w:t>
            </w:r>
          </w:p>
        </w:tc>
      </w:tr>
    </w:tbl>
    <w:p>
      <w:pPr>
        <w:pStyle w:val="Heading2"/>
        <w:keepNext/>
        <w:keepLines/>
        <w:spacing w:after="120" w:before="260"/>
      </w:pPr>
      <w:r>
        <w:rPr>
          <w:rFonts w:ascii="Calibri" w:cs="Calibri" w:eastAsia="Calibri" w:hAnsi="Calibri"/>
          <w:b/>
          <w:bCs/>
          <w:color w:val="1F4E79"/>
          <w:sz w:val="24"/>
          <w:szCs w:val="24"/>
        </w:rPr>
        <w:t xml:space="preserve">3.1 Procedimiento recomendado</w:t>
      </w:r>
    </w:p>
    <w:p>
      <w:pPr>
        <w:spacing w:after="120" w:line="276"/>
      </w:pPr>
      <w:r>
        <w:rPr>
          <w:rFonts w:ascii="Calibri" w:cs="Calibri" w:eastAsia="Calibri" w:hAnsi="Calibri"/>
          <w:sz w:val="21"/>
          <w:szCs w:val="21"/>
        </w:rPr>
        <w:t xml:space="preserve">Google permite crear una cuenta de Google utilizando una dirección de correo que no sea Gmail. Esto permite que el proyecto quede bajo una identidad institucional en lugar de una cuenta personal.</w:t>
      </w:r>
    </w:p>
    <w:p>
      <w:pPr>
        <w:pStyle w:val="ListParagraph"/>
        <w:numPr>
          <w:ilvl w:val="0"/>
          <w:numId w:val="3"/>
        </w:numPr>
        <w:spacing w:after="80" w:line="276"/>
      </w:pPr>
      <w:r>
        <w:rPr>
          <w:rFonts w:ascii="Calibri" w:cs="Calibri" w:eastAsia="Calibri" w:hAnsi="Calibri"/>
          <w:sz w:val="21"/>
          <w:szCs w:val="21"/>
        </w:rPr>
        <w:t xml:space="preserve">Ingresar a </w:t>
      </w:r>
      <w:r>
        <w:rPr>
          <w:rFonts w:ascii="Consolas" w:cs="Consolas" w:eastAsia="Consolas" w:hAnsi="Consolas"/>
          <w:sz w:val="19"/>
          <w:szCs w:val="19"/>
          <w:shd w:fill="F2F2F2" w:val="clear"/>
        </w:rPr>
        <w:t xml:space="preserve">accounts.google.com/signup</w:t>
      </w:r>
      <w:r>
        <w:rPr>
          <w:rFonts w:ascii="Calibri" w:cs="Calibri" w:eastAsia="Calibri" w:hAnsi="Calibri"/>
          <w:sz w:val="21"/>
          <w:szCs w:val="21"/>
        </w:rPr>
        <w:t xml:space="preserve"> y seleccionar la opción "Usar mi dirección de correo electrónico actual".</w:t>
      </w:r>
    </w:p>
    <w:p>
      <w:pPr>
        <w:pStyle w:val="ListParagraph"/>
        <w:numPr>
          <w:ilvl w:val="0"/>
          <w:numId w:val="3"/>
        </w:numPr>
        <w:spacing w:after="80" w:line="276"/>
      </w:pPr>
      <w:r>
        <w:rPr>
          <w:rFonts w:ascii="Calibri" w:cs="Calibri" w:eastAsia="Calibri" w:hAnsi="Calibri"/>
          <w:sz w:val="21"/>
          <w:szCs w:val="21"/>
        </w:rPr>
        <w:t xml:space="preserve">Indicar una casilla institucional de carácter permanente y no personal, preferentemente un buzón compartido de la Unidad de Informática (por ejemplo, la casilla del área, no la de un funcionario individual).</w:t>
      </w:r>
    </w:p>
    <w:p>
      <w:pPr>
        <w:pStyle w:val="ListParagraph"/>
        <w:numPr>
          <w:ilvl w:val="0"/>
          <w:numId w:val="3"/>
        </w:numPr>
        <w:spacing w:after="80" w:line="276"/>
      </w:pPr>
      <w:r>
        <w:rPr>
          <w:rFonts w:ascii="Calibri" w:cs="Calibri" w:eastAsia="Calibri" w:hAnsi="Calibri"/>
          <w:sz w:val="21"/>
          <w:szCs w:val="21"/>
        </w:rPr>
        <w:t xml:space="preserve">Completar la verificación por correo.</w:t>
      </w:r>
    </w:p>
    <w:p>
      <w:pPr>
        <w:pStyle w:val="ListParagraph"/>
        <w:numPr>
          <w:ilvl w:val="0"/>
          <w:numId w:val="3"/>
        </w:numPr>
        <w:spacing w:after="80" w:line="276"/>
      </w:pPr>
      <w:r>
        <w:rPr>
          <w:rFonts w:ascii="Calibri" w:cs="Calibri" w:eastAsia="Calibri" w:hAnsi="Calibri"/>
          <w:sz w:val="21"/>
          <w:szCs w:val="21"/>
        </w:rPr>
        <w:t xml:space="preserve">Registrar las credenciales de esta cuenta en el sistema de gestión de contraseñas del hospital, con al menos dos responsables designados.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C00000" w:sz="18"/>
              <w:bottom w:val="single" w:color="BFBFBF" w:sz="4"/>
              <w:right w:val="single" w:color="BFBFBF" w:sz="4"/>
            </w:tcBorders>
            <w:shd w:fill="FBE4E4" w:val="clear"/>
            <w:tcMar>
              <w:top w:type="dxa" w:w="140"/>
              <w:left w:type="dxa" w:w="180"/>
              <w:bottom w:type="dxa" w:w="140"/>
              <w:right w:type="dxa" w:w="180"/>
            </w:tcMar>
          </w:tcPr>
          <w:p>
            <w:pPr>
              <w:spacing w:after="60"/>
            </w:pPr>
            <w:r>
              <w:rPr>
                <w:rFonts w:ascii="Calibri" w:cs="Calibri" w:eastAsia="Calibri" w:hAnsi="Calibri"/>
                <w:b/>
                <w:bCs/>
                <w:color w:val="C00000"/>
                <w:sz w:val="21"/>
                <w:szCs w:val="21"/>
              </w:rPr>
              <w:t xml:space="preserve">Riesgo a evitar</w:t>
            </w:r>
          </w:p>
          <w:p>
            <w:pPr>
              <w:spacing w:after="40" w:line="276"/>
            </w:pPr>
            <w:r>
              <w:rPr>
                <w:rFonts w:ascii="Calibri" w:cs="Calibri" w:eastAsia="Calibri" w:hAnsi="Calibri"/>
                <w:sz w:val="21"/>
                <w:szCs w:val="21"/>
              </w:rPr>
              <w:t xml:space="preserve">Si el proyecto de Google Cloud se crea bajo la cuenta Gmail personal de un funcionario, el hospital reproduce exactamente el problema que este traspaso busca resolver: la plataforma quedaría dependiendo de una persona en lugar de la institución. Ante una desvinculación, el acceso se pierde.</w:t>
            </w:r>
          </w:p>
        </w:tc>
      </w:tr>
    </w:tbl>
    <w:p>
      <w:pPr>
        <w:pStyle w:val="Heading1"/>
        <w:keepNext/>
        <w:keepLines/>
        <w:spacing w:after="160" w:before="360"/>
      </w:pPr>
      <w:r>
        <w:rPr>
          <w:rFonts w:ascii="Calibri" w:cs="Calibri" w:eastAsia="Calibri" w:hAnsi="Calibri"/>
          <w:b/>
          <w:bCs/>
          <w:color w:val="1F4E79"/>
          <w:sz w:val="30"/>
          <w:szCs w:val="30"/>
        </w:rPr>
        <w:t xml:space="preserve">4. Proyecto en Google Cloud y credenciales OAuth</w:t>
      </w:r>
    </w:p>
    <w:p>
      <w:pPr>
        <w:spacing w:after="120" w:line="276"/>
      </w:pPr>
      <w:r>
        <w:rPr>
          <w:rFonts w:ascii="Calibri" w:cs="Calibri" w:eastAsia="Calibri" w:hAnsi="Calibri"/>
          <w:sz w:val="21"/>
          <w:szCs w:val="21"/>
        </w:rPr>
        <w:t xml:space="preserve">Con la cuenta institucional ya creada, iniciar sesión en console.cloud.google.com y ejecutar los siguientes pasos.</w:t>
      </w:r>
    </w:p>
    <w:p>
      <w:pPr>
        <w:pStyle w:val="Heading2"/>
        <w:keepNext/>
        <w:keepLines/>
        <w:spacing w:after="120" w:before="260"/>
      </w:pPr>
      <w:r>
        <w:rPr>
          <w:rFonts w:ascii="Calibri" w:cs="Calibri" w:eastAsia="Calibri" w:hAnsi="Calibri"/>
          <w:b/>
          <w:bCs/>
          <w:color w:val="1F4E79"/>
          <w:sz w:val="24"/>
          <w:szCs w:val="24"/>
        </w:rPr>
        <w:t xml:space="preserve">4.1 Crear el proyecto</w:t>
      </w:r>
    </w:p>
    <w:p>
      <w:pPr>
        <w:pStyle w:val="ListParagraph"/>
        <w:numPr>
          <w:ilvl w:val="0"/>
          <w:numId w:val="4"/>
        </w:numPr>
        <w:spacing w:after="80" w:line="276"/>
      </w:pPr>
      <w:r>
        <w:rPr>
          <w:rFonts w:ascii="Calibri" w:cs="Calibri" w:eastAsia="Calibri" w:hAnsi="Calibri"/>
          <w:sz w:val="21"/>
          <w:szCs w:val="21"/>
        </w:rPr>
        <w:t xml:space="preserve">Crear un proyecto nuevo con un nombre identificable, por ejemplo "Guia Digital Adulto Mayor HUAP".</w:t>
      </w:r>
    </w:p>
    <w:p>
      <w:pPr>
        <w:pStyle w:val="ListParagraph"/>
        <w:numPr>
          <w:ilvl w:val="0"/>
          <w:numId w:val="4"/>
        </w:numPr>
        <w:spacing w:after="80" w:line="276"/>
      </w:pPr>
      <w:r>
        <w:rPr>
          <w:rFonts w:ascii="Calibri" w:cs="Calibri" w:eastAsia="Calibri" w:hAnsi="Calibri"/>
          <w:sz w:val="21"/>
          <w:szCs w:val="21"/>
        </w:rPr>
        <w:t xml:space="preserve">En el menú lateral, ingresar a </w:t>
      </w:r>
      <w:r>
        <w:rPr>
          <w:rFonts w:ascii="Calibri" w:cs="Calibri" w:eastAsia="Calibri" w:hAnsi="Calibri"/>
          <w:b/>
          <w:bCs/>
          <w:sz w:val="21"/>
          <w:szCs w:val="21"/>
        </w:rPr>
        <w:t xml:space="preserve">API y servicios</w:t>
      </w:r>
      <w:r>
        <w:rPr>
          <w:rFonts w:ascii="Calibri" w:cs="Calibri" w:eastAsia="Calibri" w:hAnsi="Calibri"/>
          <w:sz w:val="21"/>
          <w:szCs w:val="21"/>
        </w:rPr>
        <w:t xml:space="preserve"> → </w:t>
      </w:r>
      <w:r>
        <w:rPr>
          <w:rFonts w:ascii="Calibri" w:cs="Calibri" w:eastAsia="Calibri" w:hAnsi="Calibri"/>
          <w:b/>
          <w:bCs/>
          <w:sz w:val="21"/>
          <w:szCs w:val="21"/>
        </w:rPr>
        <w:t xml:space="preserve">Pantalla de consentimiento de OAuth</w:t>
      </w:r>
      <w:r>
        <w:rPr>
          <w:rFonts w:ascii="Calibri" w:cs="Calibri" w:eastAsia="Calibri" w:hAnsi="Calibri"/>
          <w:sz w:val="21"/>
          <w:szCs w:val="21"/>
        </w:rPr>
        <w:t xml:space="preserve">.</w:t>
      </w:r>
    </w:p>
    <w:p>
      <w:pPr>
        <w:pStyle w:val="Heading2"/>
        <w:keepNext/>
        <w:keepLines/>
        <w:spacing w:after="120" w:before="260"/>
      </w:pPr>
      <w:r>
        <w:rPr>
          <w:rFonts w:ascii="Calibri" w:cs="Calibri" w:eastAsia="Calibri" w:hAnsi="Calibri"/>
          <w:b/>
          <w:bCs/>
          <w:color w:val="1F4E79"/>
          <w:sz w:val="24"/>
          <w:szCs w:val="24"/>
        </w:rPr>
        <w:t xml:space="preserve">4.2 Configurar la pantalla de consentimiento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Campo</w:t>
            </w:r>
          </w:p>
        </w:tc>
        <w:tc>
          <w:tcPr>
            <w:tcW w:type="dxa" w:w="32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Valor a utilizar</w:t>
            </w:r>
          </w:p>
        </w:tc>
        <w:tc>
          <w:tcPr>
            <w:tcW w:type="dxa" w:w="416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Observación</w:t>
            </w:r>
          </w:p>
        </w:tc>
      </w:tr>
      <w:tr>
        <w:trPr>
          <w:cantSplit/>
        </w:trPr>
        <w:tc>
          <w:tcPr>
            <w:tcW w:type="dxa" w:w="20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Tipo de usuario</w:t>
            </w:r>
          </w:p>
        </w:tc>
        <w:tc>
          <w:tcPr>
            <w:tcW w:type="dxa" w:w="32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Externo</w:t>
            </w:r>
          </w:p>
        </w:tc>
        <w:tc>
          <w:tcPr>
            <w:tcW w:type="dxa" w:w="41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"Interno" requiere Google Workspace; no está disponible (ver sección 3)</w:t>
            </w:r>
          </w:p>
        </w:tc>
      </w:tr>
      <w:tr>
        <w:trPr>
          <w:cantSplit/>
        </w:trPr>
        <w:tc>
          <w:tcPr>
            <w:tcW w:type="dxa" w:w="20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Nombre de la aplicación</w:t>
            </w:r>
          </w:p>
        </w:tc>
        <w:tc>
          <w:tcPr>
            <w:tcW w:type="dxa" w:w="32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Guía Digital Adulto Mayor</w:t>
            </w:r>
          </w:p>
        </w:tc>
        <w:tc>
          <w:tcPr>
            <w:tcW w:type="dxa" w:w="41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Es el nombre que verá el usuario al iniciar sesión</w:t>
            </w:r>
          </w:p>
        </w:tc>
      </w:tr>
      <w:tr>
        <w:trPr>
          <w:cantSplit/>
        </w:trPr>
        <w:tc>
          <w:tcPr>
            <w:tcW w:type="dxa" w:w="20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Correo de asistencia</w:t>
            </w:r>
          </w:p>
        </w:tc>
        <w:tc>
          <w:tcPr>
            <w:tcW w:type="dxa" w:w="32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Casilla institucional del hospital</w:t>
            </w:r>
          </w:p>
        </w:tc>
        <w:tc>
          <w:tcPr>
            <w:tcW w:type="dxa" w:w="41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Visible públicamente</w:t>
            </w:r>
          </w:p>
        </w:tc>
      </w:tr>
      <w:tr>
        <w:trPr>
          <w:cantSplit/>
        </w:trPr>
        <w:tc>
          <w:tcPr>
            <w:tcW w:type="dxa" w:w="20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Dominios autorizados</w:t>
            </w:r>
          </w:p>
        </w:tc>
        <w:tc>
          <w:tcPr>
            <w:tcW w:type="dxa" w:w="32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El dominio definido en la sección 5</w:t>
            </w:r>
          </w:p>
        </w:tc>
        <w:tc>
          <w:tcPr>
            <w:tcW w:type="dxa" w:w="41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Debe estar verificado en Google Search Console</w:t>
            </w:r>
          </w:p>
        </w:tc>
      </w:tr>
      <w:tr>
        <w:trPr>
          <w:cantSplit/>
        </w:trPr>
        <w:tc>
          <w:tcPr>
            <w:tcW w:type="dxa" w:w="20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Permisos (scopes)</w:t>
            </w:r>
          </w:p>
        </w:tc>
        <w:tc>
          <w:tcPr>
            <w:tcW w:type="dxa" w:w="32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email, profile, openid</w:t>
            </w:r>
          </w:p>
        </w:tc>
        <w:tc>
          <w:tcPr>
            <w:tcW w:type="dxa" w:w="41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Solo datos básicos; no requiere revisión de Google</w:t>
            </w:r>
          </w:p>
        </w:tc>
      </w:tr>
      <w:tr>
        <w:trPr>
          <w:cantSplit/>
        </w:trPr>
        <w:tc>
          <w:tcPr>
            <w:tcW w:type="dxa" w:w="20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Estado de publicación</w:t>
            </w:r>
          </w:p>
        </w:tc>
        <w:tc>
          <w:tcPr>
            <w:tcW w:type="dxa" w:w="32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En producción</w:t>
            </w:r>
          </w:p>
        </w:tc>
        <w:tc>
          <w:tcPr>
            <w:tcW w:type="dxa" w:w="41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Ver advertencia siguiente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7F6000" w:sz="18"/>
              <w:bottom w:val="single" w:color="BFBFBF" w:sz="4"/>
              <w:right w:val="single" w:color="BFBFBF" w:sz="4"/>
            </w:tcBorders>
            <w:shd w:fill="FFF2CC" w:val="clear"/>
            <w:tcMar>
              <w:top w:type="dxa" w:w="140"/>
              <w:left w:type="dxa" w:w="180"/>
              <w:bottom w:type="dxa" w:w="140"/>
              <w:right w:type="dxa" w:w="180"/>
            </w:tcMar>
          </w:tcPr>
          <w:p>
            <w:pPr>
              <w:spacing w:after="60"/>
            </w:pPr>
            <w:r>
              <w:rPr>
                <w:rFonts w:ascii="Calibri" w:cs="Calibri" w:eastAsia="Calibri" w:hAnsi="Calibri"/>
                <w:b/>
                <w:bCs/>
                <w:color w:val="7F6000"/>
                <w:sz w:val="21"/>
                <w:szCs w:val="21"/>
              </w:rPr>
              <w:t xml:space="preserve">La aplicación debe publicarse</w:t>
            </w:r>
          </w:p>
          <w:p>
            <w:pPr>
              <w:spacing w:after="40" w:line="276"/>
            </w:pPr>
            <w:r>
              <w:rPr>
                <w:rFonts w:ascii="Calibri" w:cs="Calibri" w:eastAsia="Calibri" w:hAnsi="Calibri"/>
                <w:sz w:val="21"/>
                <w:szCs w:val="21"/>
              </w:rPr>
              <w:t xml:space="preserve">Si la pantalla de consentimiento queda en estado "Prueba", únicamente podrán iniciar sesión las cuentas agregadas manualmente como usuarios de prueba, con un tope de 100. Los demás usuarios recibirán un error de acceso.</w:t>
            </w:r>
          </w:p>
          <w:p>
            <w:pPr>
              <w:spacing w:after="40" w:line="276"/>
            </w:pPr>
            <w:r>
              <w:rPr>
                <w:rFonts w:ascii="Calibri" w:cs="Calibri" w:eastAsia="Calibri" w:hAnsi="Calibri"/>
                <w:sz w:val="21"/>
                <w:szCs w:val="21"/>
              </w:rPr>
              <w:t xml:space="preserve">Como la aplicación solo solicita datos básicos de perfil, la publicación no requiere el proceso de revisión y verificación de Google, que sí aplica a permisos sensibles.</w:t>
            </w:r>
          </w:p>
        </w:tc>
      </w:tr>
    </w:tbl>
    <w:p>
      <w:pPr>
        <w:pStyle w:val="Heading2"/>
        <w:keepNext/>
        <w:keepLines/>
        <w:spacing w:after="120" w:before="260"/>
      </w:pPr>
      <w:r>
        <w:rPr>
          <w:rFonts w:ascii="Calibri" w:cs="Calibri" w:eastAsia="Calibri" w:hAnsi="Calibri"/>
          <w:b/>
          <w:bCs/>
          <w:color w:val="1F4E79"/>
          <w:sz w:val="24"/>
          <w:szCs w:val="24"/>
        </w:rPr>
        <w:t xml:space="preserve">4.3 Crear las credenciales OAuth</w:t>
      </w:r>
    </w:p>
    <w:p>
      <w:pPr>
        <w:pStyle w:val="ListParagraph"/>
        <w:numPr>
          <w:ilvl w:val="0"/>
          <w:numId w:val="5"/>
        </w:numPr>
        <w:spacing w:after="80" w:line="276"/>
      </w:pPr>
      <w:r>
        <w:rPr>
          <w:rFonts w:ascii="Calibri" w:cs="Calibri" w:eastAsia="Calibri" w:hAnsi="Calibri"/>
          <w:sz w:val="21"/>
          <w:szCs w:val="21"/>
        </w:rPr>
        <w:t xml:space="preserve">Ingresar a </w:t>
      </w:r>
      <w:r>
        <w:rPr>
          <w:rFonts w:ascii="Calibri" w:cs="Calibri" w:eastAsia="Calibri" w:hAnsi="Calibri"/>
          <w:b/>
          <w:bCs/>
          <w:sz w:val="21"/>
          <w:szCs w:val="21"/>
        </w:rPr>
        <w:t xml:space="preserve">API y servicios</w:t>
      </w:r>
      <w:r>
        <w:rPr>
          <w:rFonts w:ascii="Calibri" w:cs="Calibri" w:eastAsia="Calibri" w:hAnsi="Calibri"/>
          <w:sz w:val="21"/>
          <w:szCs w:val="21"/>
        </w:rPr>
        <w:t xml:space="preserve"> → </w:t>
      </w:r>
      <w:r>
        <w:rPr>
          <w:rFonts w:ascii="Calibri" w:cs="Calibri" w:eastAsia="Calibri" w:hAnsi="Calibri"/>
          <w:b/>
          <w:bCs/>
          <w:sz w:val="21"/>
          <w:szCs w:val="21"/>
        </w:rPr>
        <w:t xml:space="preserve">Credenciales</w:t>
      </w:r>
      <w:r>
        <w:rPr>
          <w:rFonts w:ascii="Calibri" w:cs="Calibri" w:eastAsia="Calibri" w:hAnsi="Calibri"/>
          <w:sz w:val="21"/>
          <w:szCs w:val="21"/>
        </w:rPr>
        <w:t xml:space="preserve"> → </w:t>
      </w:r>
      <w:r>
        <w:rPr>
          <w:rFonts w:ascii="Calibri" w:cs="Calibri" w:eastAsia="Calibri" w:hAnsi="Calibri"/>
          <w:b/>
          <w:bCs/>
          <w:sz w:val="21"/>
          <w:szCs w:val="21"/>
        </w:rPr>
        <w:t xml:space="preserve">Crear credenciales</w:t>
      </w:r>
      <w:r>
        <w:rPr>
          <w:rFonts w:ascii="Calibri" w:cs="Calibri" w:eastAsia="Calibri" w:hAnsi="Calibri"/>
          <w:sz w:val="21"/>
          <w:szCs w:val="21"/>
        </w:rPr>
        <w:t xml:space="preserve"> → </w:t>
      </w:r>
      <w:r>
        <w:rPr>
          <w:rFonts w:ascii="Calibri" w:cs="Calibri" w:eastAsia="Calibri" w:hAnsi="Calibri"/>
          <w:b/>
          <w:bCs/>
          <w:sz w:val="21"/>
          <w:szCs w:val="21"/>
        </w:rPr>
        <w:t xml:space="preserve">ID de cliente de OAuth</w:t>
      </w:r>
      <w:r>
        <w:rPr>
          <w:rFonts w:ascii="Calibri" w:cs="Calibri" w:eastAsia="Calibri" w:hAnsi="Calibri"/>
          <w:sz w:val="21"/>
          <w:szCs w:val="21"/>
        </w:rPr>
        <w:t xml:space="preserve">.</w:t>
      </w:r>
    </w:p>
    <w:p>
      <w:pPr>
        <w:pStyle w:val="ListParagraph"/>
        <w:numPr>
          <w:ilvl w:val="0"/>
          <w:numId w:val="5"/>
        </w:numPr>
        <w:spacing w:after="80" w:line="276"/>
      </w:pPr>
      <w:r>
        <w:rPr>
          <w:rFonts w:ascii="Calibri" w:cs="Calibri" w:eastAsia="Calibri" w:hAnsi="Calibri"/>
          <w:sz w:val="21"/>
          <w:szCs w:val="21"/>
        </w:rPr>
        <w:t xml:space="preserve">Seleccionar el tipo "Aplicación web".</w:t>
      </w:r>
    </w:p>
    <w:p>
      <w:pPr>
        <w:pStyle w:val="ListParagraph"/>
        <w:numPr>
          <w:ilvl w:val="0"/>
          <w:numId w:val="5"/>
        </w:numPr>
        <w:spacing w:after="80" w:line="276"/>
      </w:pPr>
      <w:r>
        <w:rPr>
          <w:rFonts w:ascii="Calibri" w:cs="Calibri" w:eastAsia="Calibri" w:hAnsi="Calibri"/>
          <w:sz w:val="21"/>
          <w:szCs w:val="21"/>
        </w:rPr>
        <w:t xml:space="preserve">Registrar los orígenes y URI de redirección según la tabla siguiente, reemplazando DOMINIO por el nombre definitivo del servidor.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Campo en Google Cloud</w:t>
            </w:r>
          </w:p>
        </w:tc>
        <w:tc>
          <w:tcPr>
            <w:tcW w:type="dxa" w:w="576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Valor</w:t>
            </w:r>
          </w:p>
        </w:tc>
      </w:tr>
      <w:tr>
        <w:trPr>
          <w:cantSplit/>
        </w:trPr>
        <w:tc>
          <w:tcPr>
            <w:tcW w:type="dxa" w:w="36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Orígenes autorizados de JavaScript</w:t>
            </w:r>
          </w:p>
        </w:tc>
        <w:tc>
          <w:tcPr>
            <w:tcW w:type="dxa" w:w="576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https://DOMINIO_FRONTEND</w:t>
            </w:r>
          </w:p>
        </w:tc>
      </w:tr>
      <w:tr>
        <w:trPr>
          <w:cantSplit/>
        </w:trPr>
        <w:tc>
          <w:tcPr>
            <w:tcW w:type="dxa" w:w="36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URI de redirección autorizados</w:t>
            </w:r>
          </w:p>
        </w:tc>
        <w:tc>
          <w:tcPr>
            <w:tcW w:type="dxa" w:w="5760"/>
            <w:shd w:fill="FFFFFF"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https://DOMINIO_FRONTEND/api/auth/callback/google</w:t>
            </w:r>
          </w:p>
        </w:tc>
      </w:tr>
      <w:tr>
        <w:trPr>
          <w:cantSplit/>
        </w:trPr>
        <w:tc>
          <w:tcPr>
            <w:tcW w:type="dxa" w:w="36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URI adicional (solo para pruebas locales)</w:t>
            </w:r>
          </w:p>
        </w:tc>
        <w:tc>
          <w:tcPr>
            <w:tcW w:type="dxa" w:w="576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http://localhost:3000/api/auth/callback/google</w:t>
            </w:r>
          </w:p>
        </w:tc>
      </w:tr>
    </w:tbl>
    <w:p>
      <w:pPr>
        <w:spacing w:after="160"/>
      </w:pPr>
    </w:p>
    <w:p>
      <w:pPr>
        <w:spacing w:after="120" w:line="276"/>
      </w:pPr>
      <w:r>
        <w:rPr>
          <w:rFonts w:ascii="Calibri" w:cs="Calibri" w:eastAsia="Calibri" w:hAnsi="Calibri"/>
          <w:sz w:val="21"/>
          <w:szCs w:val="21"/>
        </w:rPr>
        <w:t xml:space="preserve">La ruta /api/auth/callback/google es fija: la define NextAuth y no debe modificarse. Un error de un solo carácter en esta URI produce el mensaje "redirect_uri_mismatch" al intentar iniciar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7F6000" w:sz="18"/>
              <w:bottom w:val="single" w:color="BFBFBF" w:sz="4"/>
              <w:right w:val="single" w:color="BFBFBF" w:sz="4"/>
            </w:tcBorders>
            <w:shd w:fill="FFF2CC" w:val="clear"/>
            <w:tcMar>
              <w:top w:type="dxa" w:w="140"/>
              <w:left w:type="dxa" w:w="180"/>
              <w:bottom w:type="dxa" w:w="140"/>
              <w:right w:type="dxa" w:w="180"/>
            </w:tcMar>
          </w:tcPr>
          <w:p>
            <w:pPr>
              <w:spacing w:after="60"/>
            </w:pPr>
            <w:r>
              <w:rPr>
                <w:rFonts w:ascii="Calibri" w:cs="Calibri" w:eastAsia="Calibri" w:hAnsi="Calibri"/>
                <w:b/>
                <w:bCs/>
                <w:color w:val="7F6000"/>
                <w:sz w:val="21"/>
                <w:szCs w:val="21"/>
              </w:rPr>
              <w:t xml:space="preserve">El Client ID debe ser idéntico en backend y frontend</w:t>
            </w:r>
          </w:p>
          <w:p>
            <w:pPr>
              <w:spacing w:after="40" w:line="276"/>
            </w:pPr>
            <w:r>
              <w:rPr>
                <w:rFonts w:ascii="Calibri" w:cs="Calibri" w:eastAsia="Calibri" w:hAnsi="Calibri"/>
                <w:sz w:val="21"/>
                <w:szCs w:val="21"/>
              </w:rPr>
              <w:t xml:space="preserve">El backend valida que el token recibido haya sido emitido para esta misma aplicación, comparando el campo "aud" del token contra su propia variable GOOGLE_CLIENT_ID (archivo backend/core/security.py).</w:t>
            </w:r>
          </w:p>
          <w:p>
            <w:pPr>
              <w:spacing w:after="40" w:line="276"/>
            </w:pPr>
            <w:r>
              <w:rPr>
                <w:rFonts w:ascii="Calibri" w:cs="Calibri" w:eastAsia="Calibri" w:hAnsi="Calibri"/>
                <w:sz w:val="21"/>
                <w:szCs w:val="21"/>
              </w:rPr>
              <w:t xml:space="preserve">Si el backend y el frontend se configuran con Client ID distintos, el inicio de sesión fallará con el mensaje "Token no corresponde a esta aplicación", aun cuando ambas credenciales sean válidas por separado. Es el error de configuración más frecuente en esta plataforma.</w:t>
            </w:r>
          </w:p>
        </w:tc>
      </w:tr>
    </w:tbl>
    <w:p>
      <w:r>
        <w:br w:type="page"/>
      </w:r>
    </w:p>
    <w:p>
      <w:pPr>
        <w:pStyle w:val="Heading1"/>
        <w:keepNext/>
        <w:keepLines/>
        <w:spacing w:after="160" w:before="360"/>
      </w:pPr>
      <w:r>
        <w:rPr>
          <w:rFonts w:ascii="Calibri" w:cs="Calibri" w:eastAsia="Calibri" w:hAnsi="Calibri"/>
          <w:b/>
          <w:bCs/>
          <w:color w:val="1F4E79"/>
          <w:sz w:val="30"/>
          <w:szCs w:val="30"/>
        </w:rPr>
        <w:t xml:space="preserve">5. Definición del dominio</w:t>
      </w:r>
    </w:p>
    <w:p>
      <w:pPr>
        <w:spacing w:after="120" w:line="276"/>
      </w:pPr>
      <w:r>
        <w:rPr>
          <w:rFonts w:ascii="Calibri" w:cs="Calibri" w:eastAsia="Calibri" w:hAnsi="Calibri"/>
          <w:sz w:val="21"/>
          <w:szCs w:val="21"/>
        </w:rPr>
        <w:t xml:space="preserve">Google impone restricciones estrictas sobre las direcciones que acepta como URI de redirección. Estas restricciones condicionan el despliegue y deben resolverse antes de configurar las credenciales OAuth.</w:t>
      </w:r>
    </w:p>
    <w:p>
      <w:pPr>
        <w:pStyle w:val="Heading2"/>
        <w:keepNext/>
        <w:keepLines/>
        <w:spacing w:after="120" w:before="260"/>
      </w:pPr>
      <w:r>
        <w:rPr>
          <w:rFonts w:ascii="Calibri" w:cs="Calibri" w:eastAsia="Calibri" w:hAnsi="Calibri"/>
          <w:b/>
          <w:bCs/>
          <w:color w:val="1F4E79"/>
          <w:sz w:val="24"/>
          <w:szCs w:val="24"/>
        </w:rPr>
        <w:t xml:space="preserve">5.1 Restricciones aplicables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Tipo de dirección</w:t>
            </w:r>
          </w:p>
        </w:tc>
        <w:tc>
          <w:tcPr>
            <w:tcW w:type="dxa" w:w="19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¿Aceptada por Google?</w:t>
            </w:r>
          </w:p>
        </w:tc>
        <w:tc>
          <w:tcPr>
            <w:tcW w:type="dxa" w:w="446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Detalle</w:t>
            </w:r>
          </w:p>
        </w:tc>
      </w:tr>
      <w:tr>
        <w:trPr>
          <w:cantSplit/>
        </w:trPr>
        <w:tc>
          <w:tcPr>
            <w:tcW w:type="dxa" w:w="30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https://sistema.hospital.cl</w:t>
            </w:r>
          </w:p>
        </w:tc>
        <w:tc>
          <w:tcPr>
            <w:tcW w:type="dxa" w:w="1900"/>
            <w:shd w:fill="F7F9FC" w:val="clear"/>
            <w:tcMar>
              <w:top w:type="dxa" w:w="100"/>
              <w:left w:type="dxa" w:w="120"/>
              <w:bottom w:type="dxa" w:w="100"/>
              <w:right w:type="dxa" w:w="120"/>
            </w:tcMar>
          </w:tcPr>
          <w:p>
            <w:pPr>
              <w:spacing w:after="0" w:line="252"/>
            </w:pPr>
            <w:r>
              <w:rPr>
                <w:rFonts w:ascii="Calibri" w:cs="Calibri" w:eastAsia="Calibri" w:hAnsi="Calibri"/>
                <w:b/>
                <w:bCs/>
                <w:sz w:val="19"/>
                <w:szCs w:val="19"/>
              </w:rPr>
              <w:t xml:space="preserve">Sí</w:t>
            </w:r>
          </w:p>
        </w:tc>
        <w:tc>
          <w:tcPr>
            <w:tcW w:type="dxa" w:w="44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Dominio público con certificado TLS válido</w:t>
            </w:r>
          </w:p>
        </w:tc>
      </w:tr>
      <w:tr>
        <w:trPr>
          <w:cantSplit/>
        </w:trPr>
        <w:tc>
          <w:tcPr>
            <w:tcW w:type="dxa" w:w="3000"/>
            <w:shd w:fill="FFFFFF"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http://sistema.hospital.cl</w:t>
            </w:r>
          </w:p>
        </w:tc>
        <w:tc>
          <w:tcPr>
            <w:tcW w:type="dxa" w:w="1900"/>
            <w:shd w:fill="FFFFFF" w:val="clear"/>
            <w:tcMar>
              <w:top w:type="dxa" w:w="100"/>
              <w:left w:type="dxa" w:w="120"/>
              <w:bottom w:type="dxa" w:w="100"/>
              <w:right w:type="dxa" w:w="120"/>
            </w:tcMar>
          </w:tcPr>
          <w:p>
            <w:pPr>
              <w:spacing w:after="0" w:line="252"/>
            </w:pPr>
            <w:r>
              <w:rPr>
                <w:rFonts w:ascii="Calibri" w:cs="Calibri" w:eastAsia="Calibri" w:hAnsi="Calibri"/>
                <w:b/>
                <w:bCs/>
                <w:color w:val="C00000"/>
                <w:sz w:val="19"/>
                <w:szCs w:val="19"/>
              </w:rPr>
              <w:t xml:space="preserve">No</w:t>
            </w:r>
          </w:p>
        </w:tc>
        <w:tc>
          <w:tcPr>
            <w:tcW w:type="dxa" w:w="44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HTTP sin cifrar no está permitido</w:t>
            </w:r>
          </w:p>
        </w:tc>
      </w:tr>
      <w:tr>
        <w:trPr>
          <w:cantSplit/>
        </w:trPr>
        <w:tc>
          <w:tcPr>
            <w:tcW w:type="dxa" w:w="30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http://10.20.30.40:3000</w:t>
            </w:r>
          </w:p>
        </w:tc>
        <w:tc>
          <w:tcPr>
            <w:tcW w:type="dxa" w:w="1900"/>
            <w:shd w:fill="F7F9FC" w:val="clear"/>
            <w:tcMar>
              <w:top w:type="dxa" w:w="100"/>
              <w:left w:type="dxa" w:w="120"/>
              <w:bottom w:type="dxa" w:w="100"/>
              <w:right w:type="dxa" w:w="120"/>
            </w:tcMar>
          </w:tcPr>
          <w:p>
            <w:pPr>
              <w:spacing w:after="0" w:line="252"/>
            </w:pPr>
            <w:r>
              <w:rPr>
                <w:rFonts w:ascii="Calibri" w:cs="Calibri" w:eastAsia="Calibri" w:hAnsi="Calibri"/>
                <w:b/>
                <w:bCs/>
                <w:color w:val="C00000"/>
                <w:sz w:val="19"/>
                <w:szCs w:val="19"/>
              </w:rPr>
              <w:t xml:space="preserve">No</w:t>
            </w:r>
          </w:p>
        </w:tc>
        <w:tc>
          <w:tcPr>
            <w:tcW w:type="dxa" w:w="44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Las direcciones IP no son aceptadas</w:t>
            </w:r>
          </w:p>
        </w:tc>
      </w:tr>
      <w:tr>
        <w:trPr>
          <w:cantSplit/>
        </w:trPr>
        <w:tc>
          <w:tcPr>
            <w:tcW w:type="dxa" w:w="3000"/>
            <w:shd w:fill="FFFFFF"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https://servidor.local</w:t>
            </w:r>
          </w:p>
        </w:tc>
        <w:tc>
          <w:tcPr>
            <w:tcW w:type="dxa" w:w="1900"/>
            <w:shd w:fill="FFFFFF" w:val="clear"/>
            <w:tcMar>
              <w:top w:type="dxa" w:w="100"/>
              <w:left w:type="dxa" w:w="120"/>
              <w:bottom w:type="dxa" w:w="100"/>
              <w:right w:type="dxa" w:w="120"/>
            </w:tcMar>
          </w:tcPr>
          <w:p>
            <w:pPr>
              <w:spacing w:after="0" w:line="252"/>
            </w:pPr>
            <w:r>
              <w:rPr>
                <w:rFonts w:ascii="Calibri" w:cs="Calibri" w:eastAsia="Calibri" w:hAnsi="Calibri"/>
                <w:b/>
                <w:bCs/>
                <w:color w:val="C00000"/>
                <w:sz w:val="19"/>
                <w:szCs w:val="19"/>
              </w:rPr>
              <w:t xml:space="preserve">No</w:t>
            </w:r>
          </w:p>
        </w:tc>
        <w:tc>
          <w:tcPr>
            <w:tcW w:type="dxa" w:w="44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Los dominios internos no son aceptados</w:t>
            </w:r>
          </w:p>
        </w:tc>
      </w:tr>
      <w:tr>
        <w:trPr>
          <w:cantSplit/>
        </w:trPr>
        <w:tc>
          <w:tcPr>
            <w:tcW w:type="dxa" w:w="30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http://localhost:3000</w:t>
            </w:r>
          </w:p>
        </w:tc>
        <w:tc>
          <w:tcPr>
            <w:tcW w:type="dxa" w:w="1900"/>
            <w:shd w:fill="F7F9FC" w:val="clear"/>
            <w:tcMar>
              <w:top w:type="dxa" w:w="100"/>
              <w:left w:type="dxa" w:w="120"/>
              <w:bottom w:type="dxa" w:w="100"/>
              <w:right w:type="dxa" w:w="120"/>
            </w:tcMar>
          </w:tcPr>
          <w:p>
            <w:pPr>
              <w:spacing w:after="0" w:line="252"/>
            </w:pPr>
            <w:r>
              <w:rPr>
                <w:rFonts w:ascii="Calibri" w:cs="Calibri" w:eastAsia="Calibri" w:hAnsi="Calibri"/>
                <w:b/>
                <w:bCs/>
                <w:sz w:val="19"/>
                <w:szCs w:val="19"/>
              </w:rPr>
              <w:t xml:space="preserve">Sí</w:t>
            </w:r>
          </w:p>
        </w:tc>
        <w:tc>
          <w:tcPr>
            <w:tcW w:type="dxa" w:w="44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Única excepción, válida solo para desarrollo</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C00000" w:sz="18"/>
              <w:bottom w:val="single" w:color="BFBFBF" w:sz="4"/>
              <w:right w:val="single" w:color="BFBFBF" w:sz="4"/>
            </w:tcBorders>
            <w:shd w:fill="FBE4E4" w:val="clear"/>
            <w:tcMar>
              <w:top w:type="dxa" w:w="140"/>
              <w:left w:type="dxa" w:w="180"/>
              <w:bottom w:type="dxa" w:w="140"/>
              <w:right w:type="dxa" w:w="180"/>
            </w:tcMar>
          </w:tcPr>
          <w:p>
            <w:pPr>
              <w:spacing w:after="60"/>
            </w:pPr>
            <w:r>
              <w:rPr>
                <w:rFonts w:ascii="Calibri" w:cs="Calibri" w:eastAsia="Calibri" w:hAnsi="Calibri"/>
                <w:b/>
                <w:bCs/>
                <w:color w:val="C00000"/>
                <w:sz w:val="21"/>
                <w:szCs w:val="21"/>
              </w:rPr>
              <w:t xml:space="preserve">Implicancia para un despliegue en intranet</w:t>
            </w:r>
          </w:p>
          <w:p>
            <w:pPr>
              <w:spacing w:after="40" w:line="276"/>
            </w:pPr>
            <w:r>
              <w:rPr>
                <w:rFonts w:ascii="Calibri" w:cs="Calibri" w:eastAsia="Calibri" w:hAnsi="Calibri"/>
                <w:sz w:val="21"/>
                <w:szCs w:val="21"/>
              </w:rPr>
              <w:t xml:space="preserve">Si la plataforma se instala en un servidor de red interna sin un nombre de dominio público y certificado TLS, el inicio de sesión con Google no funcionará. No es una limitación corregible mediante configuración del sistema: es una restricción del proveedor de identidad.</w:t>
            </w:r>
          </w:p>
        </w:tc>
      </w:tr>
    </w:tbl>
    <w:p>
      <w:pPr>
        <w:pStyle w:val="Heading2"/>
        <w:keepNext/>
        <w:keepLines/>
        <w:spacing w:after="120" w:before="260"/>
      </w:pPr>
      <w:r>
        <w:rPr>
          <w:rFonts w:ascii="Calibri" w:cs="Calibri" w:eastAsia="Calibri" w:hAnsi="Calibri"/>
          <w:b/>
          <w:bCs/>
          <w:color w:val="1F4E79"/>
          <w:sz w:val="24"/>
          <w:szCs w:val="24"/>
        </w:rPr>
        <w:t xml:space="preserve">5.2 La plataforma requiere dos subdominios</w:t>
      </w:r>
    </w:p>
    <w:p>
      <w:pPr>
        <w:spacing w:after="120" w:line="276"/>
      </w:pPr>
      <w:r>
        <w:rPr>
          <w:rFonts w:ascii="Calibri" w:cs="Calibri" w:eastAsia="Calibri" w:hAnsi="Calibri"/>
          <w:sz w:val="21"/>
          <w:szCs w:val="21"/>
        </w:rPr>
        <w:t xml:space="preserve">El frontend y el backend no pueden publicarse bajo el mismo nombre de dominio. Ambos exponen rutas bajo la misma ruta base /api/auth/:</w:t>
      </w:r>
    </w:p>
    <w:p>
      <w:pPr>
        <w:pStyle w:val="ListParagraph"/>
        <w:numPr>
          <w:ilvl w:val="0"/>
          <w:numId w:val="2"/>
        </w:numPr>
        <w:spacing w:after="80" w:line="276"/>
      </w:pPr>
      <w:r>
        <w:rPr>
          <w:rFonts w:ascii="Calibri" w:cs="Calibri" w:eastAsia="Calibri" w:hAnsi="Calibri"/>
          <w:sz w:val="21"/>
          <w:szCs w:val="21"/>
        </w:rPr>
        <w:t xml:space="preserve">Frontend (NextAuth): /api/auth/callback/google, /api/auth/session</w:t>
      </w:r>
    </w:p>
    <w:p>
      <w:pPr>
        <w:pStyle w:val="ListParagraph"/>
        <w:numPr>
          <w:ilvl w:val="0"/>
          <w:numId w:val="2"/>
        </w:numPr>
        <w:spacing w:after="80" w:line="276"/>
      </w:pPr>
      <w:r>
        <w:rPr>
          <w:rFonts w:ascii="Calibri" w:cs="Calibri" w:eastAsia="Calibri" w:hAnsi="Calibri"/>
          <w:sz w:val="21"/>
          <w:szCs w:val="21"/>
        </w:rPr>
        <w:t xml:space="preserve">Backend (FastAPI): /api/auth/login, /api/auth/refresh</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C00000" w:sz="18"/>
              <w:bottom w:val="single" w:color="BFBFBF" w:sz="4"/>
              <w:right w:val="single" w:color="BFBFBF" w:sz="4"/>
            </w:tcBorders>
            <w:shd w:fill="FBE4E4" w:val="clear"/>
            <w:tcMar>
              <w:top w:type="dxa" w:w="140"/>
              <w:left w:type="dxa" w:w="180"/>
              <w:bottom w:type="dxa" w:w="140"/>
              <w:right w:type="dxa" w:w="180"/>
            </w:tcMar>
          </w:tcPr>
          <w:p>
            <w:pPr>
              <w:spacing w:after="60"/>
            </w:pPr>
            <w:r>
              <w:rPr>
                <w:rFonts w:ascii="Calibri" w:cs="Calibri" w:eastAsia="Calibri" w:hAnsi="Calibri"/>
                <w:b/>
                <w:bCs/>
                <w:color w:val="C00000"/>
                <w:sz w:val="21"/>
                <w:szCs w:val="21"/>
              </w:rPr>
              <w:t xml:space="preserve">Consecuencia si se publica todo en un mismo dominio</w:t>
            </w:r>
          </w:p>
          <w:p>
            <w:pPr>
              <w:spacing w:after="40" w:line="276"/>
            </w:pPr>
            <w:r>
              <w:rPr>
                <w:rFonts w:ascii="Calibri" w:cs="Calibri" w:eastAsia="Calibri" w:hAnsi="Calibri"/>
                <w:sz w:val="21"/>
                <w:szCs w:val="21"/>
              </w:rPr>
              <w:t xml:space="preserve">Cualquier regla de proxy inverso que envíe /api/ hacia el backend hará que el callback de Google llegue a FastAPI en lugar de a NextAuth. FastAPI responderá 404 y el inicio de sesión quedará inoperativo.</w:t>
            </w:r>
          </w:p>
          <w:p>
            <w:pPr>
              <w:spacing w:after="40" w:line="276"/>
            </w:pPr>
            <w:r>
              <w:rPr>
                <w:rFonts w:ascii="Calibri" w:cs="Calibri" w:eastAsia="Calibri" w:hAnsi="Calibri"/>
                <w:sz w:val="21"/>
                <w:szCs w:val="21"/>
              </w:rPr>
              <w:t xml:space="preserve">No es un error corregible ajustando nginx: las rutas se solapan de origen. La solución sin modificar el código es publicar cada componente en su propio subdominio.</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60"/>
        <w:gridCol w:w="3500"/>
      </w:tblGrid>
      <w:tr>
        <w:trPr>
          <w:tblHeader/>
        </w:trPr>
        <w:tc>
          <w:tcPr>
            <w:tcW w:type="dxa" w:w="22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Componente</w:t>
            </w:r>
          </w:p>
        </w:tc>
        <w:tc>
          <w:tcPr>
            <w:tcW w:type="dxa" w:w="366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Subdominio de ejemplo</w:t>
            </w:r>
          </w:p>
        </w:tc>
        <w:tc>
          <w:tcPr>
            <w:tcW w:type="dxa" w:w="35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Quién lo consume</w:t>
            </w:r>
          </w:p>
        </w:tc>
      </w:tr>
      <w:tr>
        <w:trPr>
          <w:cantSplit/>
        </w:trPr>
        <w:tc>
          <w:tcPr>
            <w:tcW w:type="dxa" w:w="22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Frontend (Next.js)</w:t>
            </w:r>
          </w:p>
        </w:tc>
        <w:tc>
          <w:tcPr>
            <w:tcW w:type="dxa" w:w="366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https://guiadigital.ejemplo.cl</w:t>
            </w:r>
          </w:p>
        </w:tc>
        <w:tc>
          <w:tcPr>
            <w:tcW w:type="dxa" w:w="35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Los usuarios de la plataforma</w:t>
            </w:r>
          </w:p>
        </w:tc>
      </w:tr>
      <w:tr>
        <w:trPr>
          <w:cantSplit/>
        </w:trPr>
        <w:tc>
          <w:tcPr>
            <w:tcW w:type="dxa" w:w="22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Backend (FastAPI)</w:t>
            </w:r>
          </w:p>
        </w:tc>
        <w:tc>
          <w:tcPr>
            <w:tcW w:type="dxa" w:w="3660"/>
            <w:shd w:fill="FFFFFF"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https://api.guiadigital.ejemplo.cl</w:t>
            </w:r>
          </w:p>
        </w:tc>
        <w:tc>
          <w:tcPr>
            <w:tcW w:type="dxa" w:w="35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Solo el frontend, mediante llamadas del navegador</w:t>
            </w:r>
          </w:p>
        </w:tc>
      </w:tr>
    </w:tbl>
    <w:p>
      <w:pPr>
        <w:spacing w:after="160"/>
      </w:pPr>
    </w:p>
    <w:p>
      <w:pPr>
        <w:spacing w:after="120" w:line="276"/>
      </w:pPr>
      <w:r>
        <w:rPr>
          <w:rFonts w:ascii="Calibri" w:cs="Calibri" w:eastAsia="Calibri" w:hAnsi="Calibri"/>
          <w:sz w:val="21"/>
          <w:szCs w:val="21"/>
        </w:rPr>
        <w:t xml:space="preserve">Ambos subdominios requieren certificado TLS; un certificado wildcard cubre los dos. En Google Cloud solo se registra el subdominio del frontend, porque es ahí donde ocurre el inicio de sesión.</w:t>
      </w:r>
    </w:p>
    <w:p>
      <w:pPr>
        <w:pStyle w:val="Heading2"/>
        <w:keepNext/>
        <w:keepLines/>
        <w:spacing w:after="120" w:before="260"/>
      </w:pPr>
      <w:r>
        <w:rPr>
          <w:rFonts w:ascii="Calibri" w:cs="Calibri" w:eastAsia="Calibri" w:hAnsi="Calibri"/>
          <w:b/>
          <w:bCs/>
          <w:color w:val="1F4E79"/>
          <w:sz w:val="24"/>
          <w:szCs w:val="24"/>
        </w:rPr>
        <w:t xml:space="preserve">5.3 Escenario A — Dominio bajo control del hospital</w:t>
      </w:r>
    </w:p>
    <w:p>
      <w:pPr>
        <w:spacing w:after="120" w:line="276"/>
      </w:pPr>
      <w:r>
        <w:rPr>
          <w:rFonts w:ascii="Calibri" w:cs="Calibri" w:eastAsia="Calibri" w:hAnsi="Calibri"/>
          <w:sz w:val="21"/>
          <w:szCs w:val="21"/>
        </w:rPr>
        <w:t xml:space="preserve">Es la ruta recomendada por su menor dependencia externa. Requiere que el hospital disponga de un dominio sobre el cual pueda crear registros DNS y emitir certificados de forma autónoma.</w:t>
      </w:r>
    </w:p>
    <w:p>
      <w:pPr>
        <w:pStyle w:val="ListParagraph"/>
        <w:numPr>
          <w:ilvl w:val="0"/>
          <w:numId w:val="2"/>
        </w:numPr>
        <w:spacing w:after="80" w:line="276"/>
      </w:pPr>
      <w:r>
        <w:rPr>
          <w:rFonts w:ascii="Calibri" w:cs="Calibri" w:eastAsia="Calibri" w:hAnsi="Calibri"/>
          <w:sz w:val="21"/>
          <w:szCs w:val="21"/>
        </w:rPr>
        <w:t xml:space="preserve">Crear un registro A o CNAME apuntando al servidor de aplicación.</w:t>
      </w:r>
    </w:p>
    <w:p>
      <w:pPr>
        <w:pStyle w:val="ListParagraph"/>
        <w:numPr>
          <w:ilvl w:val="0"/>
          <w:numId w:val="2"/>
        </w:numPr>
        <w:spacing w:after="80" w:line="276"/>
      </w:pPr>
      <w:r>
        <w:rPr>
          <w:rFonts w:ascii="Calibri" w:cs="Calibri" w:eastAsia="Calibri" w:hAnsi="Calibri"/>
          <w:sz w:val="21"/>
          <w:szCs w:val="21"/>
        </w:rPr>
        <w:t xml:space="preserve">Emitir un certificado TLS para ese nombre (Let's Encrypt es suficiente).</w:t>
      </w:r>
    </w:p>
    <w:p>
      <w:pPr>
        <w:pStyle w:val="ListParagraph"/>
        <w:numPr>
          <w:ilvl w:val="0"/>
          <w:numId w:val="2"/>
        </w:numPr>
        <w:spacing w:after="80" w:line="276"/>
      </w:pPr>
      <w:r>
        <w:rPr>
          <w:rFonts w:ascii="Calibri" w:cs="Calibri" w:eastAsia="Calibri" w:hAnsi="Calibri"/>
          <w:sz w:val="21"/>
          <w:szCs w:val="21"/>
        </w:rPr>
        <w:t xml:space="preserve">Verificar la propiedad del dominio en Google Search Console con la cuenta institucional de la sección 3.</w:t>
      </w:r>
    </w:p>
    <w:p>
      <w:pPr>
        <w:pStyle w:val="Heading2"/>
        <w:keepNext/>
        <w:keepLines/>
        <w:spacing w:after="120" w:before="260"/>
      </w:pPr>
      <w:r>
        <w:rPr>
          <w:rFonts w:ascii="Calibri" w:cs="Calibri" w:eastAsia="Calibri" w:hAnsi="Calibri"/>
          <w:b/>
          <w:bCs/>
          <w:color w:val="1F4E79"/>
          <w:sz w:val="24"/>
          <w:szCs w:val="24"/>
        </w:rPr>
        <w:t xml:space="preserve">5.4 Escenario B — Subdominios bajo redsalud.gob.cl</w:t>
      </w:r>
    </w:p>
    <w:p>
      <w:pPr>
        <w:spacing w:after="120" w:line="276"/>
      </w:pPr>
      <w:r>
        <w:rPr>
          <w:rFonts w:ascii="Calibri" w:cs="Calibri" w:eastAsia="Calibri" w:hAnsi="Calibri"/>
          <w:sz w:val="21"/>
          <w:szCs w:val="21"/>
        </w:rPr>
        <w:t xml:space="preserve">El dominio redsalud.gob.cl no es administrado por el hospital sino por MINSAL, y el subdominio actual opera detrás de Cloudflare. Publicar la plataforma bajo este dominio requiere gestión ante terceros. La siguiente lista puede utilizarse como solicitud formal: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860"/>
        <w:gridCol w:w="2900"/>
      </w:tblGrid>
      <w:tr>
        <w:trPr>
          <w:tblHeader/>
        </w:trPr>
        <w:tc>
          <w:tcPr>
            <w:tcW w:type="dxa" w:w="6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N.º</w:t>
            </w:r>
          </w:p>
        </w:tc>
        <w:tc>
          <w:tcPr>
            <w:tcW w:type="dxa" w:w="586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Solicitud a MINSAL / administrador del dominio</w:t>
            </w:r>
          </w:p>
        </w:tc>
        <w:tc>
          <w:tcPr>
            <w:tcW w:type="dxa" w:w="29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Necesario para</w:t>
            </w:r>
          </w:p>
        </w:tc>
      </w:tr>
      <w:tr>
        <w:trPr>
          <w:cantSplit/>
        </w:trPr>
        <w:tc>
          <w:tcPr>
            <w:tcW w:type="dxa" w:w="6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1</w:t>
            </w:r>
          </w:p>
        </w:tc>
        <w:tc>
          <w:tcPr>
            <w:tcW w:type="dxa" w:w="58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Asignación de DOS subdominios (por ejemplo, guiadigital.huap.redsalud.gob.cl y api.guiadigital.huap.redsalud.gob.cl) y creación de ambos registros DNS hacia la IP del servidor</w:t>
            </w:r>
          </w:p>
        </w:tc>
        <w:tc>
          <w:tcPr>
            <w:tcW w:type="dxa" w:w="29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Publicar la aplicación; ver sección 5.2 sobre por qué son dos</w:t>
            </w:r>
          </w:p>
        </w:tc>
      </w:tr>
      <w:tr>
        <w:trPr>
          <w:cantSplit/>
        </w:trPr>
        <w:tc>
          <w:tcPr>
            <w:tcW w:type="dxa" w:w="6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2</w:t>
            </w:r>
          </w:p>
        </w:tc>
        <w:tc>
          <w:tcPr>
            <w:tcW w:type="dxa" w:w="58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Emisión o autorización de certificados TLS para ambos nombres, o un certificado wildcard que los cubra</w:t>
            </w:r>
          </w:p>
        </w:tc>
        <w:tc>
          <w:tcPr>
            <w:tcW w:type="dxa" w:w="29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Requisito de Google para el inicio de sesión</w:t>
            </w:r>
          </w:p>
        </w:tc>
      </w:tr>
      <w:tr>
        <w:trPr>
          <w:cantSplit/>
        </w:trPr>
        <w:tc>
          <w:tcPr>
            <w:tcW w:type="dxa" w:w="6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3</w:t>
            </w:r>
          </w:p>
        </w:tc>
        <w:tc>
          <w:tcPr>
            <w:tcW w:type="dxa" w:w="58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Verificación de la propiedad del dominio en Google Search Console, o delegación de esa verificación al hospital</w:t>
            </w:r>
          </w:p>
        </w:tc>
        <w:tc>
          <w:tcPr>
            <w:tcW w:type="dxa" w:w="29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Registrar el dominio autorizado en la pantalla de consentimiento OAuth</w:t>
            </w:r>
          </w:p>
        </w:tc>
      </w:tr>
      <w:tr>
        <w:trPr>
          <w:cantSplit/>
        </w:trPr>
        <w:tc>
          <w:tcPr>
            <w:tcW w:type="dxa" w:w="6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4</w:t>
            </w:r>
          </w:p>
        </w:tc>
        <w:tc>
          <w:tcPr>
            <w:tcW w:type="dxa" w:w="58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Confirmación de si el subdominio quedará detrás de Cloudflare y, en tal caso, las reglas de proxy aplicables</w:t>
            </w:r>
          </w:p>
        </w:tc>
        <w:tc>
          <w:tcPr>
            <w:tcW w:type="dxa" w:w="29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Evitar bloqueos sobre las llamadas del frontend al backend</w:t>
            </w:r>
          </w:p>
        </w:tc>
      </w:tr>
    </w:tbl>
    <w:p>
      <w:pPr>
        <w:spacing w:after="160"/>
      </w:pPr>
    </w:p>
    <w:p>
      <w:pPr>
        <w:spacing w:after="120" w:line="276"/>
      </w:pPr>
      <w:r>
        <w:rPr>
          <w:rFonts w:ascii="Calibri" w:cs="Calibri" w:eastAsia="Calibri" w:hAnsi="Calibri"/>
          <w:i/>
          <w:iCs/>
          <w:sz w:val="21"/>
          <w:szCs w:val="21"/>
        </w:rPr>
        <w:t xml:space="preserve">Los puntos 1 a 3 son bloqueantes: sin ellos la plataforma no puede autenticar usuarios. Se recomienda iniciar esta gestión con anticipación, dado que involucra a una institución externa al hospital.</w:t>
      </w:r>
    </w:p>
    <w:p>
      <w:r>
        <w:br w:type="page"/>
      </w:r>
    </w:p>
    <w:p>
      <w:pPr>
        <w:pStyle w:val="Heading1"/>
        <w:keepNext/>
        <w:keepLines/>
        <w:spacing w:after="160" w:before="360"/>
      </w:pPr>
      <w:r>
        <w:rPr>
          <w:rFonts w:ascii="Calibri" w:cs="Calibri" w:eastAsia="Calibri" w:hAnsi="Calibri"/>
          <w:b/>
          <w:bCs/>
          <w:color w:val="1F4E79"/>
          <w:sz w:val="30"/>
          <w:szCs w:val="30"/>
        </w:rPr>
        <w:t xml:space="preserve">6. Clave de API de Groq</w:t>
      </w:r>
    </w:p>
    <w:p>
      <w:pPr>
        <w:spacing w:after="120" w:line="276"/>
      </w:pPr>
      <w:r>
        <w:rPr>
          <w:rFonts w:ascii="Calibri" w:cs="Calibri" w:eastAsia="Calibri" w:hAnsi="Calibri"/>
          <w:sz w:val="21"/>
          <w:szCs w:val="21"/>
        </w:rPr>
        <w:t xml:space="preserve">El asistente conversacional utiliza modelos de lenguaje alojados por Groq. La clave actual pertenece a una cuenta del equipo de desarrollo y debe ser reemplazada.</w:t>
      </w:r>
    </w:p>
    <w:p>
      <w:pPr>
        <w:pStyle w:val="ListParagraph"/>
        <w:numPr>
          <w:ilvl w:val="0"/>
          <w:numId w:val="6"/>
        </w:numPr>
        <w:spacing w:after="80" w:line="276"/>
      </w:pPr>
      <w:r>
        <w:rPr>
          <w:rFonts w:ascii="Calibri" w:cs="Calibri" w:eastAsia="Calibri" w:hAnsi="Calibri"/>
          <w:sz w:val="21"/>
          <w:szCs w:val="21"/>
        </w:rPr>
        <w:t xml:space="preserve">Crear una cuenta institucional en </w:t>
      </w:r>
      <w:r>
        <w:rPr>
          <w:rFonts w:ascii="Consolas" w:cs="Consolas" w:eastAsia="Consolas" w:hAnsi="Consolas"/>
          <w:sz w:val="19"/>
          <w:szCs w:val="19"/>
          <w:shd w:fill="F2F2F2" w:val="clear"/>
        </w:rPr>
        <w:t xml:space="preserve">console.groq.com</w:t>
      </w:r>
      <w:r>
        <w:rPr>
          <w:rFonts w:ascii="Calibri" w:cs="Calibri" w:eastAsia="Calibri" w:hAnsi="Calibri"/>
          <w:sz w:val="21"/>
          <w:szCs w:val="21"/>
        </w:rPr>
        <w:t xml:space="preserve">, preferentemente con la misma casilla utilizada en la sección 3.</w:t>
      </w:r>
    </w:p>
    <w:p>
      <w:pPr>
        <w:pStyle w:val="ListParagraph"/>
        <w:numPr>
          <w:ilvl w:val="0"/>
          <w:numId w:val="6"/>
        </w:numPr>
        <w:spacing w:after="80" w:line="276"/>
      </w:pPr>
      <w:r>
        <w:rPr>
          <w:rFonts w:ascii="Calibri" w:cs="Calibri" w:eastAsia="Calibri" w:hAnsi="Calibri"/>
          <w:sz w:val="21"/>
          <w:szCs w:val="21"/>
        </w:rPr>
        <w:t xml:space="preserve">Generar una API key nueva desde la sección "API Keys".</w:t>
      </w:r>
    </w:p>
    <w:p>
      <w:pPr>
        <w:pStyle w:val="ListParagraph"/>
        <w:numPr>
          <w:ilvl w:val="0"/>
          <w:numId w:val="6"/>
        </w:numPr>
        <w:spacing w:after="80" w:line="276"/>
      </w:pPr>
      <w:r>
        <w:rPr>
          <w:rFonts w:ascii="Calibri" w:cs="Calibri" w:eastAsia="Calibri" w:hAnsi="Calibri"/>
          <w:sz w:val="21"/>
          <w:szCs w:val="21"/>
        </w:rPr>
        <w:t xml:space="preserve">Registrarla en </w:t>
      </w:r>
      <w:r>
        <w:rPr>
          <w:rFonts w:ascii="Consolas" w:cs="Consolas" w:eastAsia="Consolas" w:hAnsi="Consolas"/>
          <w:sz w:val="19"/>
          <w:szCs w:val="19"/>
          <w:shd w:fill="F2F2F2" w:val="clear"/>
        </w:rPr>
        <w:t xml:space="preserve">backend/.env</w:t>
      </w:r>
      <w:r>
        <w:rPr>
          <w:rFonts w:ascii="Calibri" w:cs="Calibri" w:eastAsia="Calibri" w:hAnsi="Calibri"/>
          <w:sz w:val="21"/>
          <w:szCs w:val="21"/>
        </w:rPr>
        <w:t xml:space="preserve"> como </w:t>
      </w:r>
      <w:r>
        <w:rPr>
          <w:rFonts w:ascii="Consolas" w:cs="Consolas" w:eastAsia="Consolas" w:hAnsi="Consolas"/>
          <w:sz w:val="19"/>
          <w:szCs w:val="19"/>
          <w:shd w:fill="F2F2F2" w:val="clear"/>
        </w:rPr>
        <w:t xml:space="preserve">GROQ_API_KEY</w:t>
      </w:r>
      <w:r>
        <w:rPr>
          <w:rFonts w:ascii="Calibri" w:cs="Calibri" w:eastAsia="Calibri" w:hAnsi="Calibri"/>
          <w:sz w:val="21"/>
          <w:szCs w:val="21"/>
        </w:rPr>
        <w:t xml:space="preserve">.</w:t>
      </w:r>
    </w:p>
    <w:p>
      <w:pPr>
        <w:pStyle w:val="ListParagraph"/>
        <w:numPr>
          <w:ilvl w:val="0"/>
          <w:numId w:val="6"/>
        </w:numPr>
        <w:spacing w:after="80" w:line="276"/>
      </w:pPr>
      <w:r>
        <w:rPr>
          <w:rFonts w:ascii="Calibri" w:cs="Calibri" w:eastAsia="Calibri" w:hAnsi="Calibri"/>
          <w:sz w:val="21"/>
          <w:szCs w:val="21"/>
        </w:rPr>
        <w:t xml:space="preserve">Reiniciar el backend para que tome el valor nuevo.</w:t>
      </w:r>
    </w:p>
    <w:p>
      <w:pPr>
        <w:spacing w:after="100"/>
      </w:pPr>
    </w:p>
    <w:p>
      <w:pPr>
        <w:spacing w:after="120" w:line="276"/>
      </w:pPr>
      <w:r>
        <w:rPr>
          <w:rFonts w:ascii="Calibri" w:cs="Calibri" w:eastAsia="Calibri" w:hAnsi="Calibri"/>
          <w:sz w:val="21"/>
          <w:szCs w:val="21"/>
        </w:rPr>
        <w:t xml:space="preserve">El plan gratuito de Groq aplica límites de solicitudes por minuto. Si la plataforma alcanza un volumen de uso sostenido, será necesario evaluar un plan de pago o un proveedor alternativo. Si la variable queda vacía, la plataforma sigue funcionando pero el asistente conversacional no responde.</w:t>
      </w:r>
    </w:p>
    <w:p>
      <w:pPr>
        <w:pStyle w:val="Heading1"/>
        <w:keepNext/>
        <w:keepLines/>
        <w:spacing w:after="160" w:before="360"/>
      </w:pPr>
      <w:r>
        <w:rPr>
          <w:rFonts w:ascii="Calibri" w:cs="Calibri" w:eastAsia="Calibri" w:hAnsi="Calibri"/>
          <w:b/>
          <w:bCs/>
          <w:color w:val="1F4E79"/>
          <w:sz w:val="30"/>
          <w:szCs w:val="30"/>
        </w:rPr>
        <w:t xml:space="preserve">7. Despliegue en servidor propio</w:t>
      </w:r>
    </w:p>
    <w:p>
      <w:pPr>
        <w:pStyle w:val="Heading2"/>
        <w:keepNext/>
        <w:keepLines/>
        <w:spacing w:after="120" w:before="260"/>
      </w:pPr>
      <w:r>
        <w:rPr>
          <w:rFonts w:ascii="Calibri" w:cs="Calibri" w:eastAsia="Calibri" w:hAnsi="Calibri"/>
          <w:b/>
          <w:bCs/>
          <w:color w:val="1F4E79"/>
          <w:sz w:val="24"/>
          <w:szCs w:val="24"/>
        </w:rPr>
        <w:t xml:space="preserve">7.1 Requisitos del servidor</w:t>
      </w:r>
    </w:p>
    <w:p>
      <w:pPr>
        <w:pStyle w:val="ListParagraph"/>
        <w:numPr>
          <w:ilvl w:val="0"/>
          <w:numId w:val="2"/>
        </w:numPr>
        <w:spacing w:after="80" w:line="276"/>
      </w:pPr>
      <w:r>
        <w:rPr>
          <w:rFonts w:ascii="Calibri" w:cs="Calibri" w:eastAsia="Calibri" w:hAnsi="Calibri"/>
          <w:sz w:val="21"/>
          <w:szCs w:val="21"/>
        </w:rPr>
        <w:t xml:space="preserve">Docker y Docker Compose.</w:t>
      </w:r>
    </w:p>
    <w:p>
      <w:pPr>
        <w:pStyle w:val="ListParagraph"/>
        <w:numPr>
          <w:ilvl w:val="0"/>
          <w:numId w:val="2"/>
        </w:numPr>
        <w:spacing w:after="80" w:line="276"/>
      </w:pPr>
      <w:r>
        <w:rPr>
          <w:rFonts w:ascii="Calibri" w:cs="Calibri" w:eastAsia="Calibri" w:hAnsi="Calibri"/>
          <w:sz w:val="21"/>
          <w:szCs w:val="21"/>
        </w:rPr>
        <w:t xml:space="preserve">PostgreSQL 15 o superior (puede ser el contenedor incluido en docker-compose.yml o una instancia gestionada por el hospital).</w:t>
      </w:r>
    </w:p>
    <w:p>
      <w:pPr>
        <w:pStyle w:val="ListParagraph"/>
        <w:numPr>
          <w:ilvl w:val="0"/>
          <w:numId w:val="2"/>
        </w:numPr>
        <w:spacing w:after="80" w:line="276"/>
      </w:pPr>
      <w:r>
        <w:rPr>
          <w:rFonts w:ascii="Calibri" w:cs="Calibri" w:eastAsia="Calibri" w:hAnsi="Calibri"/>
          <w:sz w:val="21"/>
          <w:szCs w:val="21"/>
        </w:rPr>
        <w:t xml:space="preserve">Node.js 20 o superior para compilar el frontend.</w:t>
      </w:r>
    </w:p>
    <w:p>
      <w:pPr>
        <w:pStyle w:val="ListParagraph"/>
        <w:numPr>
          <w:ilvl w:val="0"/>
          <w:numId w:val="2"/>
        </w:numPr>
        <w:spacing w:after="80" w:line="276"/>
      </w:pPr>
      <w:r>
        <w:rPr>
          <w:rFonts w:ascii="Calibri" w:cs="Calibri" w:eastAsia="Calibri" w:hAnsi="Calibri"/>
          <w:sz w:val="21"/>
          <w:szCs w:val="21"/>
        </w:rPr>
        <w:t xml:space="preserve">Servidor web en modo proxy inverso (nginx o similar) con certificado TLS.</w:t>
      </w:r>
    </w:p>
    <w:p>
      <w:pPr>
        <w:pStyle w:val="ListParagraph"/>
        <w:numPr>
          <w:ilvl w:val="0"/>
          <w:numId w:val="2"/>
        </w:numPr>
        <w:spacing w:after="80" w:line="276"/>
      </w:pPr>
      <w:r>
        <w:rPr>
          <w:rFonts w:ascii="Calibri" w:cs="Calibri" w:eastAsia="Calibri" w:hAnsi="Calibri"/>
          <w:sz w:val="21"/>
          <w:szCs w:val="21"/>
        </w:rPr>
        <w:t xml:space="preserve">Aproximadamente 2 GB de espacio en disco: la imagen del backend incorpora un modelo de embeddings de unos 470 MB descargado durante la construcción.</w:t>
      </w:r>
    </w:p>
    <w:p>
      <w:pPr>
        <w:pStyle w:val="Heading2"/>
        <w:keepNext/>
        <w:keepLines/>
        <w:spacing w:after="120" w:before="260"/>
      </w:pPr>
      <w:r>
        <w:rPr>
          <w:rFonts w:ascii="Calibri" w:cs="Calibri" w:eastAsia="Calibri" w:hAnsi="Calibri"/>
          <w:b/>
          <w:bCs/>
          <w:color w:val="1F4E79"/>
          <w:sz w:val="24"/>
          <w:szCs w:val="24"/>
        </w:rPr>
        <w:t xml:space="preserve">7.2 Variables de entorno del backend</w:t>
      </w:r>
    </w:p>
    <w:p>
      <w:pPr>
        <w:spacing w:after="120" w:line="276"/>
      </w:pPr>
      <w:r>
        <w:rPr>
          <w:rFonts w:ascii="Calibri" w:cs="Calibri" w:eastAsia="Calibri" w:hAnsi="Calibri"/>
          <w:sz w:val="21"/>
          <w:szCs w:val="21"/>
        </w:rPr>
        <w:t xml:space="preserve">Archivo </w:t>
      </w:r>
      <w:r>
        <w:rPr>
          <w:rFonts w:ascii="Consolas" w:cs="Consolas" w:eastAsia="Consolas" w:hAnsi="Consolas"/>
          <w:sz w:val="19"/>
          <w:szCs w:val="19"/>
          <w:shd w:fill="F2F2F2" w:val="clear"/>
        </w:rPr>
        <w:t xml:space="preserve">backend/.env</w:t>
      </w:r>
      <w:r>
        <w:rPr>
          <w:rFonts w:ascii="Calibri" w:cs="Calibri" w:eastAsia="Calibri" w:hAnsi="Calibri"/>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1F4E79" w:sz="18"/>
              <w:bottom w:val="single" w:color="D0D0D0" w:sz="4"/>
              <w:right w:val="single" w:color="D0D0D0" w:sz="4"/>
            </w:tcBorders>
            <w:shd w:fill="F8F8F8"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El host es "db": el nombre del servicio de Docker, NO localhost</w:t>
            </w:r>
          </w:p>
          <w:p>
            <w:pPr>
              <w:spacing w:after="0" w:line="240"/>
            </w:pPr>
            <w:r>
              <w:rPr>
                <w:rFonts w:ascii="Consolas" w:cs="Consolas" w:eastAsia="Consolas" w:hAnsi="Consolas"/>
                <w:sz w:val="18"/>
                <w:szCs w:val="18"/>
              </w:rPr>
              <w:t xml:space="preserve">DATABASE_URL=postgresql://usuario:clave@db:5432/guia_digital</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GOOGLE_CLIENT_ID=xxxxx.apps.googleusercontent.com</w:t>
            </w:r>
          </w:p>
          <w:p>
            <w:pPr>
              <w:spacing w:after="0" w:line="240"/>
            </w:pPr>
            <w:r>
              <w:rPr>
                <w:rFonts w:ascii="Consolas" w:cs="Consolas" w:eastAsia="Consolas" w:hAnsi="Consolas"/>
                <w:sz w:val="18"/>
                <w:szCs w:val="18"/>
              </w:rPr>
              <w:t xml:space="preserve">GOOGLE_CLIENT_SECRET=xxxxx</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SECRET_KEY=&lt;valor generado en la seccion 2.1&gt;</w:t>
            </w:r>
          </w:p>
          <w:p>
            <w:pPr>
              <w:spacing w:after="0" w:line="240"/>
            </w:pPr>
            <w:r>
              <w:rPr>
                <w:rFonts w:ascii="Consolas" w:cs="Consolas" w:eastAsia="Consolas" w:hAnsi="Consolas"/>
                <w:sz w:val="18"/>
                <w:szCs w:val="18"/>
              </w:rPr>
              <w:t xml:space="preserve">ALGORITHM=HS256</w:t>
            </w:r>
          </w:p>
          <w:p>
            <w:pPr>
              <w:spacing w:after="0" w:line="240"/>
            </w:pPr>
            <w:r>
              <w:rPr>
                <w:rFonts w:ascii="Consolas" w:cs="Consolas" w:eastAsia="Consolas" w:hAnsi="Consolas"/>
                <w:sz w:val="18"/>
                <w:szCs w:val="18"/>
              </w:rPr>
              <w:t xml:space="preserve">ACCESS_TOKEN_EXPIRE_MINUTES=60</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GROQ_API_KEY=&lt;clave de la seccion 6&gt;</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Dominio del FRONTEND, no el del backend</w:t>
            </w:r>
          </w:p>
          <w:p>
            <w:pPr>
              <w:spacing w:after="0" w:line="240"/>
            </w:pPr>
            <w:r>
              <w:rPr>
                <w:rFonts w:ascii="Consolas" w:cs="Consolas" w:eastAsia="Consolas" w:hAnsi="Consolas"/>
                <w:sz w:val="18"/>
                <w:szCs w:val="18"/>
              </w:rPr>
              <w:t xml:space="preserve">ALLOWED_ORIGINS=https://guiadigital.ejemplo.cl</w:t>
            </w:r>
          </w:p>
          <w:p>
            <w:pPr>
              <w:spacing w:after="0" w:line="240"/>
            </w:pPr>
            <w:r>
              <w:rPr>
                <w:rFonts w:ascii="Consolas" w:cs="Consolas" w:eastAsia="Consolas" w:hAnsi="Consolas"/>
                <w:sz w:val="18"/>
                <w:szCs w:val="18"/>
              </w:rPr>
              <w:t xml:space="preserve">ENVIRONMENT=production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7F6000" w:sz="18"/>
              <w:bottom w:val="single" w:color="BFBFBF" w:sz="4"/>
              <w:right w:val="single" w:color="BFBFBF" w:sz="4"/>
            </w:tcBorders>
            <w:shd w:fill="FFF2CC" w:val="clear"/>
            <w:tcMar>
              <w:top w:type="dxa" w:w="140"/>
              <w:left w:type="dxa" w:w="180"/>
              <w:bottom w:type="dxa" w:w="140"/>
              <w:right w:type="dxa" w:w="180"/>
            </w:tcMar>
          </w:tcPr>
          <w:p>
            <w:pPr>
              <w:spacing w:after="60"/>
            </w:pPr>
            <w:r>
              <w:rPr>
                <w:rFonts w:ascii="Calibri" w:cs="Calibri" w:eastAsia="Calibri" w:hAnsi="Calibri"/>
                <w:b/>
                <w:bCs/>
                <w:color w:val="7F6000"/>
                <w:sz w:val="21"/>
                <w:szCs w:val="21"/>
              </w:rPr>
              <w:t xml:space="preserve">ALLOWED_ORIGINS: causa frecuente de fallas silenciosas</w:t>
            </w:r>
          </w:p>
          <w:p>
            <w:pPr>
              <w:spacing w:after="40" w:line="276"/>
            </w:pPr>
            <w:r>
              <w:rPr>
                <w:rFonts w:ascii="Calibri" w:cs="Calibri" w:eastAsia="Calibri" w:hAnsi="Calibri"/>
                <w:sz w:val="21"/>
                <w:szCs w:val="21"/>
              </w:rPr>
              <w:t xml:space="preserve">Si esta variable no se define, el backend asume http://localhost:3000 como único origen permitido. En producción esto bloquea todas las llamadas del frontend por política CORS.</w:t>
            </w:r>
          </w:p>
          <w:p>
            <w:pPr>
              <w:spacing w:after="40" w:line="276"/>
            </w:pPr>
            <w:r>
              <w:rPr>
                <w:rFonts w:ascii="Calibri" w:cs="Calibri" w:eastAsia="Calibri" w:hAnsi="Calibri"/>
                <w:sz w:val="21"/>
                <w:szCs w:val="21"/>
              </w:rPr>
              <w:t xml:space="preserve">El síntoma es engañoso: la plataforma carga y el inicio de sesión aparenta funcionar, pero ninguna operación se completa y los errores solo son visibles en la consola del navegador. Debe contener la URL exacta del frontend, con https y sin barra final.</w:t>
            </w:r>
          </w:p>
        </w:tc>
      </w:tr>
    </w:tbl>
    <w:p>
      <w:pPr>
        <w:spacing w:after="120"/>
      </w:pPr>
    </w:p>
    <w:p>
      <w:pPr>
        <w:spacing w:after="120" w:line="276"/>
      </w:pPr>
      <w:r>
        <w:rPr>
          <w:rFonts w:ascii="Calibri" w:cs="Calibri" w:eastAsia="Calibri" w:hAnsi="Calibri"/>
          <w:sz w:val="21"/>
          <w:szCs w:val="21"/>
        </w:rPr>
        <w:t xml:space="preserve">La variable </w:t>
      </w:r>
      <w:r>
        <w:rPr>
          <w:rFonts w:ascii="Consolas" w:cs="Consolas" w:eastAsia="Consolas" w:hAnsi="Consolas"/>
          <w:sz w:val="19"/>
          <w:szCs w:val="19"/>
          <w:shd w:fill="F2F2F2" w:val="clear"/>
        </w:rPr>
        <w:t xml:space="preserve">ENVIRONMENT</w:t>
      </w:r>
      <w:r>
        <w:rPr>
          <w:rFonts w:ascii="Calibri" w:cs="Calibri" w:eastAsia="Calibri" w:hAnsi="Calibri"/>
          <w:sz w:val="21"/>
          <w:szCs w:val="21"/>
        </w:rPr>
        <w:t xml:space="preserve"> debe mantenerse en </w:t>
      </w:r>
      <w:r>
        <w:rPr>
          <w:rFonts w:ascii="Consolas" w:cs="Consolas" w:eastAsia="Consolas" w:hAnsi="Consolas"/>
          <w:sz w:val="19"/>
          <w:szCs w:val="19"/>
          <w:shd w:fill="F2F2F2" w:val="clear"/>
        </w:rPr>
        <w:t xml:space="preserve">production</w:t>
      </w:r>
      <w:r>
        <w:rPr>
          <w:rFonts w:ascii="Calibri" w:cs="Calibri" w:eastAsia="Calibri" w:hAnsi="Calibri"/>
          <w:sz w:val="21"/>
          <w:szCs w:val="21"/>
        </w:rPr>
        <w:t xml:space="preserve">. En modo </w:t>
      </w:r>
      <w:r>
        <w:rPr>
          <w:rFonts w:ascii="Consolas" w:cs="Consolas" w:eastAsia="Consolas" w:hAnsi="Consolas"/>
          <w:sz w:val="19"/>
          <w:szCs w:val="19"/>
          <w:shd w:fill="F2F2F2" w:val="clear"/>
        </w:rPr>
        <w:t xml:space="preserve">development</w:t>
      </w:r>
      <w:r>
        <w:rPr>
          <w:rFonts w:ascii="Calibri" w:cs="Calibri" w:eastAsia="Calibri" w:hAnsi="Calibri"/>
          <w:sz w:val="21"/>
          <w:szCs w:val="21"/>
        </w:rPr>
        <w:t xml:space="preserve"> el backend expone la documentación interactiva de la API en las rutas </w:t>
      </w:r>
      <w:r>
        <w:rPr>
          <w:rFonts w:ascii="Consolas" w:cs="Consolas" w:eastAsia="Consolas" w:hAnsi="Consolas"/>
          <w:sz w:val="19"/>
          <w:szCs w:val="19"/>
          <w:shd w:fill="F2F2F2" w:val="clear"/>
        </w:rPr>
        <w:t xml:space="preserve">/docs</w:t>
      </w:r>
      <w:r>
        <w:rPr>
          <w:rFonts w:ascii="Calibri" w:cs="Calibri" w:eastAsia="Calibri" w:hAnsi="Calibri"/>
          <w:sz w:val="21"/>
          <w:szCs w:val="21"/>
        </w:rPr>
        <w:t xml:space="preserve"> y </w:t>
      </w:r>
      <w:r>
        <w:rPr>
          <w:rFonts w:ascii="Consolas" w:cs="Consolas" w:eastAsia="Consolas" w:hAnsi="Consolas"/>
          <w:sz w:val="19"/>
          <w:szCs w:val="19"/>
          <w:shd w:fill="F2F2F2" w:val="clear"/>
        </w:rPr>
        <w:t xml:space="preserve">/redoc</w:t>
      </w:r>
      <w:r>
        <w:rPr>
          <w:rFonts w:ascii="Calibri" w:cs="Calibri" w:eastAsia="Calibri" w:hAnsi="Calibri"/>
          <w:sz w:val="21"/>
          <w:szCs w:val="21"/>
        </w:rPr>
        <w:t xml:space="preserve">, lo que no es apropiado en un entorno productivo.</w:t>
      </w:r>
    </w:p>
    <w:p>
      <w:pPr>
        <w:pStyle w:val="Heading2"/>
        <w:keepNext/>
        <w:keepLines/>
        <w:spacing w:after="120" w:before="260"/>
      </w:pPr>
      <w:r>
        <w:rPr>
          <w:rFonts w:ascii="Calibri" w:cs="Calibri" w:eastAsia="Calibri" w:hAnsi="Calibri"/>
          <w:b/>
          <w:bCs/>
          <w:color w:val="1F4E79"/>
          <w:sz w:val="24"/>
          <w:szCs w:val="24"/>
        </w:rPr>
        <w:t xml:space="preserve">7.3 Variables de entorno del frontend</w:t>
      </w:r>
    </w:p>
    <w:p>
      <w:pPr>
        <w:spacing w:after="120" w:line="276"/>
      </w:pPr>
      <w:r>
        <w:rPr>
          <w:rFonts w:ascii="Calibri" w:cs="Calibri" w:eastAsia="Calibri" w:hAnsi="Calibri"/>
          <w:sz w:val="21"/>
          <w:szCs w:val="21"/>
        </w:rPr>
        <w:t xml:space="preserve">Archivo </w:t>
      </w:r>
      <w:r>
        <w:rPr>
          <w:rFonts w:ascii="Consolas" w:cs="Consolas" w:eastAsia="Consolas" w:hAnsi="Consolas"/>
          <w:sz w:val="19"/>
          <w:szCs w:val="19"/>
          <w:shd w:fill="F2F2F2" w:val="clear"/>
        </w:rPr>
        <w:t xml:space="preserve">frontend/.env.local</w:t>
      </w:r>
      <w:r>
        <w:rPr>
          <w:rFonts w:ascii="Calibri" w:cs="Calibri" w:eastAsia="Calibri" w:hAnsi="Calibri"/>
          <w:sz w:val="21"/>
          <w:szCs w:val="21"/>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1F4E79" w:sz="18"/>
              <w:bottom w:val="single" w:color="D0D0D0" w:sz="4"/>
              <w:right w:val="single" w:color="D0D0D0" w:sz="4"/>
            </w:tcBorders>
            <w:shd w:fill="F8F8F8"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Subdominio del BACKEND, incluyendo el sufijo /api</w:t>
            </w:r>
          </w:p>
          <w:p>
            <w:pPr>
              <w:spacing w:after="0" w:line="240"/>
            </w:pPr>
            <w:r>
              <w:rPr>
                <w:rFonts w:ascii="Consolas" w:cs="Consolas" w:eastAsia="Consolas" w:hAnsi="Consolas"/>
                <w:sz w:val="18"/>
                <w:szCs w:val="18"/>
              </w:rPr>
              <w:t xml:space="preserve">NEXT_PUBLIC_API_URL=https://api.guiadigital.ejemplo.cl/api</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AUTH_GOOGLE_ID=xxxxx.apps.googleusercontent.com</w:t>
            </w:r>
          </w:p>
          <w:p>
            <w:pPr>
              <w:spacing w:after="0" w:line="240"/>
            </w:pPr>
            <w:r>
              <w:rPr>
                <w:rFonts w:ascii="Consolas" w:cs="Consolas" w:eastAsia="Consolas" w:hAnsi="Consolas"/>
                <w:sz w:val="18"/>
                <w:szCs w:val="18"/>
              </w:rPr>
              <w:t xml:space="preserve">AUTH_GOOGLE_SECRET=xxxxx</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AUTH_SECRET=&lt;valor generado en la seccion 2.1&gt;</w:t>
            </w:r>
          </w:p>
          <w:p>
            <w:pPr>
              <w:spacing w:after="0" w:line="240"/>
            </w:pPr>
            <w:r>
              <w:rPr>
                <w:rFonts w:ascii="Consolas" w:cs="Consolas" w:eastAsia="Consolas" w:hAnsi="Consolas"/>
                <w:sz w:val="18"/>
                <w:szCs w:val="18"/>
              </w:rPr>
              <w:t xml:space="preserve"># Subdominio del FRONTEND</w:t>
            </w:r>
          </w:p>
          <w:p>
            <w:pPr>
              <w:spacing w:after="0" w:line="240"/>
            </w:pPr>
            <w:r>
              <w:rPr>
                <w:rFonts w:ascii="Consolas" w:cs="Consolas" w:eastAsia="Consolas" w:hAnsi="Consolas"/>
                <w:sz w:val="18"/>
                <w:szCs w:val="18"/>
              </w:rPr>
              <w:t xml:space="preserve">AUTH_URL=https://guiadigital.ejemplo.cl</w:t>
            </w:r>
          </w:p>
        </w:tc>
      </w:tr>
    </w:tbl>
    <w:p>
      <w:pPr>
        <w:spacing w:after="160"/>
      </w:pPr>
    </w:p>
    <w:p>
      <w:pPr>
        <w:spacing w:after="120" w:line="276"/>
      </w:pPr>
      <w:r>
        <w:rPr>
          <w:rFonts w:ascii="Calibri" w:cs="Calibri" w:eastAsia="Calibri" w:hAnsi="Calibri"/>
          <w:sz w:val="21"/>
          <w:szCs w:val="21"/>
        </w:rPr>
        <w:t xml:space="preserve">Los tres valores deben ser coherentes entre sí: ALLOWED_ORIGINS del backend y AUTH_URL del frontend apuntan al mismo subdominio (el del frontend), mientras que NEXT_PUBLIC_API_URL apunta al del backend. Un desajuste entre ellos produce errores de CORS o de redirección tras el inicio de sesión.</w:t>
      </w:r>
    </w:p>
    <w:p>
      <w:pPr>
        <w:pStyle w:val="Heading2"/>
        <w:keepNext/>
        <w:keepLines/>
        <w:spacing w:after="120" w:before="260"/>
      </w:pPr>
      <w:r>
        <w:rPr>
          <w:rFonts w:ascii="Calibri" w:cs="Calibri" w:eastAsia="Calibri" w:hAnsi="Calibri"/>
          <w:b/>
          <w:bCs/>
          <w:color w:val="1F4E79"/>
          <w:sz w:val="24"/>
          <w:szCs w:val="24"/>
        </w:rPr>
        <w:t xml:space="preserve">7.4 Puesta en marcha</w:t>
      </w:r>
    </w:p>
    <w:p>
      <w:pPr>
        <w:spacing w:after="120" w:line="276"/>
      </w:pPr>
      <w:r>
        <w:rPr>
          <w:rFonts w:ascii="Calibri" w:cs="Calibri" w:eastAsia="Calibri" w:hAnsi="Calibri"/>
          <w:sz w:val="21"/>
          <w:szCs w:val="21"/>
        </w:rPr>
        <w:t xml:space="preserve">Existen dos archivos de Docker Compose. Para producción debe usarse </w:t>
      </w:r>
      <w:r>
        <w:rPr>
          <w:rFonts w:ascii="Consolas" w:cs="Consolas" w:eastAsia="Consolas" w:hAnsi="Consolas"/>
          <w:sz w:val="19"/>
          <w:szCs w:val="19"/>
          <w:shd w:fill="F2F2F2" w:val="clear"/>
        </w:rPr>
        <w:t xml:space="preserve">docker-compose.prod.yml</w:t>
      </w:r>
      <w:r>
        <w:rPr>
          <w:rFonts w:ascii="Calibri" w:cs="Calibri" w:eastAsia="Calibri" w:hAnsi="Calibri"/>
          <w:sz w:val="21"/>
          <w:szCs w:val="21"/>
        </w:rPr>
        <w:t xml:space="preserve">, nunca </w:t>
      </w:r>
      <w:r>
        <w:rPr>
          <w:rFonts w:ascii="Consolas" w:cs="Consolas" w:eastAsia="Consolas" w:hAnsi="Consolas"/>
          <w:sz w:val="19"/>
          <w:szCs w:val="19"/>
          <w:shd w:fill="F2F2F2" w:val="clear"/>
        </w:rPr>
        <w:t xml:space="preserve">docker-compose.yml</w:t>
      </w:r>
      <w:r>
        <w:rPr>
          <w:rFonts w:ascii="Calibri" w:cs="Calibri" w:eastAsia="Calibri" w:hAnsi="Calibri"/>
          <w:sz w:val="21"/>
          <w:szCs w:val="21"/>
        </w:rPr>
        <w:t xml:space="preserve">, que es solo para desarrollo local.</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1F4E79" w:sz="18"/>
              <w:bottom w:val="single" w:color="D0D0D0" w:sz="4"/>
              <w:right w:val="single" w:color="D0D0D0" w:sz="4"/>
            </w:tcBorders>
            <w:shd w:fill="F8F8F8"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1. Credenciales de la base de datos, en un archivo .env en la raiz del repo</w:t>
            </w:r>
          </w:p>
          <w:p>
            <w:pPr>
              <w:spacing w:after="0" w:line="240"/>
            </w:pPr>
            <w:r>
              <w:rPr>
                <w:rFonts w:ascii="Consolas" w:cs="Consolas" w:eastAsia="Consolas" w:hAnsi="Consolas"/>
                <w:sz w:val="18"/>
                <w:szCs w:val="18"/>
              </w:rPr>
              <w:t xml:space="preserve">#    (ver .env.example): POSTGRES_USER, POSTGRES_PASSWORD, POSTGRES_DB</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2. Backend + base de datos</w:t>
            </w:r>
          </w:p>
          <w:p>
            <w:pPr>
              <w:spacing w:after="0" w:line="240"/>
            </w:pPr>
            <w:r>
              <w:rPr>
                <w:rFonts w:ascii="Consolas" w:cs="Consolas" w:eastAsia="Consolas" w:hAnsi="Consolas"/>
                <w:sz w:val="18"/>
                <w:szCs w:val="18"/>
              </w:rPr>
              <w:t xml:space="preserve">docker compose -f docker-compose.prod.yml up -d --build</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3. Registrar la version del esquema.</w:t>
            </w:r>
          </w:p>
          <w:p>
            <w:pPr>
              <w:spacing w:after="0" w:line="240"/>
            </w:pPr>
            <w:r>
              <w:rPr>
                <w:rFonts w:ascii="Consolas" w:cs="Consolas" w:eastAsia="Consolas" w:hAnsi="Consolas"/>
                <w:sz w:val="18"/>
                <w:szCs w:val="18"/>
              </w:rPr>
              <w:t xml:space="preserve">#    En instalacion NUEVA se usa "stamp", NO "upgrade" (ver aviso abajo).</w:t>
            </w:r>
          </w:p>
          <w:p>
            <w:pPr>
              <w:spacing w:after="0" w:line="240"/>
            </w:pPr>
            <w:r>
              <w:rPr>
                <w:rFonts w:ascii="Consolas" w:cs="Consolas" w:eastAsia="Consolas" w:hAnsi="Consolas"/>
                <w:sz w:val="18"/>
                <w:szCs w:val="18"/>
              </w:rPr>
              <w:t xml:space="preserve">docker compose -f docker-compose.prod.yml exec backend alembic stamp head</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4. Frontend</w:t>
            </w:r>
          </w:p>
          <w:p>
            <w:pPr>
              <w:spacing w:after="0" w:line="240"/>
            </w:pPr>
            <w:r>
              <w:rPr>
                <w:rFonts w:ascii="Consolas" w:cs="Consolas" w:eastAsia="Consolas" w:hAnsi="Consolas"/>
                <w:sz w:val="18"/>
                <w:szCs w:val="18"/>
              </w:rPr>
              <w:t xml:space="preserve">cd frontend</w:t>
            </w:r>
          </w:p>
          <w:p>
            <w:pPr>
              <w:spacing w:after="0" w:line="240"/>
            </w:pPr>
            <w:r>
              <w:rPr>
                <w:rFonts w:ascii="Consolas" w:cs="Consolas" w:eastAsia="Consolas" w:hAnsi="Consolas"/>
                <w:sz w:val="18"/>
                <w:szCs w:val="18"/>
              </w:rPr>
              <w:t xml:space="preserve">npm ci</w:t>
            </w:r>
          </w:p>
          <w:p>
            <w:pPr>
              <w:spacing w:after="0" w:line="240"/>
            </w:pPr>
            <w:r>
              <w:rPr>
                <w:rFonts w:ascii="Consolas" w:cs="Consolas" w:eastAsia="Consolas" w:hAnsi="Consolas"/>
                <w:sz w:val="18"/>
                <w:szCs w:val="18"/>
              </w:rPr>
              <w:t xml:space="preserve">npm run build</w:t>
            </w:r>
          </w:p>
          <w:p>
            <w:pPr>
              <w:spacing w:after="0" w:line="240"/>
            </w:pPr>
            <w:r>
              <w:rPr>
                <w:rFonts w:ascii="Consolas" w:cs="Consolas" w:eastAsia="Consolas" w:hAnsi="Consolas"/>
                <w:sz w:val="18"/>
                <w:szCs w:val="18"/>
              </w:rPr>
              <w:t xml:space="preserve">npm run start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7F6000" w:sz="18"/>
              <w:bottom w:val="single" w:color="BFBFBF" w:sz="4"/>
              <w:right w:val="single" w:color="BFBFBF" w:sz="4"/>
            </w:tcBorders>
            <w:shd w:fill="FFF2CC" w:val="clear"/>
            <w:tcMar>
              <w:top w:type="dxa" w:w="140"/>
              <w:left w:type="dxa" w:w="180"/>
              <w:bottom w:type="dxa" w:w="140"/>
              <w:right w:type="dxa" w:w="180"/>
            </w:tcMar>
          </w:tcPr>
          <w:p>
            <w:pPr>
              <w:spacing w:after="60"/>
            </w:pPr>
            <w:r>
              <w:rPr>
                <w:rFonts w:ascii="Calibri" w:cs="Calibri" w:eastAsia="Calibri" w:hAnsi="Calibri"/>
                <w:b/>
                <w:bCs/>
                <w:color w:val="7F6000"/>
                <w:sz w:val="21"/>
                <w:szCs w:val="21"/>
              </w:rPr>
              <w:t xml:space="preserve">Por qué no debe usarse docker-compose.yml en producción</w:t>
            </w:r>
          </w:p>
          <w:p>
            <w:pPr>
              <w:spacing w:after="40" w:line="276"/>
            </w:pPr>
            <w:r>
              <w:rPr>
                <w:rFonts w:ascii="Calibri" w:cs="Calibri" w:eastAsia="Calibri" w:hAnsi="Calibri"/>
                <w:sz w:val="21"/>
                <w:szCs w:val="21"/>
              </w:rPr>
              <w:t xml:space="preserve">El archivo de desarrollo publica PostgreSQL en el puerto 5432 del servidor, arranca con una contraseña por defecto si no se define otra, y sobrescribe DATABASE_URL y ALLOWED_ORIGINS con valores de desarrollo.</w:t>
            </w:r>
          </w:p>
          <w:p>
            <w:pPr>
              <w:spacing w:after="40" w:line="276"/>
            </w:pPr>
            <w:r>
              <w:rPr>
                <w:rFonts w:ascii="Calibri" w:cs="Calibri" w:eastAsia="Calibri" w:hAnsi="Calibri"/>
                <w:sz w:val="21"/>
                <w:szCs w:val="21"/>
              </w:rPr>
              <w:t xml:space="preserve">Esa última parte es la más difícil de diagnosticar: en Docker Compose los valores de la sección environment tienen precedencia sobre los de env_file, de modo que lo configurado en backend/.env se ignora en silencio y el backend arranca aceptando solo http://localhost:3000.</w:t>
            </w:r>
          </w:p>
          <w:p>
            <w:pPr>
              <w:spacing w:after="40" w:line="276"/>
            </w:pPr>
            <w:r>
              <w:rPr>
                <w:rFonts w:ascii="Calibri" w:cs="Calibri" w:eastAsia="Calibri" w:hAnsi="Calibri"/>
                <w:sz w:val="21"/>
                <w:szCs w:val="21"/>
              </w:rPr>
              <w:t xml:space="preserve">El archivo docker-compose.prod.yml no publica PostgreSQL, exige contraseña explícita y respeta backend/.env.</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C00000" w:sz="18"/>
              <w:bottom w:val="single" w:color="BFBFBF" w:sz="4"/>
              <w:right w:val="single" w:color="BFBFBF" w:sz="4"/>
            </w:tcBorders>
            <w:shd w:fill="FBE4E4" w:val="clear"/>
            <w:tcMar>
              <w:top w:type="dxa" w:w="140"/>
              <w:left w:type="dxa" w:w="180"/>
              <w:bottom w:type="dxa" w:w="140"/>
              <w:right w:type="dxa" w:w="180"/>
            </w:tcMar>
          </w:tcPr>
          <w:p>
            <w:pPr>
              <w:spacing w:after="60"/>
            </w:pPr>
            <w:r>
              <w:rPr>
                <w:rFonts w:ascii="Calibri" w:cs="Calibri" w:eastAsia="Calibri" w:hAnsi="Calibri"/>
                <w:b/>
                <w:bCs/>
                <w:color w:val="C00000"/>
                <w:sz w:val="21"/>
                <w:szCs w:val="21"/>
              </w:rPr>
              <w:t xml:space="preserve">Instalación nueva: usar stamp, no upgrade</w:t>
            </w:r>
          </w:p>
          <w:p>
            <w:pPr>
              <w:spacing w:after="40" w:line="276"/>
            </w:pPr>
            <w:r>
              <w:rPr>
                <w:rFonts w:ascii="Calibri" w:cs="Calibri" w:eastAsia="Calibri" w:hAnsi="Calibri"/>
                <w:sz w:val="21"/>
                <w:szCs w:val="21"/>
              </w:rPr>
              <w:t xml:space="preserve">El backend crea el esquema completo de la base de datos al arrancar, a partir de la definición de los modelos. Cuando el contenedor levanta por primera vez, todas las tablas y columnas quedan creadas en su versión final.</w:t>
            </w:r>
          </w:p>
          <w:p>
            <w:pPr>
              <w:spacing w:after="40" w:line="276"/>
            </w:pPr>
            <w:r>
              <w:rPr>
                <w:rFonts w:ascii="Calibri" w:cs="Calibri" w:eastAsia="Calibri" w:hAnsi="Calibri"/>
                <w:sz w:val="21"/>
                <w:szCs w:val="21"/>
              </w:rPr>
              <w:t xml:space="preserve">Por eso, en una instalación nueva NO debe ejecutarse alembic upgrade head: Alembic intentaría aplicar migraciones cuyos cambios ya están presentes y fallaría con un error de columna duplicada. El comando correcto es alembic stamp head, que registra la versión actual del esquema sin ejecutar ninguna migración.</w:t>
            </w:r>
          </w:p>
          <w:p>
            <w:pPr>
              <w:spacing w:after="40" w:line="276"/>
            </w:pPr>
            <w:r>
              <w:rPr>
                <w:rFonts w:ascii="Calibri" w:cs="Calibri" w:eastAsia="Calibri" w:hAnsi="Calibri"/>
                <w:sz w:val="21"/>
                <w:szCs w:val="21"/>
              </w:rPr>
              <w:t xml:space="preserve">alembic upgrade head sí es el comando correcto más adelante, al actualizar una instalación que ya está en funcionamiento y ya fue registrada con stamp.</w:t>
            </w:r>
          </w:p>
        </w:tc>
      </w:tr>
    </w:tbl>
    <w:p>
      <w:pPr>
        <w:spacing w:after="160"/>
      </w:pPr>
    </w:p>
    <w:p>
      <w:pPr>
        <w:spacing w:after="120" w:line="276"/>
      </w:pPr>
      <w:r>
        <w:rPr>
          <w:rFonts w:ascii="Calibri" w:cs="Calibri" w:eastAsia="Calibri" w:hAnsi="Calibri"/>
          <w:sz w:val="21"/>
          <w:szCs w:val="21"/>
        </w:rPr>
        <w:t xml:space="preserve">El contenedor del backend expone el puerto 7860 internamente y se publica en 127.0.0.1:8000, accesible solo desde el propio servidor. El frontend queda en 127.0.0.1:3000. Ambos se exponen hacia afuera únicamente a través del proxy inverso.</w:t>
      </w:r>
    </w:p>
    <w:p>
      <w:pPr>
        <w:pStyle w:val="Heading2"/>
        <w:keepNext/>
        <w:keepLines/>
        <w:spacing w:after="120" w:before="260"/>
      </w:pPr>
      <w:r>
        <w:rPr>
          <w:rFonts w:ascii="Calibri" w:cs="Calibri" w:eastAsia="Calibri" w:hAnsi="Calibri"/>
          <w:b/>
          <w:bCs/>
          <w:color w:val="1F4E79"/>
          <w:sz w:val="24"/>
          <w:szCs w:val="24"/>
        </w:rPr>
        <w:t xml:space="preserve">7.5 Configuración del proxy inverso (nginx)</w:t>
      </w:r>
    </w:p>
    <w:p>
      <w:pPr>
        <w:spacing w:after="120" w:line="276"/>
      </w:pPr>
      <w:r>
        <w:rPr>
          <w:rFonts w:ascii="Calibri" w:cs="Calibri" w:eastAsia="Calibri" w:hAnsi="Calibri"/>
          <w:sz w:val="21"/>
          <w:szCs w:val="21"/>
        </w:rPr>
        <w:t xml:space="preserve">Configuración de referencia para los dos subdominios definidos en la sección 5.2. Reemplazar los nombres de ejemplo y las rutas de los certificados por los valores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1F4E79" w:sz="18"/>
              <w:bottom w:val="single" w:color="D0D0D0" w:sz="4"/>
              <w:right w:val="single" w:color="D0D0D0" w:sz="4"/>
            </w:tcBorders>
            <w:shd w:fill="F8F8F8"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 Frontend ---</w:t>
            </w:r>
          </w:p>
          <w:p>
            <w:pPr>
              <w:spacing w:after="0" w:line="240"/>
            </w:pPr>
            <w:r>
              <w:rPr>
                <w:rFonts w:ascii="Consolas" w:cs="Consolas" w:eastAsia="Consolas" w:hAnsi="Consolas"/>
                <w:sz w:val="18"/>
                <w:szCs w:val="18"/>
              </w:rPr>
              <w:t xml:space="preserve">server {</w:t>
            </w:r>
          </w:p>
          <w:p>
            <w:pPr>
              <w:spacing w:after="0" w:line="240"/>
            </w:pPr>
            <w:r>
              <w:rPr>
                <w:rFonts w:ascii="Consolas" w:cs="Consolas" w:eastAsia="Consolas" w:hAnsi="Consolas"/>
                <w:sz w:val="18"/>
                <w:szCs w:val="18"/>
              </w:rPr>
              <w:t xml:space="preserve">    listen 443 ssl;</w:t>
            </w:r>
          </w:p>
          <w:p>
            <w:pPr>
              <w:spacing w:after="0" w:line="240"/>
            </w:pPr>
            <w:r>
              <w:rPr>
                <w:rFonts w:ascii="Consolas" w:cs="Consolas" w:eastAsia="Consolas" w:hAnsi="Consolas"/>
                <w:sz w:val="18"/>
                <w:szCs w:val="18"/>
              </w:rPr>
              <w:t xml:space="preserve">    server_name guiadigital.ejemplo.cl;</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ssl_certificate     /etc/letsencrypt/live/guiadigital.ejemplo.cl/fullchain.pem;</w:t>
            </w:r>
          </w:p>
          <w:p>
            <w:pPr>
              <w:spacing w:after="0" w:line="240"/>
            </w:pPr>
            <w:r>
              <w:rPr>
                <w:rFonts w:ascii="Consolas" w:cs="Consolas" w:eastAsia="Consolas" w:hAnsi="Consolas"/>
                <w:sz w:val="18"/>
                <w:szCs w:val="18"/>
              </w:rPr>
              <w:t xml:space="preserve">    ssl_certificate_key /etc/letsencrypt/live/guiadigital.ejemplo.cl/privkey.pem;</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location / {</w:t>
            </w:r>
          </w:p>
          <w:p>
            <w:pPr>
              <w:spacing w:after="0" w:line="240"/>
            </w:pPr>
            <w:r>
              <w:rPr>
                <w:rFonts w:ascii="Consolas" w:cs="Consolas" w:eastAsia="Consolas" w:hAnsi="Consolas"/>
                <w:sz w:val="18"/>
                <w:szCs w:val="18"/>
              </w:rPr>
              <w:t xml:space="preserve">        proxy_pass http://127.0.0.1:3000;</w:t>
            </w:r>
          </w:p>
          <w:p>
            <w:pPr>
              <w:spacing w:after="0" w:line="240"/>
            </w:pPr>
            <w:r>
              <w:rPr>
                <w:rFonts w:ascii="Consolas" w:cs="Consolas" w:eastAsia="Consolas" w:hAnsi="Consolas"/>
                <w:sz w:val="18"/>
                <w:szCs w:val="18"/>
              </w:rPr>
              <w:t xml:space="preserve">        proxy_http_version 1.1;</w:t>
            </w:r>
          </w:p>
          <w:p>
            <w:pPr>
              <w:spacing w:after="0" w:line="240"/>
            </w:pPr>
            <w:r>
              <w:rPr>
                <w:rFonts w:ascii="Consolas" w:cs="Consolas" w:eastAsia="Consolas" w:hAnsi="Consolas"/>
                <w:sz w:val="18"/>
                <w:szCs w:val="18"/>
              </w:rPr>
              <w:t xml:space="preserve">        proxy_set_header Host              $host;</w:t>
            </w:r>
          </w:p>
          <w:p>
            <w:pPr>
              <w:spacing w:after="0" w:line="240"/>
            </w:pPr>
            <w:r>
              <w:rPr>
                <w:rFonts w:ascii="Consolas" w:cs="Consolas" w:eastAsia="Consolas" w:hAnsi="Consolas"/>
                <w:sz w:val="18"/>
                <w:szCs w:val="18"/>
              </w:rPr>
              <w:t xml:space="preserve">        proxy_set_header X-Real-IP         $remote_addr;</w:t>
            </w:r>
          </w:p>
          <w:p>
            <w:pPr>
              <w:spacing w:after="0" w:line="240"/>
            </w:pPr>
            <w:r>
              <w:rPr>
                <w:rFonts w:ascii="Consolas" w:cs="Consolas" w:eastAsia="Consolas" w:hAnsi="Consolas"/>
                <w:sz w:val="18"/>
                <w:szCs w:val="18"/>
              </w:rPr>
              <w:t xml:space="preserve">        proxy_set_header X-Forwarded-For   $proxy_add_x_forwarded_for;</w:t>
            </w:r>
          </w:p>
          <w:p>
            <w:pPr>
              <w:spacing w:after="0" w:line="240"/>
            </w:pPr>
            <w:r>
              <w:rPr>
                <w:rFonts w:ascii="Consolas" w:cs="Consolas" w:eastAsia="Consolas" w:hAnsi="Consolas"/>
                <w:sz w:val="18"/>
                <w:szCs w:val="18"/>
              </w:rPr>
              <w:t xml:space="preserve">        proxy_set_header X-Forwarded-Proto $scheme;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40"/>
      </w:pPr>
    </w:p>
    <w:p>
      <w:pPr>
        <w:spacing w:after="120" w:line="276"/>
      </w:pPr>
      <w:r>
        <w:rPr>
          <w:rFonts w:ascii="Calibri" w:cs="Calibri" w:eastAsia="Calibri" w:hAnsi="Calibri"/>
          <w:sz w:val="21"/>
          <w:szCs w:val="21"/>
        </w:rPr>
        <w:t xml:space="preserve">Bloque del backend y redirección de HTTP a HTTPS: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1F4E79" w:sz="18"/>
              <w:bottom w:val="single" w:color="D0D0D0" w:sz="4"/>
              <w:right w:val="single" w:color="D0D0D0" w:sz="4"/>
            </w:tcBorders>
            <w:shd w:fill="F8F8F8"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 --- Backend (API) ---</w:t>
            </w:r>
          </w:p>
          <w:p>
            <w:pPr>
              <w:spacing w:after="0" w:line="240"/>
            </w:pPr>
            <w:r>
              <w:rPr>
                <w:rFonts w:ascii="Consolas" w:cs="Consolas" w:eastAsia="Consolas" w:hAnsi="Consolas"/>
                <w:sz w:val="18"/>
                <w:szCs w:val="18"/>
              </w:rPr>
              <w:t xml:space="preserve">server {</w:t>
            </w:r>
          </w:p>
          <w:p>
            <w:pPr>
              <w:spacing w:after="0" w:line="240"/>
            </w:pPr>
            <w:r>
              <w:rPr>
                <w:rFonts w:ascii="Consolas" w:cs="Consolas" w:eastAsia="Consolas" w:hAnsi="Consolas"/>
                <w:sz w:val="18"/>
                <w:szCs w:val="18"/>
              </w:rPr>
              <w:t xml:space="preserve">    listen 443 ssl;</w:t>
            </w:r>
          </w:p>
          <w:p>
            <w:pPr>
              <w:spacing w:after="0" w:line="240"/>
            </w:pPr>
            <w:r>
              <w:rPr>
                <w:rFonts w:ascii="Consolas" w:cs="Consolas" w:eastAsia="Consolas" w:hAnsi="Consolas"/>
                <w:sz w:val="18"/>
                <w:szCs w:val="18"/>
              </w:rPr>
              <w:t xml:space="preserve">    server_name api.guiadigital.ejemplo.cl;</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ssl_certificate     /etc/letsencrypt/live/api.guiadigital.ejemplo.cl/fullchain.pem;</w:t>
            </w:r>
          </w:p>
          <w:p>
            <w:pPr>
              <w:spacing w:after="0" w:line="240"/>
            </w:pPr>
            <w:r>
              <w:rPr>
                <w:rFonts w:ascii="Consolas" w:cs="Consolas" w:eastAsia="Consolas" w:hAnsi="Consolas"/>
                <w:sz w:val="18"/>
                <w:szCs w:val="18"/>
              </w:rPr>
              <w:t xml:space="preserve">    ssl_certificate_key /etc/letsencrypt/live/api.guiadigital.ejemplo.cl/privkey.pem;</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location / {</w:t>
            </w:r>
          </w:p>
          <w:p>
            <w:pPr>
              <w:spacing w:after="0" w:line="240"/>
            </w:pPr>
            <w:r>
              <w:rPr>
                <w:rFonts w:ascii="Consolas" w:cs="Consolas" w:eastAsia="Consolas" w:hAnsi="Consolas"/>
                <w:sz w:val="18"/>
                <w:szCs w:val="18"/>
              </w:rPr>
              <w:t xml:space="preserve">        proxy_pass http://127.0.0.1:8000;</w:t>
            </w:r>
          </w:p>
          <w:p>
            <w:pPr>
              <w:spacing w:after="0" w:line="240"/>
            </w:pPr>
            <w:r>
              <w:rPr>
                <w:rFonts w:ascii="Consolas" w:cs="Consolas" w:eastAsia="Consolas" w:hAnsi="Consolas"/>
                <w:sz w:val="18"/>
                <w:szCs w:val="18"/>
              </w:rPr>
              <w:t xml:space="preserve">        proxy_set_header Host              $host;</w:t>
            </w:r>
          </w:p>
          <w:p>
            <w:pPr>
              <w:spacing w:after="0" w:line="240"/>
            </w:pPr>
            <w:r>
              <w:rPr>
                <w:rFonts w:ascii="Consolas" w:cs="Consolas" w:eastAsia="Consolas" w:hAnsi="Consolas"/>
                <w:sz w:val="18"/>
                <w:szCs w:val="18"/>
              </w:rPr>
              <w:t xml:space="preserve">        proxy_set_header X-Real-IP         $remote_addr;</w:t>
            </w:r>
          </w:p>
          <w:p>
            <w:pPr>
              <w:spacing w:after="0" w:line="240"/>
            </w:pPr>
            <w:r>
              <w:rPr>
                <w:rFonts w:ascii="Consolas" w:cs="Consolas" w:eastAsia="Consolas" w:hAnsi="Consolas"/>
                <w:sz w:val="18"/>
                <w:szCs w:val="18"/>
              </w:rPr>
              <w:t xml:space="preserve">        proxy_set_header X-Forwarded-For   $proxy_add_x_forwarded_for;</w:t>
            </w:r>
          </w:p>
          <w:p>
            <w:pPr>
              <w:spacing w:after="0" w:line="240"/>
            </w:pPr>
            <w:r>
              <w:rPr>
                <w:rFonts w:ascii="Consolas" w:cs="Consolas" w:eastAsia="Consolas" w:hAnsi="Consolas"/>
                <w:sz w:val="18"/>
                <w:szCs w:val="18"/>
              </w:rPr>
              <w:t xml:space="preserve">        proxy_set_header X-Forwarded-Proto $scheme;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r>
          </w:p>
          <w:p>
            <w:pPr>
              <w:spacing w:after="0" w:line="240"/>
            </w:pPr>
            <w:r>
              <w:rPr>
                <w:rFonts w:ascii="Consolas" w:cs="Consolas" w:eastAsia="Consolas" w:hAnsi="Consolas"/>
                <w:sz w:val="18"/>
                <w:szCs w:val="18"/>
              </w:rPr>
              <w:t xml:space="preserve"># --- Redirección de HTTP a HTTPS ---</w:t>
            </w:r>
          </w:p>
          <w:p>
            <w:pPr>
              <w:spacing w:after="0" w:line="240"/>
            </w:pPr>
            <w:r>
              <w:rPr>
                <w:rFonts w:ascii="Consolas" w:cs="Consolas" w:eastAsia="Consolas" w:hAnsi="Consolas"/>
                <w:sz w:val="18"/>
                <w:szCs w:val="18"/>
              </w:rPr>
              <w:t xml:space="preserve">server {</w:t>
            </w:r>
          </w:p>
          <w:p>
            <w:pPr>
              <w:spacing w:after="0" w:line="240"/>
            </w:pPr>
            <w:r>
              <w:rPr>
                <w:rFonts w:ascii="Consolas" w:cs="Consolas" w:eastAsia="Consolas" w:hAnsi="Consolas"/>
                <w:sz w:val="18"/>
                <w:szCs w:val="18"/>
              </w:rPr>
              <w:t xml:space="preserve">    listen 80;</w:t>
            </w:r>
          </w:p>
          <w:p>
            <w:pPr>
              <w:spacing w:after="0" w:line="240"/>
            </w:pPr>
            <w:r>
              <w:rPr>
                <w:rFonts w:ascii="Consolas" w:cs="Consolas" w:eastAsia="Consolas" w:hAnsi="Consolas"/>
                <w:sz w:val="18"/>
                <w:szCs w:val="18"/>
              </w:rPr>
              <w:t xml:space="preserve">    server_name guiadigital.ejemplo.cl api.guiadigital.ejemplo.cl;</w:t>
            </w:r>
          </w:p>
          <w:p>
            <w:pPr>
              <w:spacing w:after="0" w:line="240"/>
            </w:pPr>
            <w:r>
              <w:rPr>
                <w:rFonts w:ascii="Consolas" w:cs="Consolas" w:eastAsia="Consolas" w:hAnsi="Consolas"/>
                <w:sz w:val="18"/>
                <w:szCs w:val="18"/>
              </w:rPr>
              <w:t xml:space="preserve">    return 301 https://$host$request_uri;</w:t>
            </w:r>
          </w:p>
          <w:p>
            <w:pPr>
              <w:spacing w:after="0" w:line="240"/>
            </w:pPr>
            <w:r>
              <w:rPr>
                <w:rFonts w:ascii="Consolas" w:cs="Consolas" w:eastAsia="Consolas" w:hAnsi="Consolas"/>
                <w:sz w:val="18"/>
                <w:szCs w:val="18"/>
              </w:rPr>
              <w:t xml:space="preserve">}</w:t>
            </w:r>
          </w:p>
        </w:tc>
      </w:tr>
    </w:tbl>
    <w:p>
      <w:pPr>
        <w:spacing w:after="160"/>
      </w:pPr>
    </w:p>
    <w:p>
      <w:pPr>
        <w:spacing w:after="120" w:line="276"/>
      </w:pPr>
      <w:r>
        <w:rPr>
          <w:rFonts w:ascii="Calibri" w:cs="Calibri" w:eastAsia="Calibri" w:hAnsi="Calibri"/>
          <w:sz w:val="21"/>
          <w:szCs w:val="21"/>
        </w:rPr>
        <w:t xml:space="preserve">La cabecera X-Forwarded-Proto es necesaria para que NextAuth genere las URL de redirección con https. Sin ella, el inicio de sesión puede redirigir a http y fallar la validación de Google.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1F4E79" w:sz="18"/>
              <w:bottom w:val="single" w:color="BFBFBF" w:sz="4"/>
              <w:right w:val="single" w:color="BFBFBF" w:sz="4"/>
            </w:tcBorders>
            <w:shd w:fill="DCE6F1" w:val="clear"/>
            <w:tcMar>
              <w:top w:type="dxa" w:w="140"/>
              <w:left w:type="dxa" w:w="180"/>
              <w:bottom w:type="dxa" w:w="140"/>
              <w:right w:type="dxa" w:w="180"/>
            </w:tcMar>
          </w:tcPr>
          <w:p>
            <w:pPr>
              <w:spacing w:after="60"/>
            </w:pPr>
            <w:r>
              <w:rPr>
                <w:rFonts w:ascii="Calibri" w:cs="Calibri" w:eastAsia="Calibri" w:hAnsi="Calibri"/>
                <w:b/>
                <w:bCs/>
                <w:color w:val="1F4E79"/>
                <w:sz w:val="21"/>
                <w:szCs w:val="21"/>
              </w:rPr>
              <w:t xml:space="preserve">Carga inicial del contenido educativo</w:t>
            </w:r>
          </w:p>
          <w:p>
            <w:pPr>
              <w:spacing w:after="40" w:line="276"/>
            </w:pPr>
            <w:r>
              <w:rPr>
                <w:rFonts w:ascii="Calibri" w:cs="Calibri" w:eastAsia="Calibri" w:hAnsi="Calibri"/>
                <w:sz w:val="21"/>
                <w:szCs w:val="21"/>
              </w:rPr>
              <w:t xml:space="preserve">Al arrancar, el backend verifica si la tabla de módulos está vacía. Solo en ese caso carga automáticamente el contenido educativo inicial.</w:t>
            </w:r>
          </w:p>
          <w:p>
            <w:pPr>
              <w:spacing w:after="40" w:line="276"/>
            </w:pPr>
            <w:r>
              <w:rPr>
                <w:rFonts w:ascii="Calibri" w:cs="Calibri" w:eastAsia="Calibri" w:hAnsi="Calibri"/>
                <w:sz w:val="21"/>
                <w:szCs w:val="21"/>
              </w:rPr>
              <w:t xml:space="preserve">Esto significa que la carga ocurre una única vez, en la primera puesta en marcha. En arranques posteriores el contenido existente no se modifica ni se actualiza. Ver sección 10.1 sobre las implicancias de este diseño.</w:t>
            </w:r>
          </w:p>
        </w:tc>
      </w:tr>
    </w:tbl>
    <w:p>
      <w:r>
        <w:br w:type="page"/>
      </w:r>
    </w:p>
    <w:p>
      <w:pPr>
        <w:pStyle w:val="Heading1"/>
        <w:keepNext/>
        <w:keepLines/>
        <w:spacing w:after="160" w:before="360"/>
      </w:pPr>
      <w:r>
        <w:rPr>
          <w:rFonts w:ascii="Calibri" w:cs="Calibri" w:eastAsia="Calibri" w:hAnsi="Calibri"/>
          <w:b/>
          <w:bCs/>
          <w:color w:val="1F4E79"/>
          <w:sz w:val="30"/>
          <w:szCs w:val="30"/>
        </w:rPr>
        <w:t xml:space="preserve">8. Creación del primer administrador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C00000" w:sz="18"/>
              <w:bottom w:val="single" w:color="BFBFBF" w:sz="4"/>
              <w:right w:val="single" w:color="BFBFBF" w:sz="4"/>
            </w:tcBorders>
            <w:shd w:fill="FBE4E4" w:val="clear"/>
            <w:tcMar>
              <w:top w:type="dxa" w:w="140"/>
              <w:left w:type="dxa" w:w="180"/>
              <w:bottom w:type="dxa" w:w="140"/>
              <w:right w:type="dxa" w:w="180"/>
            </w:tcMar>
          </w:tcPr>
          <w:p>
            <w:pPr>
              <w:spacing w:after="60"/>
            </w:pPr>
            <w:r>
              <w:rPr>
                <w:rFonts w:ascii="Calibri" w:cs="Calibri" w:eastAsia="Calibri" w:hAnsi="Calibri"/>
                <w:b/>
                <w:bCs/>
                <w:color w:val="C00000"/>
                <w:sz w:val="21"/>
                <w:szCs w:val="21"/>
              </w:rPr>
              <w:t xml:space="preserve">Paso obligatorio y no automatizado</w:t>
            </w:r>
          </w:p>
          <w:p>
            <w:pPr>
              <w:spacing w:after="40" w:line="276"/>
            </w:pPr>
            <w:r>
              <w:rPr>
                <w:rFonts w:ascii="Calibri" w:cs="Calibri" w:eastAsia="Calibri" w:hAnsi="Calibri"/>
                <w:sz w:val="21"/>
                <w:szCs w:val="21"/>
              </w:rPr>
              <w:t xml:space="preserve">El sistema no incluye ningún usuario administrador predefinido. Todos los usuarios que inician sesión se crean con rol "alumno".</w:t>
            </w:r>
          </w:p>
          <w:p>
            <w:pPr>
              <w:spacing w:after="40" w:line="276"/>
            </w:pPr>
            <w:r>
              <w:rPr>
                <w:rFonts w:ascii="Calibri" w:cs="Calibri" w:eastAsia="Calibri" w:hAnsi="Calibri"/>
                <w:sz w:val="21"/>
                <w:szCs w:val="21"/>
              </w:rPr>
              <w:t xml:space="preserve">Si este procedimiento no se ejecuta, la plataforma quedará operativa pero sin ninguna persona capaz de administrarla, y el sistema no emitirá ningún mensaje que explique la causa.</w:t>
            </w:r>
          </w:p>
        </w:tc>
      </w:tr>
    </w:tbl>
    <w:p>
      <w:pPr>
        <w:spacing w:after="120"/>
      </w:pPr>
    </w:p>
    <w:p>
      <w:pPr>
        <w:pStyle w:val="Heading2"/>
        <w:keepNext/>
        <w:keepLines/>
        <w:spacing w:after="120" w:before="260"/>
      </w:pPr>
      <w:r>
        <w:rPr>
          <w:rFonts w:ascii="Calibri" w:cs="Calibri" w:eastAsia="Calibri" w:hAnsi="Calibri"/>
          <w:b/>
          <w:bCs/>
          <w:color w:val="1F4E79"/>
          <w:sz w:val="24"/>
          <w:szCs w:val="24"/>
        </w:rPr>
        <w:t xml:space="preserve">8.1 Procedimiento</w:t>
      </w:r>
    </w:p>
    <w:p>
      <w:pPr>
        <w:pStyle w:val="ListParagraph"/>
        <w:numPr>
          <w:ilvl w:val="0"/>
          <w:numId w:val="7"/>
        </w:numPr>
        <w:spacing w:after="80" w:line="276"/>
      </w:pPr>
      <w:r>
        <w:rPr>
          <w:rFonts w:ascii="Calibri" w:cs="Calibri" w:eastAsia="Calibri" w:hAnsi="Calibri"/>
          <w:sz w:val="21"/>
          <w:szCs w:val="21"/>
        </w:rPr>
        <w:t xml:space="preserve">La persona designada como administrador debe iniciar sesión una primera vez en la plataforma con su cuenta de Google. Esto crea su registro en la base de datos con rol "alumno".</w:t>
      </w:r>
    </w:p>
    <w:p>
      <w:pPr>
        <w:pStyle w:val="ListParagraph"/>
        <w:numPr>
          <w:ilvl w:val="0"/>
          <w:numId w:val="7"/>
        </w:numPr>
        <w:spacing w:after="80" w:line="276"/>
      </w:pPr>
      <w:r>
        <w:rPr>
          <w:rFonts w:ascii="Calibri" w:cs="Calibri" w:eastAsia="Calibri" w:hAnsi="Calibri"/>
          <w:sz w:val="21"/>
          <w:szCs w:val="21"/>
        </w:rPr>
        <w:t xml:space="preserve">Conectarse a PostgreSQL y ejecutar la sentencia siguiente, reemplazando el correo por el de esa persona:</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1F4E79" w:sz="18"/>
              <w:bottom w:val="single" w:color="D0D0D0" w:sz="4"/>
              <w:right w:val="single" w:color="D0D0D0" w:sz="4"/>
            </w:tcBorders>
            <w:shd w:fill="F8F8F8"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UPDATE usuario</w:t>
            </w:r>
          </w:p>
          <w:p>
            <w:pPr>
              <w:spacing w:after="0" w:line="240"/>
            </w:pPr>
            <w:r>
              <w:rPr>
                <w:rFonts w:ascii="Consolas" w:cs="Consolas" w:eastAsia="Consolas" w:hAnsi="Consolas"/>
                <w:sz w:val="18"/>
                <w:szCs w:val="18"/>
              </w:rPr>
              <w:t xml:space="preserve">SET rol = 'admin'</w:t>
            </w:r>
          </w:p>
          <w:p>
            <w:pPr>
              <w:spacing w:after="0" w:line="240"/>
            </w:pPr>
            <w:r>
              <w:rPr>
                <w:rFonts w:ascii="Consolas" w:cs="Consolas" w:eastAsia="Consolas" w:hAnsi="Consolas"/>
                <w:sz w:val="18"/>
                <w:szCs w:val="18"/>
              </w:rPr>
              <w:t xml:space="preserve">WHERE email = 'correo.designado@ejemplo.cl';</w:t>
            </w:r>
          </w:p>
        </w:tc>
      </w:tr>
    </w:tbl>
    <w:p>
      <w:pPr>
        <w:spacing w:after="120"/>
      </w:pPr>
    </w:p>
    <w:p>
      <w:pPr>
        <w:pStyle w:val="ListParagraph"/>
        <w:numPr>
          <w:ilvl w:val="0"/>
          <w:numId w:val="7"/>
        </w:numPr>
        <w:spacing w:after="80" w:line="276"/>
      </w:pPr>
      <w:r>
        <w:rPr>
          <w:rFonts w:ascii="Calibri" w:cs="Calibri" w:eastAsia="Calibri" w:hAnsi="Calibri"/>
          <w:sz w:val="21"/>
          <w:szCs w:val="21"/>
        </w:rPr>
        <w:t xml:space="preserve">La persona debe cerrar sesión y volver a iniciarla. El rol se incorpora al token de sesión en el momento del inicio de sesión, por lo que una sesión abierta previamente conserva el rol anterior hasta renovarse.</w:t>
      </w:r>
    </w:p>
    <w:p>
      <w:pPr>
        <w:pStyle w:val="ListParagraph"/>
        <w:numPr>
          <w:ilvl w:val="0"/>
          <w:numId w:val="7"/>
        </w:numPr>
        <w:spacing w:after="80" w:line="276"/>
      </w:pPr>
      <w:r>
        <w:rPr>
          <w:rFonts w:ascii="Calibri" w:cs="Calibri" w:eastAsia="Calibri" w:hAnsi="Calibri"/>
          <w:sz w:val="21"/>
          <w:szCs w:val="21"/>
        </w:rPr>
        <w:t xml:space="preserve">Verificar el resultado: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D0D0D0" w:sz="4"/>
              <w:left w:val="single" w:color="1F4E79" w:sz="18"/>
              <w:bottom w:val="single" w:color="D0D0D0" w:sz="4"/>
              <w:right w:val="single" w:color="D0D0D0" w:sz="4"/>
            </w:tcBorders>
            <w:shd w:fill="F8F8F8" w:val="clear"/>
            <w:tcMar>
              <w:top w:type="dxa" w:w="120"/>
              <w:left w:type="dxa" w:w="160"/>
              <w:bottom w:type="dxa" w:w="120"/>
              <w:right w:type="dxa" w:w="160"/>
            </w:tcMar>
          </w:tcPr>
          <w:p>
            <w:pPr>
              <w:spacing w:after="0" w:line="240"/>
            </w:pPr>
            <w:r>
              <w:rPr>
                <w:rFonts w:ascii="Consolas" w:cs="Consolas" w:eastAsia="Consolas" w:hAnsi="Consolas"/>
                <w:sz w:val="18"/>
                <w:szCs w:val="18"/>
              </w:rPr>
              <w:t xml:space="preserve">SELECT email, nombre, rol FROM usuario WHERE rol = 'admin';</w:t>
            </w:r>
          </w:p>
        </w:tc>
      </w:tr>
    </w:tbl>
    <w:p>
      <w:pPr>
        <w:spacing w:after="200"/>
      </w:pPr>
    </w:p>
    <w:p>
      <w:pPr>
        <w:pStyle w:val="Heading2"/>
        <w:keepNext/>
        <w:keepLines/>
        <w:spacing w:after="120" w:before="260"/>
      </w:pPr>
      <w:r>
        <w:rPr>
          <w:rFonts w:ascii="Calibri" w:cs="Calibri" w:eastAsia="Calibri" w:hAnsi="Calibri"/>
          <w:b/>
          <w:bCs/>
          <w:color w:val="1F4E79"/>
          <w:sz w:val="24"/>
          <w:szCs w:val="24"/>
        </w:rPr>
        <w:t xml:space="preserve">8.2 Alcance del rol de administrador</w:t>
      </w:r>
    </w:p>
    <w:p>
      <w:pPr>
        <w:spacing w:after="120" w:line="276"/>
      </w:pPr>
      <w:r>
        <w:rPr>
          <w:rFonts w:ascii="Calibri" w:cs="Calibri" w:eastAsia="Calibri" w:hAnsi="Calibri"/>
          <w:sz w:val="21"/>
          <w:szCs w:val="21"/>
        </w:rPr>
        <w:t xml:space="preserve">Conviene precisar qué habilita este rol, ya que su alcance es más acotado de lo que su nombre sugiere. Los permisos de administrador se aplican exclusivamente sobre el asistente conversacional:</w:t>
      </w:r>
    </w:p>
    <w:p>
      <w:pPr>
        <w:pStyle w:val="ListParagraph"/>
        <w:numPr>
          <w:ilvl w:val="0"/>
          <w:numId w:val="2"/>
        </w:numPr>
        <w:spacing w:after="80" w:line="276"/>
      </w:pPr>
      <w:r>
        <w:rPr>
          <w:rFonts w:ascii="Calibri" w:cs="Calibri" w:eastAsia="Calibri" w:hAnsi="Calibri"/>
          <w:sz w:val="21"/>
          <w:szCs w:val="21"/>
        </w:rPr>
        <w:t xml:space="preserve">Gestión de la lista de términos permitidos del chatbot.</w:t>
      </w:r>
    </w:p>
    <w:p>
      <w:pPr>
        <w:pStyle w:val="ListParagraph"/>
        <w:numPr>
          <w:ilvl w:val="0"/>
          <w:numId w:val="2"/>
        </w:numPr>
        <w:spacing w:after="80" w:line="276"/>
      </w:pPr>
      <w:r>
        <w:rPr>
          <w:rFonts w:ascii="Calibri" w:cs="Calibri" w:eastAsia="Calibri" w:hAnsi="Calibri"/>
          <w:sz w:val="21"/>
          <w:szCs w:val="21"/>
        </w:rPr>
        <w:t xml:space="preserve">Gestión de la base de conocimiento del chatbot.</w:t>
      </w:r>
    </w:p>
    <w:p>
      <w:pPr>
        <w:pStyle w:val="ListParagraph"/>
        <w:numPr>
          <w:ilvl w:val="0"/>
          <w:numId w:val="2"/>
        </w:numPr>
        <w:spacing w:after="80" w:line="276"/>
      </w:pPr>
      <w:r>
        <w:rPr>
          <w:rFonts w:ascii="Calibri" w:cs="Calibri" w:eastAsia="Calibri" w:hAnsi="Calibri"/>
          <w:sz w:val="21"/>
          <w:szCs w:val="21"/>
        </w:rPr>
        <w:t xml:space="preserve">Recarga de ambas estructuras sin reiniciar el servicio.</w:t>
      </w:r>
    </w:p>
    <w:p>
      <w:pPr>
        <w:spacing w:after="100"/>
      </w:pPr>
    </w:p>
    <w:p>
      <w:pPr>
        <w:spacing w:after="120" w:line="276"/>
      </w:pPr>
      <w:r>
        <w:rPr>
          <w:rFonts w:ascii="Calibri" w:cs="Calibri" w:eastAsia="Calibri" w:hAnsi="Calibri"/>
          <w:b/>
          <w:bCs/>
          <w:sz w:val="21"/>
          <w:szCs w:val="21"/>
        </w:rPr>
        <w:t xml:space="preserve">El rol de administrador no permite editar módulos ni lecciones del contenido educativo, ni administrar usuarios. Ver sección 10.1.</w:t>
      </w:r>
    </w:p>
    <w:p>
      <w:pPr>
        <w:spacing w:after="200"/>
      </w:pPr>
    </w:p>
    <w:p>
      <w:pPr>
        <w:pStyle w:val="Heading2"/>
        <w:keepNext/>
        <w:keepLines/>
        <w:spacing w:after="120" w:before="260"/>
      </w:pPr>
      <w:r>
        <w:rPr>
          <w:rFonts w:ascii="Calibri" w:cs="Calibri" w:eastAsia="Calibri" w:hAnsi="Calibri"/>
          <w:b/>
          <w:bCs/>
          <w:color w:val="1F4E79"/>
          <w:sz w:val="24"/>
          <w:szCs w:val="24"/>
        </w:rPr>
        <w:t xml:space="preserve">8.3 Recomendación</w:t>
      </w:r>
    </w:p>
    <w:p>
      <w:pPr>
        <w:spacing w:after="120" w:line="276"/>
      </w:pPr>
      <w:r>
        <w:rPr>
          <w:rFonts w:ascii="Calibri" w:cs="Calibri" w:eastAsia="Calibri" w:hAnsi="Calibri"/>
          <w:sz w:val="21"/>
          <w:szCs w:val="21"/>
        </w:rPr>
        <w:t xml:space="preserve">Designar al menos dos administradores. Si se designa uno solo y esa persona pierde acceso a su cuenta de Google o se desvincula del hospital, recuperar la administración exige nuevamente acceso directo a la base de datos.</w:t>
      </w:r>
    </w:p>
    <w:p>
      <w:pPr>
        <w:pStyle w:val="Heading1"/>
        <w:keepNext/>
        <w:keepLines/>
        <w:spacing w:after="160" w:before="360"/>
      </w:pPr>
      <w:r>
        <w:rPr>
          <w:rFonts w:ascii="Calibri" w:cs="Calibri" w:eastAsia="Calibri" w:hAnsi="Calibri"/>
          <w:b/>
          <w:bCs/>
          <w:color w:val="1F4E79"/>
          <w:sz w:val="30"/>
          <w:szCs w:val="30"/>
        </w:rPr>
        <w:t xml:space="preserve">9. Verificación post-instalación</w:t>
      </w:r>
    </w:p>
    <w:p>
      <w:pPr>
        <w:spacing w:after="120" w:line="276"/>
      </w:pPr>
      <w:r>
        <w:rPr>
          <w:rFonts w:ascii="Calibri" w:cs="Calibri" w:eastAsia="Calibri" w:hAnsi="Calibri"/>
          <w:sz w:val="21"/>
          <w:szCs w:val="21"/>
        </w:rPr>
        <w:t xml:space="preserve">Ejecutar esta lista de comprobación antes de habilitar el acceso a usuarios reales.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00"/>
        <w:gridCol w:w="4060"/>
      </w:tblGrid>
      <w:tr>
        <w:trPr>
          <w:tblHeader/>
        </w:trPr>
        <w:tc>
          <w:tcPr>
            <w:tcW w:type="dxa" w:w="6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N.º</w:t>
            </w:r>
          </w:p>
        </w:tc>
        <w:tc>
          <w:tcPr>
            <w:tcW w:type="dxa" w:w="47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Comprobación</w:t>
            </w:r>
          </w:p>
        </w:tc>
        <w:tc>
          <w:tcPr>
            <w:tcW w:type="dxa" w:w="406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Resultado esperado</w:t>
            </w:r>
          </w:p>
        </w:tc>
      </w:tr>
      <w:tr>
        <w:trPr>
          <w:cantSplit/>
        </w:trPr>
        <w:tc>
          <w:tcPr>
            <w:tcW w:type="dxa" w:w="6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1</w:t>
            </w:r>
          </w:p>
        </w:tc>
        <w:tc>
          <w:tcPr>
            <w:tcW w:type="dxa" w:w="47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Acceder a la URL pública del frontend</w:t>
            </w:r>
          </w:p>
        </w:tc>
        <w:tc>
          <w:tcPr>
            <w:tcW w:type="dxa" w:w="40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La página de inicio carga sobre HTTPS sin advertencias de certificado</w:t>
            </w:r>
          </w:p>
        </w:tc>
      </w:tr>
      <w:tr>
        <w:trPr>
          <w:cantSplit/>
        </w:trPr>
        <w:tc>
          <w:tcPr>
            <w:tcW w:type="dxa" w:w="6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2</w:t>
            </w:r>
          </w:p>
        </w:tc>
        <w:tc>
          <w:tcPr>
            <w:tcW w:type="dxa" w:w="47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Iniciar sesión con una cuenta de Google</w:t>
            </w:r>
          </w:p>
        </w:tc>
        <w:tc>
          <w:tcPr>
            <w:tcW w:type="dxa" w:w="40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El acceso se completa y la sesión queda activa</w:t>
            </w:r>
          </w:p>
        </w:tc>
      </w:tr>
      <w:tr>
        <w:trPr>
          <w:cantSplit/>
        </w:trPr>
        <w:tc>
          <w:tcPr>
            <w:tcW w:type="dxa" w:w="6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3</w:t>
            </w:r>
          </w:p>
        </w:tc>
        <w:tc>
          <w:tcPr>
            <w:tcW w:type="dxa" w:w="47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Revisar la consola del navegador tras iniciar sesión</w:t>
            </w:r>
          </w:p>
        </w:tc>
        <w:tc>
          <w:tcPr>
            <w:tcW w:type="dxa" w:w="40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Sin errores de CORS (indicaría ALLOWED_ORIGINS mal configurada)</w:t>
            </w:r>
          </w:p>
        </w:tc>
      </w:tr>
      <w:tr>
        <w:trPr>
          <w:cantSplit/>
        </w:trPr>
        <w:tc>
          <w:tcPr>
            <w:tcW w:type="dxa" w:w="6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4</w:t>
            </w:r>
          </w:p>
        </w:tc>
        <w:tc>
          <w:tcPr>
            <w:tcW w:type="dxa" w:w="47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Abrir un módulo educativo y completar una lección</w:t>
            </w:r>
          </w:p>
        </w:tc>
        <w:tc>
          <w:tcPr>
            <w:tcW w:type="dxa" w:w="40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El progreso queda registrado y persiste al recargar</w:t>
            </w:r>
          </w:p>
        </w:tc>
      </w:tr>
      <w:tr>
        <w:trPr>
          <w:cantSplit/>
        </w:trPr>
        <w:tc>
          <w:tcPr>
            <w:tcW w:type="dxa" w:w="6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5</w:t>
            </w:r>
          </w:p>
        </w:tc>
        <w:tc>
          <w:tcPr>
            <w:tcW w:type="dxa" w:w="47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Formular una consulta al asistente conversacional</w:t>
            </w:r>
          </w:p>
        </w:tc>
        <w:tc>
          <w:tcPr>
            <w:tcW w:type="dxa" w:w="40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Responde en un plazo razonable (verifica GROQ_API_KEY)</w:t>
            </w:r>
          </w:p>
        </w:tc>
      </w:tr>
      <w:tr>
        <w:trPr>
          <w:cantSplit/>
        </w:trPr>
        <w:tc>
          <w:tcPr>
            <w:tcW w:type="dxa" w:w="6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6</w:t>
            </w:r>
          </w:p>
        </w:tc>
        <w:tc>
          <w:tcPr>
            <w:tcW w:type="dxa" w:w="47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Consultar la ruta /docs del backend</w:t>
            </w:r>
          </w:p>
        </w:tc>
        <w:tc>
          <w:tcPr>
            <w:tcW w:type="dxa" w:w="40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Debe responder 404 (confirma ENVIRONMENT=production)</w:t>
            </w:r>
          </w:p>
        </w:tc>
      </w:tr>
      <w:tr>
        <w:trPr>
          <w:cantSplit/>
        </w:trPr>
        <w:tc>
          <w:tcPr>
            <w:tcW w:type="dxa" w:w="6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7</w:t>
            </w:r>
          </w:p>
        </w:tc>
        <w:tc>
          <w:tcPr>
            <w:tcW w:type="dxa" w:w="47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Ejecutar la consulta SQL de la sección 8.1</w:t>
            </w:r>
          </w:p>
        </w:tc>
        <w:tc>
          <w:tcPr>
            <w:tcW w:type="dxa" w:w="40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Al menos un usuario con rol admin</w:t>
            </w:r>
          </w:p>
        </w:tc>
      </w:tr>
      <w:tr>
        <w:trPr>
          <w:cantSplit/>
        </w:trPr>
        <w:tc>
          <w:tcPr>
            <w:tcW w:type="dxa" w:w="6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8</w:t>
            </w:r>
          </w:p>
        </w:tc>
        <w:tc>
          <w:tcPr>
            <w:tcW w:type="dxa" w:w="47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Cerrar sesión y esperar más de 60 minutos con la sesión abierta</w:t>
            </w:r>
          </w:p>
        </w:tc>
        <w:tc>
          <w:tcPr>
            <w:tcW w:type="dxa" w:w="40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La sesión se renueva automáticamente sin expulsar al usuario</w:t>
            </w:r>
          </w:p>
        </w:tc>
      </w:tr>
      <w:tr>
        <w:trPr>
          <w:cantSplit/>
        </w:trPr>
        <w:tc>
          <w:tcPr>
            <w:tcW w:type="dxa" w:w="6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9</w:t>
            </w:r>
          </w:p>
        </w:tc>
        <w:tc>
          <w:tcPr>
            <w:tcW w:type="dxa" w:w="47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Verificar que backend/.env y frontend/.env.local no estén en el repositorio</w:t>
            </w:r>
          </w:p>
        </w:tc>
        <w:tc>
          <w:tcPr>
            <w:tcW w:type="dxa" w:w="40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Ambos archivos ausentes del control de versiones</w:t>
            </w:r>
          </w:p>
        </w:tc>
      </w:tr>
      <w:tr>
        <w:trPr>
          <w:cantSplit/>
        </w:trPr>
        <w:tc>
          <w:tcPr>
            <w:tcW w:type="dxa" w:w="6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10</w:t>
            </w:r>
          </w:p>
        </w:tc>
        <w:tc>
          <w:tcPr>
            <w:tcW w:type="dxa" w:w="47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Confirmar que SECRET_KEY y AUTH_SECRET fueron regeneradas</w:t>
            </w:r>
          </w:p>
        </w:tc>
        <w:tc>
          <w:tcPr>
            <w:tcW w:type="dxa" w:w="40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Valores distintos a los recibidos en la entrega</w:t>
            </w:r>
          </w:p>
        </w:tc>
      </w:tr>
      <w:tr>
        <w:trPr>
          <w:cantSplit/>
        </w:trPr>
        <w:tc>
          <w:tcPr>
            <w:tcW w:type="dxa" w:w="6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11</w:t>
            </w:r>
          </w:p>
        </w:tc>
        <w:tc>
          <w:tcPr>
            <w:tcW w:type="dxa" w:w="47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Confirmar que se levantó con docker-compose.prod.yml</w:t>
            </w:r>
          </w:p>
        </w:tc>
        <w:tc>
          <w:tcPr>
            <w:tcW w:type="dxa" w:w="40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PostgreSQL no debe responder desde fuera del servidor</w:t>
            </w:r>
          </w:p>
        </w:tc>
      </w:tr>
      <w:tr>
        <w:trPr>
          <w:cantSplit/>
        </w:trPr>
        <w:tc>
          <w:tcPr>
            <w:tcW w:type="dxa" w:w="6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12</w:t>
            </w:r>
          </w:p>
        </w:tc>
        <w:tc>
          <w:tcPr>
            <w:tcW w:type="dxa" w:w="47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Ejecutar alembic current dentro del contenedor del backend</w:t>
            </w:r>
          </w:p>
        </w:tc>
        <w:tc>
          <w:tcPr>
            <w:tcW w:type="dxa" w:w="40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Debe indicar una revisión (head), no aparecer vacío</w:t>
            </w:r>
          </w:p>
        </w:tc>
      </w:tr>
    </w:tbl>
    <w:p>
      <w:r>
        <w:br w:type="page"/>
      </w:r>
    </w:p>
    <w:p>
      <w:pPr>
        <w:pStyle w:val="Heading1"/>
        <w:keepNext/>
        <w:keepLines/>
        <w:spacing w:after="160" w:before="360"/>
      </w:pPr>
      <w:r>
        <w:rPr>
          <w:rFonts w:ascii="Calibri" w:cs="Calibri" w:eastAsia="Calibri" w:hAnsi="Calibri"/>
          <w:b/>
          <w:bCs/>
          <w:color w:val="1F4E79"/>
          <w:sz w:val="30"/>
          <w:szCs w:val="30"/>
        </w:rPr>
        <w:t xml:space="preserve">10. Limitaciones operativas y mantenimiento</w:t>
      </w:r>
    </w:p>
    <w:p>
      <w:pPr>
        <w:spacing w:after="120" w:line="276"/>
      </w:pPr>
      <w:r>
        <w:rPr>
          <w:rFonts w:ascii="Calibri" w:cs="Calibri" w:eastAsia="Calibri" w:hAnsi="Calibri"/>
          <w:sz w:val="21"/>
          <w:szCs w:val="21"/>
        </w:rPr>
        <w:t xml:space="preserve">Esta sección documenta condiciones del sistema que no se resuelven mediante configuración y que el hospital debe conocer antes de asumir la operación. Se incluyen por transparencia de la entrega.</w:t>
      </w:r>
    </w:p>
    <w:p>
      <w:pPr>
        <w:pStyle w:val="Heading2"/>
        <w:keepNext/>
        <w:keepLines/>
        <w:spacing w:after="120" w:before="260"/>
      </w:pPr>
      <w:r>
        <w:rPr>
          <w:rFonts w:ascii="Calibri" w:cs="Calibri" w:eastAsia="Calibri" w:hAnsi="Calibri"/>
          <w:b/>
          <w:bCs/>
          <w:color w:val="1F4E79"/>
          <w:sz w:val="24"/>
          <w:szCs w:val="24"/>
        </w:rPr>
        <w:t xml:space="preserve">10.1 El contenido educativo no es administrable desde la plataforma</w:t>
      </w:r>
    </w:p>
    <w:p>
      <w:pPr>
        <w:spacing w:after="120" w:line="276"/>
      </w:pPr>
      <w:r>
        <w:rPr>
          <w:rFonts w:ascii="Calibri" w:cs="Calibri" w:eastAsia="Calibri" w:hAnsi="Calibri"/>
          <w:sz w:val="21"/>
          <w:szCs w:val="21"/>
        </w:rPr>
        <w:t xml:space="preserve">Los módulos y lecciones no se editan mediante una interfaz de administración. Están definidos directamente en el código fuente, en un archivo Python de aproximadamente 2.300 líneas, y se cargan en la base de datos únicamente cuando esta se encuentra vacía.</w:t>
      </w:r>
    </w:p>
    <w:p>
      <w:pPr>
        <w:spacing w:after="120" w:line="276"/>
      </w:pPr>
      <w:r>
        <w:rPr>
          <w:rFonts w:ascii="Calibri" w:cs="Calibri" w:eastAsia="Calibri" w:hAnsi="Calibri"/>
          <w:sz w:val="21"/>
          <w:szCs w:val="21"/>
        </w:rPr>
        <w:t xml:space="preserve">En consecuencia, modificar el texto de una lección, corregir un contenido clínico o incorporar un módulo nuevo requiere:</w:t>
      </w:r>
    </w:p>
    <w:p>
      <w:pPr>
        <w:pStyle w:val="ListParagraph"/>
        <w:numPr>
          <w:ilvl w:val="0"/>
          <w:numId w:val="2"/>
        </w:numPr>
        <w:spacing w:after="80" w:line="276"/>
      </w:pPr>
      <w:r>
        <w:rPr>
          <w:rFonts w:ascii="Calibri" w:cs="Calibri" w:eastAsia="Calibri" w:hAnsi="Calibri"/>
          <w:sz w:val="21"/>
          <w:szCs w:val="21"/>
        </w:rPr>
        <w:t xml:space="preserve">Editar el código fuente en Python.</w:t>
      </w:r>
    </w:p>
    <w:p>
      <w:pPr>
        <w:pStyle w:val="ListParagraph"/>
        <w:numPr>
          <w:ilvl w:val="0"/>
          <w:numId w:val="2"/>
        </w:numPr>
        <w:spacing w:after="80" w:line="276"/>
      </w:pPr>
      <w:r>
        <w:rPr>
          <w:rFonts w:ascii="Calibri" w:cs="Calibri" w:eastAsia="Calibri" w:hAnsi="Calibri"/>
          <w:sz w:val="21"/>
          <w:szCs w:val="21"/>
        </w:rPr>
        <w:t xml:space="preserve">Vaciar la tabla de contenidos de la base de datos para que la carga inicial vuelva a ejecutarse.</w:t>
      </w:r>
    </w:p>
    <w:p>
      <w:pPr>
        <w:pStyle w:val="ListParagraph"/>
        <w:numPr>
          <w:ilvl w:val="0"/>
          <w:numId w:val="2"/>
        </w:numPr>
        <w:spacing w:after="80" w:line="276"/>
      </w:pPr>
      <w:r>
        <w:rPr>
          <w:rFonts w:ascii="Calibri" w:cs="Calibri" w:eastAsia="Calibri" w:hAnsi="Calibri"/>
          <w:sz w:val="21"/>
          <w:szCs w:val="21"/>
        </w:rPr>
        <w:t xml:space="preserve">Redesplegar la aplicación.</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7F6000" w:sz="18"/>
              <w:bottom w:val="single" w:color="BFBFBF" w:sz="4"/>
              <w:right w:val="single" w:color="BFBFBF" w:sz="4"/>
            </w:tcBorders>
            <w:shd w:fill="FFF2CC" w:val="clear"/>
            <w:tcMar>
              <w:top w:type="dxa" w:w="140"/>
              <w:left w:type="dxa" w:w="180"/>
              <w:bottom w:type="dxa" w:w="140"/>
              <w:right w:type="dxa" w:w="180"/>
            </w:tcMar>
          </w:tcPr>
          <w:p>
            <w:pPr>
              <w:spacing w:after="60"/>
            </w:pPr>
            <w:r>
              <w:rPr>
                <w:rFonts w:ascii="Calibri" w:cs="Calibri" w:eastAsia="Calibri" w:hAnsi="Calibri"/>
                <w:b/>
                <w:bCs/>
                <w:color w:val="7F6000"/>
                <w:sz w:val="21"/>
                <w:szCs w:val="21"/>
              </w:rPr>
              <w:t xml:space="preserve">Consecuencia sobre los datos de usuarios</w:t>
            </w:r>
          </w:p>
          <w:p>
            <w:pPr>
              <w:spacing w:after="40" w:line="276"/>
            </w:pPr>
            <w:r>
              <w:rPr>
                <w:rFonts w:ascii="Calibri" w:cs="Calibri" w:eastAsia="Calibri" w:hAnsi="Calibri"/>
                <w:sz w:val="21"/>
                <w:szCs w:val="21"/>
              </w:rPr>
              <w:t xml:space="preserve">El procedimiento anterior implica eliminar los registros de contenido existentes, lo que afecta el progreso registrado de los usuarios asociado a esos contenidos.</w:t>
            </w:r>
          </w:p>
          <w:p>
            <w:pPr>
              <w:spacing w:after="40" w:line="276"/>
            </w:pPr>
            <w:r>
              <w:rPr>
                <w:rFonts w:ascii="Calibri" w:cs="Calibri" w:eastAsia="Calibri" w:hAnsi="Calibri"/>
                <w:sz w:val="21"/>
                <w:szCs w:val="21"/>
              </w:rPr>
              <w:t xml:space="preserve">Cualquier actualización de contenido exige, por tanto, un respaldo previo y un desarrollador con conocimiento del proyecto. No es una tarea que la plataforma permita realizar de forma autónoma al personal del hospital.</w:t>
            </w:r>
          </w:p>
          <w:p>
            <w:pPr>
              <w:spacing w:after="40" w:line="276"/>
            </w:pPr>
            <w:r>
              <w:rPr>
                <w:rFonts w:ascii="Calibri" w:cs="Calibri" w:eastAsia="Calibri" w:hAnsi="Calibri"/>
                <w:sz w:val="21"/>
                <w:szCs w:val="21"/>
              </w:rPr>
              <w:t xml:space="preserve">Si el hospital prevé actualizar contenidos con regularidad, se recomienda evaluar el desarrollo de un módulo de administración de contenidos como trabajo posterior a esta entrega.</w:t>
            </w:r>
          </w:p>
        </w:tc>
      </w:tr>
    </w:tbl>
    <w:p>
      <w:pPr>
        <w:pStyle w:val="Heading2"/>
        <w:keepNext/>
        <w:keepLines/>
        <w:spacing w:after="120" w:before="260"/>
      </w:pPr>
      <w:r>
        <w:rPr>
          <w:rFonts w:ascii="Calibri" w:cs="Calibri" w:eastAsia="Calibri" w:hAnsi="Calibri"/>
          <w:b/>
          <w:bCs/>
          <w:color w:val="1F4E79"/>
          <w:sz w:val="24"/>
          <w:szCs w:val="24"/>
        </w:rPr>
        <w:t xml:space="preserve">10.2 Mantenimiento y obsolescencia de componentes externos</w:t>
      </w:r>
    </w:p>
    <w:p>
      <w:pPr>
        <w:spacing w:after="120" w:line="276"/>
      </w:pPr>
      <w:r>
        <w:rPr>
          <w:rFonts w:ascii="Calibri" w:cs="Calibri" w:eastAsia="Calibri" w:hAnsi="Calibri"/>
          <w:sz w:val="21"/>
          <w:szCs w:val="21"/>
        </w:rPr>
        <w:t xml:space="preserve">El sistema depende de servicios y bibliotecas de terceros que evolucionan de forma independiente. Dos casos concretos:</w:t>
      </w:r>
    </w:p>
    <w:p>
      <w:pPr>
        <w:spacing w:after="120" w:line="276"/>
      </w:pPr>
      <w:r>
        <w:rPr>
          <w:rFonts w:ascii="Calibri" w:cs="Calibri" w:eastAsia="Calibri" w:hAnsi="Calibri"/>
          <w:b/>
          <w:bCs/>
          <w:sz w:val="21"/>
          <w:szCs w:val="21"/>
        </w:rPr>
        <w:t xml:space="preserve">Modelos de lenguaje. </w:t>
      </w:r>
      <w:r>
        <w:rPr>
          <w:rFonts w:ascii="Calibri" w:cs="Calibri" w:eastAsia="Calibri" w:hAnsi="Calibri"/>
          <w:sz w:val="21"/>
          <w:szCs w:val="21"/>
        </w:rPr>
        <w:t xml:space="preserve">Durante el desarrollo, el proveedor Groq descontinuó los modelos que la plataforma utilizaba, lo que dejó el asistente conversacional inoperativo hasta que se actualizó el código. Es un hecho documentado en el historial del proyecto, no una hipótesis. Los modelos vigentes pueden ser descontinuados de la misma forma.</w:t>
      </w:r>
    </w:p>
    <w:p>
      <w:pPr>
        <w:spacing w:after="120" w:line="276"/>
      </w:pPr>
      <w:r>
        <w:rPr>
          <w:rFonts w:ascii="Calibri" w:cs="Calibri" w:eastAsia="Calibri" w:hAnsi="Calibri"/>
          <w:b/>
          <w:bCs/>
          <w:sz w:val="21"/>
          <w:szCs w:val="21"/>
        </w:rPr>
        <w:t xml:space="preserve">Biblioteca de autenticación. </w:t>
      </w:r>
      <w:r>
        <w:rPr>
          <w:rFonts w:ascii="Calibri" w:cs="Calibri" w:eastAsia="Calibri" w:hAnsi="Calibri"/>
          <w:sz w:val="21"/>
          <w:szCs w:val="21"/>
        </w:rPr>
        <w:t xml:space="preserve">El frontend utiliza NextAuth en versión beta (5.0.0-beta). Las versiones beta admiten cambios incompatibles entre publicaciones, por lo que las actualizaciones de esta dependencia requieren pruebas antes de aplicarse.</w:t>
      </w:r>
    </w:p>
    <w:p>
      <w:pPr>
        <w:spacing w:after="100"/>
      </w:pPr>
    </w:p>
    <w:p>
      <w:pPr>
        <w:spacing w:after="120" w:line="276"/>
      </w:pPr>
      <w:r>
        <w:rPr>
          <w:rFonts w:ascii="Calibri" w:cs="Calibri" w:eastAsia="Calibri" w:hAnsi="Calibri"/>
          <w:sz w:val="21"/>
          <w:szCs w:val="21"/>
        </w:rPr>
        <w:t xml:space="preserve">Se recomienda que el hospital defina un responsable técnico del mantenimiento correctivo, o bien un contrato de soporte. Sin ese recurso, la plataforma seguirá operando hasta que alguno de estos componentes cambie, momento en el cual la falla requerirá intervención sobre el código.</w:t>
      </w:r>
    </w:p>
    <w:p>
      <w:pPr>
        <w:pStyle w:val="Heading2"/>
        <w:keepNext/>
        <w:keepLines/>
        <w:spacing w:after="120" w:before="260"/>
      </w:pPr>
      <w:r>
        <w:rPr>
          <w:rFonts w:ascii="Calibri" w:cs="Calibri" w:eastAsia="Calibri" w:hAnsi="Calibri"/>
          <w:b/>
          <w:bCs/>
          <w:color w:val="1F4E79"/>
          <w:sz w:val="24"/>
          <w:szCs w:val="24"/>
        </w:rPr>
        <w:t xml:space="preserve">10.3 Tratamiento de datos personales</w:t>
      </w:r>
    </w:p>
    <w:p>
      <w:pPr>
        <w:spacing w:after="120" w:line="276"/>
      </w:pPr>
      <w:r>
        <w:rPr>
          <w:rFonts w:ascii="Calibri" w:cs="Calibri" w:eastAsia="Calibri" w:hAnsi="Calibri"/>
          <w:sz w:val="21"/>
          <w:szCs w:val="21"/>
        </w:rPr>
        <w:t xml:space="preserve">La plataforma almacena nombre y dirección de correo electrónico de sus usuarios, que son personas mayores atendidas por el hospital, junto con su identificador de cuenta de Google y su progreso educativo.</w:t>
      </w:r>
    </w:p>
    <w:p>
      <w:pPr>
        <w:spacing w:after="120" w:line="276"/>
      </w:pPr>
      <w:r>
        <w:rPr>
          <w:rFonts w:ascii="Calibri" w:cs="Calibri" w:eastAsia="Calibri" w:hAnsi="Calibri"/>
          <w:sz w:val="21"/>
          <w:szCs w:val="21"/>
        </w:rPr>
        <w:t xml:space="preserve">Adicionalmente, las consultas formuladas al asistente conversacional se transmiten a Groq para su procesamiento, lo que implica que el texto ingresado por el usuario sale de la infraestructura del hospital hacia un proveedor extranjero.</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1F4E79" w:sz="18"/>
              <w:bottom w:val="single" w:color="BFBFBF" w:sz="4"/>
              <w:right w:val="single" w:color="BFBFBF" w:sz="4"/>
            </w:tcBorders>
            <w:shd w:fill="DCE6F1" w:val="clear"/>
            <w:tcMar>
              <w:top w:type="dxa" w:w="140"/>
              <w:left w:type="dxa" w:w="180"/>
              <w:bottom w:type="dxa" w:w="140"/>
              <w:right w:type="dxa" w:w="180"/>
            </w:tcMar>
          </w:tcPr>
          <w:p>
            <w:pPr>
              <w:spacing w:after="60"/>
            </w:pPr>
            <w:r>
              <w:rPr>
                <w:rFonts w:ascii="Calibri" w:cs="Calibri" w:eastAsia="Calibri" w:hAnsi="Calibri"/>
                <w:b/>
                <w:bCs/>
                <w:color w:val="1F4E79"/>
                <w:sz w:val="21"/>
                <w:szCs w:val="21"/>
              </w:rPr>
              <w:t xml:space="preserve">Recomendación</w:t>
            </w:r>
          </w:p>
          <w:p>
            <w:pPr>
              <w:spacing w:after="40" w:line="276"/>
            </w:pPr>
            <w:r>
              <w:rPr>
                <w:rFonts w:ascii="Calibri" w:cs="Calibri" w:eastAsia="Calibri" w:hAnsi="Calibri"/>
                <w:sz w:val="21"/>
                <w:szCs w:val="21"/>
              </w:rPr>
              <w:t xml:space="preserve">Se sugiere que la unidad jurídica o el encargado de protección de datos del hospital revise este tratamiento antes de la puesta en producción, considerando la entrada en vigencia de la Ley 21.719 sobre protección de datos personales durante el presente año.</w:t>
            </w:r>
          </w:p>
          <w:p>
            <w:pPr>
              <w:spacing w:after="40" w:line="276"/>
            </w:pPr>
            <w:r>
              <w:rPr>
                <w:rFonts w:ascii="Calibri" w:cs="Calibri" w:eastAsia="Calibri" w:hAnsi="Calibri"/>
                <w:sz w:val="21"/>
                <w:szCs w:val="21"/>
              </w:rPr>
              <w:t xml:space="preserve">Los aspectos a definir incluyen: base de licitud del tratamiento, información al usuario al momento del registro, plazo de conservación de los datos y la transferencia internacional asociada al uso del asistente conversacional.</w:t>
            </w:r>
          </w:p>
          <w:p>
            <w:pPr>
              <w:spacing w:after="40" w:line="276"/>
            </w:pPr>
            <w:r>
              <w:rPr>
                <w:rFonts w:ascii="Calibri" w:cs="Calibri" w:eastAsia="Calibri" w:hAnsi="Calibri"/>
                <w:sz w:val="21"/>
                <w:szCs w:val="21"/>
              </w:rPr>
              <w:t xml:space="preserve">Este documento no constituye una evaluación jurídica; su propósito es dejar constancia técnica de qué datos se tratan y hacia dónde se transmiten.</w:t>
            </w:r>
          </w:p>
        </w:tc>
      </w:tr>
    </w:tbl>
    <w:p>
      <w:pPr>
        <w:pStyle w:val="Heading2"/>
        <w:keepNext/>
        <w:keepLines/>
        <w:spacing w:after="120" w:before="260"/>
      </w:pPr>
      <w:r>
        <w:rPr>
          <w:rFonts w:ascii="Calibri" w:cs="Calibri" w:eastAsia="Calibri" w:hAnsi="Calibri"/>
          <w:b/>
          <w:bCs/>
          <w:color w:val="1F4E79"/>
          <w:sz w:val="24"/>
          <w:szCs w:val="24"/>
        </w:rPr>
        <w:t xml:space="preserve">10.4 Respaldos</w:t>
      </w:r>
    </w:p>
    <w:p>
      <w:pPr>
        <w:spacing w:after="120" w:line="276"/>
      </w:pPr>
      <w:r>
        <w:rPr>
          <w:rFonts w:ascii="Calibri" w:cs="Calibri" w:eastAsia="Calibri" w:hAnsi="Calibri"/>
          <w:sz w:val="21"/>
          <w:szCs w:val="21"/>
        </w:rPr>
        <w:t xml:space="preserve">La entrega no incluye una política de respaldo. La base de datos concentra la información no reproducible del sistema: usuarios registrados y su progreso educativo. El contenido educativo, en cambio, es reproducible desde el código fuente.</w:t>
      </w:r>
    </w:p>
    <w:p>
      <w:pPr>
        <w:spacing w:after="120" w:line="276"/>
      </w:pPr>
      <w:r>
        <w:rPr>
          <w:rFonts w:ascii="Calibri" w:cs="Calibri" w:eastAsia="Calibri" w:hAnsi="Calibri"/>
          <w:sz w:val="21"/>
          <w:szCs w:val="21"/>
        </w:rPr>
        <w:t xml:space="preserve">Se recomienda establecer, como mínimo:</w:t>
      </w:r>
    </w:p>
    <w:p>
      <w:pPr>
        <w:pStyle w:val="ListParagraph"/>
        <w:numPr>
          <w:ilvl w:val="0"/>
          <w:numId w:val="2"/>
        </w:numPr>
        <w:spacing w:after="80" w:line="276"/>
      </w:pPr>
      <w:r>
        <w:rPr>
          <w:rFonts w:ascii="Calibri" w:cs="Calibri" w:eastAsia="Calibri" w:hAnsi="Calibri"/>
          <w:sz w:val="21"/>
          <w:szCs w:val="21"/>
        </w:rPr>
        <w:t xml:space="preserve">Respaldo diario automatizado de la base PostgreSQL.</w:t>
      </w:r>
    </w:p>
    <w:p>
      <w:pPr>
        <w:pStyle w:val="ListParagraph"/>
        <w:numPr>
          <w:ilvl w:val="0"/>
          <w:numId w:val="2"/>
        </w:numPr>
        <w:spacing w:after="80" w:line="276"/>
      </w:pPr>
      <w:r>
        <w:rPr>
          <w:rFonts w:ascii="Calibri" w:cs="Calibri" w:eastAsia="Calibri" w:hAnsi="Calibri"/>
          <w:sz w:val="21"/>
          <w:szCs w:val="21"/>
        </w:rPr>
        <w:t xml:space="preserve">Verificación periódica de que el respaldo puede restaurarse efectivamente.</w:t>
      </w:r>
    </w:p>
    <w:p>
      <w:pPr>
        <w:pStyle w:val="ListParagraph"/>
        <w:numPr>
          <w:ilvl w:val="0"/>
          <w:numId w:val="2"/>
        </w:numPr>
        <w:spacing w:after="80" w:line="276"/>
      </w:pPr>
      <w:r>
        <w:rPr>
          <w:rFonts w:ascii="Calibri" w:cs="Calibri" w:eastAsia="Calibri" w:hAnsi="Calibri"/>
          <w:sz w:val="21"/>
          <w:szCs w:val="21"/>
        </w:rPr>
        <w:t xml:space="preserve">Respaldo puntual obligatorio antes de cualquier actualización de contenido, según lo indicado en la sección 10.1.</w:t>
      </w:r>
    </w:p>
    <w:p>
      <w:r>
        <w:br w:type="page"/>
      </w:r>
    </w:p>
    <w:p>
      <w:pPr>
        <w:pStyle w:val="Heading1"/>
        <w:keepNext/>
        <w:keepLines/>
        <w:spacing w:after="160" w:before="360"/>
      </w:pPr>
      <w:r>
        <w:rPr>
          <w:rFonts w:ascii="Calibri" w:cs="Calibri" w:eastAsia="Calibri" w:hAnsi="Calibri"/>
          <w:b/>
          <w:bCs/>
          <w:color w:val="1F4E79"/>
          <w:sz w:val="30"/>
          <w:szCs w:val="30"/>
        </w:rPr>
        <w:t xml:space="preserve">Anexo A — Traspaso del repositorio</w:t>
      </w:r>
    </w:p>
    <w:p>
      <w:pPr>
        <w:spacing w:after="120" w:line="276"/>
      </w:pPr>
      <w:r>
        <w:rPr>
          <w:rFonts w:ascii="Calibri" w:cs="Calibri" w:eastAsia="Calibri" w:hAnsi="Calibri"/>
          <w:sz w:val="21"/>
          <w:szCs w:val="21"/>
        </w:rPr>
        <w:t xml:space="preserve">El código fuente reside actualmente en repositorios de GitHub pertenecientes al equipo de desarrollo. El hospital debe definir con dicho equipo cuál de las siguientes modalidades adoptará:</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60"/>
        <w:gridCol w:w="3300"/>
      </w:tblGrid>
      <w:tr>
        <w:trPr>
          <w:tblHeader/>
        </w:trPr>
        <w:tc>
          <w:tcPr>
            <w:tcW w:type="dxa" w:w="24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Modalidad</w:t>
            </w:r>
          </w:p>
        </w:tc>
        <w:tc>
          <w:tcPr>
            <w:tcW w:type="dxa" w:w="366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Descripción</w:t>
            </w:r>
          </w:p>
        </w:tc>
        <w:tc>
          <w:tcPr>
            <w:tcW w:type="dxa" w:w="33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Consideración</w:t>
            </w:r>
          </w:p>
        </w:tc>
      </w:tr>
      <w:tr>
        <w:trPr>
          <w:cantSplit/>
        </w:trPr>
        <w:tc>
          <w:tcPr>
            <w:tcW w:type="dxa" w:w="24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Transferencia del repositorio</w:t>
            </w:r>
          </w:p>
        </w:tc>
        <w:tc>
          <w:tcPr>
            <w:tcW w:type="dxa" w:w="36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El repositorio cambia de propietario hacia una organización de GitHub del hospital</w:t>
            </w:r>
          </w:p>
        </w:tc>
        <w:tc>
          <w:tcPr>
            <w:tcW w:type="dxa" w:w="33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Conserva el historial completo de cambios; requiere que el hospital disponga de una organización en GitHub</w:t>
            </w:r>
          </w:p>
        </w:tc>
      </w:tr>
      <w:tr>
        <w:trPr>
          <w:cantSplit/>
        </w:trPr>
        <w:tc>
          <w:tcPr>
            <w:tcW w:type="dxa" w:w="24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Repositorio nuevo</w:t>
            </w:r>
          </w:p>
        </w:tc>
        <w:tc>
          <w:tcPr>
            <w:tcW w:type="dxa" w:w="36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El hospital crea un repositorio propio y se sube el código como estado inicial</w:t>
            </w:r>
          </w:p>
        </w:tc>
        <w:tc>
          <w:tcPr>
            <w:tcW w:type="dxa" w:w="33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Se pierde el historial de desarrollo, pero no exige coordinación posterior con el equipo original</w:t>
            </w:r>
          </w:p>
        </w:tc>
      </w:tr>
      <w:tr>
        <w:trPr>
          <w:cantSplit/>
        </w:trPr>
        <w:tc>
          <w:tcPr>
            <w:tcW w:type="dxa" w:w="24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Entrega de código empaquetado</w:t>
            </w:r>
          </w:p>
        </w:tc>
        <w:tc>
          <w:tcPr>
            <w:tcW w:type="dxa" w:w="36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Se entrega el código comprimido, sin control de versiones</w:t>
            </w:r>
          </w:p>
        </w:tc>
        <w:tc>
          <w:tcPr>
            <w:tcW w:type="dxa" w:w="33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Solo recomendable si el hospital no utilizará control de versiones; dificulta el mantenimiento posterior</w:t>
            </w:r>
          </w:p>
        </w:tc>
      </w:tr>
    </w:tbl>
    <w:p>
      <w:pPr>
        <w:spacing w:after="160"/>
      </w:pPr>
    </w:p>
    <w:p>
      <w:pPr>
        <w:spacing w:after="120" w:line="276"/>
      </w:pPr>
      <w:r>
        <w:rPr>
          <w:rFonts w:ascii="Calibri" w:cs="Calibri" w:eastAsia="Calibri" w:hAnsi="Calibri"/>
          <w:b/>
          <w:bCs/>
          <w:sz w:val="21"/>
          <w:szCs w:val="21"/>
        </w:rPr>
        <w:t xml:space="preserve">Cualquiera sea la modalidad, verificar que el código entregado no contenga archivos .env con credenciales. Estos archivos están excluidos del control de versiones por configuración, pero conviene confirmarlo antes de la entrega.</w:t>
      </w:r>
    </w:p>
    <w:p>
      <w:pPr>
        <w:pStyle w:val="Heading1"/>
        <w:keepNext/>
        <w:keepLines/>
        <w:spacing w:after="160" w:before="360"/>
      </w:pPr>
      <w:r>
        <w:rPr>
          <w:rFonts w:ascii="Calibri" w:cs="Calibri" w:eastAsia="Calibri" w:hAnsi="Calibri"/>
          <w:b/>
          <w:bCs/>
          <w:color w:val="1F4E79"/>
          <w:sz w:val="30"/>
          <w:szCs w:val="30"/>
        </w:rPr>
        <w:t xml:space="preserve">Anexo B — Referencia de variables de entorno</w:t>
      </w:r>
    </w:p>
    <w:p>
      <w:pPr>
        <w:pStyle w:val="Heading2"/>
        <w:keepNext/>
        <w:keepLines/>
        <w:spacing w:after="120" w:before="260"/>
      </w:pPr>
      <w:r>
        <w:rPr>
          <w:rFonts w:ascii="Calibri" w:cs="Calibri" w:eastAsia="Calibri" w:hAnsi="Calibri"/>
          <w:b/>
          <w:bCs/>
          <w:color w:val="1F4E79"/>
          <w:sz w:val="24"/>
          <w:szCs w:val="24"/>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900"/>
        <w:gridCol w:w="3460"/>
      </w:tblGrid>
      <w:tr>
        <w:trPr>
          <w:tblHeader/>
        </w:trPr>
        <w:tc>
          <w:tcPr>
            <w:tcW w:type="dxa" w:w="25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Variable</w:t>
            </w:r>
          </w:p>
        </w:tc>
        <w:tc>
          <w:tcPr>
            <w:tcW w:type="dxa" w:w="15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Obligatoria</w:t>
            </w:r>
          </w:p>
        </w:tc>
        <w:tc>
          <w:tcPr>
            <w:tcW w:type="dxa" w:w="19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Valor por defecto</w:t>
            </w:r>
          </w:p>
        </w:tc>
        <w:tc>
          <w:tcPr>
            <w:tcW w:type="dxa" w:w="346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Descripción</w:t>
            </w:r>
          </w:p>
        </w:tc>
      </w:tr>
      <w:tr>
        <w:trPr>
          <w:cantSplit/>
        </w:trPr>
        <w:tc>
          <w:tcPr>
            <w:tcW w:type="dxa" w:w="25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DATABASE_URL</w:t>
            </w:r>
          </w:p>
        </w:tc>
        <w:tc>
          <w:tcPr>
            <w:tcW w:type="dxa" w:w="15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Sí</w:t>
            </w:r>
          </w:p>
        </w:tc>
        <w:tc>
          <w:tcPr>
            <w:tcW w:type="dxa" w:w="19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w:t>
            </w:r>
          </w:p>
        </w:tc>
        <w:tc>
          <w:tcPr>
            <w:tcW w:type="dxa" w:w="34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Cadena de conexión a PostgreSQL</w:t>
            </w:r>
          </w:p>
        </w:tc>
      </w:tr>
      <w:tr>
        <w:trPr>
          <w:cantSplit/>
        </w:trPr>
        <w:tc>
          <w:tcPr>
            <w:tcW w:type="dxa" w:w="2500"/>
            <w:shd w:fill="FFFFFF"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GOOGLE_CLIENT_ID</w:t>
            </w:r>
          </w:p>
        </w:tc>
        <w:tc>
          <w:tcPr>
            <w:tcW w:type="dxa" w:w="15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Sí</w:t>
            </w:r>
          </w:p>
        </w:tc>
        <w:tc>
          <w:tcPr>
            <w:tcW w:type="dxa" w:w="19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w:t>
            </w:r>
          </w:p>
        </w:tc>
        <w:tc>
          <w:tcPr>
            <w:tcW w:type="dxa" w:w="34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ID de cliente OAuth; debe coincidir con el del frontend</w:t>
            </w:r>
          </w:p>
        </w:tc>
      </w:tr>
      <w:tr>
        <w:trPr>
          <w:cantSplit/>
        </w:trPr>
        <w:tc>
          <w:tcPr>
            <w:tcW w:type="dxa" w:w="25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GOOGLE_CLIENT_SECRET</w:t>
            </w:r>
          </w:p>
        </w:tc>
        <w:tc>
          <w:tcPr>
            <w:tcW w:type="dxa" w:w="15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Sí</w:t>
            </w:r>
          </w:p>
        </w:tc>
        <w:tc>
          <w:tcPr>
            <w:tcW w:type="dxa" w:w="19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w:t>
            </w:r>
          </w:p>
        </w:tc>
        <w:tc>
          <w:tcPr>
            <w:tcW w:type="dxa" w:w="34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Secreto del cliente OAuth</w:t>
            </w:r>
          </w:p>
        </w:tc>
      </w:tr>
      <w:tr>
        <w:trPr>
          <w:cantSplit/>
        </w:trPr>
        <w:tc>
          <w:tcPr>
            <w:tcW w:type="dxa" w:w="2500"/>
            <w:shd w:fill="FFFFFF"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SECRET_KEY</w:t>
            </w:r>
          </w:p>
        </w:tc>
        <w:tc>
          <w:tcPr>
            <w:tcW w:type="dxa" w:w="15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Sí</w:t>
            </w:r>
          </w:p>
        </w:tc>
        <w:tc>
          <w:tcPr>
            <w:tcW w:type="dxa" w:w="19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w:t>
            </w:r>
          </w:p>
        </w:tc>
        <w:tc>
          <w:tcPr>
            <w:tcW w:type="dxa" w:w="34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Clave de firma de los tokens de sesión</w:t>
            </w:r>
          </w:p>
        </w:tc>
      </w:tr>
      <w:tr>
        <w:trPr>
          <w:cantSplit/>
        </w:trPr>
        <w:tc>
          <w:tcPr>
            <w:tcW w:type="dxa" w:w="25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ALGORITHM</w:t>
            </w:r>
          </w:p>
        </w:tc>
        <w:tc>
          <w:tcPr>
            <w:tcW w:type="dxa" w:w="15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No</w:t>
            </w:r>
          </w:p>
        </w:tc>
        <w:tc>
          <w:tcPr>
            <w:tcW w:type="dxa" w:w="19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HS256</w:t>
            </w:r>
          </w:p>
        </w:tc>
        <w:tc>
          <w:tcPr>
            <w:tcW w:type="dxa" w:w="34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Algoritmo de firma; no modificar</w:t>
            </w:r>
          </w:p>
        </w:tc>
      </w:tr>
      <w:tr>
        <w:trPr>
          <w:cantSplit/>
        </w:trPr>
        <w:tc>
          <w:tcPr>
            <w:tcW w:type="dxa" w:w="2500"/>
            <w:shd w:fill="FFFFFF"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ACCESS_TOKEN_EXPIRE_MINUTES</w:t>
            </w:r>
          </w:p>
        </w:tc>
        <w:tc>
          <w:tcPr>
            <w:tcW w:type="dxa" w:w="15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No</w:t>
            </w:r>
          </w:p>
        </w:tc>
        <w:tc>
          <w:tcPr>
            <w:tcW w:type="dxa" w:w="19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60</w:t>
            </w:r>
          </w:p>
        </w:tc>
        <w:tc>
          <w:tcPr>
            <w:tcW w:type="dxa" w:w="34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Vigencia del token en minutos</w:t>
            </w:r>
          </w:p>
        </w:tc>
      </w:tr>
      <w:tr>
        <w:trPr>
          <w:cantSplit/>
        </w:trPr>
        <w:tc>
          <w:tcPr>
            <w:tcW w:type="dxa" w:w="25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GROQ_API_KEY</w:t>
            </w:r>
          </w:p>
        </w:tc>
        <w:tc>
          <w:tcPr>
            <w:tcW w:type="dxa" w:w="15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No</w:t>
            </w:r>
          </w:p>
        </w:tc>
        <w:tc>
          <w:tcPr>
            <w:tcW w:type="dxa" w:w="19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vacío</w:t>
            </w:r>
          </w:p>
        </w:tc>
        <w:tc>
          <w:tcPr>
            <w:tcW w:type="dxa" w:w="34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Sin valor, el asistente conversacional no responde</w:t>
            </w:r>
          </w:p>
        </w:tc>
      </w:tr>
      <w:tr>
        <w:trPr>
          <w:cantSplit/>
        </w:trPr>
        <w:tc>
          <w:tcPr>
            <w:tcW w:type="dxa" w:w="2500"/>
            <w:shd w:fill="FFFFFF"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ALLOWED_ORIGINS</w:t>
            </w:r>
          </w:p>
        </w:tc>
        <w:tc>
          <w:tcPr>
            <w:tcW w:type="dxa" w:w="15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Sí en producción</w:t>
            </w:r>
          </w:p>
        </w:tc>
        <w:tc>
          <w:tcPr>
            <w:tcW w:type="dxa" w:w="19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http://localhost:3000</w:t>
            </w:r>
          </w:p>
        </w:tc>
        <w:tc>
          <w:tcPr>
            <w:tcW w:type="dxa" w:w="34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Orígenes permitidos, separados por comas</w:t>
            </w:r>
          </w:p>
        </w:tc>
      </w:tr>
      <w:tr>
        <w:trPr>
          <w:cantSplit/>
        </w:trPr>
        <w:tc>
          <w:tcPr>
            <w:tcW w:type="dxa" w:w="25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ENVIRONMENT</w:t>
            </w:r>
          </w:p>
        </w:tc>
        <w:tc>
          <w:tcPr>
            <w:tcW w:type="dxa" w:w="15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No</w:t>
            </w:r>
          </w:p>
        </w:tc>
        <w:tc>
          <w:tcPr>
            <w:tcW w:type="dxa" w:w="19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production</w:t>
            </w:r>
          </w:p>
        </w:tc>
        <w:tc>
          <w:tcPr>
            <w:tcW w:type="dxa" w:w="34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Con valor development expone /docs y /redoc</w:t>
            </w:r>
          </w:p>
        </w:tc>
      </w:tr>
    </w:tbl>
    <w:p>
      <w:pPr>
        <w:spacing w:after="200"/>
      </w:pPr>
    </w:p>
    <w:p>
      <w:pPr>
        <w:pStyle w:val="Heading2"/>
        <w:keepNext/>
        <w:keepLines/>
        <w:spacing w:after="120" w:before="260"/>
      </w:pPr>
      <w:r>
        <w:rPr>
          <w:rFonts w:ascii="Calibri" w:cs="Calibri" w:eastAsia="Calibri" w:hAnsi="Calibri"/>
          <w:b/>
          <w:bCs/>
          <w:color w:val="1F4E79"/>
          <w:sz w:val="24"/>
          <w:szCs w:val="24"/>
        </w:rPr>
        <w:t xml:space="preserve">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Variable</w:t>
            </w:r>
          </w:p>
        </w:tc>
        <w:tc>
          <w:tcPr>
            <w:tcW w:type="dxa" w:w="150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Obligatoria</w:t>
            </w:r>
          </w:p>
        </w:tc>
        <w:tc>
          <w:tcPr>
            <w:tcW w:type="dxa" w:w="5060"/>
            <w:shd w:fill="1F4E79" w:val="clear"/>
            <w:tcMar>
              <w:top w:type="dxa" w:w="100"/>
              <w:left w:type="dxa" w:w="120"/>
              <w:bottom w:type="dxa" w:w="100"/>
              <w:right w:type="dxa" w:w="120"/>
            </w:tcMar>
          </w:tcPr>
          <w:p>
            <w:pPr>
              <w:spacing w:after="0" w:line="252"/>
            </w:pPr>
            <w:r>
              <w:rPr>
                <w:rFonts w:ascii="Calibri" w:cs="Calibri" w:eastAsia="Calibri" w:hAnsi="Calibri"/>
                <w:b/>
                <w:bCs/>
                <w:color w:val="FFFFFF"/>
                <w:sz w:val="19"/>
                <w:szCs w:val="19"/>
              </w:rPr>
              <w:t xml:space="preserve">Descripción</w:t>
            </w:r>
          </w:p>
        </w:tc>
      </w:tr>
      <w:tr>
        <w:trPr>
          <w:cantSplit/>
        </w:trPr>
        <w:tc>
          <w:tcPr>
            <w:tcW w:type="dxa" w:w="28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NEXT_PUBLIC_API_URL</w:t>
            </w:r>
          </w:p>
        </w:tc>
        <w:tc>
          <w:tcPr>
            <w:tcW w:type="dxa" w:w="15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Sí</w:t>
            </w:r>
          </w:p>
        </w:tc>
        <w:tc>
          <w:tcPr>
            <w:tcW w:type="dxa" w:w="50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URL del backend, incluyendo el sufijo /api</w:t>
            </w:r>
          </w:p>
        </w:tc>
      </w:tr>
      <w:tr>
        <w:trPr>
          <w:cantSplit/>
        </w:trPr>
        <w:tc>
          <w:tcPr>
            <w:tcW w:type="dxa" w:w="2800"/>
            <w:shd w:fill="FFFFFF"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AUTH_GOOGLE_ID</w:t>
            </w:r>
          </w:p>
        </w:tc>
        <w:tc>
          <w:tcPr>
            <w:tcW w:type="dxa" w:w="15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Sí</w:t>
            </w:r>
          </w:p>
        </w:tc>
        <w:tc>
          <w:tcPr>
            <w:tcW w:type="dxa" w:w="50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Mismo valor que GOOGLE_CLIENT_ID del backend</w:t>
            </w:r>
          </w:p>
        </w:tc>
      </w:tr>
      <w:tr>
        <w:trPr>
          <w:cantSplit/>
        </w:trPr>
        <w:tc>
          <w:tcPr>
            <w:tcW w:type="dxa" w:w="28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AUTH_GOOGLE_SECRET</w:t>
            </w:r>
          </w:p>
        </w:tc>
        <w:tc>
          <w:tcPr>
            <w:tcW w:type="dxa" w:w="15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Sí</w:t>
            </w:r>
          </w:p>
        </w:tc>
        <w:tc>
          <w:tcPr>
            <w:tcW w:type="dxa" w:w="50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Mismo valor que GOOGLE_CLIENT_SECRET del backend</w:t>
            </w:r>
          </w:p>
        </w:tc>
      </w:tr>
      <w:tr>
        <w:trPr>
          <w:cantSplit/>
        </w:trPr>
        <w:tc>
          <w:tcPr>
            <w:tcW w:type="dxa" w:w="2800"/>
            <w:shd w:fill="FFFFFF"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AUTH_SECRET</w:t>
            </w:r>
          </w:p>
        </w:tc>
        <w:tc>
          <w:tcPr>
            <w:tcW w:type="dxa" w:w="150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Sí</w:t>
            </w:r>
          </w:p>
        </w:tc>
        <w:tc>
          <w:tcPr>
            <w:tcW w:type="dxa" w:w="5060"/>
            <w:shd w:fill="FFFFFF" w:val="clear"/>
            <w:tcMar>
              <w:top w:type="dxa" w:w="100"/>
              <w:left w:type="dxa" w:w="120"/>
              <w:bottom w:type="dxa" w:w="100"/>
              <w:right w:type="dxa" w:w="120"/>
            </w:tcMar>
          </w:tcPr>
          <w:p>
            <w:pPr>
              <w:spacing w:after="0" w:line="252"/>
            </w:pPr>
            <w:r>
              <w:rPr>
                <w:rFonts w:ascii="Calibri" w:cs="Calibri" w:eastAsia="Calibri" w:hAnsi="Calibri"/>
                <w:sz w:val="19"/>
                <w:szCs w:val="19"/>
              </w:rPr>
              <w:t xml:space="preserve">Clave de firma de las cookies de sesión</w:t>
            </w:r>
          </w:p>
        </w:tc>
      </w:tr>
      <w:tr>
        <w:trPr>
          <w:cantSplit/>
        </w:trPr>
        <w:tc>
          <w:tcPr>
            <w:tcW w:type="dxa" w:w="2800"/>
            <w:shd w:fill="F7F9FC" w:val="clear"/>
            <w:tcMar>
              <w:top w:type="dxa" w:w="100"/>
              <w:left w:type="dxa" w:w="120"/>
              <w:bottom w:type="dxa" w:w="100"/>
              <w:right w:type="dxa" w:w="120"/>
            </w:tcMar>
          </w:tcPr>
          <w:p>
            <w:pPr>
              <w:spacing w:after="0" w:line="252"/>
            </w:pPr>
            <w:r>
              <w:rPr>
                <w:rFonts w:ascii="Consolas" w:cs="Consolas" w:eastAsia="Consolas" w:hAnsi="Consolas"/>
                <w:sz w:val="17"/>
                <w:szCs w:val="17"/>
              </w:rPr>
              <w:t xml:space="preserve">AUTH_URL</w:t>
            </w:r>
          </w:p>
        </w:tc>
        <w:tc>
          <w:tcPr>
            <w:tcW w:type="dxa" w:w="150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Sí</w:t>
            </w:r>
          </w:p>
        </w:tc>
        <w:tc>
          <w:tcPr>
            <w:tcW w:type="dxa" w:w="5060"/>
            <w:shd w:fill="F7F9FC" w:val="clear"/>
            <w:tcMar>
              <w:top w:type="dxa" w:w="100"/>
              <w:left w:type="dxa" w:w="120"/>
              <w:bottom w:type="dxa" w:w="100"/>
              <w:right w:type="dxa" w:w="120"/>
            </w:tcMar>
          </w:tcPr>
          <w:p>
            <w:pPr>
              <w:spacing w:after="0" w:line="252"/>
            </w:pPr>
            <w:r>
              <w:rPr>
                <w:rFonts w:ascii="Calibri" w:cs="Calibri" w:eastAsia="Calibri" w:hAnsi="Calibri"/>
                <w:sz w:val="19"/>
                <w:szCs w:val="19"/>
              </w:rPr>
              <w:t xml:space="preserve">URL pública del frontend, utilizada para las redirecciones de inicio de sesión</w:t>
            </w:r>
          </w:p>
        </w:tc>
      </w:tr>
    </w:tbl>
    <w:p>
      <w:pPr>
        <w:pBdr>
          <w:top w:val="single" w:color="1F4E79" w:sz="6"/>
        </w:pBdr>
        <w:spacing w:after="120" w:before="400"/>
      </w:pPr>
    </w:p>
    <w:p>
      <w:pPr>
        <w:spacing w:after="120" w:line="276"/>
        <w:jc w:val="center"/>
      </w:pPr>
      <w:r>
        <w:rPr>
          <w:rFonts w:ascii="Calibri" w:cs="Calibri" w:eastAsia="Calibri" w:hAnsi="Calibri"/>
          <w:i/>
          <w:iCs/>
          <w:color w:val="808080"/>
          <w:sz w:val="21"/>
          <w:szCs w:val="21"/>
        </w:rPr>
        <w:t xml:space="preserve">Fin del documento — Guía de Traspaso Técnico, versión 1.2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lvl w:ilvl="1" w15:tentative="1">
      <w:start w:val="1"/>
      <w:numFmt w:val="bullet"/>
      <w:lvlText w:val="◦"/>
      <w:lvlJc w:val="left"/>
      <w:pPr>
        <w:ind w:left="863"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Traspaso Técnico — Guía Digital Adulto Mayor</dc:title>
  <dc:creator>Brandon Duarte</dc:creator>
  <dc:description>Documento de traspaso de administración hacia la Unidad de Informática del HUAP</dc:description>
  <cp:lastModifiedBy>Un-named</cp:lastModifiedBy>
  <cp:revision>1</cp:revision>
  <dcterms:created xsi:type="dcterms:W3CDTF">2026-08-22T15:35:23.914Z</dcterms:created>
  <dcterms:modified xsi:type="dcterms:W3CDTF">2026-08-22T15:35:23.915Z</dcterms:modified>
</cp:coreProperties>
</file>

<file path=docProps/custom.xml><?xml version="1.0" encoding="utf-8"?>
<Properties xmlns="http://schemas.openxmlformats.org/officeDocument/2006/custom-properties" xmlns:vt="http://schemas.openxmlformats.org/officeDocument/2006/docPropsVTypes"/>
</file>