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Calibri" w:hAnsi="Calibri" w:eastAsia="宋体" w:cs="Times New Roman"/>
          <w:b/>
        </w:rPr>
      </w:pPr>
    </w:p>
    <w:p>
      <w:pPr>
        <w:rPr>
          <w:rFonts w:ascii="Calibri" w:hAnsi="Calibri" w:eastAsia="宋体" w:cs="Times New Roman"/>
          <w:b/>
        </w:rPr>
      </w:pPr>
    </w:p>
    <w:p>
      <w:pPr>
        <w:snapToGrid w:val="0"/>
        <w:rPr>
          <w:rFonts w:ascii="隶书" w:hAnsi="Calibri" w:eastAsia="隶书" w:cs="Times New Roman"/>
          <w:b/>
          <w:sz w:val="56"/>
        </w:rPr>
      </w:pPr>
    </w:p>
    <w:p>
      <w:pPr>
        <w:snapToGrid w:val="0"/>
        <w:spacing w:before="312" w:beforeLines="100"/>
        <w:rPr>
          <w:rFonts w:ascii="隶书" w:hAnsi="Calibri" w:eastAsia="隶书" w:cs="Times New Roman"/>
          <w:b/>
          <w:sz w:val="96"/>
          <w:szCs w:val="116"/>
        </w:rPr>
      </w:pPr>
      <w:r>
        <w:rPr>
          <w:rFonts w:ascii="Calibri" w:hAnsi="Calibri" w:eastAsia="宋体" w:cs="Times New Roman"/>
          <w:b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-3376295</wp:posOffset>
                </wp:positionH>
                <wp:positionV relativeFrom="paragraph">
                  <wp:posOffset>448310</wp:posOffset>
                </wp:positionV>
                <wp:extent cx="3743325" cy="583565"/>
                <wp:effectExtent l="5080" t="5080" r="4445" b="20955"/>
                <wp:wrapNone/>
                <wp:docPr id="33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3325" cy="583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FFFFFF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  <a:effectLst/>
                      </wps:spPr>
                      <wps:txbx>
                        <w:txbxContent>
                          <w:p>
                            <w:r>
                              <w:rPr>
                                <w:rFonts w:hint="eastAsia" w:ascii="隶书" w:eastAsia="隶书"/>
                                <w:sz w:val="48"/>
                                <w:szCs w:val="48"/>
                              </w:rPr>
                              <w:t>飞行器控制实验教学中心</w:t>
                            </w:r>
                          </w:p>
                        </w:txbxContent>
                      </wps:txbx>
                      <wps:bodyPr vert="horz" anchor="t" upright="1"/>
                    </wps:wsp>
                  </a:graphicData>
                </a:graphic>
              </wp:anchor>
            </w:drawing>
          </mc:Choice>
          <mc:Fallback>
            <w:pict>
              <v:shape id="文本框 5" o:spid="_x0000_s1026" o:spt="202" type="#_x0000_t202" style="position:absolute;left:0pt;margin-left:-265.85pt;margin-top:35.3pt;height:45.95pt;width:294.75pt;z-index:251661312;mso-width-relative:page;mso-height-relative:page;" fillcolor="#FFFFFF" filled="t" stroked="t" coordsize="21600,21600" o:gfxdata="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dg3O82AAAAAoBAAAPAAAAAAAAAAEAIAAAACIAAABkcnMv&#10;ZG93bnJldi54bWxQSwECFAAUAAAACACHTuJAUix07wMCAAAOBAAADgAAAAAAAAABACAAAAAnAQAA&#10;ZHJzL2Uyb0RvYy54bWxQSwUGAAAAAAYABgBZAQAAnAUAAAAA&#10;">
                <v:fill on="t" focussize="0,0"/>
                <v:stroke color="#FFFFFF" joinstyle="miter"/>
                <v:imagedata o:title=""/>
                <o:lock v:ext="edit" aspectratio="f"/>
                <v:textbox>
                  <w:txbxContent>
                    <w:p>
                      <w:r>
                        <w:rPr>
                          <w:rFonts w:hint="eastAsia" w:ascii="隶书" w:eastAsia="隶书"/>
                          <w:sz w:val="48"/>
                          <w:szCs w:val="48"/>
                        </w:rPr>
                        <w:t>飞行器控制实验教学中心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 w:eastAsia="宋体" w:cs="Times New Roman"/>
          <w:b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149860</wp:posOffset>
            </wp:positionH>
            <wp:positionV relativeFrom="margin">
              <wp:posOffset>934720</wp:posOffset>
            </wp:positionV>
            <wp:extent cx="1257935" cy="1087755"/>
            <wp:effectExtent l="19050" t="0" r="0" b="0"/>
            <wp:wrapSquare wrapText="bothSides"/>
            <wp:docPr id="1" name="图片 2" descr="C:\Users\Administrator\Desktop\博 硕 封面 - 副本\工大图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C:\Users\Administrator\Desktop\博 硕 封面 - 副本\工大图标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087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 w:eastAsia="宋体" w:cs="Times New Roman"/>
          <w:b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1490345</wp:posOffset>
            </wp:positionH>
            <wp:positionV relativeFrom="margin">
              <wp:posOffset>934720</wp:posOffset>
            </wp:positionV>
            <wp:extent cx="3086735" cy="472440"/>
            <wp:effectExtent l="19050" t="0" r="0" b="0"/>
            <wp:wrapSquare wrapText="bothSides"/>
            <wp:docPr id="3" name="图片 3" descr="C:\Users\Administrator\Desktop\博 硕 封面 - 副本\工大图标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esktop\博 硕 封面 - 副本\工大图标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47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snapToGrid w:val="0"/>
        <w:spacing w:before="312" w:beforeLines="100"/>
        <w:jc w:val="center"/>
        <w:rPr>
          <w:rFonts w:ascii="隶书" w:hAnsi="Calibri" w:eastAsia="隶书" w:cs="Times New Roman"/>
          <w:b/>
          <w:sz w:val="80"/>
          <w:szCs w:val="80"/>
        </w:rPr>
      </w:pPr>
      <w:r>
        <w:rPr>
          <w:rFonts w:hint="eastAsia" w:ascii="隶书" w:hAnsi="Calibri" w:eastAsia="隶书" w:cs="Times New Roman"/>
          <w:b/>
          <w:sz w:val="80"/>
          <w:szCs w:val="80"/>
        </w:rPr>
        <w:t>实验报告</w:t>
      </w:r>
    </w:p>
    <w:p>
      <w:pPr>
        <w:snapToGrid w:val="0"/>
        <w:spacing w:before="312" w:beforeLines="100"/>
        <w:jc w:val="center"/>
        <w:rPr>
          <w:rFonts w:ascii="隶书" w:hAnsi="Calibri" w:eastAsia="隶书" w:cs="Times New Roman"/>
          <w:b/>
          <w:sz w:val="96"/>
          <w:szCs w:val="116"/>
        </w:rPr>
      </w:pPr>
    </w:p>
    <w:p>
      <w:pPr>
        <w:rPr>
          <w:rFonts w:ascii="Calibri" w:hAnsi="Calibri" w:eastAsia="宋体" w:cs="Times New Roman"/>
          <w:b/>
          <w:sz w:val="28"/>
          <w:szCs w:val="28"/>
          <w:u w:val="thick"/>
        </w:rPr>
      </w:pPr>
      <w:r>
        <w:rPr>
          <w:rFonts w:hint="eastAsia" w:ascii="Calibri" w:hAnsi="Calibri" w:eastAsia="宋体" w:cs="Times New Roman"/>
          <w:b/>
          <w:sz w:val="28"/>
          <w:szCs w:val="28"/>
        </w:rPr>
        <w:t>课程名称：</w:t>
      </w:r>
      <w:r>
        <w:rPr>
          <w:rFonts w:hint="eastAsia" w:ascii="Calibri" w:hAnsi="Calibri" w:eastAsia="宋体" w:cs="Times New Roman"/>
          <w:b/>
          <w:sz w:val="28"/>
          <w:szCs w:val="28"/>
          <w:u w:val="thick"/>
        </w:rPr>
        <w:t>自动控制理论（1）</w:t>
      </w:r>
    </w:p>
    <w:p>
      <w:pPr>
        <w:pStyle w:val="14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实验名称：</w:t>
      </w:r>
      <w:r>
        <w:rPr>
          <w:rFonts w:hint="eastAsia"/>
          <w:b/>
          <w:kern w:val="2"/>
          <w:sz w:val="28"/>
          <w:szCs w:val="28"/>
          <w:u w:val="thick"/>
        </w:rPr>
        <w:t>转台死区非线性微分反馈校正</w:t>
      </w:r>
      <w:r>
        <w:rPr>
          <w:rFonts w:hint="eastAsia"/>
          <w:b/>
          <w:sz w:val="28"/>
          <w:szCs w:val="28"/>
          <w:u w:val="thick"/>
        </w:rPr>
        <w:t>控制设计</w:t>
      </w:r>
    </w:p>
    <w:p>
      <w:pPr>
        <w:rPr>
          <w:rFonts w:hint="default" w:ascii="Calibri" w:hAnsi="Calibri" w:eastAsia="宋体" w:cs="Times New Roman"/>
          <w:b/>
          <w:sz w:val="28"/>
          <w:szCs w:val="28"/>
          <w:u w:val="thick"/>
          <w:lang w:val="en-US" w:eastAsia="zh-CN"/>
        </w:rPr>
      </w:pPr>
      <w:r>
        <w:rPr>
          <w:rFonts w:hint="eastAsia" w:ascii="Calibri" w:hAnsi="Calibri" w:eastAsia="宋体" w:cs="Times New Roman"/>
          <w:b/>
          <w:sz w:val="28"/>
          <w:szCs w:val="28"/>
        </w:rPr>
        <w:t>实验日期：</w:t>
      </w:r>
      <w:r>
        <w:rPr>
          <w:rFonts w:hint="eastAsia" w:ascii="Calibri" w:hAnsi="Calibri" w:eastAsia="宋体" w:cs="Times New Roman"/>
          <w:b/>
          <w:sz w:val="28"/>
          <w:szCs w:val="28"/>
          <w:lang w:val="en-US" w:eastAsia="zh-CN"/>
        </w:rPr>
        <w:t>2019.12.19</w:t>
      </w:r>
    </w:p>
    <w:p>
      <w:pPr>
        <w:rPr>
          <w:rFonts w:hint="default" w:ascii="Calibri" w:hAnsi="Calibri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Calibri" w:hAnsi="Calibri" w:eastAsia="宋体" w:cs="Times New Roman"/>
          <w:b/>
          <w:sz w:val="28"/>
          <w:szCs w:val="28"/>
        </w:rPr>
        <w:t>班级：</w:t>
      </w:r>
      <w:r>
        <w:rPr>
          <w:rFonts w:hint="eastAsia" w:ascii="Calibri" w:hAnsi="Calibri" w:eastAsia="宋体" w:cs="Times New Roman"/>
          <w:b/>
          <w:sz w:val="28"/>
          <w:szCs w:val="28"/>
          <w:lang w:val="en-US" w:eastAsia="zh-CN"/>
        </w:rPr>
        <w:t>1704104</w:t>
      </w:r>
    </w:p>
    <w:p>
      <w:pPr>
        <w:rPr>
          <w:rFonts w:hint="default" w:ascii="Calibri" w:hAnsi="Calibri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Calibri" w:hAnsi="Calibri" w:eastAsia="宋体" w:cs="Times New Roman"/>
          <w:b/>
          <w:sz w:val="28"/>
          <w:szCs w:val="28"/>
        </w:rPr>
        <w:t>姓名：</w:t>
      </w:r>
      <w:r>
        <w:rPr>
          <w:rFonts w:hint="eastAsia" w:ascii="Calibri" w:hAnsi="Calibri" w:eastAsia="宋体" w:cs="Times New Roman"/>
          <w:b/>
          <w:sz w:val="28"/>
          <w:szCs w:val="28"/>
          <w:lang w:val="en-US" w:eastAsia="zh-CN"/>
        </w:rPr>
        <w:t>尉前进</w:t>
      </w:r>
    </w:p>
    <w:p>
      <w:pPr>
        <w:rPr>
          <w:rFonts w:hint="eastAsia" w:ascii="Calibri" w:hAnsi="Calibri" w:eastAsia="宋体" w:cs="Times New Roman"/>
          <w:b/>
          <w:sz w:val="28"/>
          <w:szCs w:val="28"/>
          <w:lang w:val="en-US" w:eastAsia="zh-CN"/>
        </w:rPr>
      </w:pPr>
      <w:r>
        <w:rPr>
          <w:rFonts w:hint="eastAsia" w:ascii="Calibri" w:hAnsi="Calibri" w:eastAsia="宋体" w:cs="Times New Roman"/>
          <w:b/>
          <w:sz w:val="28"/>
          <w:szCs w:val="28"/>
        </w:rPr>
        <w:t>指导教师：</w:t>
      </w:r>
      <w:r>
        <w:rPr>
          <w:rFonts w:hint="eastAsia" w:ascii="Calibri" w:hAnsi="Calibri" w:eastAsia="宋体" w:cs="Times New Roman"/>
          <w:b/>
          <w:sz w:val="28"/>
          <w:szCs w:val="28"/>
          <w:lang w:val="en-US" w:eastAsia="zh-CN"/>
        </w:rPr>
        <w:t>王佳伟</w:t>
      </w:r>
    </w:p>
    <w:p>
      <w:pPr>
        <w:rPr>
          <w:rFonts w:ascii="Calibri" w:hAnsi="Calibri" w:eastAsia="宋体" w:cs="Times New Roman"/>
          <w:b/>
          <w:sz w:val="28"/>
          <w:szCs w:val="28"/>
        </w:rPr>
      </w:pPr>
    </w:p>
    <w:p>
      <w:pPr>
        <w:jc w:val="center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ascii="Calibri" w:hAnsi="Calibri" w:eastAsia="宋体" w:cs="Times New Roman"/>
          <w:b/>
          <w:sz w:val="28"/>
          <w:szCs w:val="28"/>
        </w:rPr>
        <w:br w:type="page"/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实验评分标准</w:t>
      </w:r>
    </w:p>
    <w:p>
      <w:pPr>
        <w:spacing w:line="400" w:lineRule="exact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1、实验满分100分</w:t>
      </w: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实验操作70分，实验报告30分</w:t>
      </w:r>
    </w:p>
    <w:p>
      <w:pPr>
        <w:spacing w:line="400" w:lineRule="exact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2、实验操作包括</w:t>
      </w:r>
    </w:p>
    <w:p>
      <w:pPr>
        <w:spacing w:line="400" w:lineRule="exact"/>
        <w:ind w:firstLine="42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转台死区非线性微分反馈校正系统设计</w:t>
      </w:r>
      <w:r>
        <w:rPr>
          <w:rFonts w:ascii="Times New Roman" w:hAnsi="Times New Roman" w:eastAsia="宋体" w:cs="Times New Roman"/>
          <w:sz w:val="28"/>
          <w:szCs w:val="28"/>
        </w:rPr>
        <w:t>仿真</w:t>
      </w:r>
      <w:r>
        <w:rPr>
          <w:rFonts w:hint="eastAsia" w:ascii="Times New Roman" w:hAnsi="Times New Roman" w:eastAsia="宋体" w:cs="Times New Roman"/>
          <w:sz w:val="28"/>
          <w:szCs w:val="28"/>
        </w:rPr>
        <w:t>实验：30分</w:t>
      </w:r>
    </w:p>
    <w:p>
      <w:pPr>
        <w:spacing w:line="400" w:lineRule="exact"/>
        <w:ind w:firstLine="420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转台死区非线性微分反馈校正电子对象实验：40分</w:t>
      </w: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黑体" w:cs="Times New Roman"/>
          <w:sz w:val="28"/>
          <w:szCs w:val="28"/>
        </w:rPr>
      </w:pPr>
    </w:p>
    <w:p>
      <w:pPr>
        <w:spacing w:line="400" w:lineRule="exact"/>
        <w:ind w:firstLine="560"/>
        <w:rPr>
          <w:rFonts w:ascii="Times New Roman" w:hAnsi="Times New Roman" w:eastAsia="黑体" w:cs="Times New Roman"/>
          <w:sz w:val="28"/>
          <w:szCs w:val="28"/>
        </w:rPr>
      </w:pPr>
      <w:bookmarkStart w:id="0" w:name="OLE_LINK27"/>
    </w:p>
    <w:p>
      <w:pPr>
        <w:spacing w:line="400" w:lineRule="exact"/>
        <w:ind w:firstLine="643" w:firstLineChars="200"/>
        <w:jc w:val="center"/>
        <w:rPr>
          <w:rFonts w:ascii="Times New Roman" w:hAnsi="Times New Roman" w:eastAsia="宋体" w:cs="Times New Roman"/>
          <w:b/>
          <w:sz w:val="32"/>
          <w:szCs w:val="32"/>
        </w:rPr>
      </w:pPr>
      <w:r>
        <w:rPr>
          <w:rFonts w:ascii="Times New Roman" w:hAnsi="Times New Roman" w:eastAsia="宋体" w:cs="Times New Roman"/>
          <w:b/>
          <w:sz w:val="32"/>
          <w:szCs w:val="32"/>
        </w:rPr>
        <w:br w:type="page"/>
      </w:r>
    </w:p>
    <w:p>
      <w:pPr>
        <w:bidi w:val="0"/>
        <w:jc w:val="center"/>
        <w:rPr>
          <w:rFonts w:hint="eastAsia"/>
          <w:lang w:eastAsia="zh-CN"/>
        </w:rPr>
      </w:pPr>
      <w:bookmarkStart w:id="2" w:name="_GoBack"/>
      <w:r>
        <w:rPr>
          <w:rFonts w:hint="eastAsia"/>
          <w:lang w:eastAsia="zh-CN"/>
        </w:rPr>
        <w:drawing>
          <wp:inline distT="0" distB="0" distL="114300" distR="114300">
            <wp:extent cx="5135245" cy="6847205"/>
            <wp:effectExtent l="0" t="0" r="8255" b="10795"/>
            <wp:docPr id="5" name="图片 5" descr="IMG20191219161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201912191619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684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spacing w:line="400" w:lineRule="exact"/>
        <w:ind w:firstLine="723" w:firstLineChars="200"/>
        <w:jc w:val="center"/>
        <w:rPr>
          <w:rFonts w:ascii="Times New Roman" w:hAnsi="Times New Roman" w:eastAsia="宋体" w:cs="Times New Roman"/>
          <w:b/>
          <w:sz w:val="36"/>
          <w:szCs w:val="36"/>
        </w:rPr>
      </w:pPr>
      <w:r>
        <w:rPr>
          <w:rFonts w:hint="eastAsia" w:ascii="Times New Roman" w:hAnsi="Times New Roman" w:eastAsia="宋体" w:cs="Times New Roman"/>
          <w:b/>
          <w:sz w:val="36"/>
          <w:szCs w:val="36"/>
        </w:rPr>
        <w:t>实验报告（30分）</w:t>
      </w:r>
    </w:p>
    <w:p>
      <w:pPr>
        <w:spacing w:line="400" w:lineRule="exact"/>
        <w:ind w:firstLine="643" w:firstLineChars="200"/>
        <w:jc w:val="center"/>
        <w:rPr>
          <w:rFonts w:ascii="Times New Roman" w:hAnsi="Times New Roman" w:eastAsia="宋体" w:cs="Times New Roman"/>
          <w:b/>
          <w:sz w:val="32"/>
          <w:szCs w:val="32"/>
        </w:rPr>
      </w:pPr>
    </w:p>
    <w:p>
      <w:pPr>
        <w:spacing w:line="400" w:lineRule="exact"/>
        <w:jc w:val="center"/>
        <w:rPr>
          <w:rFonts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项目一转台死区非线性微分反馈校正控制</w:t>
      </w:r>
      <w:r>
        <w:rPr>
          <w:rFonts w:ascii="Times New Roman" w:hAnsi="Times New Roman" w:eastAsia="宋体" w:cs="Times New Roman"/>
          <w:b/>
          <w:sz w:val="28"/>
          <w:szCs w:val="28"/>
        </w:rPr>
        <w:t>仿真分析</w:t>
      </w:r>
      <w:r>
        <w:rPr>
          <w:rFonts w:hint="eastAsia" w:ascii="Times New Roman" w:hAnsi="Times New Roman" w:eastAsia="宋体" w:cs="Times New Roman"/>
          <w:b/>
          <w:sz w:val="28"/>
          <w:szCs w:val="28"/>
        </w:rPr>
        <w:t>（12分）</w:t>
      </w:r>
    </w:p>
    <w:p>
      <w:pPr>
        <w:numPr>
          <w:ilvl w:val="0"/>
          <w:numId w:val="1"/>
        </w:numPr>
        <w:autoSpaceDE w:val="0"/>
        <w:autoSpaceDN w:val="0"/>
        <w:adjustRightInd w:val="0"/>
        <w:spacing w:before="156" w:after="156"/>
        <w:rPr>
          <w:rFonts w:hint="eastAsia" w:ascii="Times New Roman" w:hAnsi="Times New Roman" w:eastAsia="宋体" w:cs="Times New Roman"/>
          <w:sz w:val="28"/>
          <w:szCs w:val="28"/>
        </w:rPr>
      </w:pPr>
      <w:r>
        <w:rPr>
          <w:rFonts w:hint="eastAsia" w:ascii="宋体" w:hAnsi="宋体"/>
          <w:sz w:val="28"/>
          <w:szCs w:val="28"/>
        </w:rPr>
        <w:t>simulink</w:t>
      </w:r>
      <w:r>
        <w:rPr>
          <w:rFonts w:hint="eastAsia"/>
          <w:sz w:val="28"/>
          <w:szCs w:val="28"/>
        </w:rPr>
        <w:t>单位反馈比例控制仿真分析（1仿真程序图，1条阶跃响应曲线、1条速度响应误差曲线）</w:t>
      </w:r>
      <w:r>
        <w:rPr>
          <w:rFonts w:hint="eastAsia" w:ascii="Times New Roman" w:hAnsi="Times New Roman" w:eastAsia="宋体" w:cs="Times New Roman"/>
          <w:sz w:val="28"/>
          <w:szCs w:val="28"/>
        </w:rPr>
        <w:t>（1分）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4869815" cy="2738755"/>
            <wp:effectExtent l="0" t="0" r="6985" b="444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9815" cy="2738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09185" cy="2761615"/>
            <wp:effectExtent l="0" t="0" r="571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9185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35245" cy="2888615"/>
            <wp:effectExtent l="0" t="0" r="8255" b="698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t>、</w:t>
      </w:r>
      <w:bookmarkStart w:id="1" w:name="OLE_LINK34"/>
      <w:r>
        <w:rPr>
          <w:rFonts w:hint="eastAsia" w:ascii="宋体" w:hAnsi="宋体"/>
          <w:sz w:val="28"/>
          <w:szCs w:val="28"/>
        </w:rPr>
        <w:t>simulink</w:t>
      </w:r>
      <w:r>
        <w:rPr>
          <w:rFonts w:hint="eastAsia"/>
          <w:sz w:val="28"/>
          <w:szCs w:val="28"/>
        </w:rPr>
        <w:t>微分反馈校正控制仿真分析</w:t>
      </w:r>
      <w:bookmarkEnd w:id="1"/>
      <w:r>
        <w:rPr>
          <w:rFonts w:hint="eastAsia"/>
          <w:sz w:val="28"/>
          <w:szCs w:val="28"/>
        </w:rPr>
        <w:t>（1仿真程序图，1条阶跃响应曲线、1条速度响应误差曲线）</w:t>
      </w:r>
      <w:r>
        <w:rPr>
          <w:rFonts w:hint="eastAsia" w:ascii="Times New Roman" w:hAnsi="Times New Roman" w:eastAsia="宋体" w:cs="Times New Roman"/>
          <w:sz w:val="28"/>
          <w:szCs w:val="28"/>
        </w:rPr>
        <w:t>（2分）</w:t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35245" cy="2888615"/>
            <wp:effectExtent l="0" t="0" r="8255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135245" cy="2888615"/>
            <wp:effectExtent l="0" t="0" r="8255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ind w:firstLine="560" w:firstLineChars="200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3</w:t>
      </w:r>
      <w:r>
        <w:rPr>
          <w:rFonts w:ascii="Times New Roman" w:hAnsi="Times New Roman" w:eastAsia="宋体" w:cs="Times New Roman"/>
          <w:sz w:val="28"/>
          <w:szCs w:val="28"/>
        </w:rPr>
        <w:t>、</w:t>
      </w:r>
      <w:r>
        <w:rPr>
          <w:rFonts w:hint="eastAsia" w:ascii="宋体" w:hAnsi="宋体"/>
          <w:sz w:val="28"/>
          <w:szCs w:val="28"/>
        </w:rPr>
        <w:t>simulink</w:t>
      </w:r>
      <w:r>
        <w:rPr>
          <w:rFonts w:hint="eastAsia"/>
          <w:sz w:val="28"/>
          <w:szCs w:val="28"/>
        </w:rPr>
        <w:t>死区非线性微分反馈校正控制仿真</w:t>
      </w:r>
      <w:r>
        <w:rPr>
          <w:rFonts w:ascii="Times New Roman" w:hAnsi="Times New Roman" w:eastAsia="宋体" w:cs="Times New Roman"/>
          <w:sz w:val="28"/>
          <w:szCs w:val="28"/>
        </w:rPr>
        <w:t xml:space="preserve"> </w:t>
      </w:r>
    </w:p>
    <w:p>
      <w:pPr>
        <w:autoSpaceDE w:val="0"/>
        <w:autoSpaceDN w:val="0"/>
        <w:adjustRightInd w:val="0"/>
        <w:spacing w:before="156" w:after="156"/>
        <w:rPr>
          <w:rFonts w:hint="eastAsia" w:ascii="Times New Roman" w:hAnsi="Times New Roman" w:eastAsia="宋体" w:cs="Times New Roman"/>
          <w:sz w:val="28"/>
          <w:szCs w:val="28"/>
        </w:rPr>
      </w:pPr>
      <w:r>
        <w:rPr>
          <w:rFonts w:hint="eastAsia"/>
          <w:sz w:val="28"/>
          <w:szCs w:val="28"/>
        </w:rPr>
        <w:t>（1）死区反馈1（1仿真程序图，1条阶跃响应曲线、1条速度响应误差曲线）</w:t>
      </w:r>
      <w:r>
        <w:rPr>
          <w:rFonts w:hint="eastAsia" w:ascii="Times New Roman" w:hAnsi="Times New Roman" w:eastAsia="宋体" w:cs="Times New Roman"/>
          <w:sz w:val="28"/>
          <w:szCs w:val="28"/>
        </w:rPr>
        <w:t>（2分）</w:t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  <w:rPr>
          <w:rFonts w:hint="eastAsia"/>
        </w:rPr>
      </w:pPr>
      <w:r>
        <w:drawing>
          <wp:inline distT="0" distB="0" distL="114300" distR="114300">
            <wp:extent cx="5135245" cy="2888615"/>
            <wp:effectExtent l="0" t="0" r="8255" b="698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/>
          <w:sz w:val="28"/>
          <w:szCs w:val="28"/>
        </w:rPr>
        <w:t>（2）死区反馈2（1条阶跃响应曲线、1条速度响应误差曲线）</w:t>
      </w:r>
      <w:r>
        <w:rPr>
          <w:rFonts w:hint="eastAsia" w:ascii="Times New Roman" w:hAnsi="Times New Roman" w:eastAsia="宋体" w:cs="Times New Roman"/>
          <w:sz w:val="28"/>
          <w:szCs w:val="28"/>
        </w:rPr>
        <w:t>（2分）</w:t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autoSpaceDE w:val="0"/>
        <w:autoSpaceDN w:val="0"/>
        <w:adjustRightInd w:val="0"/>
        <w:spacing w:before="156" w:after="156"/>
        <w:rPr>
          <w:rFonts w:hint="eastAsia" w:ascii="Times New Roman" w:hAnsi="Times New Roman" w:eastAsia="宋体" w:cs="Times New Roman"/>
          <w:sz w:val="28"/>
          <w:szCs w:val="28"/>
        </w:rPr>
      </w:pPr>
      <w:r>
        <w:rPr>
          <w:rFonts w:hint="eastAsia"/>
          <w:sz w:val="28"/>
          <w:szCs w:val="28"/>
        </w:rPr>
        <w:t>死区反馈3（1条阶跃响应曲线、1条速度响应误差曲线）</w:t>
      </w:r>
      <w:r>
        <w:rPr>
          <w:rFonts w:hint="eastAsia" w:ascii="Times New Roman" w:hAnsi="Times New Roman" w:eastAsia="宋体" w:cs="Times New Roman"/>
          <w:sz w:val="28"/>
          <w:szCs w:val="28"/>
        </w:rPr>
        <w:t>（1分）</w:t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4、</w:t>
      </w:r>
      <w:r>
        <w:rPr>
          <w:rFonts w:ascii="Times New Roman" w:hAnsi="Times New Roman" w:eastAsia="宋体" w:cs="Times New Roman"/>
          <w:sz w:val="28"/>
          <w:szCs w:val="28"/>
        </w:rPr>
        <w:t>实验结果</w:t>
      </w:r>
      <w:r>
        <w:rPr>
          <w:rFonts w:hint="eastAsia" w:ascii="Times New Roman" w:hAnsi="Times New Roman" w:eastAsia="宋体" w:cs="Times New Roman"/>
          <w:sz w:val="28"/>
          <w:szCs w:val="28"/>
        </w:rPr>
        <w:t>记录（2分）</w:t>
      </w:r>
    </w:p>
    <w:tbl>
      <w:tblPr>
        <w:tblStyle w:val="5"/>
        <w:tblpPr w:leftFromText="180" w:rightFromText="180" w:vertAnchor="text" w:horzAnchor="margin" w:tblpXSpec="center" w:tblpY="138"/>
        <w:tblW w:w="79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276"/>
        <w:gridCol w:w="1275"/>
        <w:gridCol w:w="1276"/>
        <w:gridCol w:w="1276"/>
        <w:gridCol w:w="12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1526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项目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比例控制</w:t>
            </w:r>
          </w:p>
        </w:tc>
        <w:tc>
          <w:tcPr>
            <w:tcW w:w="1275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微分反馈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死区反馈1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死区反馈2</w:t>
            </w:r>
          </w:p>
        </w:tc>
        <w:tc>
          <w:tcPr>
            <w:tcW w:w="1275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死区反馈3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526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稳定性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稳定</w:t>
            </w:r>
          </w:p>
        </w:tc>
        <w:tc>
          <w:tcPr>
            <w:tcW w:w="1275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稳定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稳定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稳定</w:t>
            </w:r>
          </w:p>
        </w:tc>
        <w:tc>
          <w:tcPr>
            <w:tcW w:w="1275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稳定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</w:trPr>
        <w:tc>
          <w:tcPr>
            <w:tcW w:w="1526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稳态误差e</w:t>
            </w:r>
            <w:r>
              <w:rPr>
                <w:rFonts w:hint="eastAsia" w:ascii="Times New Roman"/>
                <w:vertAlign w:val="subscript"/>
              </w:rPr>
              <w:t>ss0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  <w:tc>
          <w:tcPr>
            <w:tcW w:w="1275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  <w:tc>
          <w:tcPr>
            <w:tcW w:w="1275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526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速度误差e</w:t>
            </w:r>
            <w:r>
              <w:rPr>
                <w:rFonts w:hint="eastAsia" w:ascii="Times New Roman"/>
                <w:vertAlign w:val="subscript"/>
              </w:rPr>
              <w:t>ss1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0.25</w:t>
            </w:r>
          </w:p>
        </w:tc>
        <w:tc>
          <w:tcPr>
            <w:tcW w:w="1275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0.05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0.035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0.10</w:t>
            </w:r>
          </w:p>
        </w:tc>
        <w:tc>
          <w:tcPr>
            <w:tcW w:w="1275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0.075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526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hAnsi="宋体"/>
              </w:rPr>
              <w:t>σ</w:t>
            </w:r>
            <w:r>
              <w:rPr>
                <w:rFonts w:ascii="Times New Roman"/>
                <w:vertAlign w:val="subscript"/>
              </w:rPr>
              <w:t>p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30%</w:t>
            </w:r>
          </w:p>
        </w:tc>
        <w:tc>
          <w:tcPr>
            <w:tcW w:w="1275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14%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18%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9.7%</w:t>
            </w:r>
          </w:p>
        </w:tc>
        <w:tc>
          <w:tcPr>
            <w:tcW w:w="1275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9.25%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526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t</w:t>
            </w:r>
            <w:r>
              <w:rPr>
                <w:rFonts w:hint="eastAsia" w:ascii="Times New Roman"/>
                <w:vertAlign w:val="subscript"/>
              </w:rPr>
              <w:t>r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2.20</w:t>
            </w:r>
          </w:p>
        </w:tc>
        <w:tc>
          <w:tcPr>
            <w:tcW w:w="1275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0.101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0.084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0.136</w:t>
            </w:r>
          </w:p>
        </w:tc>
        <w:tc>
          <w:tcPr>
            <w:tcW w:w="1275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0.125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526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t</w:t>
            </w:r>
            <w:r>
              <w:rPr>
                <w:rFonts w:hint="eastAsia" w:ascii="Times New Roman"/>
                <w:vertAlign w:val="subscript"/>
              </w:rPr>
              <w:t>s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2.78</w:t>
            </w:r>
          </w:p>
        </w:tc>
        <w:tc>
          <w:tcPr>
            <w:tcW w:w="1275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0.21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0.18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0.3</w:t>
            </w:r>
          </w:p>
        </w:tc>
        <w:tc>
          <w:tcPr>
            <w:tcW w:w="1275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0.245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1526" w:type="dxa"/>
          </w:tcPr>
          <w:p>
            <w:pPr>
              <w:pStyle w:val="13"/>
              <w:jc w:val="center"/>
              <w:rPr>
                <w:rFonts w:hAnsi="宋体"/>
              </w:rPr>
            </w:pPr>
            <w:r>
              <w:rPr>
                <w:rFonts w:hint="eastAsia" w:hAnsi="宋体"/>
              </w:rPr>
              <w:t>K</w:t>
            </w:r>
            <w:r>
              <w:rPr>
                <w:rFonts w:hint="eastAsia" w:hAnsi="宋体"/>
                <w:vertAlign w:val="subscript"/>
              </w:rPr>
              <w:t>max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4</w:t>
            </w:r>
          </w:p>
        </w:tc>
        <w:tc>
          <w:tcPr>
            <w:tcW w:w="127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27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1526" w:type="dxa"/>
          </w:tcPr>
          <w:p>
            <w:pPr>
              <w:pStyle w:val="13"/>
              <w:jc w:val="center"/>
              <w:rPr>
                <w:rFonts w:hAnsi="宋体"/>
              </w:rPr>
            </w:pPr>
            <w:r>
              <w:rPr>
                <w:rFonts w:hint="eastAsia" w:ascii="Times New Roman"/>
              </w:rPr>
              <w:t>K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275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250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300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100</w:t>
            </w:r>
          </w:p>
        </w:tc>
        <w:tc>
          <w:tcPr>
            <w:tcW w:w="1275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1526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hAnsi="宋体"/>
              </w:rPr>
              <w:t>τ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275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10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10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10</w:t>
            </w:r>
          </w:p>
        </w:tc>
        <w:tc>
          <w:tcPr>
            <w:tcW w:w="1275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1526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hAnsi="宋体"/>
              </w:rPr>
              <w:t>c</w:t>
            </w:r>
            <w:r>
              <w:rPr>
                <w:rFonts w:hint="eastAsia" w:hAnsi="宋体"/>
                <w:vertAlign w:val="subscript"/>
              </w:rPr>
              <w:t>0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275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0.1</w:t>
            </w:r>
          </w:p>
        </w:tc>
        <w:tc>
          <w:tcPr>
            <w:tcW w:w="1276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0.5</w:t>
            </w:r>
          </w:p>
        </w:tc>
        <w:tc>
          <w:tcPr>
            <w:tcW w:w="1275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0.3</w:t>
            </w:r>
          </w:p>
        </w:tc>
      </w:tr>
    </w:tbl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5、</w:t>
      </w:r>
      <w:r>
        <w:rPr>
          <w:rFonts w:ascii="Times New Roman" w:hAnsi="Times New Roman" w:eastAsia="宋体" w:cs="Times New Roman"/>
          <w:sz w:val="28"/>
          <w:szCs w:val="28"/>
        </w:rPr>
        <w:t>实验结果</w:t>
      </w:r>
      <w:r>
        <w:rPr>
          <w:rFonts w:hint="eastAsia" w:ascii="Times New Roman" w:hAnsi="Times New Roman" w:eastAsia="宋体" w:cs="Times New Roman"/>
          <w:sz w:val="28"/>
          <w:szCs w:val="28"/>
        </w:rPr>
        <w:t>分析（2分）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(1).单比例反馈：当比例系数逐渐增大时，由二阶系统的闭环传递函数可知系统的无阻尼自振角频率会增大，阻尼比减小，系统的超调量增大，由于超调量不可以超过30%，故可以求得比例系数的最大值</w:t>
      </w:r>
      <w:r>
        <w:rPr>
          <w:rFonts w:hint="eastAsia"/>
          <w:position w:val="-12"/>
          <w:sz w:val="24"/>
          <w:szCs w:val="24"/>
          <w:lang w:val="en-US" w:eastAsia="zh-CN"/>
        </w:rPr>
        <w:object>
          <v:shape id="_x0000_i1025" o:spt="75" type="#_x0000_t75" style="height:18pt;width:24.95pt;" o:ole="t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  <o:OLEObject Type="Embed" ProgID="Equation.KSEE3" ShapeID="_x0000_i1025" DrawAspect="Content" ObjectID="_1468075725" r:id="rId22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；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(2).引入微分控制</w:t>
      </w:r>
      <w:r>
        <w:rPr>
          <w:rFonts w:hint="eastAsia"/>
          <w:position w:val="-6"/>
          <w:sz w:val="24"/>
          <w:szCs w:val="24"/>
          <w:lang w:val="en-US" w:eastAsia="zh-CN"/>
        </w:rPr>
        <w:object>
          <v:shape id="_x0000_i1026" o:spt="75" type="#_x0000_t75" style="height:11pt;width:13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26" DrawAspect="Content" ObjectID="_1468075726" r:id="rId24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后，系统的开环传递函数变成</w:t>
      </w:r>
      <w:r>
        <w:rPr>
          <w:rFonts w:hint="eastAsia"/>
          <w:position w:val="-28"/>
          <w:sz w:val="24"/>
          <w:szCs w:val="24"/>
          <w:lang w:val="en-US" w:eastAsia="zh-CN"/>
        </w:rPr>
        <w:object>
          <v:shape id="_x0000_i1027" o:spt="75" type="#_x0000_t75" style="height:33pt;width:7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KSEE3" ShapeID="_x0000_i1027" DrawAspect="Content" ObjectID="_1468075727" r:id="rId26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，取合适的</w:t>
      </w:r>
      <w:r>
        <w:rPr>
          <w:rFonts w:hint="eastAsia"/>
          <w:position w:val="-6"/>
          <w:sz w:val="24"/>
          <w:szCs w:val="24"/>
          <w:lang w:val="en-US" w:eastAsia="zh-CN"/>
        </w:rPr>
        <w:object>
          <v:shape id="_x0000_i1028" o:spt="75" type="#_x0000_t75" style="height:11pt;width:10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KSEE3" ShapeID="_x0000_i1028" DrawAspect="Content" ObjectID="_1468075728" r:id="rId28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值可以使超调量较小并且响应时间也减小，提高系统的平稳性和系统的响应速度。</w:t>
      </w:r>
    </w:p>
    <w:p>
      <w:pPr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(3).引入死区非线性和微分反馈控制后，由表中的数据可知，该方法可以达到和微分反馈控制同样的效果；此外还可以发现，引入死区非线性反馈以后，可以通过增大死区宽度使得系统的开环放大倍数减小，并且其速度稳态误差不会由于放大倍数的减小而增大，控制器提供的放大倍数是有限制的，故这在实际系统中是具有重大意义的。</w:t>
      </w:r>
    </w:p>
    <w:p/>
    <w:p>
      <w:pPr>
        <w:spacing w:line="400" w:lineRule="exact"/>
        <w:jc w:val="both"/>
        <w:rPr>
          <w:rFonts w:hint="eastAsia" w:ascii="Times New Roman" w:hAnsi="Times New Roman" w:eastAsia="宋体" w:cs="Times New Roman"/>
          <w:b/>
          <w:sz w:val="28"/>
          <w:szCs w:val="28"/>
        </w:rPr>
      </w:pPr>
      <w:r>
        <w:rPr>
          <w:rFonts w:hint="eastAsia" w:ascii="Times New Roman" w:hAnsi="Times New Roman" w:eastAsia="宋体" w:cs="Times New Roman"/>
          <w:b/>
          <w:sz w:val="28"/>
          <w:szCs w:val="28"/>
        </w:rPr>
        <w:t>项目二 转台电子对象死区非线性微分反馈校正控制实验（18分）</w:t>
      </w:r>
    </w:p>
    <w:p>
      <w:pPr>
        <w:spacing w:line="400" w:lineRule="exact"/>
        <w:jc w:val="both"/>
        <w:rPr>
          <w:rFonts w:hint="eastAsia" w:ascii="Times New Roman" w:hAnsi="Times New Roman" w:eastAsia="宋体" w:cs="Times New Roman"/>
          <w:b/>
          <w:sz w:val="28"/>
          <w:szCs w:val="28"/>
        </w:rPr>
      </w:pPr>
    </w:p>
    <w:p>
      <w:pPr>
        <w:bidi w:val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139055" cy="3854450"/>
            <wp:effectExtent l="0" t="0" r="4445" b="12700"/>
            <wp:docPr id="10" name="图片 10" descr="Cache_39a0710e86b29eb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ache_39a0710e86b29eb1.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9055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bidi w:val="0"/>
        <w:rPr>
          <w:rFonts w:hint="eastAsia"/>
          <w:lang w:eastAsia="zh-CN"/>
        </w:rPr>
      </w:pPr>
    </w:p>
    <w:p>
      <w:pPr>
        <w:numPr>
          <w:ilvl w:val="0"/>
          <w:numId w:val="3"/>
        </w:numPr>
        <w:autoSpaceDE w:val="0"/>
        <w:autoSpaceDN w:val="0"/>
        <w:adjustRightInd w:val="0"/>
        <w:spacing w:before="156" w:after="156"/>
        <w:rPr>
          <w:rFonts w:hint="eastAsia" w:ascii="Times New Roman" w:hAnsi="Times New Roman" w:eastAsia="宋体" w:cs="Times New Roman"/>
          <w:sz w:val="28"/>
          <w:szCs w:val="28"/>
        </w:rPr>
      </w:pPr>
      <w:r>
        <w:rPr>
          <w:rFonts w:hint="eastAsia"/>
          <w:sz w:val="28"/>
          <w:szCs w:val="28"/>
        </w:rPr>
        <w:t>微分反馈校正控制程序及控制实验（1控制程序图，1条阶跃响应曲线、1条速度响应误差曲线）</w:t>
      </w:r>
      <w:r>
        <w:rPr>
          <w:rFonts w:hint="eastAsia" w:ascii="Times New Roman" w:hAnsi="Times New Roman" w:eastAsia="宋体" w:cs="Times New Roman"/>
          <w:sz w:val="28"/>
          <w:szCs w:val="28"/>
        </w:rPr>
        <w:t>（3分）</w:t>
      </w:r>
    </w:p>
    <w:p>
      <w:pPr>
        <w:numPr>
          <w:ilvl w:val="0"/>
          <w:numId w:val="0"/>
        </w:numPr>
        <w:autoSpaceDE w:val="0"/>
        <w:autoSpaceDN w:val="0"/>
        <w:adjustRightInd w:val="0"/>
        <w:spacing w:before="156" w:after="156"/>
        <w:rPr>
          <w:rFonts w:hint="eastAsia" w:ascii="Times New Roman" w:hAnsi="Times New Roman" w:eastAsia="宋体" w:cs="Times New Roman"/>
          <w:b/>
          <w:bCs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35245" cy="2888615"/>
            <wp:effectExtent l="0" t="0" r="8255" b="698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2</w:t>
      </w:r>
      <w:r>
        <w:rPr>
          <w:rFonts w:ascii="Times New Roman" w:hAnsi="Times New Roman" w:eastAsia="宋体" w:cs="Times New Roman"/>
          <w:sz w:val="28"/>
          <w:szCs w:val="28"/>
        </w:rPr>
        <w:t>、</w:t>
      </w:r>
      <w:r>
        <w:rPr>
          <w:rFonts w:hint="eastAsia"/>
          <w:sz w:val="28"/>
          <w:szCs w:val="28"/>
        </w:rPr>
        <w:t>死区非线性微分反馈校正控制程序及控制实验</w:t>
      </w:r>
    </w:p>
    <w:p>
      <w:pPr>
        <w:autoSpaceDE w:val="0"/>
        <w:autoSpaceDN w:val="0"/>
        <w:adjustRightInd w:val="0"/>
        <w:spacing w:before="156" w:after="156"/>
        <w:rPr>
          <w:rFonts w:hint="eastAsia" w:ascii="Times New Roman" w:hAnsi="Times New Roman" w:eastAsia="宋体" w:cs="Times New Roman"/>
          <w:sz w:val="28"/>
          <w:szCs w:val="28"/>
        </w:rPr>
      </w:pPr>
      <w:r>
        <w:rPr>
          <w:rFonts w:hint="eastAsia"/>
          <w:sz w:val="28"/>
          <w:szCs w:val="28"/>
        </w:rPr>
        <w:t>（1）死区反馈1（1控制程序图，1条阶跃响应曲线、1条速度响应误差曲线）</w:t>
      </w:r>
      <w:r>
        <w:rPr>
          <w:rFonts w:hint="eastAsia" w:ascii="Times New Roman" w:hAnsi="Times New Roman" w:eastAsia="宋体" w:cs="Times New Roman"/>
          <w:sz w:val="28"/>
          <w:szCs w:val="28"/>
        </w:rPr>
        <w:t>（3分）</w:t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  <w:rPr>
          <w:rFonts w:hint="eastAsia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sz w:val="28"/>
          <w:szCs w:val="28"/>
        </w:rPr>
      </w:pPr>
    </w:p>
    <w:p>
      <w:pPr>
        <w:numPr>
          <w:ilvl w:val="0"/>
          <w:numId w:val="4"/>
        </w:numPr>
        <w:autoSpaceDE w:val="0"/>
        <w:autoSpaceDN w:val="0"/>
        <w:adjustRightInd w:val="0"/>
        <w:spacing w:before="156" w:after="156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</w:rPr>
        <w:t>死区反馈2（1条阶跃响应曲线、1条速度响应误差曲线）</w:t>
      </w:r>
      <w:r>
        <w:rPr>
          <w:rFonts w:hint="eastAsia" w:ascii="Times New Roman" w:hAnsi="Times New Roman" w:eastAsia="宋体" w:cs="Times New Roman"/>
          <w:sz w:val="28"/>
          <w:szCs w:val="28"/>
        </w:rPr>
        <w:t>（2分）</w:t>
      </w:r>
    </w:p>
    <w:p>
      <w:pPr>
        <w:autoSpaceDE w:val="0"/>
        <w:autoSpaceDN w:val="0"/>
        <w:adjustRightInd w:val="0"/>
        <w:spacing w:before="156" w:after="156"/>
      </w:pPr>
      <w:r>
        <w:drawing>
          <wp:inline distT="0" distB="0" distL="114300" distR="114300">
            <wp:extent cx="5135245" cy="2888615"/>
            <wp:effectExtent l="0" t="0" r="8255" b="6985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numPr>
          <w:ilvl w:val="0"/>
          <w:numId w:val="4"/>
        </w:numPr>
        <w:autoSpaceDE w:val="0"/>
        <w:autoSpaceDN w:val="0"/>
        <w:adjustRightInd w:val="0"/>
        <w:spacing w:before="156" w:after="156"/>
        <w:ind w:left="0" w:leftChars="0" w:firstLine="0" w:firstLineChars="0"/>
        <w:rPr>
          <w:rFonts w:hint="eastAsia" w:ascii="Times New Roman" w:hAnsi="Times New Roman" w:eastAsia="宋体" w:cs="Times New Roman"/>
          <w:sz w:val="28"/>
          <w:szCs w:val="28"/>
        </w:rPr>
      </w:pPr>
      <w:r>
        <w:rPr>
          <w:rFonts w:hint="eastAsia"/>
          <w:sz w:val="28"/>
          <w:szCs w:val="28"/>
        </w:rPr>
        <w:t>死区反馈3（1条阶跃响应曲线、1条速度响应误差曲线）</w:t>
      </w:r>
      <w:r>
        <w:rPr>
          <w:rFonts w:hint="eastAsia" w:ascii="Times New Roman" w:hAnsi="Times New Roman" w:eastAsia="宋体" w:cs="Times New Roman"/>
          <w:sz w:val="28"/>
          <w:szCs w:val="28"/>
        </w:rPr>
        <w:t>（2分）</w:t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3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  <w:r>
        <w:drawing>
          <wp:inline distT="0" distB="0" distL="114300" distR="114300">
            <wp:extent cx="5135245" cy="2888615"/>
            <wp:effectExtent l="0" t="0" r="8255" b="698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35245" cy="288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before="156" w:after="156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4、</w:t>
      </w:r>
      <w:r>
        <w:rPr>
          <w:rFonts w:ascii="Times New Roman" w:hAnsi="Times New Roman" w:eastAsia="宋体" w:cs="Times New Roman"/>
          <w:sz w:val="28"/>
          <w:szCs w:val="28"/>
        </w:rPr>
        <w:t>实验结果</w:t>
      </w:r>
      <w:r>
        <w:rPr>
          <w:rFonts w:hint="eastAsia" w:ascii="Times New Roman" w:hAnsi="Times New Roman" w:eastAsia="宋体" w:cs="Times New Roman"/>
          <w:sz w:val="28"/>
          <w:szCs w:val="28"/>
        </w:rPr>
        <w:t>记录（3分）</w:t>
      </w:r>
    </w:p>
    <w:tbl>
      <w:tblPr>
        <w:tblStyle w:val="5"/>
        <w:tblpPr w:leftFromText="180" w:rightFromText="180" w:vertAnchor="text" w:horzAnchor="margin" w:tblpXSpec="center" w:tblpY="138"/>
        <w:tblW w:w="747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417"/>
        <w:gridCol w:w="1418"/>
        <w:gridCol w:w="1559"/>
        <w:gridCol w:w="15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1" w:hRule="atLeast"/>
        </w:trPr>
        <w:tc>
          <w:tcPr>
            <w:tcW w:w="1526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项目</w:t>
            </w:r>
          </w:p>
        </w:tc>
        <w:tc>
          <w:tcPr>
            <w:tcW w:w="1417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微分反馈</w:t>
            </w:r>
          </w:p>
        </w:tc>
        <w:tc>
          <w:tcPr>
            <w:tcW w:w="1418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死区反馈1</w:t>
            </w:r>
          </w:p>
        </w:tc>
        <w:tc>
          <w:tcPr>
            <w:tcW w:w="155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死区反馈2</w:t>
            </w:r>
          </w:p>
        </w:tc>
        <w:tc>
          <w:tcPr>
            <w:tcW w:w="1559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死区反馈3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526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稳定性</w:t>
            </w:r>
          </w:p>
        </w:tc>
        <w:tc>
          <w:tcPr>
            <w:tcW w:w="1417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稳定</w:t>
            </w:r>
          </w:p>
        </w:tc>
        <w:tc>
          <w:tcPr>
            <w:tcW w:w="1418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稳定</w:t>
            </w:r>
          </w:p>
        </w:tc>
        <w:tc>
          <w:tcPr>
            <w:tcW w:w="1559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稳定</w:t>
            </w:r>
          </w:p>
        </w:tc>
        <w:tc>
          <w:tcPr>
            <w:tcW w:w="1559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稳定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526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稳态误差e</w:t>
            </w:r>
            <w:r>
              <w:rPr>
                <w:rFonts w:hint="eastAsia" w:ascii="Times New Roman"/>
                <w:vertAlign w:val="subscript"/>
              </w:rPr>
              <w:t>ss0</w:t>
            </w:r>
          </w:p>
        </w:tc>
        <w:tc>
          <w:tcPr>
            <w:tcW w:w="1417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  <w:tc>
          <w:tcPr>
            <w:tcW w:w="1418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  <w:tc>
          <w:tcPr>
            <w:tcW w:w="1559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  <w:tc>
          <w:tcPr>
            <w:tcW w:w="1559" w:type="dxa"/>
          </w:tcPr>
          <w:p>
            <w:pPr>
              <w:pStyle w:val="13"/>
              <w:jc w:val="center"/>
              <w:rPr>
                <w:rFonts w:hint="eastAsia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526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速度误差e</w:t>
            </w:r>
            <w:r>
              <w:rPr>
                <w:rFonts w:hint="eastAsia" w:ascii="Times New Roman"/>
                <w:vertAlign w:val="subscript"/>
              </w:rPr>
              <w:t>ss1</w:t>
            </w:r>
          </w:p>
        </w:tc>
        <w:tc>
          <w:tcPr>
            <w:tcW w:w="1417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0.05</w:t>
            </w:r>
          </w:p>
        </w:tc>
        <w:tc>
          <w:tcPr>
            <w:tcW w:w="1418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0.04</w:t>
            </w:r>
          </w:p>
        </w:tc>
        <w:tc>
          <w:tcPr>
            <w:tcW w:w="1559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0.1</w:t>
            </w:r>
          </w:p>
        </w:tc>
        <w:tc>
          <w:tcPr>
            <w:tcW w:w="1559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526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hAnsi="宋体"/>
              </w:rPr>
              <w:t>σ</w:t>
            </w:r>
            <w:r>
              <w:rPr>
                <w:rFonts w:ascii="Times New Roman"/>
                <w:vertAlign w:val="subscript"/>
              </w:rPr>
              <w:t>p</w:t>
            </w:r>
          </w:p>
        </w:tc>
        <w:tc>
          <w:tcPr>
            <w:tcW w:w="1417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20%</w:t>
            </w:r>
          </w:p>
        </w:tc>
        <w:tc>
          <w:tcPr>
            <w:tcW w:w="1418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24%</w:t>
            </w:r>
          </w:p>
        </w:tc>
        <w:tc>
          <w:tcPr>
            <w:tcW w:w="1559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8%</w:t>
            </w:r>
          </w:p>
        </w:tc>
        <w:tc>
          <w:tcPr>
            <w:tcW w:w="1559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526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t</w:t>
            </w:r>
            <w:r>
              <w:rPr>
                <w:rFonts w:hint="eastAsia" w:ascii="Times New Roman"/>
                <w:vertAlign w:val="subscript"/>
              </w:rPr>
              <w:t>r</w:t>
            </w:r>
          </w:p>
        </w:tc>
        <w:tc>
          <w:tcPr>
            <w:tcW w:w="1417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0.38</w:t>
            </w:r>
          </w:p>
        </w:tc>
        <w:tc>
          <w:tcPr>
            <w:tcW w:w="1418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0.37</w:t>
            </w:r>
          </w:p>
        </w:tc>
        <w:tc>
          <w:tcPr>
            <w:tcW w:w="1559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0.45</w:t>
            </w:r>
          </w:p>
        </w:tc>
        <w:tc>
          <w:tcPr>
            <w:tcW w:w="1559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" w:hRule="atLeast"/>
        </w:trPr>
        <w:tc>
          <w:tcPr>
            <w:tcW w:w="1526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ascii="Times New Roman"/>
              </w:rPr>
              <w:t>t</w:t>
            </w:r>
            <w:r>
              <w:rPr>
                <w:rFonts w:hint="eastAsia" w:ascii="Times New Roman"/>
                <w:vertAlign w:val="subscript"/>
              </w:rPr>
              <w:t>s</w:t>
            </w:r>
          </w:p>
        </w:tc>
        <w:tc>
          <w:tcPr>
            <w:tcW w:w="1417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0.69</w:t>
            </w:r>
          </w:p>
        </w:tc>
        <w:tc>
          <w:tcPr>
            <w:tcW w:w="1418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0.88</w:t>
            </w:r>
          </w:p>
        </w:tc>
        <w:tc>
          <w:tcPr>
            <w:tcW w:w="1559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0.7</w:t>
            </w:r>
          </w:p>
        </w:tc>
        <w:tc>
          <w:tcPr>
            <w:tcW w:w="1559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1526" w:type="dxa"/>
          </w:tcPr>
          <w:p>
            <w:pPr>
              <w:pStyle w:val="13"/>
              <w:jc w:val="center"/>
              <w:rPr>
                <w:rFonts w:hAnsi="宋体"/>
              </w:rPr>
            </w:pPr>
            <w:r>
              <w:rPr>
                <w:rFonts w:hint="eastAsia" w:hAnsi="宋体"/>
              </w:rPr>
              <w:t>K</w:t>
            </w:r>
            <w:r>
              <w:rPr>
                <w:rFonts w:hint="eastAsia" w:hAnsi="宋体"/>
                <w:vertAlign w:val="subscript"/>
              </w:rPr>
              <w:t>max</w:t>
            </w:r>
          </w:p>
        </w:tc>
        <w:tc>
          <w:tcPr>
            <w:tcW w:w="1417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418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55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559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1526" w:type="dxa"/>
          </w:tcPr>
          <w:p>
            <w:pPr>
              <w:pStyle w:val="13"/>
              <w:jc w:val="center"/>
              <w:rPr>
                <w:rFonts w:hAnsi="宋体"/>
              </w:rPr>
            </w:pPr>
            <w:r>
              <w:rPr>
                <w:rFonts w:hint="eastAsia" w:ascii="Times New Roman"/>
              </w:rPr>
              <w:t>K</w:t>
            </w:r>
          </w:p>
        </w:tc>
        <w:tc>
          <w:tcPr>
            <w:tcW w:w="1417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250</w:t>
            </w:r>
          </w:p>
        </w:tc>
        <w:tc>
          <w:tcPr>
            <w:tcW w:w="1418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300</w:t>
            </w:r>
          </w:p>
        </w:tc>
        <w:tc>
          <w:tcPr>
            <w:tcW w:w="1559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100</w:t>
            </w:r>
          </w:p>
        </w:tc>
        <w:tc>
          <w:tcPr>
            <w:tcW w:w="1559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1526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hAnsi="宋体"/>
              </w:rPr>
              <w:t>τ</w:t>
            </w:r>
          </w:p>
        </w:tc>
        <w:tc>
          <w:tcPr>
            <w:tcW w:w="1417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10</w:t>
            </w:r>
          </w:p>
        </w:tc>
        <w:tc>
          <w:tcPr>
            <w:tcW w:w="1418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10</w:t>
            </w:r>
          </w:p>
        </w:tc>
        <w:tc>
          <w:tcPr>
            <w:tcW w:w="1559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10</w:t>
            </w:r>
          </w:p>
        </w:tc>
        <w:tc>
          <w:tcPr>
            <w:tcW w:w="1559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7" w:hRule="atLeast"/>
        </w:trPr>
        <w:tc>
          <w:tcPr>
            <w:tcW w:w="1526" w:type="dxa"/>
          </w:tcPr>
          <w:p>
            <w:pPr>
              <w:pStyle w:val="13"/>
              <w:jc w:val="center"/>
              <w:rPr>
                <w:rFonts w:ascii="Times New Roman"/>
              </w:rPr>
            </w:pPr>
            <w:r>
              <w:rPr>
                <w:rFonts w:hint="eastAsia" w:hAnsi="宋体"/>
              </w:rPr>
              <w:t>c</w:t>
            </w:r>
            <w:r>
              <w:rPr>
                <w:rFonts w:hint="eastAsia" w:hAnsi="宋体"/>
                <w:vertAlign w:val="subscript"/>
              </w:rPr>
              <w:t>0</w:t>
            </w:r>
          </w:p>
        </w:tc>
        <w:tc>
          <w:tcPr>
            <w:tcW w:w="1417" w:type="dxa"/>
          </w:tcPr>
          <w:p>
            <w:pPr>
              <w:pStyle w:val="13"/>
              <w:jc w:val="center"/>
              <w:rPr>
                <w:rFonts w:ascii="Times New Roman"/>
              </w:rPr>
            </w:pPr>
          </w:p>
        </w:tc>
        <w:tc>
          <w:tcPr>
            <w:tcW w:w="1418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0.1</w:t>
            </w:r>
          </w:p>
        </w:tc>
        <w:tc>
          <w:tcPr>
            <w:tcW w:w="1559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0.5</w:t>
            </w:r>
          </w:p>
        </w:tc>
        <w:tc>
          <w:tcPr>
            <w:tcW w:w="1559" w:type="dxa"/>
          </w:tcPr>
          <w:p>
            <w:pPr>
              <w:pStyle w:val="13"/>
              <w:jc w:val="center"/>
              <w:rPr>
                <w:rFonts w:hint="default" w:ascii="Times New Roman" w:eastAsia="宋体"/>
                <w:lang w:val="en-US" w:eastAsia="zh-CN"/>
              </w:rPr>
            </w:pPr>
            <w:r>
              <w:rPr>
                <w:rFonts w:hint="eastAsia" w:ascii="Times New Roman"/>
                <w:lang w:val="en-US" w:eastAsia="zh-CN"/>
              </w:rPr>
              <w:t>0.3</w:t>
            </w:r>
          </w:p>
        </w:tc>
      </w:tr>
    </w:tbl>
    <w:p/>
    <w:p>
      <w:pPr>
        <w:spacing w:line="400" w:lineRule="exact"/>
        <w:rPr>
          <w:rFonts w:ascii="Times New Roman" w:hAnsi="Times New Roman" w:eastAsia="宋体" w:cs="Times New Roman"/>
          <w:sz w:val="28"/>
          <w:szCs w:val="28"/>
        </w:rPr>
      </w:pPr>
      <w:r>
        <w:rPr>
          <w:rFonts w:hint="eastAsia" w:ascii="Times New Roman" w:hAnsi="Times New Roman" w:eastAsia="宋体" w:cs="Times New Roman"/>
          <w:sz w:val="28"/>
          <w:szCs w:val="28"/>
        </w:rPr>
        <w:t>5、</w:t>
      </w:r>
      <w:r>
        <w:rPr>
          <w:rFonts w:ascii="Times New Roman" w:hAnsi="Times New Roman" w:eastAsia="宋体" w:cs="Times New Roman"/>
          <w:sz w:val="28"/>
          <w:szCs w:val="28"/>
        </w:rPr>
        <w:t>实验结果</w:t>
      </w:r>
      <w:r>
        <w:rPr>
          <w:rFonts w:hint="eastAsia" w:ascii="Times New Roman" w:hAnsi="Times New Roman" w:eastAsia="宋体" w:cs="Times New Roman"/>
          <w:sz w:val="28"/>
          <w:szCs w:val="28"/>
        </w:rPr>
        <w:t>分析（5分）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(1).半实物仿真实验操做过程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利用面包板搭建转台系统电子对象的数学模型</w:t>
      </w:r>
      <w:r>
        <w:rPr>
          <w:rFonts w:hint="eastAsia"/>
          <w:position w:val="-28"/>
          <w:sz w:val="24"/>
          <w:szCs w:val="24"/>
          <w:lang w:val="en-US" w:eastAsia="zh-CN"/>
        </w:rPr>
        <w:object>
          <v:shape id="_x0000_i1029" o:spt="75" type="#_x0000_t75" style="height:33pt;width:57pt;" o:ole="t" filled="f" o:preferrelative="t" stroked="f" coordsize="21600,21600">
            <v:path/>
            <v:fill on="f" focussize="0,0"/>
            <v:stroke on="f"/>
            <v:imagedata r:id="rId42" o:title=""/>
            <o:lock v:ext="edit" aspectratio="t"/>
            <w10:wrap type="none"/>
            <w10:anchorlock/>
          </v:shape>
          <o:OLEObject Type="Embed" ProgID="Equation.KSEE3" ShapeID="_x0000_i1029" DrawAspect="Content" ObjectID="_1468075729" r:id="rId41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，用一个积分电路和一个比例电路来实现。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微分反馈校正控制程序和电子对象的输入输出程序图在MATLAB中搭建。</w:t>
      </w:r>
    </w:p>
    <w:p>
      <w:pPr>
        <w:numPr>
          <w:ilvl w:val="0"/>
          <w:numId w:val="5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.实验结果分析</w:t>
      </w:r>
    </w:p>
    <w:p>
      <w:p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a.引入微分控制</w:t>
      </w:r>
      <w:r>
        <w:rPr>
          <w:rFonts w:hint="eastAsia"/>
          <w:position w:val="-6"/>
          <w:sz w:val="24"/>
          <w:szCs w:val="24"/>
          <w:lang w:val="en-US" w:eastAsia="zh-CN"/>
        </w:rPr>
        <w:object>
          <v:shape id="_x0000_i1030" o:spt="75" type="#_x0000_t75" style="height:11pt;width:13pt;" o:ole="t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  <o:OLEObject Type="Embed" ProgID="Equation.KSEE3" ShapeID="_x0000_i1030" DrawAspect="Content" ObjectID="_1468075730" r:id="rId43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后，系统的开环传递函数变成</w:t>
      </w:r>
      <w:r>
        <w:rPr>
          <w:rFonts w:hint="eastAsia"/>
          <w:position w:val="-28"/>
          <w:sz w:val="24"/>
          <w:szCs w:val="24"/>
          <w:lang w:val="en-US" w:eastAsia="zh-CN"/>
        </w:rPr>
        <w:object>
          <v:shape id="_x0000_i1031" o:spt="75" type="#_x0000_t75" style="height:33pt;width:7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Equation.KSEE3" ShapeID="_x0000_i1031" DrawAspect="Content" ObjectID="_1468075731" r:id="rId44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，取合适的</w:t>
      </w:r>
      <w:r>
        <w:rPr>
          <w:rFonts w:hint="eastAsia"/>
          <w:position w:val="-6"/>
          <w:sz w:val="24"/>
          <w:szCs w:val="24"/>
          <w:lang w:val="en-US" w:eastAsia="zh-CN"/>
        </w:rPr>
        <w:object>
          <v:shape id="_x0000_i1032" o:spt="75" type="#_x0000_t75" style="height:11pt;width:10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Equation.KSEE3" ShapeID="_x0000_i1032" DrawAspect="Content" ObjectID="_1468075732" r:id="rId45">
            <o:LockedField>false</o:LockedField>
          </o:OLEObject>
        </w:object>
      </w:r>
      <w:r>
        <w:rPr>
          <w:rFonts w:hint="eastAsia"/>
          <w:sz w:val="24"/>
          <w:szCs w:val="24"/>
          <w:lang w:val="en-US" w:eastAsia="zh-CN"/>
        </w:rPr>
        <w:t>值可以使超调量较小并且响应时间也减小，提高系统的平稳性和系统的响应速度。</w:t>
      </w:r>
    </w:p>
    <w:p>
      <w:pPr>
        <w:spacing w:line="360" w:lineRule="auto"/>
        <w:rPr>
          <w:rFonts w:hint="default" w:eastAsiaTheme="minorEastAsia"/>
          <w:vertAlign w:val="baseline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b.</w:t>
      </w:r>
      <w:r>
        <w:rPr>
          <w:rFonts w:hint="eastAsia"/>
          <w:sz w:val="24"/>
          <w:szCs w:val="24"/>
          <w:vertAlign w:val="baseline"/>
          <w:lang w:val="en-US" w:eastAsia="zh-CN"/>
        </w:rPr>
        <w:t>引入死区非线性和微分反馈控制后，由表中的数据可知，该方法可以达到和微分反馈控制同样的效果；此外还可以发现，引入死区非线性反馈以后，可以通过增大死区宽度使得系统的开环放大倍数减小，并且其速度稳态误差不会由于放大倍数的减小而增大，控制器提供的放大倍数是有限制的，故这在实际系统中是具有重大意义的。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c.另外，非线性微分负反馈的作用既在于保留无反馈系统响应速度高的优点，又突出有微分负反馈系统阻尼程度高而避免出现超调的优点，使系统具有优良的动态性能。</w:t>
      </w:r>
    </w:p>
    <w:p>
      <w:pPr>
        <w:numPr>
          <w:ilvl w:val="0"/>
          <w:numId w:val="0"/>
        </w:numPr>
        <w:spacing w:line="360" w:lineRule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(3).实验结果和仿真结果的区别及原因</w:t>
      </w:r>
    </w:p>
    <w:p>
      <w:pPr>
        <w:numPr>
          <w:ilvl w:val="0"/>
          <w:numId w:val="0"/>
        </w:numPr>
        <w:spacing w:line="360" w:lineRule="auto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半实物仿真的响应时间比Simulink仿真的结果更长，这是由于电路中电容充放电时间引起的，此外，Simulink仿真结果和半实物近似相等，但是由于半实物仿真使用了实际器件，而实际器件的值与标称值会有区别，所以相比理论分析会有一些误差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/>
    <w:p/>
    <w:p/>
    <w:p/>
    <w:p/>
    <w:p/>
    <w:p/>
    <w:p/>
    <w:p>
      <w:pPr>
        <w:spacing w:line="400" w:lineRule="exact"/>
        <w:jc w:val="center"/>
        <w:rPr>
          <w:rFonts w:ascii="Times New Roman" w:hAnsi="Times New Roman" w:eastAsia="宋体" w:cs="Times New Roman"/>
          <w:sz w:val="28"/>
          <w:szCs w:val="28"/>
        </w:rPr>
      </w:pPr>
    </w:p>
    <w:p>
      <w:pPr>
        <w:spacing w:line="400" w:lineRule="exact"/>
        <w:jc w:val="center"/>
        <w:rPr>
          <w:rFonts w:ascii="Times New Roman" w:hAnsi="Times New Roman" w:eastAsia="宋体" w:cs="Times New Roman"/>
          <w:sz w:val="28"/>
          <w:szCs w:val="28"/>
        </w:rPr>
      </w:pPr>
    </w:p>
    <w:sectPr>
      <w:footerReference r:id="rId3" w:type="default"/>
      <w:footerReference r:id="rId4" w:type="even"/>
      <w:pgSz w:w="10433" w:h="14742"/>
      <w:pgMar w:top="1247" w:right="1021" w:bottom="1304" w:left="1304" w:header="851" w:footer="992" w:gutter="0"/>
      <w:pgNumType w:start="1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center" w:y="1"/>
      <w:rPr>
        <w:rStyle w:val="8"/>
      </w:rPr>
    </w:pPr>
    <w:r>
      <w:rPr>
        <w:rStyle w:val="8"/>
      </w:rPr>
      <w:fldChar w:fldCharType="begin"/>
    </w:r>
    <w:r>
      <w:rPr>
        <w:rStyle w:val="8"/>
      </w:rPr>
      <w:instrText xml:space="preserve">PAGE  </w:instrText>
    </w:r>
    <w:r>
      <w:rPr>
        <w:rStyle w:val="8"/>
      </w:rPr>
      <w:fldChar w:fldCharType="separate"/>
    </w:r>
    <w:r>
      <w:rPr>
        <w:rStyle w:val="8"/>
      </w:rPr>
      <w:t>9</w:t>
    </w:r>
    <w:r>
      <w:rPr>
        <w:rStyle w:val="8"/>
      </w:rPr>
      <w:fldChar w:fldCharType="end"/>
    </w:r>
  </w:p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framePr w:wrap="around" w:vAnchor="text" w:hAnchor="margin" w:xAlign="center" w:y="1"/>
      <w:rPr>
        <w:rStyle w:val="8"/>
      </w:rPr>
    </w:pPr>
    <w:r>
      <w:rPr>
        <w:rStyle w:val="8"/>
      </w:rPr>
      <w:fldChar w:fldCharType="begin"/>
    </w:r>
    <w:r>
      <w:rPr>
        <w:rStyle w:val="8"/>
      </w:rPr>
      <w:instrText xml:space="preserve">PAGE  </w:instrText>
    </w:r>
    <w:r>
      <w:rPr>
        <w:rStyle w:val="8"/>
      </w:rPr>
      <w:fldChar w:fldCharType="end"/>
    </w:r>
  </w:p>
  <w:p>
    <w:pPr>
      <w:pStyle w:val="3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ED76CC"/>
    <w:multiLevelType w:val="singleLevel"/>
    <w:tmpl w:val="97ED76CC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E137CECA"/>
    <w:multiLevelType w:val="singleLevel"/>
    <w:tmpl w:val="E137CECA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F6AE14D9"/>
    <w:multiLevelType w:val="singleLevel"/>
    <w:tmpl w:val="F6AE14D9"/>
    <w:lvl w:ilvl="0" w:tentative="0">
      <w:start w:val="2"/>
      <w:numFmt w:val="decimal"/>
      <w:suff w:val="nothing"/>
      <w:lvlText w:val="（%1）"/>
      <w:lvlJc w:val="left"/>
    </w:lvl>
  </w:abstractNum>
  <w:abstractNum w:abstractNumId="3">
    <w:nsid w:val="705DC23F"/>
    <w:multiLevelType w:val="singleLevel"/>
    <w:tmpl w:val="705DC23F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71B4B231"/>
    <w:multiLevelType w:val="singleLevel"/>
    <w:tmpl w:val="71B4B231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521C"/>
    <w:rsid w:val="000521E9"/>
    <w:rsid w:val="000544C5"/>
    <w:rsid w:val="000C4831"/>
    <w:rsid w:val="00116851"/>
    <w:rsid w:val="00123EC9"/>
    <w:rsid w:val="00132396"/>
    <w:rsid w:val="00146C56"/>
    <w:rsid w:val="0015164B"/>
    <w:rsid w:val="001556B3"/>
    <w:rsid w:val="00172FB3"/>
    <w:rsid w:val="001A6321"/>
    <w:rsid w:val="001B7F91"/>
    <w:rsid w:val="001C1070"/>
    <w:rsid w:val="001E3609"/>
    <w:rsid w:val="002156C0"/>
    <w:rsid w:val="00233009"/>
    <w:rsid w:val="00251566"/>
    <w:rsid w:val="0029195B"/>
    <w:rsid w:val="002A20ED"/>
    <w:rsid w:val="002C5C3B"/>
    <w:rsid w:val="00322E1B"/>
    <w:rsid w:val="0033343E"/>
    <w:rsid w:val="00336F15"/>
    <w:rsid w:val="003474AE"/>
    <w:rsid w:val="003603A5"/>
    <w:rsid w:val="00375DC4"/>
    <w:rsid w:val="003E003E"/>
    <w:rsid w:val="003E1AF2"/>
    <w:rsid w:val="00410C8C"/>
    <w:rsid w:val="00414160"/>
    <w:rsid w:val="0041670A"/>
    <w:rsid w:val="00432CC7"/>
    <w:rsid w:val="00454028"/>
    <w:rsid w:val="00520AD3"/>
    <w:rsid w:val="0055515C"/>
    <w:rsid w:val="0057240B"/>
    <w:rsid w:val="00573485"/>
    <w:rsid w:val="005A3988"/>
    <w:rsid w:val="005B6CA0"/>
    <w:rsid w:val="005D32BC"/>
    <w:rsid w:val="00604662"/>
    <w:rsid w:val="006E3D61"/>
    <w:rsid w:val="006E4A0B"/>
    <w:rsid w:val="00702337"/>
    <w:rsid w:val="007079BA"/>
    <w:rsid w:val="00756C81"/>
    <w:rsid w:val="0076501F"/>
    <w:rsid w:val="007751E1"/>
    <w:rsid w:val="00775222"/>
    <w:rsid w:val="00786589"/>
    <w:rsid w:val="008459B0"/>
    <w:rsid w:val="008710C3"/>
    <w:rsid w:val="00881F35"/>
    <w:rsid w:val="00915F54"/>
    <w:rsid w:val="009433E6"/>
    <w:rsid w:val="009668FE"/>
    <w:rsid w:val="009821FE"/>
    <w:rsid w:val="00991F83"/>
    <w:rsid w:val="00A0521C"/>
    <w:rsid w:val="00A8449B"/>
    <w:rsid w:val="00A84C28"/>
    <w:rsid w:val="00AC7D1B"/>
    <w:rsid w:val="00AF72F1"/>
    <w:rsid w:val="00B0565D"/>
    <w:rsid w:val="00B0709F"/>
    <w:rsid w:val="00B16A5F"/>
    <w:rsid w:val="00B207DA"/>
    <w:rsid w:val="00B46323"/>
    <w:rsid w:val="00BA537D"/>
    <w:rsid w:val="00BE796D"/>
    <w:rsid w:val="00C74ECF"/>
    <w:rsid w:val="00C82C4D"/>
    <w:rsid w:val="00C85AA8"/>
    <w:rsid w:val="00CD10A6"/>
    <w:rsid w:val="00CD59CB"/>
    <w:rsid w:val="00CE44E9"/>
    <w:rsid w:val="00CF056E"/>
    <w:rsid w:val="00D03B82"/>
    <w:rsid w:val="00D17019"/>
    <w:rsid w:val="00D42331"/>
    <w:rsid w:val="00DA1B90"/>
    <w:rsid w:val="00DB7E39"/>
    <w:rsid w:val="00DF42F9"/>
    <w:rsid w:val="00E610FD"/>
    <w:rsid w:val="00EA2FA0"/>
    <w:rsid w:val="00EA309F"/>
    <w:rsid w:val="00F10439"/>
    <w:rsid w:val="00F24DF3"/>
    <w:rsid w:val="00F31627"/>
    <w:rsid w:val="00F40EF4"/>
    <w:rsid w:val="00F626DF"/>
    <w:rsid w:val="00F70F6B"/>
    <w:rsid w:val="00F92009"/>
    <w:rsid w:val="00FE6AD5"/>
    <w:rsid w:val="00FF46D2"/>
    <w:rsid w:val="06333BB0"/>
    <w:rsid w:val="0C5F1506"/>
    <w:rsid w:val="0FBE6C6D"/>
    <w:rsid w:val="169B0A19"/>
    <w:rsid w:val="3A894B3C"/>
    <w:rsid w:val="44912433"/>
    <w:rsid w:val="627E5B0A"/>
    <w:rsid w:val="70ED2E87"/>
    <w:rsid w:val="71A50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2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8">
    <w:name w:val="page number"/>
    <w:basedOn w:val="7"/>
    <w:semiHidden/>
    <w:uiPriority w:val="0"/>
  </w:style>
  <w:style w:type="character" w:customStyle="1" w:styleId="9">
    <w:name w:val="页眉 字符"/>
    <w:basedOn w:val="7"/>
    <w:link w:val="4"/>
    <w:uiPriority w:val="99"/>
    <w:rPr>
      <w:sz w:val="18"/>
      <w:szCs w:val="18"/>
    </w:rPr>
  </w:style>
  <w:style w:type="character" w:customStyle="1" w:styleId="10">
    <w:name w:val="页脚 字符"/>
    <w:basedOn w:val="7"/>
    <w:link w:val="3"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批注框文本 字符"/>
    <w:basedOn w:val="7"/>
    <w:link w:val="2"/>
    <w:semiHidden/>
    <w:uiPriority w:val="99"/>
    <w:rPr>
      <w:sz w:val="18"/>
      <w:szCs w:val="18"/>
    </w:rPr>
  </w:style>
  <w:style w:type="paragraph" w:customStyle="1" w:styleId="13">
    <w:name w:val="论文正文"/>
    <w:basedOn w:val="1"/>
    <w:next w:val="1"/>
    <w:uiPriority w:val="0"/>
    <w:pPr>
      <w:autoSpaceDE w:val="0"/>
      <w:autoSpaceDN w:val="0"/>
      <w:adjustRightInd w:val="0"/>
      <w:jc w:val="left"/>
    </w:pPr>
    <w:rPr>
      <w:rFonts w:ascii="宋体" w:hAnsi="Times New Roman" w:eastAsia="宋体" w:cs="Times New Roman"/>
      <w:kern w:val="0"/>
      <w:sz w:val="24"/>
      <w:szCs w:val="24"/>
    </w:rPr>
  </w:style>
  <w:style w:type="paragraph" w:styleId="14">
    <w:name w:val="No Spacing"/>
    <w:link w:val="15"/>
    <w:qFormat/>
    <w:uiPriority w:val="1"/>
    <w:rPr>
      <w:rFonts w:ascii="Calibri" w:hAnsi="Calibri" w:eastAsia="宋体" w:cs="Times New Roman"/>
      <w:kern w:val="0"/>
      <w:sz w:val="22"/>
      <w:szCs w:val="22"/>
      <w:lang w:val="en-US" w:eastAsia="zh-CN" w:bidi="ar-SA"/>
    </w:rPr>
  </w:style>
  <w:style w:type="character" w:customStyle="1" w:styleId="15">
    <w:name w:val="无间隔 字符"/>
    <w:link w:val="14"/>
    <w:uiPriority w:val="1"/>
    <w:rPr>
      <w:rFonts w:ascii="Calibri" w:hAnsi="Calibri" w:eastAsia="宋体" w:cs="Times New Roman"/>
      <w:kern w:val="0"/>
      <w:sz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8" Type="http://schemas.openxmlformats.org/officeDocument/2006/relationships/fontTable" Target="fontTable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oleObject" Target="embeddings/oleObject8.bin"/><Relationship Id="rId44" Type="http://schemas.openxmlformats.org/officeDocument/2006/relationships/oleObject" Target="embeddings/oleObject7.bin"/><Relationship Id="rId43" Type="http://schemas.openxmlformats.org/officeDocument/2006/relationships/oleObject" Target="embeddings/oleObject6.bin"/><Relationship Id="rId42" Type="http://schemas.openxmlformats.org/officeDocument/2006/relationships/image" Target="media/image32.wmf"/><Relationship Id="rId41" Type="http://schemas.openxmlformats.org/officeDocument/2006/relationships/oleObject" Target="embeddings/oleObject5.bin"/><Relationship Id="rId40" Type="http://schemas.openxmlformats.org/officeDocument/2006/relationships/image" Target="media/image31.png"/><Relationship Id="rId4" Type="http://schemas.openxmlformats.org/officeDocument/2006/relationships/footer" Target="foot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jpeg"/><Relationship Id="rId3" Type="http://schemas.openxmlformats.org/officeDocument/2006/relationships/footer" Target="footer1.xml"/><Relationship Id="rId29" Type="http://schemas.openxmlformats.org/officeDocument/2006/relationships/image" Target="media/image20.wmf"/><Relationship Id="rId28" Type="http://schemas.openxmlformats.org/officeDocument/2006/relationships/oleObject" Target="embeddings/oleObject4.bin"/><Relationship Id="rId27" Type="http://schemas.openxmlformats.org/officeDocument/2006/relationships/image" Target="media/image19.wmf"/><Relationship Id="rId26" Type="http://schemas.openxmlformats.org/officeDocument/2006/relationships/oleObject" Target="embeddings/oleObject3.bin"/><Relationship Id="rId25" Type="http://schemas.openxmlformats.org/officeDocument/2006/relationships/image" Target="media/image18.wmf"/><Relationship Id="rId24" Type="http://schemas.openxmlformats.org/officeDocument/2006/relationships/oleObject" Target="embeddings/oleObject2.bin"/><Relationship Id="rId23" Type="http://schemas.openxmlformats.org/officeDocument/2006/relationships/image" Target="media/image17.wmf"/><Relationship Id="rId22" Type="http://schemas.openxmlformats.org/officeDocument/2006/relationships/oleObject" Target="embeddings/oleObject1.bin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Hewlett-Packard Company</Company>
  <Pages>9</Pages>
  <Words>215</Words>
  <Characters>1227</Characters>
  <Lines>10</Lines>
  <Paragraphs>2</Paragraphs>
  <TotalTime>1</TotalTime>
  <ScaleCrop>false</ScaleCrop>
  <LinksUpToDate>false</LinksUpToDate>
  <CharactersWithSpaces>1440</CharactersWithSpaces>
  <Application>WPS Office_11.3.0.8775_F1E327BC-269C-435d-A152-05C5408002CA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2018-09-21T02:28:00Z</dcterms:created>
  <dc:creator>HIT</dc:creator>
  <cp:lastModifiedBy>前进</cp:lastModifiedBy>
  <cp:lastPrinted>2018-10-10T06:26:00Z</cp:lastPrinted>
  <dcterms:modified xsi:type="dcterms:W3CDTF">2019-12-29T04:09:07Z</dcterms:modified>
  <cp:revision>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2052-11.3.0.8775</vt:lpwstr>
  </property>
</Properties>
</file>