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2360930</wp:posOffset>
            </wp:positionV>
            <wp:extent cx="3131185" cy="4176395"/>
            <wp:effectExtent l="0" t="0" r="12065" b="14605"/>
            <wp:wrapSquare wrapText="bothSides"/>
            <wp:docPr id="1" name="图片 1" descr="QQ图片2020072018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7201826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2367280</wp:posOffset>
            </wp:positionV>
            <wp:extent cx="3108960" cy="4147185"/>
            <wp:effectExtent l="0" t="0" r="15240" b="5715"/>
            <wp:wrapSquare wrapText="bothSides"/>
            <wp:docPr id="2" name="图片 2" descr="QQ图片2020072018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007201826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51435</wp:posOffset>
            </wp:positionV>
            <wp:extent cx="4976495" cy="2169160"/>
            <wp:effectExtent l="0" t="0" r="14605" b="2540"/>
            <wp:wrapSquare wrapText="bothSides"/>
            <wp:docPr id="3" name="图片 3" descr="QQ图片2020072018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07201825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教学改革后学生有了更多的选课自由，但学院领导在课程安排上也面临新的问题。例如，MBA研究生班的学生选课学年之间的变化常常很大，去年的学生很多人选会计课，而今年的学生很多人选市场营销课。由于事先无法确定有多少学生选各门课程，所以无法有效地进行教学资源准备。有人提出学生所选课程与其本科所学专业有关。为此，学院领导将学生本科所学专业与MBA三门课程的选修情况做了统计，结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本科专业         MBA所选课程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                  会计      统计     市场营销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专业一          31         13        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专业二           8          16          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专业三           12         10        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其他专业        10           5        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以0.05的显著性水平检验学生本科专业是否影响其读MBA期间所选课程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91180" cy="4123055"/>
            <wp:effectExtent l="0" t="0" r="13970" b="1079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</w:rPr>
        <w:t>调查了339名50岁以上的人，其中205名吸烟者中有43个患慢性气管炎，134名不吸烟者中有13人患慢性气管炎。调查数据能否支持“吸烟者容易患慢性气管炎”这种观点 ？a=0.05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  <w:drawing>
          <wp:inline distT="0" distB="0" distL="114300" distR="114300">
            <wp:extent cx="2924175" cy="3898900"/>
            <wp:effectExtent l="0" t="0" r="9525" b="635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装配一个部件可以采用不同的方法，所关心的问题是哪一个方法的效率更高。劳动效率可以用平均装配时间反映。现从不同的装配方法中各抽取12件产品，记录各自的装配时间（单位：分钟）：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甲方法 31    34    29    32    35    38    34    30    29    32    31    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乙方法 26    24    28    29    30    29    32    26    31    29    32    28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两总体方差相同。问两种方法的装配时间有无显著不同 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  <w:drawing>
          <wp:inline distT="0" distB="0" distL="114300" distR="114300">
            <wp:extent cx="3225165" cy="4301490"/>
            <wp:effectExtent l="0" t="0" r="13335" b="381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  <w:drawing>
          <wp:inline distT="0" distB="0" distL="114300" distR="114300">
            <wp:extent cx="5270500" cy="2968625"/>
            <wp:effectExtent l="0" t="0" r="6350" b="317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  <w:drawing>
          <wp:inline distT="0" distB="0" distL="114300" distR="114300">
            <wp:extent cx="4147820" cy="5532120"/>
            <wp:effectExtent l="0" t="0" r="11430" b="508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478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</w:rPr>
        <w:t>在一项家电市场调查中，随机抽取了200个居民户，调查他们是否拥有某一品牌的电视机。其中拥有该品牌电视机的家庭占23%，求总体比例的置信区间，置信水平为90%。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  <w:drawing>
          <wp:inline distT="0" distB="0" distL="114300" distR="114300">
            <wp:extent cx="5266690" cy="3950335"/>
            <wp:effectExtent l="0" t="0" r="10160" b="1206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某居民小区为研究职工上班从家里到单位的距离，抽取了由16人组成的一个随机样本，他们到从家到单位的距离分别为（单位：公里）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10   3    14    8     6    9    12    11   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7     5    10    15   9    16   13   2    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  <w:t>求职工从家里到单位平均距离的95%的置信区间。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bdr w:val="none" w:color="auto" w:sz="0" w:space="0"/>
          <w:shd w:val="clear" w:fill="F8F8F8"/>
          <w:lang w:eastAsia="zh-CN"/>
        </w:rPr>
        <w:drawing>
          <wp:inline distT="0" distB="0" distL="114300" distR="114300">
            <wp:extent cx="3607435" cy="2663190"/>
            <wp:effectExtent l="0" t="0" r="12065" b="381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</w:rPr>
        <w:t>电脑销售数据表格，前三列，每个数据+自己的序号，对加序号后新数据编制茎叶图和箱线图，箱线图需要完整的计算分位数的过程。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18"/>
          <w:szCs w:val="18"/>
          <w:shd w:val="clear" w:fill="F8F8F8"/>
          <w:lang w:eastAsia="zh-CN"/>
        </w:rPr>
        <w:drawing>
          <wp:inline distT="0" distB="0" distL="114300" distR="114300">
            <wp:extent cx="3100705" cy="4135755"/>
            <wp:effectExtent l="0" t="0" r="4445" b="1714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E7FCD"/>
    <w:rsid w:val="55AD603D"/>
    <w:rsid w:val="7855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2020-06-15T03:44:00Z</dcterms:created>
  <dc:creator>QJ-</dc:creator>
  <cp:lastModifiedBy>前进</cp:lastModifiedBy>
  <dcterms:modified xsi:type="dcterms:W3CDTF">2020-07-20T10:36:19Z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